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Heading1"/>
        <w:spacing w:before="78"/>
      </w:pPr>
      <w:r>
        <w:rPr/>
        <w:t>AN</w:t>
      </w:r>
      <w:r>
        <w:rPr>
          <w:spacing w:val="-6"/>
        </w:rPr>
        <w:t> </w:t>
      </w:r>
      <w:r>
        <w:rPr/>
        <w:t>EXAMINATION</w:t>
      </w:r>
      <w:r>
        <w:rPr>
          <w:spacing w:val="-6"/>
        </w:rPr>
        <w:t> </w:t>
      </w:r>
      <w:r>
        <w:rPr/>
        <w:t>OF</w:t>
      </w:r>
      <w:r>
        <w:rPr>
          <w:spacing w:val="-8"/>
        </w:rPr>
        <w:t> </w:t>
      </w:r>
      <w:r>
        <w:rPr/>
        <w:t>ADMINISTRATIVE</w:t>
      </w:r>
      <w:r>
        <w:rPr>
          <w:spacing w:val="-6"/>
        </w:rPr>
        <w:t> </w:t>
      </w:r>
      <w:r>
        <w:rPr/>
        <w:t>CHALLENGES</w:t>
      </w:r>
      <w:r>
        <w:rPr>
          <w:spacing w:val="-6"/>
        </w:rPr>
        <w:t> </w:t>
      </w:r>
      <w:r>
        <w:rPr/>
        <w:t>INHIBITING</w:t>
      </w:r>
      <w:r>
        <w:rPr>
          <w:spacing w:val="-8"/>
        </w:rPr>
        <w:t> </w:t>
      </w:r>
      <w:r>
        <w:rPr/>
        <w:t>THE DISTRIBUTION OF PETROLEUM PRODUCTS UNDER THE PETROLEUM PROFIT TAX LAWS OF NIGERIA</w:t>
      </w: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spacing w:before="1"/>
        <w:rPr>
          <w:b/>
        </w:rPr>
      </w:pPr>
    </w:p>
    <w:p>
      <w:pPr>
        <w:spacing w:before="0"/>
        <w:ind w:left="441" w:right="238" w:firstLine="0"/>
        <w:jc w:val="center"/>
        <w:rPr>
          <w:b/>
          <w:sz w:val="24"/>
        </w:rPr>
      </w:pPr>
      <w:r>
        <w:rPr>
          <w:b/>
          <w:spacing w:val="-5"/>
          <w:sz w:val="24"/>
        </w:rPr>
        <w:t>BY</w:t>
      </w:r>
    </w:p>
    <w:p>
      <w:pPr>
        <w:pStyle w:val="BodyText"/>
        <w:rPr>
          <w:b/>
        </w:rPr>
      </w:pPr>
    </w:p>
    <w:p>
      <w:pPr>
        <w:pStyle w:val="BodyText"/>
        <w:rPr>
          <w:b/>
        </w:rPr>
      </w:pPr>
    </w:p>
    <w:p>
      <w:pPr>
        <w:pStyle w:val="BodyText"/>
        <w:rPr>
          <w:b/>
        </w:rPr>
      </w:pPr>
    </w:p>
    <w:p>
      <w:pPr>
        <w:pStyle w:val="BodyText"/>
        <w:rPr>
          <w:b/>
        </w:rPr>
      </w:pPr>
    </w:p>
    <w:p>
      <w:pPr>
        <w:spacing w:before="0"/>
        <w:ind w:left="3497" w:right="3293" w:firstLine="0"/>
        <w:jc w:val="center"/>
        <w:rPr>
          <w:b/>
          <w:sz w:val="24"/>
        </w:rPr>
      </w:pPr>
      <w:r>
        <w:rPr>
          <w:b/>
          <w:sz w:val="24"/>
        </w:rPr>
        <w:t>Nana Aisha USMAN </w:t>
      </w:r>
      <w:r>
        <w:rPr>
          <w:b/>
          <w:spacing w:val="-2"/>
          <w:sz w:val="24"/>
        </w:rPr>
        <w:t>M.A/LAW/6772/2011-2012</w:t>
      </w:r>
    </w:p>
    <w:p>
      <w:pPr>
        <w:pStyle w:val="BodyText"/>
        <w:rPr>
          <w:b/>
        </w:rPr>
      </w:pPr>
    </w:p>
    <w:p>
      <w:pPr>
        <w:pStyle w:val="BodyText"/>
        <w:rPr>
          <w:b/>
        </w:rPr>
      </w:pPr>
    </w:p>
    <w:p>
      <w:pPr>
        <w:pStyle w:val="BodyText"/>
        <w:rPr>
          <w:b/>
        </w:rPr>
      </w:pPr>
    </w:p>
    <w:p>
      <w:pPr>
        <w:pStyle w:val="BodyText"/>
        <w:rPr>
          <w:b/>
        </w:rPr>
      </w:pPr>
    </w:p>
    <w:p>
      <w:pPr>
        <w:pStyle w:val="BodyText"/>
        <w:spacing w:before="1"/>
        <w:rPr>
          <w:b/>
        </w:rPr>
      </w:pPr>
    </w:p>
    <w:p>
      <w:pPr>
        <w:spacing w:before="0"/>
        <w:ind w:left="427" w:right="230" w:firstLine="6"/>
        <w:jc w:val="center"/>
        <w:rPr>
          <w:b/>
          <w:sz w:val="24"/>
        </w:rPr>
      </w:pPr>
      <w:r>
        <w:rPr>
          <w:b/>
          <w:sz w:val="24"/>
        </w:rPr>
        <w:t>A DISSERTATION SUBMITTED TO THE SCHOOL OF POSTGRADUATE STUDIES,</w:t>
      </w:r>
      <w:r>
        <w:rPr>
          <w:b/>
          <w:spacing w:val="-6"/>
          <w:sz w:val="24"/>
        </w:rPr>
        <w:t> </w:t>
      </w:r>
      <w:r>
        <w:rPr>
          <w:b/>
          <w:sz w:val="24"/>
        </w:rPr>
        <w:t>AHMADU</w:t>
      </w:r>
      <w:r>
        <w:rPr>
          <w:b/>
          <w:spacing w:val="-6"/>
          <w:sz w:val="24"/>
        </w:rPr>
        <w:t> </w:t>
      </w:r>
      <w:r>
        <w:rPr>
          <w:b/>
          <w:sz w:val="24"/>
        </w:rPr>
        <w:t>BELLO</w:t>
      </w:r>
      <w:r>
        <w:rPr>
          <w:b/>
          <w:spacing w:val="-6"/>
          <w:sz w:val="24"/>
        </w:rPr>
        <w:t> </w:t>
      </w:r>
      <w:r>
        <w:rPr>
          <w:b/>
          <w:sz w:val="24"/>
        </w:rPr>
        <w:t>UNIVERSITY,</w:t>
      </w:r>
      <w:r>
        <w:rPr>
          <w:b/>
          <w:spacing w:val="-6"/>
          <w:sz w:val="24"/>
        </w:rPr>
        <w:t> </w:t>
      </w:r>
      <w:r>
        <w:rPr>
          <w:b/>
          <w:sz w:val="24"/>
        </w:rPr>
        <w:t>ZARIA</w:t>
      </w:r>
      <w:r>
        <w:rPr>
          <w:b/>
          <w:spacing w:val="-6"/>
          <w:sz w:val="24"/>
        </w:rPr>
        <w:t> </w:t>
      </w:r>
      <w:r>
        <w:rPr>
          <w:b/>
          <w:sz w:val="24"/>
        </w:rPr>
        <w:t>IN</w:t>
      </w:r>
      <w:r>
        <w:rPr>
          <w:b/>
          <w:spacing w:val="-5"/>
          <w:sz w:val="24"/>
        </w:rPr>
        <w:t> </w:t>
      </w:r>
      <w:r>
        <w:rPr>
          <w:b/>
          <w:sz w:val="24"/>
        </w:rPr>
        <w:t>PARTIAL</w:t>
      </w:r>
      <w:r>
        <w:rPr>
          <w:b/>
          <w:spacing w:val="-4"/>
          <w:sz w:val="24"/>
        </w:rPr>
        <w:t> </w:t>
      </w:r>
      <w:r>
        <w:rPr>
          <w:b/>
          <w:sz w:val="24"/>
        </w:rPr>
        <w:t>FULFILLMENT FOR THE AWARD OF MASTERS OF ARTS LAW–M.A.</w:t>
      </w:r>
    </w:p>
    <w:p>
      <w:pPr>
        <w:pStyle w:val="BodyText"/>
        <w:rPr>
          <w:b/>
        </w:rPr>
      </w:pPr>
    </w:p>
    <w:p>
      <w:pPr>
        <w:pStyle w:val="BodyText"/>
        <w:rPr>
          <w:b/>
        </w:rPr>
      </w:pPr>
    </w:p>
    <w:p>
      <w:pPr>
        <w:pStyle w:val="BodyText"/>
        <w:rPr>
          <w:b/>
        </w:rPr>
      </w:pPr>
    </w:p>
    <w:p>
      <w:pPr>
        <w:pStyle w:val="BodyText"/>
        <w:rPr>
          <w:b/>
        </w:rPr>
      </w:pPr>
    </w:p>
    <w:p>
      <w:pPr>
        <w:pStyle w:val="BodyText"/>
        <w:rPr>
          <w:b/>
        </w:rPr>
      </w:pPr>
    </w:p>
    <w:p>
      <w:pPr>
        <w:spacing w:before="0"/>
        <w:ind w:left="438" w:right="239" w:firstLine="0"/>
        <w:jc w:val="center"/>
        <w:rPr>
          <w:b/>
          <w:sz w:val="24"/>
        </w:rPr>
      </w:pPr>
      <w:r>
        <w:rPr>
          <w:b/>
          <w:sz w:val="24"/>
        </w:rPr>
        <w:t>SUPERVISORY</w:t>
      </w:r>
      <w:r>
        <w:rPr>
          <w:b/>
          <w:spacing w:val="-5"/>
          <w:sz w:val="24"/>
        </w:rPr>
        <w:t> </w:t>
      </w:r>
      <w:r>
        <w:rPr>
          <w:b/>
          <w:spacing w:val="-2"/>
          <w:sz w:val="24"/>
        </w:rPr>
        <w:t>COMMITTEE</w:t>
      </w:r>
    </w:p>
    <w:p>
      <w:pPr>
        <w:pStyle w:val="BodyText"/>
        <w:spacing w:before="1"/>
        <w:rPr>
          <w:b/>
        </w:rPr>
      </w:pPr>
    </w:p>
    <w:p>
      <w:pPr>
        <w:pStyle w:val="ListParagraph"/>
        <w:numPr>
          <w:ilvl w:val="0"/>
          <w:numId w:val="1"/>
        </w:numPr>
        <w:tabs>
          <w:tab w:pos="3661" w:val="left" w:leader="none"/>
        </w:tabs>
        <w:spacing w:line="240" w:lineRule="auto" w:before="0" w:after="0"/>
        <w:ind w:left="3661" w:right="0" w:hanging="360"/>
        <w:jc w:val="left"/>
        <w:rPr>
          <w:b/>
          <w:sz w:val="24"/>
        </w:rPr>
      </w:pPr>
      <w:r>
        <w:rPr>
          <w:b/>
          <w:sz w:val="24"/>
        </w:rPr>
        <w:t>DR.</w:t>
      </w:r>
      <w:r>
        <w:rPr>
          <w:b/>
          <w:spacing w:val="-1"/>
          <w:sz w:val="24"/>
        </w:rPr>
        <w:t> </w:t>
      </w:r>
      <w:r>
        <w:rPr>
          <w:b/>
          <w:sz w:val="24"/>
        </w:rPr>
        <w:t>A.</w:t>
      </w:r>
      <w:r>
        <w:rPr>
          <w:b/>
          <w:spacing w:val="-2"/>
          <w:sz w:val="24"/>
        </w:rPr>
        <w:t> </w:t>
      </w:r>
      <w:r>
        <w:rPr>
          <w:b/>
          <w:sz w:val="24"/>
        </w:rPr>
        <w:t>A.</w:t>
      </w:r>
      <w:r>
        <w:rPr>
          <w:b/>
          <w:spacing w:val="-1"/>
          <w:sz w:val="24"/>
        </w:rPr>
        <w:t> </w:t>
      </w:r>
      <w:r>
        <w:rPr>
          <w:b/>
          <w:sz w:val="24"/>
        </w:rPr>
        <w:t>AKUME</w:t>
      </w:r>
      <w:r>
        <w:rPr>
          <w:b/>
          <w:spacing w:val="1"/>
          <w:sz w:val="24"/>
        </w:rPr>
        <w:t> </w:t>
      </w:r>
      <w:r>
        <w:rPr>
          <w:b/>
          <w:spacing w:val="-2"/>
          <w:sz w:val="24"/>
        </w:rPr>
        <w:t>(CHAIRMAN)</w:t>
      </w:r>
    </w:p>
    <w:p>
      <w:pPr>
        <w:pStyle w:val="ListParagraph"/>
        <w:numPr>
          <w:ilvl w:val="0"/>
          <w:numId w:val="1"/>
        </w:numPr>
        <w:tabs>
          <w:tab w:pos="3661" w:val="left" w:leader="none"/>
        </w:tabs>
        <w:spacing w:line="240" w:lineRule="auto" w:before="0" w:after="0"/>
        <w:ind w:left="3661" w:right="0" w:hanging="360"/>
        <w:jc w:val="left"/>
        <w:rPr>
          <w:b/>
          <w:sz w:val="24"/>
        </w:rPr>
      </w:pPr>
      <w:r>
        <w:rPr>
          <w:b/>
          <w:sz w:val="24"/>
        </w:rPr>
        <w:t>DR.</w:t>
      </w:r>
      <w:r>
        <w:rPr>
          <w:b/>
          <w:spacing w:val="-3"/>
          <w:sz w:val="24"/>
        </w:rPr>
        <w:t> </w:t>
      </w:r>
      <w:r>
        <w:rPr>
          <w:b/>
          <w:sz w:val="24"/>
        </w:rPr>
        <w:t>I.</w:t>
      </w:r>
      <w:r>
        <w:rPr>
          <w:b/>
          <w:spacing w:val="-1"/>
          <w:sz w:val="24"/>
        </w:rPr>
        <w:t> </w:t>
      </w:r>
      <w:r>
        <w:rPr>
          <w:b/>
          <w:sz w:val="24"/>
        </w:rPr>
        <w:t>F.</w:t>
      </w:r>
      <w:r>
        <w:rPr>
          <w:b/>
          <w:spacing w:val="1"/>
          <w:sz w:val="24"/>
        </w:rPr>
        <w:t> </w:t>
      </w:r>
      <w:r>
        <w:rPr>
          <w:b/>
          <w:sz w:val="24"/>
        </w:rPr>
        <w:t>AKANDE</w:t>
      </w:r>
      <w:r>
        <w:rPr>
          <w:b/>
          <w:spacing w:val="-1"/>
          <w:sz w:val="24"/>
        </w:rPr>
        <w:t> </w:t>
      </w:r>
      <w:r>
        <w:rPr>
          <w:b/>
          <w:spacing w:val="-2"/>
          <w:sz w:val="24"/>
        </w:rPr>
        <w:t>(MEMBER)</w:t>
      </w: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pStyle w:val="BodyText"/>
        <w:rPr>
          <w:b/>
        </w:rPr>
      </w:pPr>
    </w:p>
    <w:p>
      <w:pPr>
        <w:spacing w:before="0"/>
        <w:ind w:left="439" w:right="238" w:firstLine="0"/>
        <w:jc w:val="center"/>
        <w:rPr>
          <w:b/>
          <w:sz w:val="24"/>
        </w:rPr>
      </w:pPr>
      <w:r>
        <w:rPr>
          <w:b/>
          <w:sz w:val="24"/>
        </w:rPr>
        <w:t>JUNE,</w:t>
      </w:r>
      <w:r>
        <w:rPr>
          <w:b/>
          <w:spacing w:val="-1"/>
          <w:sz w:val="24"/>
        </w:rPr>
        <w:t> </w:t>
      </w:r>
      <w:r>
        <w:rPr>
          <w:b/>
          <w:spacing w:val="-4"/>
          <w:sz w:val="24"/>
        </w:rPr>
        <w:t>2016</w:t>
      </w:r>
    </w:p>
    <w:p>
      <w:pPr>
        <w:spacing w:after="0"/>
        <w:jc w:val="center"/>
        <w:rPr>
          <w:sz w:val="24"/>
        </w:rPr>
        <w:sectPr>
          <w:footerReference w:type="default" r:id="rId5"/>
          <w:type w:val="continuous"/>
          <w:pgSz w:w="11910" w:h="16840"/>
          <w:pgMar w:header="0" w:footer="1000" w:top="1340" w:bottom="1200" w:left="1080" w:right="1280"/>
          <w:pgNumType w:start="1"/>
        </w:sectPr>
      </w:pPr>
    </w:p>
    <w:p>
      <w:pPr>
        <w:pStyle w:val="Heading1"/>
        <w:spacing w:before="61"/>
        <w:ind w:right="239"/>
      </w:pPr>
      <w:bookmarkStart w:name="_TOC_250024" w:id="1"/>
      <w:bookmarkEnd w:id="1"/>
      <w:r>
        <w:rPr>
          <w:spacing w:val="-2"/>
        </w:rPr>
        <w:t>DECLARATION</w:t>
      </w:r>
    </w:p>
    <w:p>
      <w:pPr>
        <w:pStyle w:val="BodyText"/>
        <w:spacing w:before="74"/>
        <w:rPr>
          <w:b/>
        </w:rPr>
      </w:pPr>
    </w:p>
    <w:p>
      <w:pPr>
        <w:spacing w:line="480" w:lineRule="auto" w:before="0"/>
        <w:ind w:left="360" w:right="156" w:firstLine="0"/>
        <w:jc w:val="both"/>
        <w:rPr>
          <w:sz w:val="24"/>
        </w:rPr>
      </w:pPr>
      <w:r>
        <w:rPr>
          <w:sz w:val="24"/>
        </w:rPr>
        <w:t>I, </w:t>
      </w:r>
      <w:r>
        <w:rPr>
          <w:b/>
          <w:sz w:val="24"/>
        </w:rPr>
        <w:t>Nana Aisha USMAN</w:t>
      </w:r>
      <w:r>
        <w:rPr>
          <w:sz w:val="24"/>
        </w:rPr>
        <w:t>, declare that the work in the thesis entitled </w:t>
      </w:r>
      <w:r>
        <w:rPr>
          <w:b/>
          <w:sz w:val="24"/>
        </w:rPr>
        <w:t>“An Examination of Administrative Challenges Inhibiting the Distribution of Petroleum Products under the Petroleum Profit Tax Laws of Nigeria” </w:t>
      </w:r>
      <w:r>
        <w:rPr>
          <w:sz w:val="24"/>
        </w:rPr>
        <w:t>was written by me in the Department of Commercial Law under the supervision of Dr. A. A. Akume. The information derived from the literature has been duly acknowledged in the text and list of reference provided. No part</w:t>
      </w:r>
      <w:r>
        <w:rPr>
          <w:spacing w:val="40"/>
          <w:sz w:val="24"/>
        </w:rPr>
        <w:t> </w:t>
      </w:r>
      <w:r>
        <w:rPr>
          <w:sz w:val="24"/>
        </w:rPr>
        <w:t>of this project, report, thesis,dissertation was previously presented for another degree or diploma at any University.</w:t>
      </w: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202"/>
        <w:rPr>
          <w:sz w:val="20"/>
        </w:rPr>
      </w:pPr>
      <w:r>
        <w:rPr/>
        <mc:AlternateContent>
          <mc:Choice Requires="wps">
            <w:drawing>
              <wp:anchor distT="0" distB="0" distL="0" distR="0" allowOverlap="1" layoutInCell="1" locked="0" behindDoc="1" simplePos="0" relativeHeight="487587840">
                <wp:simplePos x="0" y="0"/>
                <wp:positionH relativeFrom="page">
                  <wp:posOffset>914704</wp:posOffset>
                </wp:positionH>
                <wp:positionV relativeFrom="paragraph">
                  <wp:posOffset>289955</wp:posOffset>
                </wp:positionV>
                <wp:extent cx="2133600" cy="1270"/>
                <wp:effectExtent l="0" t="0" r="0" b="0"/>
                <wp:wrapTopAndBottom/>
                <wp:docPr id="2" name="Graphic 2"/>
                <wp:cNvGraphicFramePr>
                  <a:graphicFrameLocks/>
                </wp:cNvGraphicFramePr>
                <a:graphic>
                  <a:graphicData uri="http://schemas.microsoft.com/office/word/2010/wordprocessingShape">
                    <wps:wsp>
                      <wps:cNvPr id="2" name="Graphic 2"/>
                      <wps:cNvSpPr/>
                      <wps:spPr>
                        <a:xfrm>
                          <a:off x="0" y="0"/>
                          <a:ext cx="2133600" cy="1270"/>
                        </a:xfrm>
                        <a:custGeom>
                          <a:avLst/>
                          <a:gdLst/>
                          <a:ahLst/>
                          <a:cxnLst/>
                          <a:rect l="l" t="t" r="r" b="b"/>
                          <a:pathLst>
                            <a:path w="2133600" h="0">
                              <a:moveTo>
                                <a:pt x="0" y="0"/>
                              </a:moveTo>
                              <a:lnTo>
                                <a:pt x="2133600" y="0"/>
                              </a:lnTo>
                            </a:path>
                          </a:pathLst>
                        </a:custGeom>
                        <a:ln w="6186">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72.024002pt;margin-top:22.831104pt;width:168pt;height:.1pt;mso-position-horizontal-relative:page;mso-position-vertical-relative:paragraph;z-index:-15728640;mso-wrap-distance-left:0;mso-wrap-distance-right:0" id="docshape2" coordorigin="1440,457" coordsize="3360,0" path="m1440,457l4800,457e" filled="false" stroked="true" strokeweight=".487125pt" strokecolor="#000000">
                <v:path arrowok="t"/>
                <v:stroke dashstyle="solid"/>
                <w10:wrap type="topAndBottom"/>
              </v:shape>
            </w:pict>
          </mc:Fallback>
        </mc:AlternateContent>
      </w:r>
      <w:r>
        <w:rPr/>
        <mc:AlternateContent>
          <mc:Choice Requires="wps">
            <w:drawing>
              <wp:anchor distT="0" distB="0" distL="0" distR="0" allowOverlap="1" layoutInCell="1" locked="0" behindDoc="1" simplePos="0" relativeHeight="487588352">
                <wp:simplePos x="0" y="0"/>
                <wp:positionH relativeFrom="page">
                  <wp:posOffset>5030089</wp:posOffset>
                </wp:positionH>
                <wp:positionV relativeFrom="paragraph">
                  <wp:posOffset>289955</wp:posOffset>
                </wp:positionV>
                <wp:extent cx="1447800" cy="1270"/>
                <wp:effectExtent l="0" t="0" r="0" b="0"/>
                <wp:wrapTopAndBottom/>
                <wp:docPr id="3" name="Graphic 3"/>
                <wp:cNvGraphicFramePr>
                  <a:graphicFrameLocks/>
                </wp:cNvGraphicFramePr>
                <a:graphic>
                  <a:graphicData uri="http://schemas.microsoft.com/office/word/2010/wordprocessingShape">
                    <wps:wsp>
                      <wps:cNvPr id="3" name="Graphic 3"/>
                      <wps:cNvSpPr/>
                      <wps:spPr>
                        <a:xfrm>
                          <a:off x="0" y="0"/>
                          <a:ext cx="1447800" cy="1270"/>
                        </a:xfrm>
                        <a:custGeom>
                          <a:avLst/>
                          <a:gdLst/>
                          <a:ahLst/>
                          <a:cxnLst/>
                          <a:rect l="l" t="t" r="r" b="b"/>
                          <a:pathLst>
                            <a:path w="1447800" h="0">
                              <a:moveTo>
                                <a:pt x="0" y="0"/>
                              </a:moveTo>
                              <a:lnTo>
                                <a:pt x="1447800" y="0"/>
                              </a:lnTo>
                            </a:path>
                          </a:pathLst>
                        </a:custGeom>
                        <a:ln w="6186">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396.070007pt;margin-top:22.831104pt;width:114pt;height:.1pt;mso-position-horizontal-relative:page;mso-position-vertical-relative:paragraph;z-index:-15728128;mso-wrap-distance-left:0;mso-wrap-distance-right:0" id="docshape3" coordorigin="7921,457" coordsize="2280,0" path="m7921,457l10201,457e" filled="false" stroked="true" strokeweight=".487125pt" strokecolor="#000000">
                <v:path arrowok="t"/>
                <v:stroke dashstyle="solid"/>
                <w10:wrap type="topAndBottom"/>
              </v:shape>
            </w:pict>
          </mc:Fallback>
        </mc:AlternateContent>
      </w:r>
    </w:p>
    <w:p>
      <w:pPr>
        <w:tabs>
          <w:tab w:pos="6841" w:val="left" w:leader="none"/>
        </w:tabs>
        <w:spacing w:before="5"/>
        <w:ind w:left="360" w:right="0" w:firstLine="0"/>
        <w:jc w:val="left"/>
        <w:rPr>
          <w:b/>
          <w:sz w:val="24"/>
        </w:rPr>
      </w:pPr>
      <w:r>
        <w:rPr>
          <w:b/>
          <w:sz w:val="24"/>
        </w:rPr>
        <w:t>Nana Aisha </w:t>
      </w:r>
      <w:r>
        <w:rPr>
          <w:b/>
          <w:spacing w:val="-4"/>
          <w:sz w:val="24"/>
        </w:rPr>
        <w:t>USMAN</w:t>
      </w:r>
      <w:r>
        <w:rPr>
          <w:b/>
          <w:sz w:val="24"/>
        </w:rPr>
        <w:tab/>
      </w:r>
      <w:r>
        <w:rPr>
          <w:b/>
          <w:spacing w:val="-4"/>
          <w:sz w:val="24"/>
        </w:rPr>
        <w:t>Date</w:t>
      </w:r>
    </w:p>
    <w:p>
      <w:pPr>
        <w:pStyle w:val="Heading1"/>
        <w:ind w:left="360" w:right="0"/>
        <w:jc w:val="left"/>
      </w:pPr>
      <w:r>
        <w:rPr/>
        <w:t>MA/LAW/6772/2011</w:t>
      </w:r>
      <w:r>
        <w:rPr>
          <w:spacing w:val="-2"/>
        </w:rPr>
        <w:t> </w:t>
      </w:r>
      <w:r>
        <w:rPr/>
        <w:t>–</w:t>
      </w:r>
      <w:r>
        <w:rPr>
          <w:spacing w:val="-1"/>
        </w:rPr>
        <w:t> </w:t>
      </w:r>
      <w:r>
        <w:rPr>
          <w:spacing w:val="-4"/>
        </w:rPr>
        <w:t>2012</w:t>
      </w:r>
    </w:p>
    <w:p>
      <w:pPr>
        <w:spacing w:after="0"/>
        <w:jc w:val="left"/>
        <w:sectPr>
          <w:pgSz w:w="11910" w:h="16840"/>
          <w:pgMar w:header="0" w:footer="1000" w:top="1360" w:bottom="1200" w:left="1080" w:right="1280"/>
        </w:sectPr>
      </w:pPr>
    </w:p>
    <w:p>
      <w:pPr>
        <w:pStyle w:val="Heading1"/>
        <w:spacing w:before="78"/>
        <w:ind w:right="239"/>
      </w:pPr>
      <w:bookmarkStart w:name="_TOC_250023" w:id="2"/>
      <w:bookmarkEnd w:id="2"/>
      <w:r>
        <w:rPr>
          <w:spacing w:val="-2"/>
        </w:rPr>
        <w:t>CERTIFICATION</w:t>
      </w:r>
    </w:p>
    <w:p>
      <w:pPr>
        <w:spacing w:line="480" w:lineRule="auto" w:before="272"/>
        <w:ind w:left="360" w:right="156" w:firstLine="719"/>
        <w:jc w:val="both"/>
        <w:rPr>
          <w:sz w:val="24"/>
        </w:rPr>
      </w:pPr>
      <w:r>
        <w:rPr>
          <w:sz w:val="24"/>
        </w:rPr>
        <w:t>The thesis entitled </w:t>
      </w:r>
      <w:r>
        <w:rPr>
          <w:b/>
          <w:sz w:val="24"/>
        </w:rPr>
        <w:t>“An Examination of Administrative Challenges Inhibiting the Distribution of Petroleum Products under the Petroleum Profit Tax Laws of Nigeria’’ </w:t>
      </w:r>
      <w:r>
        <w:rPr>
          <w:sz w:val="24"/>
        </w:rPr>
        <w:t>meets the regulations governing the award of the degree of Master of Arts Law (MA) of Ahmadu</w:t>
      </w:r>
      <w:r>
        <w:rPr>
          <w:spacing w:val="-1"/>
          <w:sz w:val="24"/>
        </w:rPr>
        <w:t> </w:t>
      </w:r>
      <w:r>
        <w:rPr>
          <w:sz w:val="24"/>
        </w:rPr>
        <w:t>Bello</w:t>
      </w:r>
      <w:r>
        <w:rPr>
          <w:spacing w:val="-1"/>
          <w:sz w:val="24"/>
        </w:rPr>
        <w:t> </w:t>
      </w:r>
      <w:r>
        <w:rPr>
          <w:sz w:val="24"/>
        </w:rPr>
        <w:t>University</w:t>
      </w:r>
      <w:r>
        <w:rPr>
          <w:spacing w:val="-4"/>
          <w:sz w:val="24"/>
        </w:rPr>
        <w:t> </w:t>
      </w:r>
      <w:r>
        <w:rPr>
          <w:sz w:val="24"/>
        </w:rPr>
        <w:t>Zaria</w:t>
      </w:r>
      <w:r>
        <w:rPr>
          <w:spacing w:val="-2"/>
          <w:sz w:val="24"/>
        </w:rPr>
        <w:t> </w:t>
      </w:r>
      <w:r>
        <w:rPr>
          <w:sz w:val="24"/>
        </w:rPr>
        <w:t>and</w:t>
      </w:r>
      <w:r>
        <w:rPr>
          <w:spacing w:val="-1"/>
          <w:sz w:val="24"/>
        </w:rPr>
        <w:t> </w:t>
      </w:r>
      <w:r>
        <w:rPr>
          <w:sz w:val="24"/>
        </w:rPr>
        <w:t>is</w:t>
      </w:r>
      <w:r>
        <w:rPr>
          <w:spacing w:val="-1"/>
          <w:sz w:val="24"/>
        </w:rPr>
        <w:t> </w:t>
      </w:r>
      <w:r>
        <w:rPr>
          <w:sz w:val="24"/>
        </w:rPr>
        <w:t>approved for</w:t>
      </w:r>
      <w:r>
        <w:rPr>
          <w:spacing w:val="-2"/>
          <w:sz w:val="24"/>
        </w:rPr>
        <w:t> </w:t>
      </w:r>
      <w:r>
        <w:rPr>
          <w:sz w:val="24"/>
        </w:rPr>
        <w:t>its</w:t>
      </w:r>
      <w:r>
        <w:rPr>
          <w:spacing w:val="-1"/>
          <w:sz w:val="24"/>
        </w:rPr>
        <w:t> </w:t>
      </w:r>
      <w:r>
        <w:rPr>
          <w:sz w:val="24"/>
        </w:rPr>
        <w:t>contribution</w:t>
      </w:r>
      <w:r>
        <w:rPr>
          <w:spacing w:val="-1"/>
          <w:sz w:val="24"/>
        </w:rPr>
        <w:t> </w:t>
      </w:r>
      <w:r>
        <w:rPr>
          <w:sz w:val="24"/>
        </w:rPr>
        <w:t>to</w:t>
      </w:r>
      <w:r>
        <w:rPr>
          <w:spacing w:val="-3"/>
          <w:sz w:val="24"/>
        </w:rPr>
        <w:t> </w:t>
      </w:r>
      <w:r>
        <w:rPr>
          <w:sz w:val="24"/>
        </w:rPr>
        <w:t>knowledge</w:t>
      </w:r>
      <w:r>
        <w:rPr>
          <w:spacing w:val="-2"/>
          <w:sz w:val="24"/>
        </w:rPr>
        <w:t> </w:t>
      </w:r>
      <w:r>
        <w:rPr>
          <w:sz w:val="24"/>
        </w:rPr>
        <w:t>and</w:t>
      </w:r>
      <w:r>
        <w:rPr>
          <w:spacing w:val="-1"/>
          <w:sz w:val="24"/>
        </w:rPr>
        <w:t> </w:t>
      </w:r>
      <w:r>
        <w:rPr>
          <w:sz w:val="24"/>
        </w:rPr>
        <w:t>literary </w:t>
      </w:r>
      <w:r>
        <w:rPr>
          <w:spacing w:val="-2"/>
          <w:sz w:val="24"/>
        </w:rPr>
        <w:t>presentation.</w:t>
      </w: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201"/>
        <w:rPr>
          <w:sz w:val="20"/>
        </w:rPr>
      </w:pPr>
      <w:r>
        <w:rPr/>
        <mc:AlternateContent>
          <mc:Choice Requires="wps">
            <w:drawing>
              <wp:anchor distT="0" distB="0" distL="0" distR="0" allowOverlap="1" layoutInCell="1" locked="0" behindDoc="1" simplePos="0" relativeHeight="487588864">
                <wp:simplePos x="0" y="0"/>
                <wp:positionH relativeFrom="page">
                  <wp:posOffset>914704</wp:posOffset>
                </wp:positionH>
                <wp:positionV relativeFrom="paragraph">
                  <wp:posOffset>289499</wp:posOffset>
                </wp:positionV>
                <wp:extent cx="1981200" cy="1270"/>
                <wp:effectExtent l="0" t="0" r="0" b="0"/>
                <wp:wrapTopAndBottom/>
                <wp:docPr id="4" name="Graphic 4"/>
                <wp:cNvGraphicFramePr>
                  <a:graphicFrameLocks/>
                </wp:cNvGraphicFramePr>
                <a:graphic>
                  <a:graphicData uri="http://schemas.microsoft.com/office/word/2010/wordprocessingShape">
                    <wps:wsp>
                      <wps:cNvPr id="4" name="Graphic 4"/>
                      <wps:cNvSpPr/>
                      <wps:spPr>
                        <a:xfrm>
                          <a:off x="0" y="0"/>
                          <a:ext cx="1981200" cy="1270"/>
                        </a:xfrm>
                        <a:custGeom>
                          <a:avLst/>
                          <a:gdLst/>
                          <a:ahLst/>
                          <a:cxnLst/>
                          <a:rect l="l" t="t" r="r" b="b"/>
                          <a:pathLst>
                            <a:path w="1981200" h="0">
                              <a:moveTo>
                                <a:pt x="0" y="0"/>
                              </a:moveTo>
                              <a:lnTo>
                                <a:pt x="1981200" y="0"/>
                              </a:lnTo>
                            </a:path>
                          </a:pathLst>
                        </a:custGeom>
                        <a:ln w="6186">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72.024002pt;margin-top:22.795216pt;width:156pt;height:.1pt;mso-position-horizontal-relative:page;mso-position-vertical-relative:paragraph;z-index:-15727616;mso-wrap-distance-left:0;mso-wrap-distance-right:0" id="docshape4" coordorigin="1440,456" coordsize="3120,0" path="m1440,456l4560,456e" filled="false" stroked="true" strokeweight=".487125pt" strokecolor="#000000">
                <v:path arrowok="t"/>
                <v:stroke dashstyle="solid"/>
                <w10:wrap type="topAndBottom"/>
              </v:shape>
            </w:pict>
          </mc:Fallback>
        </mc:AlternateContent>
      </w:r>
      <w:r>
        <w:rPr/>
        <mc:AlternateContent>
          <mc:Choice Requires="wps">
            <w:drawing>
              <wp:anchor distT="0" distB="0" distL="0" distR="0" allowOverlap="1" layoutInCell="1" locked="0" behindDoc="1" simplePos="0" relativeHeight="487589376">
                <wp:simplePos x="0" y="0"/>
                <wp:positionH relativeFrom="page">
                  <wp:posOffset>5030089</wp:posOffset>
                </wp:positionH>
                <wp:positionV relativeFrom="paragraph">
                  <wp:posOffset>289499</wp:posOffset>
                </wp:positionV>
                <wp:extent cx="1447800" cy="1270"/>
                <wp:effectExtent l="0" t="0" r="0" b="0"/>
                <wp:wrapTopAndBottom/>
                <wp:docPr id="5" name="Graphic 5"/>
                <wp:cNvGraphicFramePr>
                  <a:graphicFrameLocks/>
                </wp:cNvGraphicFramePr>
                <a:graphic>
                  <a:graphicData uri="http://schemas.microsoft.com/office/word/2010/wordprocessingShape">
                    <wps:wsp>
                      <wps:cNvPr id="5" name="Graphic 5"/>
                      <wps:cNvSpPr/>
                      <wps:spPr>
                        <a:xfrm>
                          <a:off x="0" y="0"/>
                          <a:ext cx="1447800" cy="1270"/>
                        </a:xfrm>
                        <a:custGeom>
                          <a:avLst/>
                          <a:gdLst/>
                          <a:ahLst/>
                          <a:cxnLst/>
                          <a:rect l="l" t="t" r="r" b="b"/>
                          <a:pathLst>
                            <a:path w="1447800" h="0">
                              <a:moveTo>
                                <a:pt x="0" y="0"/>
                              </a:moveTo>
                              <a:lnTo>
                                <a:pt x="1447800" y="0"/>
                              </a:lnTo>
                            </a:path>
                          </a:pathLst>
                        </a:custGeom>
                        <a:ln w="6186">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396.070007pt;margin-top:22.795216pt;width:114pt;height:.1pt;mso-position-horizontal-relative:page;mso-position-vertical-relative:paragraph;z-index:-15727104;mso-wrap-distance-left:0;mso-wrap-distance-right:0" id="docshape5" coordorigin="7921,456" coordsize="2280,0" path="m7921,456l10201,456e" filled="false" stroked="true" strokeweight=".487125pt" strokecolor="#000000">
                <v:path arrowok="t"/>
                <v:stroke dashstyle="solid"/>
                <w10:wrap type="topAndBottom"/>
              </v:shape>
            </w:pict>
          </mc:Fallback>
        </mc:AlternateContent>
      </w:r>
    </w:p>
    <w:p>
      <w:pPr>
        <w:tabs>
          <w:tab w:pos="6841" w:val="left" w:leader="none"/>
        </w:tabs>
        <w:spacing w:before="5"/>
        <w:ind w:left="360" w:right="0" w:firstLine="0"/>
        <w:jc w:val="left"/>
        <w:rPr>
          <w:b/>
          <w:sz w:val="24"/>
        </w:rPr>
      </w:pPr>
      <w:r>
        <w:rPr>
          <w:b/>
          <w:sz w:val="24"/>
        </w:rPr>
        <w:t>DR.</w:t>
      </w:r>
      <w:r>
        <w:rPr>
          <w:b/>
          <w:spacing w:val="-1"/>
          <w:sz w:val="24"/>
        </w:rPr>
        <w:t> </w:t>
      </w:r>
      <w:r>
        <w:rPr>
          <w:b/>
          <w:sz w:val="24"/>
        </w:rPr>
        <w:t>A.</w:t>
      </w:r>
      <w:r>
        <w:rPr>
          <w:b/>
          <w:spacing w:val="-2"/>
          <w:sz w:val="24"/>
        </w:rPr>
        <w:t> </w:t>
      </w:r>
      <w:r>
        <w:rPr>
          <w:b/>
          <w:sz w:val="24"/>
        </w:rPr>
        <w:t>A. </w:t>
      </w:r>
      <w:r>
        <w:rPr>
          <w:b/>
          <w:spacing w:val="-2"/>
          <w:sz w:val="24"/>
        </w:rPr>
        <w:t>AKUME</w:t>
      </w:r>
      <w:r>
        <w:rPr>
          <w:b/>
          <w:sz w:val="24"/>
        </w:rPr>
        <w:tab/>
      </w:r>
      <w:r>
        <w:rPr>
          <w:b/>
          <w:spacing w:val="-4"/>
          <w:sz w:val="24"/>
        </w:rPr>
        <w:t>Date</w:t>
      </w:r>
    </w:p>
    <w:p>
      <w:pPr>
        <w:spacing w:before="0"/>
        <w:ind w:left="360" w:right="0" w:firstLine="0"/>
        <w:jc w:val="left"/>
        <w:rPr>
          <w:b/>
          <w:sz w:val="24"/>
        </w:rPr>
      </w:pPr>
      <w:r>
        <w:rPr>
          <w:b/>
          <w:sz w:val="24"/>
        </w:rPr>
        <w:t>Chairman,</w:t>
      </w:r>
      <w:r>
        <w:rPr>
          <w:b/>
          <w:spacing w:val="-4"/>
          <w:sz w:val="24"/>
        </w:rPr>
        <w:t> </w:t>
      </w:r>
      <w:r>
        <w:rPr>
          <w:b/>
          <w:sz w:val="24"/>
        </w:rPr>
        <w:t>Supervisory</w:t>
      </w:r>
      <w:r>
        <w:rPr>
          <w:b/>
          <w:spacing w:val="-2"/>
          <w:sz w:val="24"/>
        </w:rPr>
        <w:t> Committee</w:t>
      </w: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spacing w:before="12"/>
        <w:rPr>
          <w:b/>
          <w:sz w:val="20"/>
        </w:rPr>
      </w:pPr>
      <w:r>
        <w:rPr/>
        <mc:AlternateContent>
          <mc:Choice Requires="wps">
            <w:drawing>
              <wp:anchor distT="0" distB="0" distL="0" distR="0" allowOverlap="1" layoutInCell="1" locked="0" behindDoc="1" simplePos="0" relativeHeight="487589888">
                <wp:simplePos x="0" y="0"/>
                <wp:positionH relativeFrom="page">
                  <wp:posOffset>914704</wp:posOffset>
                </wp:positionH>
                <wp:positionV relativeFrom="paragraph">
                  <wp:posOffset>169350</wp:posOffset>
                </wp:positionV>
                <wp:extent cx="1981200" cy="1270"/>
                <wp:effectExtent l="0" t="0" r="0" b="0"/>
                <wp:wrapTopAndBottom/>
                <wp:docPr id="6" name="Graphic 6"/>
                <wp:cNvGraphicFramePr>
                  <a:graphicFrameLocks/>
                </wp:cNvGraphicFramePr>
                <a:graphic>
                  <a:graphicData uri="http://schemas.microsoft.com/office/word/2010/wordprocessingShape">
                    <wps:wsp>
                      <wps:cNvPr id="6" name="Graphic 6"/>
                      <wps:cNvSpPr/>
                      <wps:spPr>
                        <a:xfrm>
                          <a:off x="0" y="0"/>
                          <a:ext cx="1981200" cy="1270"/>
                        </a:xfrm>
                        <a:custGeom>
                          <a:avLst/>
                          <a:gdLst/>
                          <a:ahLst/>
                          <a:cxnLst/>
                          <a:rect l="l" t="t" r="r" b="b"/>
                          <a:pathLst>
                            <a:path w="1981200" h="0">
                              <a:moveTo>
                                <a:pt x="0" y="0"/>
                              </a:moveTo>
                              <a:lnTo>
                                <a:pt x="1981200" y="0"/>
                              </a:lnTo>
                            </a:path>
                          </a:pathLst>
                        </a:custGeom>
                        <a:ln w="6186">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72.024002pt;margin-top:13.334654pt;width:156pt;height:.1pt;mso-position-horizontal-relative:page;mso-position-vertical-relative:paragraph;z-index:-15726592;mso-wrap-distance-left:0;mso-wrap-distance-right:0" id="docshape6" coordorigin="1440,267" coordsize="3120,0" path="m1440,267l4560,267e" filled="false" stroked="true" strokeweight=".487125pt" strokecolor="#000000">
                <v:path arrowok="t"/>
                <v:stroke dashstyle="solid"/>
                <w10:wrap type="topAndBottom"/>
              </v:shape>
            </w:pict>
          </mc:Fallback>
        </mc:AlternateContent>
      </w:r>
      <w:r>
        <w:rPr/>
        <mc:AlternateContent>
          <mc:Choice Requires="wps">
            <w:drawing>
              <wp:anchor distT="0" distB="0" distL="0" distR="0" allowOverlap="1" layoutInCell="1" locked="0" behindDoc="1" simplePos="0" relativeHeight="487590400">
                <wp:simplePos x="0" y="0"/>
                <wp:positionH relativeFrom="page">
                  <wp:posOffset>5030089</wp:posOffset>
                </wp:positionH>
                <wp:positionV relativeFrom="paragraph">
                  <wp:posOffset>169350</wp:posOffset>
                </wp:positionV>
                <wp:extent cx="1447800" cy="1270"/>
                <wp:effectExtent l="0" t="0" r="0" b="0"/>
                <wp:wrapTopAndBottom/>
                <wp:docPr id="7" name="Graphic 7"/>
                <wp:cNvGraphicFramePr>
                  <a:graphicFrameLocks/>
                </wp:cNvGraphicFramePr>
                <a:graphic>
                  <a:graphicData uri="http://schemas.microsoft.com/office/word/2010/wordprocessingShape">
                    <wps:wsp>
                      <wps:cNvPr id="7" name="Graphic 7"/>
                      <wps:cNvSpPr/>
                      <wps:spPr>
                        <a:xfrm>
                          <a:off x="0" y="0"/>
                          <a:ext cx="1447800" cy="1270"/>
                        </a:xfrm>
                        <a:custGeom>
                          <a:avLst/>
                          <a:gdLst/>
                          <a:ahLst/>
                          <a:cxnLst/>
                          <a:rect l="l" t="t" r="r" b="b"/>
                          <a:pathLst>
                            <a:path w="1447800" h="0">
                              <a:moveTo>
                                <a:pt x="0" y="0"/>
                              </a:moveTo>
                              <a:lnTo>
                                <a:pt x="1447800" y="0"/>
                              </a:lnTo>
                            </a:path>
                          </a:pathLst>
                        </a:custGeom>
                        <a:ln w="6186">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396.070007pt;margin-top:13.334654pt;width:114pt;height:.1pt;mso-position-horizontal-relative:page;mso-position-vertical-relative:paragraph;z-index:-15726080;mso-wrap-distance-left:0;mso-wrap-distance-right:0" id="docshape7" coordorigin="7921,267" coordsize="2280,0" path="m7921,267l10201,267e" filled="false" stroked="true" strokeweight=".487125pt" strokecolor="#000000">
                <v:path arrowok="t"/>
                <v:stroke dashstyle="solid"/>
                <w10:wrap type="topAndBottom"/>
              </v:shape>
            </w:pict>
          </mc:Fallback>
        </mc:AlternateContent>
      </w:r>
    </w:p>
    <w:p>
      <w:pPr>
        <w:tabs>
          <w:tab w:pos="6841" w:val="left" w:leader="none"/>
        </w:tabs>
        <w:spacing w:before="5"/>
        <w:ind w:left="360" w:right="0" w:firstLine="0"/>
        <w:jc w:val="left"/>
        <w:rPr>
          <w:b/>
          <w:sz w:val="24"/>
        </w:rPr>
      </w:pPr>
      <w:r>
        <w:rPr>
          <w:b/>
          <w:sz w:val="24"/>
        </w:rPr>
        <w:t>DR.</w:t>
      </w:r>
      <w:r>
        <w:rPr>
          <w:b/>
          <w:spacing w:val="-3"/>
          <w:sz w:val="24"/>
        </w:rPr>
        <w:t> </w:t>
      </w:r>
      <w:r>
        <w:rPr>
          <w:b/>
          <w:sz w:val="24"/>
        </w:rPr>
        <w:t>I.</w:t>
      </w:r>
      <w:r>
        <w:rPr>
          <w:b/>
          <w:spacing w:val="-1"/>
          <w:sz w:val="24"/>
        </w:rPr>
        <w:t> </w:t>
      </w:r>
      <w:r>
        <w:rPr>
          <w:b/>
          <w:sz w:val="24"/>
        </w:rPr>
        <w:t>F.</w:t>
      </w:r>
      <w:r>
        <w:rPr>
          <w:b/>
          <w:spacing w:val="1"/>
          <w:sz w:val="24"/>
        </w:rPr>
        <w:t> </w:t>
      </w:r>
      <w:r>
        <w:rPr>
          <w:b/>
          <w:spacing w:val="-2"/>
          <w:sz w:val="24"/>
        </w:rPr>
        <w:t>AKANDE</w:t>
      </w:r>
      <w:r>
        <w:rPr>
          <w:b/>
          <w:sz w:val="24"/>
        </w:rPr>
        <w:tab/>
      </w:r>
      <w:r>
        <w:rPr>
          <w:b/>
          <w:spacing w:val="-4"/>
          <w:sz w:val="24"/>
        </w:rPr>
        <w:t>Date</w:t>
      </w:r>
    </w:p>
    <w:p>
      <w:pPr>
        <w:spacing w:before="0"/>
        <w:ind w:left="360" w:right="0" w:firstLine="0"/>
        <w:jc w:val="left"/>
        <w:rPr>
          <w:b/>
          <w:sz w:val="24"/>
        </w:rPr>
      </w:pPr>
      <w:r>
        <w:rPr>
          <w:b/>
          <w:sz w:val="24"/>
        </w:rPr>
        <w:t>Member,</w:t>
      </w:r>
      <w:r>
        <w:rPr>
          <w:b/>
          <w:spacing w:val="-4"/>
          <w:sz w:val="24"/>
        </w:rPr>
        <w:t> </w:t>
      </w:r>
      <w:r>
        <w:rPr>
          <w:b/>
          <w:sz w:val="24"/>
        </w:rPr>
        <w:t>Supervisory</w:t>
      </w:r>
      <w:r>
        <w:rPr>
          <w:b/>
          <w:spacing w:val="-3"/>
          <w:sz w:val="24"/>
        </w:rPr>
        <w:t> </w:t>
      </w:r>
      <w:r>
        <w:rPr>
          <w:b/>
          <w:spacing w:val="-2"/>
          <w:sz w:val="24"/>
        </w:rPr>
        <w:t>Committee</w:t>
      </w: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spacing w:before="12"/>
        <w:rPr>
          <w:b/>
          <w:sz w:val="20"/>
        </w:rPr>
      </w:pPr>
      <w:r>
        <w:rPr/>
        <mc:AlternateContent>
          <mc:Choice Requires="wps">
            <w:drawing>
              <wp:anchor distT="0" distB="0" distL="0" distR="0" allowOverlap="1" layoutInCell="1" locked="0" behindDoc="1" simplePos="0" relativeHeight="487590912">
                <wp:simplePos x="0" y="0"/>
                <wp:positionH relativeFrom="page">
                  <wp:posOffset>914704</wp:posOffset>
                </wp:positionH>
                <wp:positionV relativeFrom="paragraph">
                  <wp:posOffset>169095</wp:posOffset>
                </wp:positionV>
                <wp:extent cx="1981200" cy="1270"/>
                <wp:effectExtent l="0" t="0" r="0" b="0"/>
                <wp:wrapTopAndBottom/>
                <wp:docPr id="8" name="Graphic 8"/>
                <wp:cNvGraphicFramePr>
                  <a:graphicFrameLocks/>
                </wp:cNvGraphicFramePr>
                <a:graphic>
                  <a:graphicData uri="http://schemas.microsoft.com/office/word/2010/wordprocessingShape">
                    <wps:wsp>
                      <wps:cNvPr id="8" name="Graphic 8"/>
                      <wps:cNvSpPr/>
                      <wps:spPr>
                        <a:xfrm>
                          <a:off x="0" y="0"/>
                          <a:ext cx="1981200" cy="1270"/>
                        </a:xfrm>
                        <a:custGeom>
                          <a:avLst/>
                          <a:gdLst/>
                          <a:ahLst/>
                          <a:cxnLst/>
                          <a:rect l="l" t="t" r="r" b="b"/>
                          <a:pathLst>
                            <a:path w="1981200" h="0">
                              <a:moveTo>
                                <a:pt x="0" y="0"/>
                              </a:moveTo>
                              <a:lnTo>
                                <a:pt x="1981200" y="0"/>
                              </a:lnTo>
                            </a:path>
                          </a:pathLst>
                        </a:custGeom>
                        <a:ln w="6186">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72.024002pt;margin-top:13.314634pt;width:156pt;height:.1pt;mso-position-horizontal-relative:page;mso-position-vertical-relative:paragraph;z-index:-15725568;mso-wrap-distance-left:0;mso-wrap-distance-right:0" id="docshape8" coordorigin="1440,266" coordsize="3120,0" path="m1440,266l4560,266e" filled="false" stroked="true" strokeweight=".487125pt" strokecolor="#000000">
                <v:path arrowok="t"/>
                <v:stroke dashstyle="solid"/>
                <w10:wrap type="topAndBottom"/>
              </v:shape>
            </w:pict>
          </mc:Fallback>
        </mc:AlternateContent>
      </w:r>
      <w:r>
        <w:rPr/>
        <mc:AlternateContent>
          <mc:Choice Requires="wps">
            <w:drawing>
              <wp:anchor distT="0" distB="0" distL="0" distR="0" allowOverlap="1" layoutInCell="1" locked="0" behindDoc="1" simplePos="0" relativeHeight="487591424">
                <wp:simplePos x="0" y="0"/>
                <wp:positionH relativeFrom="page">
                  <wp:posOffset>5030089</wp:posOffset>
                </wp:positionH>
                <wp:positionV relativeFrom="paragraph">
                  <wp:posOffset>169095</wp:posOffset>
                </wp:positionV>
                <wp:extent cx="1447800" cy="1270"/>
                <wp:effectExtent l="0" t="0" r="0" b="0"/>
                <wp:wrapTopAndBottom/>
                <wp:docPr id="9" name="Graphic 9"/>
                <wp:cNvGraphicFramePr>
                  <a:graphicFrameLocks/>
                </wp:cNvGraphicFramePr>
                <a:graphic>
                  <a:graphicData uri="http://schemas.microsoft.com/office/word/2010/wordprocessingShape">
                    <wps:wsp>
                      <wps:cNvPr id="9" name="Graphic 9"/>
                      <wps:cNvSpPr/>
                      <wps:spPr>
                        <a:xfrm>
                          <a:off x="0" y="0"/>
                          <a:ext cx="1447800" cy="1270"/>
                        </a:xfrm>
                        <a:custGeom>
                          <a:avLst/>
                          <a:gdLst/>
                          <a:ahLst/>
                          <a:cxnLst/>
                          <a:rect l="l" t="t" r="r" b="b"/>
                          <a:pathLst>
                            <a:path w="1447800" h="0">
                              <a:moveTo>
                                <a:pt x="0" y="0"/>
                              </a:moveTo>
                              <a:lnTo>
                                <a:pt x="1447800" y="0"/>
                              </a:lnTo>
                            </a:path>
                          </a:pathLst>
                        </a:custGeom>
                        <a:ln w="6186">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396.070007pt;margin-top:13.314634pt;width:114pt;height:.1pt;mso-position-horizontal-relative:page;mso-position-vertical-relative:paragraph;z-index:-15725056;mso-wrap-distance-left:0;mso-wrap-distance-right:0" id="docshape9" coordorigin="7921,266" coordsize="2280,0" path="m7921,266l10201,266e" filled="false" stroked="true" strokeweight=".487125pt" strokecolor="#000000">
                <v:path arrowok="t"/>
                <v:stroke dashstyle="solid"/>
                <w10:wrap type="topAndBottom"/>
              </v:shape>
            </w:pict>
          </mc:Fallback>
        </mc:AlternateContent>
      </w:r>
    </w:p>
    <w:p>
      <w:pPr>
        <w:tabs>
          <w:tab w:pos="6841" w:val="left" w:leader="none"/>
        </w:tabs>
        <w:spacing w:before="5"/>
        <w:ind w:left="360" w:right="0" w:firstLine="0"/>
        <w:jc w:val="left"/>
        <w:rPr>
          <w:b/>
          <w:sz w:val="24"/>
        </w:rPr>
      </w:pPr>
      <w:r>
        <w:rPr>
          <w:b/>
          <w:sz w:val="24"/>
        </w:rPr>
        <w:t>DR.A.</w:t>
      </w:r>
      <w:r>
        <w:rPr>
          <w:b/>
          <w:spacing w:val="-4"/>
          <w:sz w:val="24"/>
        </w:rPr>
        <w:t> </w:t>
      </w:r>
      <w:r>
        <w:rPr>
          <w:b/>
          <w:sz w:val="24"/>
        </w:rPr>
        <w:t>R.</w:t>
      </w:r>
      <w:r>
        <w:rPr>
          <w:b/>
          <w:spacing w:val="-2"/>
          <w:sz w:val="24"/>
        </w:rPr>
        <w:t> </w:t>
      </w:r>
      <w:r>
        <w:rPr>
          <w:b/>
          <w:spacing w:val="-4"/>
          <w:sz w:val="24"/>
        </w:rPr>
        <w:t>AGOM</w:t>
      </w:r>
      <w:r>
        <w:rPr>
          <w:b/>
          <w:sz w:val="24"/>
        </w:rPr>
        <w:tab/>
      </w:r>
      <w:r>
        <w:rPr>
          <w:b/>
          <w:spacing w:val="-4"/>
          <w:sz w:val="24"/>
        </w:rPr>
        <w:t>Date</w:t>
      </w:r>
    </w:p>
    <w:p>
      <w:pPr>
        <w:spacing w:before="0"/>
        <w:ind w:left="360" w:right="0" w:firstLine="0"/>
        <w:jc w:val="left"/>
        <w:rPr>
          <w:b/>
          <w:sz w:val="24"/>
        </w:rPr>
      </w:pPr>
      <w:r>
        <w:rPr>
          <w:b/>
          <w:sz w:val="24"/>
        </w:rPr>
        <w:t>Head,</w:t>
      </w:r>
      <w:r>
        <w:rPr>
          <w:b/>
          <w:spacing w:val="-4"/>
          <w:sz w:val="24"/>
        </w:rPr>
        <w:t> </w:t>
      </w:r>
      <w:r>
        <w:rPr>
          <w:b/>
          <w:sz w:val="24"/>
        </w:rPr>
        <w:t>Department</w:t>
      </w:r>
      <w:r>
        <w:rPr>
          <w:b/>
          <w:spacing w:val="-2"/>
          <w:sz w:val="24"/>
        </w:rPr>
        <w:t> </w:t>
      </w:r>
      <w:r>
        <w:rPr>
          <w:b/>
          <w:sz w:val="24"/>
        </w:rPr>
        <w:t>of</w:t>
      </w:r>
      <w:r>
        <w:rPr>
          <w:b/>
          <w:spacing w:val="-2"/>
          <w:sz w:val="24"/>
        </w:rPr>
        <w:t> </w:t>
      </w:r>
      <w:r>
        <w:rPr>
          <w:b/>
          <w:sz w:val="24"/>
        </w:rPr>
        <w:t>Commercial</w:t>
      </w:r>
      <w:r>
        <w:rPr>
          <w:b/>
          <w:spacing w:val="-2"/>
          <w:sz w:val="24"/>
        </w:rPr>
        <w:t> </w:t>
      </w:r>
      <w:r>
        <w:rPr>
          <w:b/>
          <w:spacing w:val="-5"/>
          <w:sz w:val="24"/>
        </w:rPr>
        <w:t>Law</w:t>
      </w: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spacing w:before="12"/>
        <w:rPr>
          <w:b/>
          <w:sz w:val="20"/>
        </w:rPr>
      </w:pPr>
      <w:r>
        <w:rPr/>
        <mc:AlternateContent>
          <mc:Choice Requires="wps">
            <w:drawing>
              <wp:anchor distT="0" distB="0" distL="0" distR="0" allowOverlap="1" layoutInCell="1" locked="0" behindDoc="1" simplePos="0" relativeHeight="487591936">
                <wp:simplePos x="0" y="0"/>
                <wp:positionH relativeFrom="page">
                  <wp:posOffset>914704</wp:posOffset>
                </wp:positionH>
                <wp:positionV relativeFrom="paragraph">
                  <wp:posOffset>169477</wp:posOffset>
                </wp:positionV>
                <wp:extent cx="1981200" cy="1270"/>
                <wp:effectExtent l="0" t="0" r="0" b="0"/>
                <wp:wrapTopAndBottom/>
                <wp:docPr id="10" name="Graphic 10"/>
                <wp:cNvGraphicFramePr>
                  <a:graphicFrameLocks/>
                </wp:cNvGraphicFramePr>
                <a:graphic>
                  <a:graphicData uri="http://schemas.microsoft.com/office/word/2010/wordprocessingShape">
                    <wps:wsp>
                      <wps:cNvPr id="10" name="Graphic 10"/>
                      <wps:cNvSpPr/>
                      <wps:spPr>
                        <a:xfrm>
                          <a:off x="0" y="0"/>
                          <a:ext cx="1981200" cy="1270"/>
                        </a:xfrm>
                        <a:custGeom>
                          <a:avLst/>
                          <a:gdLst/>
                          <a:ahLst/>
                          <a:cxnLst/>
                          <a:rect l="l" t="t" r="r" b="b"/>
                          <a:pathLst>
                            <a:path w="1981200" h="0">
                              <a:moveTo>
                                <a:pt x="0" y="0"/>
                              </a:moveTo>
                              <a:lnTo>
                                <a:pt x="1981200" y="0"/>
                              </a:lnTo>
                            </a:path>
                          </a:pathLst>
                        </a:custGeom>
                        <a:ln w="6186">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72.024002pt;margin-top:13.344648pt;width:156pt;height:.1pt;mso-position-horizontal-relative:page;mso-position-vertical-relative:paragraph;z-index:-15724544;mso-wrap-distance-left:0;mso-wrap-distance-right:0" id="docshape10" coordorigin="1440,267" coordsize="3120,0" path="m1440,267l4560,267e" filled="false" stroked="true" strokeweight=".487125pt" strokecolor="#000000">
                <v:path arrowok="t"/>
                <v:stroke dashstyle="solid"/>
                <w10:wrap type="topAndBottom"/>
              </v:shape>
            </w:pict>
          </mc:Fallback>
        </mc:AlternateContent>
      </w:r>
      <w:r>
        <w:rPr/>
        <mc:AlternateContent>
          <mc:Choice Requires="wps">
            <w:drawing>
              <wp:anchor distT="0" distB="0" distL="0" distR="0" allowOverlap="1" layoutInCell="1" locked="0" behindDoc="1" simplePos="0" relativeHeight="487592448">
                <wp:simplePos x="0" y="0"/>
                <wp:positionH relativeFrom="page">
                  <wp:posOffset>5030089</wp:posOffset>
                </wp:positionH>
                <wp:positionV relativeFrom="paragraph">
                  <wp:posOffset>169477</wp:posOffset>
                </wp:positionV>
                <wp:extent cx="1447800" cy="1270"/>
                <wp:effectExtent l="0" t="0" r="0" b="0"/>
                <wp:wrapTopAndBottom/>
                <wp:docPr id="11" name="Graphic 11"/>
                <wp:cNvGraphicFramePr>
                  <a:graphicFrameLocks/>
                </wp:cNvGraphicFramePr>
                <a:graphic>
                  <a:graphicData uri="http://schemas.microsoft.com/office/word/2010/wordprocessingShape">
                    <wps:wsp>
                      <wps:cNvPr id="11" name="Graphic 11"/>
                      <wps:cNvSpPr/>
                      <wps:spPr>
                        <a:xfrm>
                          <a:off x="0" y="0"/>
                          <a:ext cx="1447800" cy="1270"/>
                        </a:xfrm>
                        <a:custGeom>
                          <a:avLst/>
                          <a:gdLst/>
                          <a:ahLst/>
                          <a:cxnLst/>
                          <a:rect l="l" t="t" r="r" b="b"/>
                          <a:pathLst>
                            <a:path w="1447800" h="0">
                              <a:moveTo>
                                <a:pt x="0" y="0"/>
                              </a:moveTo>
                              <a:lnTo>
                                <a:pt x="1447800" y="0"/>
                              </a:lnTo>
                            </a:path>
                          </a:pathLst>
                        </a:custGeom>
                        <a:ln w="6186">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396.070007pt;margin-top:13.344648pt;width:114pt;height:.1pt;mso-position-horizontal-relative:page;mso-position-vertical-relative:paragraph;z-index:-15724032;mso-wrap-distance-left:0;mso-wrap-distance-right:0" id="docshape11" coordorigin="7921,267" coordsize="2280,0" path="m7921,267l10201,267e" filled="false" stroked="true" strokeweight=".487125pt" strokecolor="#000000">
                <v:path arrowok="t"/>
                <v:stroke dashstyle="solid"/>
                <w10:wrap type="topAndBottom"/>
              </v:shape>
            </w:pict>
          </mc:Fallback>
        </mc:AlternateContent>
      </w:r>
    </w:p>
    <w:p>
      <w:pPr>
        <w:tabs>
          <w:tab w:pos="6841" w:val="left" w:leader="none"/>
        </w:tabs>
        <w:spacing w:before="5"/>
        <w:ind w:left="360" w:right="0" w:firstLine="0"/>
        <w:jc w:val="left"/>
        <w:rPr>
          <w:b/>
          <w:sz w:val="24"/>
        </w:rPr>
      </w:pPr>
      <w:r>
        <w:rPr>
          <w:b/>
          <w:sz w:val="24"/>
        </w:rPr>
        <w:t>PROF.</w:t>
      </w:r>
      <w:r>
        <w:rPr>
          <w:b/>
          <w:spacing w:val="-2"/>
          <w:sz w:val="24"/>
        </w:rPr>
        <w:t> </w:t>
      </w:r>
      <w:r>
        <w:rPr>
          <w:b/>
          <w:sz w:val="24"/>
        </w:rPr>
        <w:t>K.</w:t>
      </w:r>
      <w:r>
        <w:rPr>
          <w:b/>
          <w:spacing w:val="-2"/>
          <w:sz w:val="24"/>
        </w:rPr>
        <w:t> </w:t>
      </w:r>
      <w:r>
        <w:rPr>
          <w:b/>
          <w:spacing w:val="-4"/>
          <w:sz w:val="24"/>
        </w:rPr>
        <w:t>BALA</w:t>
      </w:r>
      <w:r>
        <w:rPr>
          <w:b/>
          <w:sz w:val="24"/>
        </w:rPr>
        <w:tab/>
      </w:r>
      <w:r>
        <w:rPr>
          <w:b/>
          <w:spacing w:val="-4"/>
          <w:sz w:val="24"/>
        </w:rPr>
        <w:t>Date</w:t>
      </w:r>
    </w:p>
    <w:p>
      <w:pPr>
        <w:spacing w:before="0"/>
        <w:ind w:left="360" w:right="0" w:firstLine="0"/>
        <w:jc w:val="left"/>
        <w:rPr>
          <w:b/>
          <w:sz w:val="24"/>
        </w:rPr>
      </w:pPr>
      <w:r>
        <w:rPr>
          <w:b/>
          <w:sz w:val="24"/>
        </w:rPr>
        <w:t>Dean,</w:t>
      </w:r>
      <w:r>
        <w:rPr>
          <w:b/>
          <w:spacing w:val="-2"/>
          <w:sz w:val="24"/>
        </w:rPr>
        <w:t> </w:t>
      </w:r>
      <w:r>
        <w:rPr>
          <w:b/>
          <w:sz w:val="24"/>
        </w:rPr>
        <w:t>School</w:t>
      </w:r>
      <w:r>
        <w:rPr>
          <w:b/>
          <w:spacing w:val="-2"/>
          <w:sz w:val="24"/>
        </w:rPr>
        <w:t> </w:t>
      </w:r>
      <w:r>
        <w:rPr>
          <w:b/>
          <w:sz w:val="24"/>
        </w:rPr>
        <w:t>of</w:t>
      </w:r>
      <w:r>
        <w:rPr>
          <w:b/>
          <w:spacing w:val="-1"/>
          <w:sz w:val="24"/>
        </w:rPr>
        <w:t> </w:t>
      </w:r>
      <w:r>
        <w:rPr>
          <w:b/>
          <w:sz w:val="24"/>
        </w:rPr>
        <w:t>Postgraduate</w:t>
      </w:r>
      <w:r>
        <w:rPr>
          <w:b/>
          <w:spacing w:val="-2"/>
          <w:sz w:val="24"/>
        </w:rPr>
        <w:t> Studies</w:t>
      </w:r>
    </w:p>
    <w:p>
      <w:pPr>
        <w:spacing w:after="0"/>
        <w:jc w:val="left"/>
        <w:rPr>
          <w:sz w:val="24"/>
        </w:rPr>
        <w:sectPr>
          <w:pgSz w:w="11910" w:h="16840"/>
          <w:pgMar w:header="0" w:footer="1000" w:top="1340" w:bottom="1200" w:left="1080" w:right="1280"/>
        </w:sectPr>
      </w:pPr>
    </w:p>
    <w:p>
      <w:pPr>
        <w:pStyle w:val="Heading1"/>
        <w:spacing w:before="78"/>
        <w:ind w:right="239"/>
      </w:pPr>
      <w:bookmarkStart w:name="_TOC_250022" w:id="3"/>
      <w:bookmarkEnd w:id="3"/>
      <w:r>
        <w:rPr>
          <w:spacing w:val="-2"/>
        </w:rPr>
        <w:t>DEDICATION</w:t>
      </w:r>
    </w:p>
    <w:p>
      <w:pPr>
        <w:pStyle w:val="BodyText"/>
        <w:spacing w:line="480" w:lineRule="auto" w:before="272"/>
        <w:ind w:left="360" w:right="160" w:firstLine="719"/>
        <w:jc w:val="both"/>
      </w:pPr>
      <w:r>
        <w:rPr/>
        <w:t>This thesis is dedicated to Almighty Allah and my Parents (Alhaji Yunus Ustaz Usman, SAN and Hajiya Amina Ustaz Usman).</w:t>
      </w:r>
    </w:p>
    <w:p>
      <w:pPr>
        <w:pStyle w:val="BodyText"/>
        <w:spacing w:line="480" w:lineRule="auto"/>
        <w:ind w:left="360" w:right="157" w:firstLine="719"/>
        <w:jc w:val="both"/>
      </w:pPr>
      <w:r>
        <w:rPr/>
        <w:t>Also, my mentor Yusuf Olaolu Ali, SAN and my beloved siblings; Abdulmutallab Usman, Abdullahi Usman, Sa‟adiya Usman, Abduljalal Usman, Umar Usman and Ummi Suleiman for</w:t>
      </w:r>
      <w:r>
        <w:rPr>
          <w:spacing w:val="40"/>
        </w:rPr>
        <w:t> </w:t>
      </w:r>
      <w:r>
        <w:rPr/>
        <w:t>all the endless love and support.</w:t>
      </w:r>
    </w:p>
    <w:p>
      <w:pPr>
        <w:spacing w:after="0" w:line="480" w:lineRule="auto"/>
        <w:jc w:val="both"/>
        <w:sectPr>
          <w:pgSz w:w="11910" w:h="16840"/>
          <w:pgMar w:header="0" w:footer="1000" w:top="1340" w:bottom="1200" w:left="1080" w:right="1280"/>
        </w:sectPr>
      </w:pPr>
    </w:p>
    <w:p>
      <w:pPr>
        <w:pStyle w:val="Heading1"/>
        <w:spacing w:before="78"/>
        <w:ind w:right="241"/>
      </w:pPr>
      <w:r>
        <w:rPr>
          <w:spacing w:val="-2"/>
        </w:rPr>
        <w:t>ACKNOWLEDGEMENTS</w:t>
      </w:r>
    </w:p>
    <w:p>
      <w:pPr>
        <w:pStyle w:val="BodyText"/>
        <w:spacing w:line="480" w:lineRule="auto" w:before="272"/>
        <w:ind w:left="360" w:right="157" w:firstLine="719"/>
        <w:jc w:val="both"/>
      </w:pPr>
      <w:r>
        <w:rPr/>
        <w:t>My gratitude goes to my supervisors, Dr. A. A. Akume and Dr. I. F. Akande who made everything possible to this point. I greatly appreciate and thank them for being more than supervisors throughout the research period.</w:t>
      </w:r>
    </w:p>
    <w:p>
      <w:pPr>
        <w:pStyle w:val="BodyText"/>
        <w:spacing w:line="480" w:lineRule="auto"/>
        <w:ind w:left="360" w:right="167" w:firstLine="719"/>
        <w:jc w:val="both"/>
      </w:pPr>
      <w:r>
        <w:rPr/>
        <w:t>I especially appreciate and thank the entire lecturers of the Faculty of Law, Ahmadu Bello University, Zaria, Postgraduate students of 2011/2012 session.</w:t>
      </w:r>
    </w:p>
    <w:p>
      <w:pPr>
        <w:pStyle w:val="BodyText"/>
        <w:spacing w:line="480" w:lineRule="auto"/>
        <w:ind w:left="360" w:right="156" w:firstLine="719"/>
        <w:jc w:val="both"/>
      </w:pPr>
      <w:r>
        <w:rPr/>
        <w:t>I also appreciate the efforts of my mentor, Yusuf Olaolu Ali, SAN, my friends and relatives</w:t>
      </w:r>
      <w:r>
        <w:rPr>
          <w:spacing w:val="-1"/>
        </w:rPr>
        <w:t> </w:t>
      </w:r>
      <w:r>
        <w:rPr/>
        <w:t>who</w:t>
      </w:r>
      <w:r>
        <w:rPr>
          <w:spacing w:val="-1"/>
        </w:rPr>
        <w:t> </w:t>
      </w:r>
      <w:r>
        <w:rPr/>
        <w:t>influenced my</w:t>
      </w:r>
      <w:r>
        <w:rPr>
          <w:spacing w:val="-5"/>
        </w:rPr>
        <w:t> </w:t>
      </w:r>
      <w:r>
        <w:rPr/>
        <w:t>choice</w:t>
      </w:r>
      <w:r>
        <w:rPr>
          <w:spacing w:val="-1"/>
        </w:rPr>
        <w:t> </w:t>
      </w:r>
      <w:r>
        <w:rPr/>
        <w:t>of</w:t>
      </w:r>
      <w:r>
        <w:rPr>
          <w:spacing w:val="-1"/>
        </w:rPr>
        <w:t> </w:t>
      </w:r>
      <w:r>
        <w:rPr/>
        <w:t>discipline. I</w:t>
      </w:r>
      <w:r>
        <w:rPr>
          <w:spacing w:val="-1"/>
        </w:rPr>
        <w:t> </w:t>
      </w:r>
      <w:r>
        <w:rPr/>
        <w:t>remain ever grateful to whoever</w:t>
      </w:r>
      <w:r>
        <w:rPr>
          <w:spacing w:val="-1"/>
        </w:rPr>
        <w:t> </w:t>
      </w:r>
      <w:r>
        <w:rPr/>
        <w:t>made</w:t>
      </w:r>
      <w:r>
        <w:rPr>
          <w:spacing w:val="-1"/>
        </w:rPr>
        <w:t> </w:t>
      </w:r>
      <w:r>
        <w:rPr/>
        <w:t>any positive contribution in whatever kind towards my achievement of this purpose. You will never be a person you can be if pressure, tension and discipline are taken out of your life. He who lives without discipline dies without honour. Men are anxious to improve their circumstances and must be willing to improve themselves. Indeed, discipline is painful, but always remember that it is today‟s pain that kills tomorrow‟s pain.</w:t>
      </w:r>
    </w:p>
    <w:p>
      <w:pPr>
        <w:pStyle w:val="BodyText"/>
        <w:spacing w:line="480" w:lineRule="auto" w:before="1"/>
        <w:ind w:left="360" w:right="154" w:firstLine="719"/>
        <w:jc w:val="both"/>
      </w:pPr>
      <w:r>
        <w:rPr/>
        <w:t>I will never fail to credit my</w:t>
      </w:r>
      <w:r>
        <w:rPr>
          <w:spacing w:val="-4"/>
        </w:rPr>
        <w:t> </w:t>
      </w:r>
      <w:r>
        <w:rPr/>
        <w:t>appreciation the efforts of my</w:t>
      </w:r>
      <w:r>
        <w:rPr>
          <w:spacing w:val="-2"/>
        </w:rPr>
        <w:t> </w:t>
      </w:r>
      <w:r>
        <w:rPr/>
        <w:t>parentsAlhaji Yunus Ustaz Usman, SAN and Hajiya Amina Ustaz Usman, my siblings Abdulmutallab, Abdulahi, Sa‟adiya, Jalal, Umar, Sudais and friends, Ummi Suleiman, Ibrahim Yakubu, Salihu Isah, Abayomi Paul Ojo and Alhaji Maye (may his gentle soul rest in peace) and also to Almighty Allah the fountain of all purpose.</w:t>
      </w:r>
    </w:p>
    <w:p>
      <w:pPr>
        <w:spacing w:after="0" w:line="480" w:lineRule="auto"/>
        <w:jc w:val="both"/>
        <w:sectPr>
          <w:pgSz w:w="11910" w:h="16840"/>
          <w:pgMar w:header="0" w:footer="1000" w:top="1340" w:bottom="1200" w:left="1080" w:right="1280"/>
        </w:sectPr>
      </w:pPr>
    </w:p>
    <w:p>
      <w:pPr>
        <w:pStyle w:val="Heading1"/>
        <w:spacing w:before="78"/>
      </w:pPr>
      <w:r>
        <w:rPr/>
        <w:t>TABLE</w:t>
      </w:r>
      <w:r>
        <w:rPr>
          <w:spacing w:val="1"/>
        </w:rPr>
        <w:t> </w:t>
      </w:r>
      <w:r>
        <w:rPr/>
        <w:t>OF</w:t>
      </w:r>
      <w:r>
        <w:rPr>
          <w:spacing w:val="-3"/>
        </w:rPr>
        <w:t> </w:t>
      </w:r>
      <w:r>
        <w:rPr>
          <w:spacing w:val="-2"/>
        </w:rPr>
        <w:t>STATUTES</w:t>
      </w:r>
    </w:p>
    <w:p>
      <w:pPr>
        <w:pStyle w:val="BodyText"/>
        <w:rPr>
          <w:b/>
        </w:rPr>
      </w:pPr>
    </w:p>
    <w:p>
      <w:pPr>
        <w:spacing w:before="0"/>
        <w:ind w:left="0" w:right="157" w:firstLine="0"/>
        <w:jc w:val="right"/>
        <w:rPr>
          <w:b/>
          <w:sz w:val="24"/>
        </w:rPr>
      </w:pPr>
      <w:r>
        <w:rPr>
          <w:b/>
          <w:spacing w:val="-2"/>
          <w:sz w:val="24"/>
        </w:rPr>
        <w:t>PAGES</w:t>
      </w:r>
    </w:p>
    <w:p>
      <w:pPr>
        <w:pStyle w:val="BodyText"/>
        <w:tabs>
          <w:tab w:pos="6841" w:val="left" w:leader="none"/>
          <w:tab w:pos="7561" w:val="left" w:leader="none"/>
          <w:tab w:pos="8281" w:val="left" w:leader="none"/>
          <w:tab w:pos="9241" w:val="right" w:leader="none"/>
        </w:tabs>
        <w:spacing w:before="272"/>
        <w:ind w:left="360"/>
      </w:pPr>
      <w:r>
        <w:rPr/>
        <w:t>1999</w:t>
      </w:r>
      <w:r>
        <w:rPr>
          <w:spacing w:val="-4"/>
        </w:rPr>
        <w:t> </w:t>
      </w:r>
      <w:r>
        <w:rPr/>
        <w:t>Constitution,</w:t>
      </w:r>
      <w:r>
        <w:rPr>
          <w:spacing w:val="-1"/>
        </w:rPr>
        <w:t> </w:t>
      </w:r>
      <w:r>
        <w:rPr/>
        <w:t>Federal</w:t>
      </w:r>
      <w:r>
        <w:rPr>
          <w:spacing w:val="-1"/>
        </w:rPr>
        <w:t> </w:t>
      </w:r>
      <w:r>
        <w:rPr/>
        <w:t>Republic</w:t>
      </w:r>
      <w:r>
        <w:rPr>
          <w:spacing w:val="-2"/>
        </w:rPr>
        <w:t> </w:t>
      </w:r>
      <w:r>
        <w:rPr/>
        <w:t>Nigeria (as</w:t>
      </w:r>
      <w:r>
        <w:rPr>
          <w:spacing w:val="-1"/>
        </w:rPr>
        <w:t> </w:t>
      </w:r>
      <w:r>
        <w:rPr/>
        <w:t>amended)</w:t>
      </w:r>
      <w:r>
        <w:rPr>
          <w:spacing w:val="52"/>
          <w:w w:val="150"/>
        </w:rPr>
        <w:t> </w:t>
      </w:r>
      <w:r>
        <w:rPr>
          <w:spacing w:val="-10"/>
        </w:rPr>
        <w:t>-</w:t>
      </w:r>
      <w:r>
        <w:rPr/>
        <w:tab/>
      </w:r>
      <w:r>
        <w:rPr>
          <w:spacing w:val="-10"/>
        </w:rPr>
        <w:t>-</w:t>
      </w:r>
      <w:r>
        <w:rPr/>
        <w:tab/>
      </w:r>
      <w:r>
        <w:rPr>
          <w:spacing w:val="-10"/>
        </w:rPr>
        <w:t>-</w:t>
      </w:r>
      <w:r>
        <w:rPr/>
        <w:tab/>
      </w:r>
      <w:r>
        <w:rPr>
          <w:spacing w:val="-10"/>
        </w:rPr>
        <w:t>-</w:t>
      </w:r>
      <w:r>
        <w:rPr/>
        <w:tab/>
      </w:r>
      <w:r>
        <w:rPr>
          <w:spacing w:val="-5"/>
        </w:rPr>
        <w:t>34</w:t>
      </w:r>
    </w:p>
    <w:p>
      <w:pPr>
        <w:pStyle w:val="BodyText"/>
        <w:tabs>
          <w:tab w:pos="5401" w:val="left" w:leader="none"/>
          <w:tab w:pos="8721" w:val="left" w:leader="hyphen"/>
        </w:tabs>
        <w:spacing w:line="480" w:lineRule="auto" w:before="276"/>
        <w:ind w:left="360" w:right="223"/>
      </w:pPr>
      <w:r>
        <w:rPr/>
        <w:t>Petroleum Profit Tax Act, Cap P13, LFN, 2004</w:t>
        <w:tab/>
        <w:t>-</w:t>
      </w:r>
      <w:r>
        <w:rPr>
          <w:spacing w:val="80"/>
        </w:rPr>
        <w:t>    </w:t>
      </w:r>
      <w:r>
        <w:rPr/>
        <w:t>-</w:t>
      </w:r>
      <w:r>
        <w:rPr>
          <w:spacing w:val="80"/>
        </w:rPr>
        <w:t>    </w:t>
      </w:r>
      <w:r>
        <w:rPr/>
        <w:t>-</w:t>
      </w:r>
      <w:r>
        <w:rPr>
          <w:spacing w:val="80"/>
        </w:rPr>
        <w:t>    </w:t>
      </w:r>
      <w:r>
        <w:rPr/>
        <w:t>-</w:t>
      </w:r>
      <w:r>
        <w:rPr>
          <w:spacing w:val="80"/>
        </w:rPr>
        <w:t>   </w:t>
      </w:r>
      <w:r>
        <w:rPr/>
        <w:t>9, 14, 21, 45</w:t>
      </w:r>
      <w:r>
        <w:rPr>
          <w:spacing w:val="40"/>
        </w:rPr>
        <w:t> </w:t>
      </w:r>
      <w:r>
        <w:rPr/>
        <w:t>Companies</w:t>
      </w:r>
      <w:r>
        <w:rPr>
          <w:spacing w:val="-1"/>
        </w:rPr>
        <w:t> </w:t>
      </w:r>
      <w:r>
        <w:rPr/>
        <w:t>Income</w:t>
      </w:r>
      <w:r>
        <w:rPr>
          <w:spacing w:val="-1"/>
        </w:rPr>
        <w:t> </w:t>
      </w:r>
      <w:r>
        <w:rPr/>
        <w:t>Tax</w:t>
      </w:r>
      <w:r>
        <w:rPr>
          <w:spacing w:val="-1"/>
        </w:rPr>
        <w:t> </w:t>
      </w:r>
      <w:r>
        <w:rPr/>
        <w:t>Act (CITA),</w:t>
      </w:r>
      <w:r>
        <w:rPr>
          <w:spacing w:val="-2"/>
        </w:rPr>
        <w:t> </w:t>
      </w:r>
      <w:r>
        <w:rPr/>
        <w:t>Cap</w:t>
      </w:r>
      <w:r>
        <w:rPr>
          <w:spacing w:val="-1"/>
        </w:rPr>
        <w:t> </w:t>
      </w:r>
      <w:r>
        <w:rPr/>
        <w:t>C21,</w:t>
      </w:r>
      <w:r>
        <w:rPr>
          <w:spacing w:val="-1"/>
        </w:rPr>
        <w:t> </w:t>
      </w:r>
      <w:r>
        <w:rPr/>
        <w:t>LFN,</w:t>
      </w:r>
      <w:r>
        <w:rPr>
          <w:spacing w:val="-1"/>
        </w:rPr>
        <w:t> </w:t>
      </w:r>
      <w:r>
        <w:rPr>
          <w:spacing w:val="-4"/>
        </w:rPr>
        <w:t>2010</w:t>
      </w:r>
      <w:r>
        <w:rPr/>
        <w:tab/>
        <w:t>31, </w:t>
      </w:r>
      <w:r>
        <w:rPr>
          <w:spacing w:val="-5"/>
        </w:rPr>
        <w:t>47</w:t>
      </w:r>
    </w:p>
    <w:p>
      <w:pPr>
        <w:pStyle w:val="BodyText"/>
        <w:tabs>
          <w:tab w:pos="5401" w:val="left" w:leader="none"/>
          <w:tab w:pos="6121" w:val="left" w:leader="none"/>
          <w:tab w:pos="6841" w:val="left" w:leader="none"/>
          <w:tab w:pos="7561" w:val="left" w:leader="none"/>
          <w:tab w:pos="8281" w:val="left" w:leader="none"/>
          <w:tab w:pos="9241" w:val="right" w:leader="none"/>
        </w:tabs>
        <w:ind w:left="360"/>
      </w:pPr>
      <w:r>
        <w:rPr/>
        <w:t>Laws</w:t>
      </w:r>
      <w:r>
        <w:rPr>
          <w:spacing w:val="-2"/>
        </w:rPr>
        <w:t> </w:t>
      </w:r>
      <w:r>
        <w:rPr/>
        <w:t>of</w:t>
      </w:r>
      <w:r>
        <w:rPr>
          <w:spacing w:val="-2"/>
        </w:rPr>
        <w:t> </w:t>
      </w:r>
      <w:r>
        <w:rPr/>
        <w:t>the</w:t>
      </w:r>
      <w:r>
        <w:rPr>
          <w:spacing w:val="1"/>
        </w:rPr>
        <w:t> </w:t>
      </w:r>
      <w:r>
        <w:rPr/>
        <w:t>Federation</w:t>
      </w:r>
      <w:r>
        <w:rPr>
          <w:spacing w:val="-2"/>
        </w:rPr>
        <w:t> </w:t>
      </w:r>
      <w:r>
        <w:rPr/>
        <w:t>of</w:t>
      </w:r>
      <w:r>
        <w:rPr>
          <w:spacing w:val="-1"/>
        </w:rPr>
        <w:t> </w:t>
      </w:r>
      <w:r>
        <w:rPr/>
        <w:t>Nigeria</w:t>
      </w:r>
      <w:r>
        <w:rPr>
          <w:spacing w:val="-1"/>
        </w:rPr>
        <w:t> </w:t>
      </w:r>
      <w:r>
        <w:rPr/>
        <w:t>(LFN),</w:t>
      </w:r>
      <w:r>
        <w:rPr>
          <w:spacing w:val="-1"/>
        </w:rPr>
        <w:t> </w:t>
      </w:r>
      <w:r>
        <w:rPr>
          <w:spacing w:val="-4"/>
        </w:rPr>
        <w:t>2004</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5"/>
        </w:rPr>
        <w:t>21</w:t>
      </w:r>
    </w:p>
    <w:p>
      <w:pPr>
        <w:pStyle w:val="BodyText"/>
        <w:tabs>
          <w:tab w:pos="4680" w:val="left" w:leader="none"/>
          <w:tab w:pos="5401" w:val="left" w:leader="none"/>
          <w:tab w:pos="6121" w:val="left" w:leader="none"/>
          <w:tab w:pos="6841" w:val="left" w:leader="none"/>
          <w:tab w:pos="7561" w:val="left" w:leader="none"/>
          <w:tab w:pos="8281" w:val="left" w:leader="none"/>
          <w:tab w:pos="9241" w:val="right" w:leader="none"/>
        </w:tabs>
        <w:spacing w:before="276"/>
        <w:ind w:left="360"/>
      </w:pPr>
      <w:r>
        <w:rPr/>
        <w:t>Oil</w:t>
      </w:r>
      <w:r>
        <w:rPr>
          <w:spacing w:val="-2"/>
        </w:rPr>
        <w:t> </w:t>
      </w:r>
      <w:r>
        <w:rPr/>
        <w:t>Pipelines</w:t>
      </w:r>
      <w:r>
        <w:rPr>
          <w:spacing w:val="-1"/>
        </w:rPr>
        <w:t> </w:t>
      </w:r>
      <w:r>
        <w:rPr/>
        <w:t>Act,</w:t>
      </w:r>
      <w:r>
        <w:rPr>
          <w:spacing w:val="-1"/>
        </w:rPr>
        <w:t> </w:t>
      </w:r>
      <w:r>
        <w:rPr/>
        <w:t>Cap</w:t>
      </w:r>
      <w:r>
        <w:rPr>
          <w:spacing w:val="-1"/>
        </w:rPr>
        <w:t> </w:t>
      </w:r>
      <w:r>
        <w:rPr/>
        <w:t>07,</w:t>
      </w:r>
      <w:r>
        <w:rPr>
          <w:spacing w:val="1"/>
        </w:rPr>
        <w:t> </w:t>
      </w:r>
      <w:r>
        <w:rPr/>
        <w:t>LFN,</w:t>
      </w:r>
      <w:r>
        <w:rPr>
          <w:spacing w:val="-1"/>
        </w:rPr>
        <w:t> </w:t>
      </w:r>
      <w:r>
        <w:rPr>
          <w:spacing w:val="-4"/>
        </w:rPr>
        <w:t>2010</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5"/>
        </w:rPr>
        <w:t>22</w:t>
      </w:r>
    </w:p>
    <w:p>
      <w:pPr>
        <w:pStyle w:val="BodyText"/>
        <w:tabs>
          <w:tab w:pos="6841" w:val="left" w:leader="none"/>
          <w:tab w:pos="7561" w:val="left" w:leader="none"/>
          <w:tab w:pos="8281" w:val="left" w:leader="none"/>
          <w:tab w:pos="9241" w:val="right" w:leader="none"/>
        </w:tabs>
        <w:spacing w:before="279"/>
        <w:ind w:left="360"/>
      </w:pPr>
      <w:r>
        <w:rPr/>
        <w:t>Nigerian</w:t>
      </w:r>
      <w:r>
        <w:rPr>
          <w:spacing w:val="4"/>
        </w:rPr>
        <w:t> </w:t>
      </w:r>
      <w:r>
        <w:rPr/>
        <w:t>Oil and Gas</w:t>
      </w:r>
      <w:r>
        <w:rPr>
          <w:spacing w:val="2"/>
        </w:rPr>
        <w:t> </w:t>
      </w:r>
      <w:r>
        <w:rPr/>
        <w:t>Industry</w:t>
      </w:r>
      <w:r>
        <w:rPr>
          <w:spacing w:val="-3"/>
        </w:rPr>
        <w:t> </w:t>
      </w:r>
      <w:r>
        <w:rPr/>
        <w:t>Local Content Development</w:t>
      </w:r>
      <w:r>
        <w:rPr>
          <w:spacing w:val="1"/>
        </w:rPr>
        <w:t> </w:t>
      </w:r>
      <w:r>
        <w:rPr>
          <w:spacing w:val="-5"/>
        </w:rPr>
        <w:t>Act</w:t>
      </w:r>
      <w:r>
        <w:rPr/>
        <w:tab/>
      </w:r>
      <w:r>
        <w:rPr>
          <w:spacing w:val="-10"/>
        </w:rPr>
        <w:t>-</w:t>
      </w:r>
      <w:r>
        <w:rPr/>
        <w:tab/>
      </w:r>
      <w:r>
        <w:rPr>
          <w:spacing w:val="-10"/>
        </w:rPr>
        <w:t>-</w:t>
      </w:r>
      <w:r>
        <w:rPr/>
        <w:tab/>
      </w:r>
      <w:r>
        <w:rPr>
          <w:spacing w:val="-10"/>
        </w:rPr>
        <w:t>-</w:t>
      </w:r>
      <w:r>
        <w:rPr/>
        <w:tab/>
      </w:r>
      <w:r>
        <w:rPr>
          <w:spacing w:val="-5"/>
        </w:rPr>
        <w:t>26</w:t>
      </w:r>
    </w:p>
    <w:p>
      <w:pPr>
        <w:spacing w:after="0"/>
        <w:sectPr>
          <w:pgSz w:w="11910" w:h="16840"/>
          <w:pgMar w:header="0" w:footer="1000" w:top="1340" w:bottom="1200" w:left="1080" w:right="1280"/>
        </w:sectPr>
      </w:pPr>
    </w:p>
    <w:p>
      <w:pPr>
        <w:pStyle w:val="BodyText"/>
        <w:spacing w:before="5"/>
        <w:rPr>
          <w:sz w:val="2"/>
        </w:rPr>
      </w:pPr>
    </w:p>
    <w:tbl>
      <w:tblPr>
        <w:tblW w:w="0" w:type="auto"/>
        <w:jc w:val="left"/>
        <w:tblInd w:w="3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8165"/>
        <w:gridCol w:w="961"/>
      </w:tblGrid>
      <w:tr>
        <w:trPr>
          <w:trHeight w:val="958" w:hRule="atLeast"/>
        </w:trPr>
        <w:tc>
          <w:tcPr>
            <w:tcW w:w="8165" w:type="dxa"/>
          </w:tcPr>
          <w:p>
            <w:pPr>
              <w:pStyle w:val="TableParagraph"/>
              <w:spacing w:line="266" w:lineRule="exact" w:before="0"/>
              <w:ind w:left="3542"/>
              <w:rPr>
                <w:b/>
                <w:sz w:val="24"/>
              </w:rPr>
            </w:pPr>
            <w:r>
              <w:rPr>
                <w:b/>
                <w:sz w:val="24"/>
              </w:rPr>
              <w:t>TABLE OF</w:t>
            </w:r>
            <w:r>
              <w:rPr>
                <w:b/>
                <w:spacing w:val="-3"/>
                <w:sz w:val="24"/>
              </w:rPr>
              <w:t> </w:t>
            </w:r>
            <w:r>
              <w:rPr>
                <w:b/>
                <w:spacing w:val="-4"/>
                <w:sz w:val="24"/>
              </w:rPr>
              <w:t>CASES</w:t>
            </w:r>
          </w:p>
        </w:tc>
        <w:tc>
          <w:tcPr>
            <w:tcW w:w="961" w:type="dxa"/>
          </w:tcPr>
          <w:p>
            <w:pPr>
              <w:pStyle w:val="TableParagraph"/>
              <w:spacing w:before="265"/>
              <w:ind w:left="0"/>
              <w:rPr>
                <w:sz w:val="24"/>
              </w:rPr>
            </w:pPr>
          </w:p>
          <w:p>
            <w:pPr>
              <w:pStyle w:val="TableParagraph"/>
              <w:spacing w:before="1"/>
              <w:ind w:left="113"/>
              <w:rPr>
                <w:b/>
                <w:sz w:val="24"/>
              </w:rPr>
            </w:pPr>
            <w:r>
              <w:rPr>
                <w:b/>
                <w:spacing w:val="-2"/>
                <w:sz w:val="24"/>
              </w:rPr>
              <w:t>PAGES</w:t>
            </w:r>
          </w:p>
        </w:tc>
      </w:tr>
      <w:tr>
        <w:trPr>
          <w:trHeight w:val="549" w:hRule="atLeast"/>
        </w:trPr>
        <w:tc>
          <w:tcPr>
            <w:tcW w:w="8165" w:type="dxa"/>
          </w:tcPr>
          <w:p>
            <w:pPr>
              <w:pStyle w:val="TableParagraph"/>
              <w:tabs>
                <w:tab w:pos="7971" w:val="left" w:leader="none"/>
              </w:tabs>
              <w:spacing w:before="130"/>
              <w:rPr>
                <w:sz w:val="24"/>
              </w:rPr>
            </w:pPr>
            <w:r>
              <w:rPr>
                <w:sz w:val="24"/>
              </w:rPr>
              <w:t>Attorney</w:t>
            </w:r>
            <w:r>
              <w:rPr>
                <w:spacing w:val="-4"/>
                <w:sz w:val="24"/>
              </w:rPr>
              <w:t> </w:t>
            </w:r>
            <w:r>
              <w:rPr>
                <w:sz w:val="24"/>
              </w:rPr>
              <w:t>General,</w:t>
            </w:r>
            <w:r>
              <w:rPr>
                <w:spacing w:val="2"/>
                <w:sz w:val="24"/>
              </w:rPr>
              <w:t> </w:t>
            </w:r>
            <w:r>
              <w:rPr>
                <w:sz w:val="24"/>
              </w:rPr>
              <w:t>Federation</w:t>
            </w:r>
            <w:r>
              <w:rPr>
                <w:spacing w:val="-1"/>
                <w:sz w:val="24"/>
              </w:rPr>
              <w:t> </w:t>
            </w:r>
            <w:r>
              <w:rPr>
                <w:sz w:val="24"/>
              </w:rPr>
              <w:t>v. Attorney</w:t>
            </w:r>
            <w:r>
              <w:rPr>
                <w:spacing w:val="-6"/>
                <w:sz w:val="24"/>
              </w:rPr>
              <w:t> </w:t>
            </w:r>
            <w:r>
              <w:rPr>
                <w:sz w:val="24"/>
              </w:rPr>
              <w:t>General,</w:t>
            </w:r>
            <w:r>
              <w:rPr>
                <w:spacing w:val="2"/>
                <w:sz w:val="24"/>
              </w:rPr>
              <w:t> </w:t>
            </w:r>
            <w:r>
              <w:rPr>
                <w:sz w:val="24"/>
              </w:rPr>
              <w:t>Abia</w:t>
            </w:r>
            <w:r>
              <w:rPr>
                <w:spacing w:val="-2"/>
                <w:sz w:val="24"/>
              </w:rPr>
              <w:t> </w:t>
            </w:r>
            <w:r>
              <w:rPr>
                <w:sz w:val="24"/>
              </w:rPr>
              <w:t>State</w:t>
            </w:r>
            <w:r>
              <w:rPr>
                <w:spacing w:val="-1"/>
                <w:sz w:val="24"/>
              </w:rPr>
              <w:t> </w:t>
            </w:r>
            <w:r>
              <w:rPr>
                <w:sz w:val="24"/>
              </w:rPr>
              <w:t>&amp;</w:t>
            </w:r>
            <w:r>
              <w:rPr>
                <w:spacing w:val="1"/>
                <w:sz w:val="24"/>
              </w:rPr>
              <w:t> </w:t>
            </w:r>
            <w:r>
              <w:rPr>
                <w:sz w:val="24"/>
              </w:rPr>
              <w:t>35 Ors.</w:t>
            </w:r>
            <w:r>
              <w:rPr>
                <w:spacing w:val="-1"/>
                <w:sz w:val="24"/>
              </w:rPr>
              <w:t> </w:t>
            </w:r>
            <w:r>
              <w:rPr>
                <w:sz w:val="24"/>
              </w:rPr>
              <w:t>(No. </w:t>
            </w:r>
            <w:r>
              <w:rPr>
                <w:spacing w:val="-5"/>
                <w:sz w:val="24"/>
              </w:rPr>
              <w:t>2)</w:t>
            </w:r>
            <w:r>
              <w:rPr>
                <w:sz w:val="24"/>
              </w:rPr>
              <w:tab/>
            </w:r>
            <w:r>
              <w:rPr>
                <w:spacing w:val="-10"/>
                <w:sz w:val="24"/>
              </w:rPr>
              <w:t>-</w:t>
            </w:r>
          </w:p>
        </w:tc>
        <w:tc>
          <w:tcPr>
            <w:tcW w:w="961" w:type="dxa"/>
          </w:tcPr>
          <w:p>
            <w:pPr>
              <w:pStyle w:val="TableParagraph"/>
              <w:spacing w:before="130"/>
              <w:ind w:left="526"/>
              <w:rPr>
                <w:sz w:val="24"/>
              </w:rPr>
            </w:pPr>
            <w:r>
              <w:rPr>
                <w:spacing w:val="-5"/>
                <w:sz w:val="24"/>
              </w:rPr>
              <w:t>40</w:t>
            </w:r>
          </w:p>
        </w:tc>
      </w:tr>
      <w:tr>
        <w:trPr>
          <w:trHeight w:val="551" w:hRule="atLeast"/>
        </w:trPr>
        <w:tc>
          <w:tcPr>
            <w:tcW w:w="8165" w:type="dxa"/>
          </w:tcPr>
          <w:p>
            <w:pPr>
              <w:pStyle w:val="TableParagraph"/>
              <w:tabs>
                <w:tab w:pos="6530" w:val="left" w:leader="none"/>
                <w:tab w:pos="7251" w:val="left" w:leader="none"/>
                <w:tab w:pos="7971" w:val="left" w:leader="none"/>
              </w:tabs>
              <w:rPr>
                <w:sz w:val="24"/>
              </w:rPr>
            </w:pPr>
            <w:r>
              <w:rPr>
                <w:sz w:val="24"/>
              </w:rPr>
              <w:t>Commissioner</w:t>
            </w:r>
            <w:r>
              <w:rPr>
                <w:spacing w:val="-3"/>
                <w:sz w:val="24"/>
              </w:rPr>
              <w:t> </w:t>
            </w:r>
            <w:r>
              <w:rPr>
                <w:sz w:val="24"/>
              </w:rPr>
              <w:t>v. Newman-159</w:t>
            </w:r>
            <w:r>
              <w:rPr>
                <w:spacing w:val="-1"/>
                <w:sz w:val="24"/>
              </w:rPr>
              <w:t> </w:t>
            </w:r>
            <w:r>
              <w:rPr>
                <w:sz w:val="24"/>
              </w:rPr>
              <w:t>F.2d 848,850</w:t>
            </w:r>
            <w:r>
              <w:rPr>
                <w:spacing w:val="-1"/>
                <w:sz w:val="24"/>
              </w:rPr>
              <w:t> </w:t>
            </w:r>
            <w:r>
              <w:rPr>
                <w:sz w:val="24"/>
              </w:rPr>
              <w:t>(CA-2,1947)</w:t>
            </w:r>
            <w:r>
              <w:rPr>
                <w:spacing w:val="66"/>
                <w:sz w:val="24"/>
              </w:rPr>
              <w:t> </w:t>
            </w: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p>
        </w:tc>
        <w:tc>
          <w:tcPr>
            <w:tcW w:w="961" w:type="dxa"/>
          </w:tcPr>
          <w:p>
            <w:pPr>
              <w:pStyle w:val="TableParagraph"/>
              <w:ind w:left="526"/>
              <w:rPr>
                <w:sz w:val="24"/>
              </w:rPr>
            </w:pPr>
            <w:r>
              <w:rPr>
                <w:spacing w:val="-10"/>
                <w:sz w:val="24"/>
              </w:rPr>
              <w:t>5</w:t>
            </w:r>
          </w:p>
        </w:tc>
      </w:tr>
      <w:tr>
        <w:trPr>
          <w:trHeight w:val="551" w:hRule="atLeast"/>
        </w:trPr>
        <w:tc>
          <w:tcPr>
            <w:tcW w:w="8165" w:type="dxa"/>
          </w:tcPr>
          <w:p>
            <w:pPr>
              <w:pStyle w:val="TableParagraph"/>
              <w:rPr>
                <w:sz w:val="24"/>
              </w:rPr>
            </w:pPr>
            <w:r>
              <w:rPr>
                <w:sz w:val="24"/>
              </w:rPr>
              <w:t>Famfa</w:t>
            </w:r>
            <w:r>
              <w:rPr>
                <w:spacing w:val="-2"/>
                <w:sz w:val="24"/>
              </w:rPr>
              <w:t> </w:t>
            </w:r>
            <w:r>
              <w:rPr>
                <w:sz w:val="24"/>
              </w:rPr>
              <w:t>Oil</w:t>
            </w:r>
            <w:r>
              <w:rPr>
                <w:spacing w:val="1"/>
                <w:sz w:val="24"/>
              </w:rPr>
              <w:t> </w:t>
            </w:r>
            <w:r>
              <w:rPr>
                <w:sz w:val="24"/>
              </w:rPr>
              <w:t>Ltd.</w:t>
            </w:r>
            <w:r>
              <w:rPr>
                <w:spacing w:val="-1"/>
                <w:sz w:val="24"/>
              </w:rPr>
              <w:t> </w:t>
            </w:r>
            <w:r>
              <w:rPr>
                <w:sz w:val="24"/>
              </w:rPr>
              <w:t>v.</w:t>
            </w:r>
            <w:r>
              <w:rPr>
                <w:spacing w:val="-1"/>
                <w:sz w:val="24"/>
              </w:rPr>
              <w:t> </w:t>
            </w:r>
            <w:r>
              <w:rPr>
                <w:sz w:val="24"/>
              </w:rPr>
              <w:t>A-G</w:t>
            </w:r>
            <w:r>
              <w:rPr>
                <w:spacing w:val="-1"/>
                <w:sz w:val="24"/>
              </w:rPr>
              <w:t> </w:t>
            </w:r>
            <w:r>
              <w:rPr>
                <w:sz w:val="24"/>
              </w:rPr>
              <w:t>Federation</w:t>
            </w:r>
            <w:r>
              <w:rPr>
                <w:spacing w:val="1"/>
                <w:sz w:val="24"/>
              </w:rPr>
              <w:t> </w:t>
            </w:r>
            <w:r>
              <w:rPr>
                <w:sz w:val="24"/>
              </w:rPr>
              <w:t>&amp;</w:t>
            </w:r>
            <w:r>
              <w:rPr>
                <w:spacing w:val="-3"/>
                <w:sz w:val="24"/>
              </w:rPr>
              <w:t> </w:t>
            </w:r>
            <w:r>
              <w:rPr>
                <w:sz w:val="24"/>
              </w:rPr>
              <w:t>NNPC</w:t>
            </w:r>
            <w:r>
              <w:rPr>
                <w:spacing w:val="1"/>
                <w:sz w:val="24"/>
              </w:rPr>
              <w:t> </w:t>
            </w:r>
            <w:r>
              <w:rPr>
                <w:sz w:val="24"/>
              </w:rPr>
              <w:t>[2003] 18</w:t>
            </w:r>
            <w:r>
              <w:rPr>
                <w:spacing w:val="-2"/>
                <w:sz w:val="24"/>
              </w:rPr>
              <w:t> </w:t>
            </w:r>
            <w:r>
              <w:rPr>
                <w:sz w:val="24"/>
              </w:rPr>
              <w:t>N.W.L.R</w:t>
            </w:r>
            <w:r>
              <w:rPr>
                <w:spacing w:val="-1"/>
                <w:sz w:val="24"/>
              </w:rPr>
              <w:t> </w:t>
            </w:r>
            <w:r>
              <w:rPr>
                <w:sz w:val="24"/>
              </w:rPr>
              <w:t>(Pt.</w:t>
            </w:r>
            <w:r>
              <w:rPr>
                <w:spacing w:val="-1"/>
                <w:sz w:val="24"/>
              </w:rPr>
              <w:t> </w:t>
            </w:r>
            <w:r>
              <w:rPr>
                <w:sz w:val="24"/>
              </w:rPr>
              <w:t>852) 453</w:t>
            </w:r>
            <w:r>
              <w:rPr>
                <w:spacing w:val="-1"/>
                <w:sz w:val="24"/>
              </w:rPr>
              <w:t> </w:t>
            </w:r>
            <w:r>
              <w:rPr>
                <w:sz w:val="24"/>
              </w:rPr>
              <w:t>SC</w:t>
            </w:r>
            <w:r>
              <w:rPr>
                <w:spacing w:val="44"/>
                <w:sz w:val="24"/>
              </w:rPr>
              <w:t> </w:t>
            </w:r>
            <w:r>
              <w:rPr>
                <w:spacing w:val="-10"/>
                <w:sz w:val="24"/>
              </w:rPr>
              <w:t>-</w:t>
            </w:r>
          </w:p>
        </w:tc>
        <w:tc>
          <w:tcPr>
            <w:tcW w:w="961" w:type="dxa"/>
          </w:tcPr>
          <w:p>
            <w:pPr>
              <w:pStyle w:val="TableParagraph"/>
              <w:ind w:left="526"/>
              <w:rPr>
                <w:sz w:val="24"/>
              </w:rPr>
            </w:pPr>
            <w:r>
              <w:rPr>
                <w:spacing w:val="-5"/>
                <w:sz w:val="24"/>
              </w:rPr>
              <w:t>33</w:t>
            </w:r>
          </w:p>
        </w:tc>
      </w:tr>
      <w:tr>
        <w:trPr>
          <w:trHeight w:val="552" w:hRule="atLeast"/>
        </w:trPr>
        <w:tc>
          <w:tcPr>
            <w:tcW w:w="8165" w:type="dxa"/>
          </w:tcPr>
          <w:p>
            <w:pPr>
              <w:pStyle w:val="TableParagraph"/>
              <w:tabs>
                <w:tab w:pos="7971" w:val="left" w:leader="none"/>
              </w:tabs>
              <w:rPr>
                <w:sz w:val="24"/>
              </w:rPr>
            </w:pPr>
            <w:r>
              <w:rPr>
                <w:sz w:val="24"/>
              </w:rPr>
              <w:t>Gulf</w:t>
            </w:r>
            <w:r>
              <w:rPr>
                <w:spacing w:val="-2"/>
                <w:sz w:val="24"/>
              </w:rPr>
              <w:t> </w:t>
            </w:r>
            <w:r>
              <w:rPr>
                <w:sz w:val="24"/>
              </w:rPr>
              <w:t>Oil</w:t>
            </w:r>
            <w:r>
              <w:rPr>
                <w:spacing w:val="-1"/>
                <w:sz w:val="24"/>
              </w:rPr>
              <w:t> </w:t>
            </w:r>
            <w:r>
              <w:rPr>
                <w:sz w:val="24"/>
              </w:rPr>
              <w:t>Company</w:t>
            </w:r>
            <w:r>
              <w:rPr>
                <w:spacing w:val="-6"/>
                <w:sz w:val="24"/>
              </w:rPr>
              <w:t> </w:t>
            </w:r>
            <w:r>
              <w:rPr>
                <w:sz w:val="24"/>
              </w:rPr>
              <w:t>(Nig.)</w:t>
            </w:r>
            <w:r>
              <w:rPr>
                <w:spacing w:val="2"/>
                <w:sz w:val="24"/>
              </w:rPr>
              <w:t> </w:t>
            </w:r>
            <w:r>
              <w:rPr>
                <w:sz w:val="24"/>
              </w:rPr>
              <w:t>Ltd</w:t>
            </w:r>
            <w:r>
              <w:rPr>
                <w:spacing w:val="-1"/>
                <w:sz w:val="24"/>
              </w:rPr>
              <w:t> </w:t>
            </w:r>
            <w:r>
              <w:rPr>
                <w:sz w:val="24"/>
              </w:rPr>
              <w:t>V.</w:t>
            </w:r>
            <w:r>
              <w:rPr>
                <w:spacing w:val="1"/>
                <w:sz w:val="24"/>
              </w:rPr>
              <w:t> </w:t>
            </w:r>
            <w:r>
              <w:rPr>
                <w:sz w:val="24"/>
              </w:rPr>
              <w:t>F.</w:t>
            </w:r>
            <w:r>
              <w:rPr>
                <w:spacing w:val="-1"/>
                <w:sz w:val="24"/>
              </w:rPr>
              <w:t> </w:t>
            </w:r>
            <w:r>
              <w:rPr>
                <w:sz w:val="24"/>
              </w:rPr>
              <w:t>B.</w:t>
            </w:r>
            <w:r>
              <w:rPr>
                <w:spacing w:val="3"/>
                <w:sz w:val="24"/>
              </w:rPr>
              <w:t> </w:t>
            </w:r>
            <w:r>
              <w:rPr>
                <w:sz w:val="24"/>
              </w:rPr>
              <w:t>I.</w:t>
            </w:r>
            <w:r>
              <w:rPr>
                <w:spacing w:val="-1"/>
                <w:sz w:val="24"/>
              </w:rPr>
              <w:t> </w:t>
            </w:r>
            <w:r>
              <w:rPr>
                <w:sz w:val="24"/>
              </w:rPr>
              <w:t>R</w:t>
            </w:r>
            <w:r>
              <w:rPr>
                <w:spacing w:val="2"/>
                <w:sz w:val="24"/>
              </w:rPr>
              <w:t> </w:t>
            </w:r>
            <w:r>
              <w:rPr>
                <w:sz w:val="24"/>
              </w:rPr>
              <w:t>NOGC</w:t>
            </w:r>
            <w:r>
              <w:rPr>
                <w:spacing w:val="1"/>
                <w:sz w:val="24"/>
              </w:rPr>
              <w:t> </w:t>
            </w:r>
            <w:r>
              <w:rPr>
                <w:sz w:val="24"/>
              </w:rPr>
              <w:t>2</w:t>
            </w:r>
            <w:r>
              <w:rPr>
                <w:spacing w:val="-1"/>
                <w:sz w:val="24"/>
              </w:rPr>
              <w:t> </w:t>
            </w:r>
            <w:r>
              <w:rPr>
                <w:sz w:val="24"/>
              </w:rPr>
              <w:t>[1996-2000] 156</w:t>
            </w:r>
            <w:r>
              <w:rPr>
                <w:spacing w:val="-1"/>
                <w:sz w:val="24"/>
              </w:rPr>
              <w:t> </w:t>
            </w:r>
            <w:r>
              <w:rPr>
                <w:sz w:val="24"/>
              </w:rPr>
              <w:t>CA.</w:t>
            </w:r>
            <w:r>
              <w:rPr>
                <w:spacing w:val="2"/>
                <w:sz w:val="24"/>
              </w:rPr>
              <w:t> </w:t>
            </w:r>
            <w:r>
              <w:rPr>
                <w:spacing w:val="-10"/>
                <w:sz w:val="24"/>
              </w:rPr>
              <w:t>-</w:t>
            </w:r>
            <w:r>
              <w:rPr>
                <w:sz w:val="24"/>
              </w:rPr>
              <w:tab/>
            </w:r>
            <w:r>
              <w:rPr>
                <w:spacing w:val="-10"/>
                <w:sz w:val="24"/>
              </w:rPr>
              <w:t>-</w:t>
            </w:r>
          </w:p>
        </w:tc>
        <w:tc>
          <w:tcPr>
            <w:tcW w:w="961" w:type="dxa"/>
          </w:tcPr>
          <w:p>
            <w:pPr>
              <w:pStyle w:val="TableParagraph"/>
              <w:ind w:left="526"/>
              <w:rPr>
                <w:sz w:val="24"/>
              </w:rPr>
            </w:pPr>
            <w:r>
              <w:rPr>
                <w:spacing w:val="-5"/>
                <w:sz w:val="24"/>
              </w:rPr>
              <w:t>46</w:t>
            </w:r>
          </w:p>
        </w:tc>
      </w:tr>
      <w:tr>
        <w:trPr>
          <w:trHeight w:val="409" w:hRule="atLeast"/>
        </w:trPr>
        <w:tc>
          <w:tcPr>
            <w:tcW w:w="8165" w:type="dxa"/>
          </w:tcPr>
          <w:p>
            <w:pPr>
              <w:pStyle w:val="TableParagraph"/>
              <w:tabs>
                <w:tab w:pos="5810" w:val="left" w:leader="none"/>
                <w:tab w:pos="6530" w:val="left" w:leader="none"/>
                <w:tab w:pos="7251" w:val="left" w:leader="none"/>
                <w:tab w:pos="7971" w:val="left" w:leader="none"/>
              </w:tabs>
              <w:spacing w:line="256" w:lineRule="exact"/>
              <w:rPr>
                <w:sz w:val="24"/>
              </w:rPr>
            </w:pPr>
            <w:r>
              <w:rPr>
                <w:sz w:val="24"/>
              </w:rPr>
              <w:t>Njikonye</w:t>
            </w:r>
            <w:r>
              <w:rPr>
                <w:spacing w:val="-2"/>
                <w:sz w:val="24"/>
              </w:rPr>
              <w:t> </w:t>
            </w:r>
            <w:r>
              <w:rPr>
                <w:sz w:val="24"/>
              </w:rPr>
              <w:t>v.</w:t>
            </w:r>
            <w:r>
              <w:rPr>
                <w:spacing w:val="-1"/>
                <w:sz w:val="24"/>
              </w:rPr>
              <w:t> </w:t>
            </w:r>
            <w:r>
              <w:rPr>
                <w:sz w:val="24"/>
              </w:rPr>
              <w:t>MTN</w:t>
            </w:r>
            <w:r>
              <w:rPr>
                <w:spacing w:val="1"/>
                <w:sz w:val="24"/>
              </w:rPr>
              <w:t> </w:t>
            </w:r>
            <w:r>
              <w:rPr>
                <w:sz w:val="24"/>
              </w:rPr>
              <w:t>Nig.Communication</w:t>
            </w:r>
            <w:r>
              <w:rPr>
                <w:spacing w:val="1"/>
                <w:sz w:val="24"/>
              </w:rPr>
              <w:t> </w:t>
            </w:r>
            <w:r>
              <w:rPr>
                <w:sz w:val="24"/>
              </w:rPr>
              <w:t>Ltd</w:t>
            </w:r>
            <w:r>
              <w:rPr>
                <w:spacing w:val="-1"/>
                <w:sz w:val="24"/>
              </w:rPr>
              <w:t> </w:t>
            </w:r>
            <w:r>
              <w:rPr>
                <w:sz w:val="24"/>
              </w:rPr>
              <w:t>(supra)</w:t>
            </w:r>
            <w:r>
              <w:rPr>
                <w:spacing w:val="60"/>
                <w:w w:val="150"/>
                <w:sz w:val="24"/>
              </w:rPr>
              <w:t> </w:t>
            </w: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p>
        </w:tc>
        <w:tc>
          <w:tcPr>
            <w:tcW w:w="961" w:type="dxa"/>
          </w:tcPr>
          <w:p>
            <w:pPr>
              <w:pStyle w:val="TableParagraph"/>
              <w:spacing w:line="256" w:lineRule="exact"/>
              <w:ind w:left="526"/>
              <w:rPr>
                <w:sz w:val="24"/>
              </w:rPr>
            </w:pPr>
            <w:r>
              <w:rPr>
                <w:spacing w:val="-5"/>
                <w:sz w:val="24"/>
              </w:rPr>
              <w:t>33</w:t>
            </w:r>
          </w:p>
        </w:tc>
      </w:tr>
    </w:tbl>
    <w:p>
      <w:pPr>
        <w:pStyle w:val="BodyText"/>
        <w:spacing w:before="4"/>
      </w:pPr>
    </w:p>
    <w:p>
      <w:pPr>
        <w:pStyle w:val="BodyText"/>
        <w:tabs>
          <w:tab w:pos="3240" w:val="left" w:leader="none"/>
          <w:tab w:pos="3960" w:val="left" w:leader="none"/>
          <w:tab w:pos="4680" w:val="left" w:leader="none"/>
          <w:tab w:pos="5401" w:val="left" w:leader="none"/>
          <w:tab w:pos="6121" w:val="left" w:leader="none"/>
          <w:tab w:pos="6841" w:val="left" w:leader="none"/>
          <w:tab w:pos="7561" w:val="left" w:leader="none"/>
          <w:tab w:pos="8281" w:val="left" w:leader="none"/>
          <w:tab w:pos="9001" w:val="left" w:leader="none"/>
        </w:tabs>
        <w:spacing w:line="480" w:lineRule="auto"/>
        <w:ind w:left="360" w:right="302"/>
      </w:pPr>
      <w:r>
        <w:rPr/>
        <w:t>Nwadioro &amp; 2 Ors. v. Shell Petroleum Development Company of Nigeria Ltd NOGC 1 [1961-1995] 205 CA. -</w:t>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6"/>
        </w:rPr>
        <w:t>36</w:t>
      </w:r>
    </w:p>
    <w:p>
      <w:pPr>
        <w:pStyle w:val="BodyText"/>
        <w:tabs>
          <w:tab w:pos="2520" w:val="left" w:leader="none"/>
          <w:tab w:pos="3240" w:val="left" w:leader="none"/>
          <w:tab w:pos="3960" w:val="left" w:leader="none"/>
          <w:tab w:pos="4680" w:val="left" w:leader="none"/>
          <w:tab w:pos="5401" w:val="left" w:leader="none"/>
          <w:tab w:pos="6121" w:val="left" w:leader="none"/>
          <w:tab w:pos="6841" w:val="left" w:leader="none"/>
          <w:tab w:pos="7561" w:val="left" w:leader="none"/>
          <w:tab w:pos="8281" w:val="left" w:leader="none"/>
          <w:tab w:pos="9241" w:val="right" w:leader="none"/>
        </w:tabs>
        <w:spacing w:line="480" w:lineRule="auto"/>
        <w:ind w:left="360" w:right="302"/>
      </w:pPr>
      <w:r>
        <w:rPr/>
        <w:t>Shell B.P Petroleum Development Company v. Federal Board of Inland Revenue NOGC 1[1961–1995] -</w:t>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6"/>
        </w:rPr>
        <w:t>43</w:t>
      </w:r>
    </w:p>
    <w:p>
      <w:pPr>
        <w:pStyle w:val="BodyText"/>
        <w:tabs>
          <w:tab w:pos="2520" w:val="left" w:leader="none"/>
          <w:tab w:pos="3240" w:val="left" w:leader="none"/>
          <w:tab w:pos="3960" w:val="left" w:leader="none"/>
          <w:tab w:pos="4680" w:val="left" w:leader="none"/>
          <w:tab w:pos="5401" w:val="left" w:leader="none"/>
          <w:tab w:pos="6121" w:val="left" w:leader="none"/>
          <w:tab w:pos="6841" w:val="left" w:leader="none"/>
          <w:tab w:pos="7561" w:val="left" w:leader="none"/>
          <w:tab w:pos="8281" w:val="left" w:leader="none"/>
          <w:tab w:pos="9001" w:val="left" w:leader="none"/>
        </w:tabs>
        <w:spacing w:line="480" w:lineRule="auto"/>
        <w:ind w:left="360" w:right="302"/>
      </w:pPr>
      <w:r>
        <w:rPr/>
        <w:t>Southern Atlantic Petroleum Limited v. Minister of Petroleum Resources NOGC 6[2007- 2008]</w:t>
      </w:r>
      <w:r>
        <w:rPr>
          <w:spacing w:val="1"/>
        </w:rPr>
        <w:t> </w:t>
      </w:r>
      <w:r>
        <w:rPr/>
        <w:t>245 CA</w:t>
      </w:r>
      <w:r>
        <w:rPr>
          <w:spacing w:val="4"/>
        </w:rPr>
        <w:t> </w:t>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5"/>
        </w:rPr>
        <w:t>36</w:t>
      </w:r>
    </w:p>
    <w:p>
      <w:pPr>
        <w:pStyle w:val="BodyText"/>
        <w:tabs>
          <w:tab w:pos="5401" w:val="left" w:leader="none"/>
          <w:tab w:pos="6121" w:val="left" w:leader="none"/>
          <w:tab w:pos="6841" w:val="left" w:leader="none"/>
          <w:tab w:pos="7561" w:val="left" w:leader="none"/>
          <w:tab w:pos="8281" w:val="left" w:leader="none"/>
          <w:tab w:pos="9001" w:val="left" w:leader="none"/>
        </w:tabs>
        <w:spacing w:before="1"/>
        <w:ind w:left="360"/>
      </w:pPr>
      <w:r>
        <w:rPr/>
        <w:t>United</w:t>
      </w:r>
      <w:r>
        <w:rPr>
          <w:spacing w:val="-1"/>
        </w:rPr>
        <w:t> </w:t>
      </w:r>
      <w:r>
        <w:rPr/>
        <w:t>States</w:t>
      </w:r>
      <w:r>
        <w:rPr>
          <w:spacing w:val="-1"/>
        </w:rPr>
        <w:t> </w:t>
      </w:r>
      <w:r>
        <w:rPr/>
        <w:t>v. Butler,2279</w:t>
      </w:r>
      <w:r>
        <w:rPr>
          <w:spacing w:val="-1"/>
        </w:rPr>
        <w:t> </w:t>
      </w:r>
      <w:r>
        <w:rPr/>
        <w:t>US (1936)</w:t>
      </w:r>
      <w:r>
        <w:rPr>
          <w:spacing w:val="-2"/>
        </w:rPr>
        <w:t> </w:t>
      </w:r>
      <w:r>
        <w:rPr/>
        <w:t>at </w:t>
      </w:r>
      <w:r>
        <w:rPr>
          <w:spacing w:val="-4"/>
        </w:rPr>
        <w:t>p.61</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1</w:t>
      </w:r>
    </w:p>
    <w:p>
      <w:pPr>
        <w:spacing w:after="0"/>
        <w:sectPr>
          <w:pgSz w:w="11910" w:h="16840"/>
          <w:pgMar w:header="0" w:footer="1000" w:top="1400" w:bottom="1200" w:left="1080" w:right="1280"/>
        </w:sectPr>
      </w:pPr>
    </w:p>
    <w:p>
      <w:pPr>
        <w:pStyle w:val="Heading1"/>
        <w:spacing w:before="78"/>
        <w:ind w:left="441"/>
      </w:pPr>
      <w:r>
        <w:rPr>
          <w:spacing w:val="-2"/>
        </w:rPr>
        <w:t>ABBREVIATIONS</w:t>
      </w:r>
    </w:p>
    <w:p>
      <w:pPr>
        <w:pStyle w:val="BodyText"/>
        <w:tabs>
          <w:tab w:pos="3240" w:val="left" w:leader="none"/>
          <w:tab w:pos="3960" w:val="left" w:leader="none"/>
        </w:tabs>
        <w:spacing w:before="272"/>
        <w:ind w:left="360"/>
      </w:pPr>
      <w:r>
        <w:rPr>
          <w:spacing w:val="-4"/>
        </w:rPr>
        <w:t>CITA</w:t>
      </w:r>
      <w:r>
        <w:rPr/>
        <w:tab/>
      </w:r>
      <w:r>
        <w:rPr>
          <w:spacing w:val="-10"/>
        </w:rPr>
        <w:t>-</w:t>
      </w:r>
      <w:r>
        <w:rPr/>
        <w:tab/>
        <w:t>Companies</w:t>
      </w:r>
      <w:r>
        <w:rPr>
          <w:spacing w:val="-3"/>
        </w:rPr>
        <w:t> </w:t>
      </w:r>
      <w:r>
        <w:rPr/>
        <w:t>Income</w:t>
      </w:r>
      <w:r>
        <w:rPr>
          <w:spacing w:val="-3"/>
        </w:rPr>
        <w:t> </w:t>
      </w:r>
      <w:r>
        <w:rPr/>
        <w:t>Tax </w:t>
      </w:r>
      <w:r>
        <w:rPr>
          <w:spacing w:val="-5"/>
        </w:rPr>
        <w:t>Act</w:t>
      </w:r>
    </w:p>
    <w:p>
      <w:pPr>
        <w:pStyle w:val="BodyText"/>
      </w:pPr>
    </w:p>
    <w:p>
      <w:pPr>
        <w:pStyle w:val="BodyText"/>
        <w:tabs>
          <w:tab w:pos="3240" w:val="left" w:leader="none"/>
          <w:tab w:pos="3960" w:val="left" w:leader="none"/>
        </w:tabs>
        <w:ind w:left="360"/>
      </w:pPr>
      <w:r>
        <w:rPr>
          <w:spacing w:val="-4"/>
        </w:rPr>
        <w:t>FBIR</w:t>
      </w:r>
      <w:r>
        <w:rPr/>
        <w:tab/>
      </w:r>
      <w:r>
        <w:rPr>
          <w:spacing w:val="-10"/>
        </w:rPr>
        <w:t>-</w:t>
      </w:r>
      <w:r>
        <w:rPr/>
        <w:tab/>
        <w:t>Federal</w:t>
      </w:r>
      <w:r>
        <w:rPr>
          <w:spacing w:val="-3"/>
        </w:rPr>
        <w:t> </w:t>
      </w:r>
      <w:r>
        <w:rPr/>
        <w:t>Board</w:t>
      </w:r>
      <w:r>
        <w:rPr>
          <w:spacing w:val="-2"/>
        </w:rPr>
        <w:t> </w:t>
      </w:r>
      <w:r>
        <w:rPr/>
        <w:t>of</w:t>
      </w:r>
      <w:r>
        <w:rPr>
          <w:spacing w:val="-2"/>
        </w:rPr>
        <w:t> </w:t>
      </w:r>
      <w:r>
        <w:rPr/>
        <w:t>Inland</w:t>
      </w:r>
      <w:r>
        <w:rPr>
          <w:spacing w:val="-1"/>
        </w:rPr>
        <w:t> </w:t>
      </w:r>
      <w:r>
        <w:rPr>
          <w:spacing w:val="-2"/>
        </w:rPr>
        <w:t>Revenue</w:t>
      </w:r>
    </w:p>
    <w:p>
      <w:pPr>
        <w:pStyle w:val="BodyText"/>
      </w:pPr>
    </w:p>
    <w:p>
      <w:pPr>
        <w:pStyle w:val="BodyText"/>
        <w:tabs>
          <w:tab w:pos="3240" w:val="left" w:leader="none"/>
          <w:tab w:pos="3960" w:val="left" w:leader="none"/>
        </w:tabs>
        <w:ind w:left="360"/>
      </w:pPr>
      <w:r>
        <w:rPr>
          <w:spacing w:val="-4"/>
        </w:rPr>
        <w:t>FIRS</w:t>
      </w:r>
      <w:r>
        <w:rPr/>
        <w:tab/>
      </w:r>
      <w:r>
        <w:rPr>
          <w:spacing w:val="-10"/>
        </w:rPr>
        <w:t>-</w:t>
      </w:r>
      <w:r>
        <w:rPr/>
        <w:tab/>
        <w:t>Federal</w:t>
      </w:r>
      <w:r>
        <w:rPr>
          <w:spacing w:val="-3"/>
        </w:rPr>
        <w:t> </w:t>
      </w:r>
      <w:r>
        <w:rPr/>
        <w:t>Inland</w:t>
      </w:r>
      <w:r>
        <w:rPr>
          <w:spacing w:val="-3"/>
        </w:rPr>
        <w:t> </w:t>
      </w:r>
      <w:r>
        <w:rPr/>
        <w:t>Revenue</w:t>
      </w:r>
      <w:r>
        <w:rPr>
          <w:spacing w:val="-1"/>
        </w:rPr>
        <w:t> </w:t>
      </w:r>
      <w:r>
        <w:rPr>
          <w:spacing w:val="-2"/>
        </w:rPr>
        <w:t>Service</w:t>
      </w:r>
    </w:p>
    <w:p>
      <w:pPr>
        <w:pStyle w:val="BodyText"/>
      </w:pPr>
    </w:p>
    <w:p>
      <w:pPr>
        <w:pStyle w:val="BodyText"/>
        <w:tabs>
          <w:tab w:pos="3240" w:val="left" w:leader="none"/>
          <w:tab w:pos="3960" w:val="left" w:leader="none"/>
        </w:tabs>
        <w:ind w:left="360"/>
      </w:pPr>
      <w:r>
        <w:rPr>
          <w:spacing w:val="-5"/>
        </w:rPr>
        <w:t>JV</w:t>
      </w:r>
      <w:r>
        <w:rPr/>
        <w:tab/>
      </w:r>
      <w:r>
        <w:rPr>
          <w:spacing w:val="-10"/>
        </w:rPr>
        <w:t>-</w:t>
      </w:r>
      <w:r>
        <w:rPr/>
        <w:tab/>
        <w:t>Joint </w:t>
      </w:r>
      <w:r>
        <w:rPr>
          <w:spacing w:val="-2"/>
        </w:rPr>
        <w:t>Ventures</w:t>
      </w:r>
    </w:p>
    <w:p>
      <w:pPr>
        <w:pStyle w:val="BodyText"/>
      </w:pPr>
    </w:p>
    <w:p>
      <w:pPr>
        <w:pStyle w:val="BodyText"/>
        <w:tabs>
          <w:tab w:pos="3240" w:val="left" w:leader="none"/>
          <w:tab w:pos="3960" w:val="left" w:leader="none"/>
        </w:tabs>
        <w:ind w:left="360"/>
      </w:pPr>
      <w:r>
        <w:rPr>
          <w:spacing w:val="-4"/>
        </w:rPr>
        <w:t>MEND</w:t>
      </w:r>
      <w:r>
        <w:rPr/>
        <w:tab/>
      </w:r>
      <w:r>
        <w:rPr>
          <w:spacing w:val="-10"/>
        </w:rPr>
        <w:t>-</w:t>
      </w:r>
      <w:r>
        <w:rPr/>
        <w:tab/>
        <w:t>Movement</w:t>
      </w:r>
      <w:r>
        <w:rPr>
          <w:spacing w:val="-3"/>
        </w:rPr>
        <w:t> </w:t>
      </w:r>
      <w:r>
        <w:rPr/>
        <w:t>for</w:t>
      </w:r>
      <w:r>
        <w:rPr>
          <w:spacing w:val="-2"/>
        </w:rPr>
        <w:t> </w:t>
      </w:r>
      <w:r>
        <w:rPr/>
        <w:t>the Emancipation</w:t>
      </w:r>
      <w:r>
        <w:rPr>
          <w:spacing w:val="-1"/>
        </w:rPr>
        <w:t> </w:t>
      </w:r>
      <w:r>
        <w:rPr/>
        <w:t>of</w:t>
      </w:r>
      <w:r>
        <w:rPr>
          <w:spacing w:val="-1"/>
        </w:rPr>
        <w:t> </w:t>
      </w:r>
      <w:r>
        <w:rPr/>
        <w:t>Niger</w:t>
      </w:r>
      <w:r>
        <w:rPr>
          <w:spacing w:val="-2"/>
        </w:rPr>
        <w:t> Delta</w:t>
      </w:r>
    </w:p>
    <w:p>
      <w:pPr>
        <w:pStyle w:val="BodyText"/>
      </w:pPr>
    </w:p>
    <w:p>
      <w:pPr>
        <w:pStyle w:val="BodyText"/>
        <w:tabs>
          <w:tab w:pos="3240" w:val="left" w:leader="none"/>
          <w:tab w:pos="3960" w:val="left" w:leader="none"/>
        </w:tabs>
        <w:ind w:left="360"/>
      </w:pPr>
      <w:r>
        <w:rPr>
          <w:spacing w:val="-4"/>
        </w:rPr>
        <w:t>7MOU</w:t>
      </w:r>
      <w:r>
        <w:rPr/>
        <w:tab/>
      </w:r>
      <w:r>
        <w:rPr>
          <w:spacing w:val="-10"/>
        </w:rPr>
        <w:t>-</w:t>
      </w:r>
      <w:r>
        <w:rPr/>
        <w:tab/>
        <w:t>Memorandum</w:t>
      </w:r>
      <w:r>
        <w:rPr>
          <w:spacing w:val="-3"/>
        </w:rPr>
        <w:t> </w:t>
      </w:r>
      <w:r>
        <w:rPr/>
        <w:t>of</w:t>
      </w:r>
      <w:r>
        <w:rPr>
          <w:spacing w:val="-1"/>
        </w:rPr>
        <w:t> </w:t>
      </w:r>
      <w:r>
        <w:rPr>
          <w:spacing w:val="-2"/>
        </w:rPr>
        <w:t>Understanding</w:t>
      </w:r>
    </w:p>
    <w:p>
      <w:pPr>
        <w:pStyle w:val="BodyText"/>
      </w:pPr>
    </w:p>
    <w:p>
      <w:pPr>
        <w:pStyle w:val="BodyText"/>
        <w:tabs>
          <w:tab w:pos="3240" w:val="left" w:leader="none"/>
          <w:tab w:pos="3960" w:val="left" w:leader="none"/>
        </w:tabs>
        <w:spacing w:before="1"/>
        <w:ind w:left="360"/>
      </w:pPr>
      <w:r>
        <w:rPr>
          <w:spacing w:val="-4"/>
        </w:rPr>
        <w:t>NNPC</w:t>
      </w:r>
      <w:r>
        <w:rPr/>
        <w:tab/>
      </w:r>
      <w:r>
        <w:rPr>
          <w:spacing w:val="-10"/>
        </w:rPr>
        <w:t>-</w:t>
      </w:r>
      <w:r>
        <w:rPr/>
        <w:tab/>
        <w:t>Nigeria</w:t>
      </w:r>
      <w:r>
        <w:rPr>
          <w:spacing w:val="-3"/>
        </w:rPr>
        <w:t> </w:t>
      </w:r>
      <w:r>
        <w:rPr/>
        <w:t>National</w:t>
      </w:r>
      <w:r>
        <w:rPr>
          <w:spacing w:val="-1"/>
        </w:rPr>
        <w:t> </w:t>
      </w:r>
      <w:r>
        <w:rPr/>
        <w:t>Petroleum </w:t>
      </w:r>
      <w:r>
        <w:rPr>
          <w:spacing w:val="-2"/>
        </w:rPr>
        <w:t>Corporation</w:t>
      </w:r>
    </w:p>
    <w:p>
      <w:pPr>
        <w:pStyle w:val="BodyText"/>
        <w:tabs>
          <w:tab w:pos="3240" w:val="left" w:leader="none"/>
          <w:tab w:pos="3960" w:val="left" w:leader="none"/>
        </w:tabs>
        <w:spacing w:before="276"/>
        <w:ind w:left="360"/>
      </w:pPr>
      <w:r>
        <w:rPr>
          <w:spacing w:val="-4"/>
        </w:rPr>
        <w:t>NWLR</w:t>
      </w:r>
      <w:r>
        <w:rPr/>
        <w:tab/>
      </w:r>
      <w:r>
        <w:rPr>
          <w:spacing w:val="-10"/>
        </w:rPr>
        <w:t>-</w:t>
      </w:r>
      <w:r>
        <w:rPr/>
        <w:tab/>
        <w:t>Nigerian</w:t>
      </w:r>
      <w:r>
        <w:rPr>
          <w:spacing w:val="-1"/>
        </w:rPr>
        <w:t> </w:t>
      </w:r>
      <w:r>
        <w:rPr/>
        <w:t>Weekly</w:t>
      </w:r>
      <w:r>
        <w:rPr>
          <w:spacing w:val="-4"/>
        </w:rPr>
        <w:t> </w:t>
      </w:r>
      <w:r>
        <w:rPr/>
        <w:t>Law </w:t>
      </w:r>
      <w:r>
        <w:rPr>
          <w:spacing w:val="-2"/>
        </w:rPr>
        <w:t>Report</w:t>
      </w:r>
    </w:p>
    <w:p>
      <w:pPr>
        <w:pStyle w:val="BodyText"/>
        <w:tabs>
          <w:tab w:pos="3240" w:val="left" w:leader="none"/>
          <w:tab w:pos="3960" w:val="left" w:leader="none"/>
        </w:tabs>
        <w:spacing w:before="276"/>
        <w:ind w:left="360"/>
      </w:pPr>
      <w:r>
        <w:rPr>
          <w:spacing w:val="-5"/>
        </w:rPr>
        <w:t>OML</w:t>
      </w:r>
      <w:r>
        <w:rPr/>
        <w:tab/>
      </w:r>
      <w:r>
        <w:rPr>
          <w:spacing w:val="-10"/>
        </w:rPr>
        <w:t>-</w:t>
      </w:r>
      <w:r>
        <w:rPr/>
        <w:tab/>
        <w:t>Oil</w:t>
      </w:r>
      <w:r>
        <w:rPr>
          <w:spacing w:val="-2"/>
        </w:rPr>
        <w:t> </w:t>
      </w:r>
      <w:r>
        <w:rPr/>
        <w:t>Mining</w:t>
      </w:r>
      <w:r>
        <w:rPr>
          <w:spacing w:val="-1"/>
        </w:rPr>
        <w:t> </w:t>
      </w:r>
      <w:r>
        <w:rPr>
          <w:spacing w:val="-4"/>
        </w:rPr>
        <w:t>Lease</w:t>
      </w:r>
    </w:p>
    <w:p>
      <w:pPr>
        <w:pStyle w:val="BodyText"/>
        <w:tabs>
          <w:tab w:pos="3240" w:val="left" w:leader="none"/>
          <w:tab w:pos="3960" w:val="left" w:leader="none"/>
        </w:tabs>
        <w:spacing w:before="276"/>
        <w:ind w:left="360"/>
      </w:pPr>
      <w:r>
        <w:rPr>
          <w:spacing w:val="-5"/>
        </w:rPr>
        <w:t>OPL</w:t>
      </w:r>
      <w:r>
        <w:rPr/>
        <w:tab/>
      </w:r>
      <w:r>
        <w:rPr>
          <w:spacing w:val="-10"/>
        </w:rPr>
        <w:t>-</w:t>
      </w:r>
      <w:r>
        <w:rPr/>
        <w:tab/>
        <w:t>Oil</w:t>
      </w:r>
      <w:r>
        <w:rPr>
          <w:spacing w:val="-3"/>
        </w:rPr>
        <w:t> </w:t>
      </w:r>
      <w:r>
        <w:rPr/>
        <w:t>Prospecting</w:t>
      </w:r>
      <w:r>
        <w:rPr>
          <w:spacing w:val="-2"/>
        </w:rPr>
        <w:t> License</w:t>
      </w:r>
    </w:p>
    <w:p>
      <w:pPr>
        <w:pStyle w:val="BodyText"/>
        <w:tabs>
          <w:tab w:pos="3240" w:val="left" w:leader="none"/>
          <w:tab w:pos="3960" w:val="left" w:leader="none"/>
        </w:tabs>
        <w:spacing w:before="276"/>
        <w:ind w:left="360"/>
      </w:pPr>
      <w:r>
        <w:rPr>
          <w:spacing w:val="-5"/>
        </w:rPr>
        <w:t>PPT</w:t>
      </w:r>
      <w:r>
        <w:rPr/>
        <w:tab/>
      </w:r>
      <w:r>
        <w:rPr>
          <w:spacing w:val="-10"/>
        </w:rPr>
        <w:t>-</w:t>
      </w:r>
      <w:r>
        <w:rPr/>
        <w:tab/>
        <w:t>Petroleum</w:t>
      </w:r>
      <w:r>
        <w:rPr>
          <w:spacing w:val="-2"/>
        </w:rPr>
        <w:t> </w:t>
      </w:r>
      <w:r>
        <w:rPr/>
        <w:t>Profit</w:t>
      </w:r>
      <w:r>
        <w:rPr>
          <w:spacing w:val="-2"/>
        </w:rPr>
        <w:t> </w:t>
      </w:r>
      <w:r>
        <w:rPr/>
        <w:t>Tax</w:t>
      </w:r>
      <w:r>
        <w:rPr>
          <w:spacing w:val="1"/>
        </w:rPr>
        <w:t> </w:t>
      </w:r>
      <w:r>
        <w:rPr>
          <w:spacing w:val="-5"/>
        </w:rPr>
        <w:t>Act</w:t>
      </w:r>
    </w:p>
    <w:p>
      <w:pPr>
        <w:pStyle w:val="BodyText"/>
      </w:pPr>
    </w:p>
    <w:p>
      <w:pPr>
        <w:pStyle w:val="BodyText"/>
        <w:tabs>
          <w:tab w:pos="3240" w:val="left" w:leader="none"/>
          <w:tab w:pos="3960" w:val="left" w:leader="none"/>
        </w:tabs>
        <w:ind w:left="360"/>
      </w:pPr>
      <w:r>
        <w:rPr>
          <w:spacing w:val="-4"/>
        </w:rPr>
        <w:t>PPTA</w:t>
      </w:r>
      <w:r>
        <w:rPr/>
        <w:tab/>
      </w:r>
      <w:r>
        <w:rPr>
          <w:spacing w:val="-10"/>
        </w:rPr>
        <w:t>-</w:t>
      </w:r>
      <w:r>
        <w:rPr/>
        <w:tab/>
        <w:t>Petroleum</w:t>
      </w:r>
      <w:r>
        <w:rPr>
          <w:spacing w:val="-2"/>
        </w:rPr>
        <w:t> </w:t>
      </w:r>
      <w:r>
        <w:rPr/>
        <w:t>Profit</w:t>
      </w:r>
      <w:r>
        <w:rPr>
          <w:spacing w:val="-2"/>
        </w:rPr>
        <w:t> </w:t>
      </w:r>
      <w:r>
        <w:rPr/>
        <w:t>Tax</w:t>
      </w:r>
      <w:r>
        <w:rPr>
          <w:spacing w:val="1"/>
        </w:rPr>
        <w:t> </w:t>
      </w:r>
      <w:r>
        <w:rPr>
          <w:spacing w:val="-5"/>
        </w:rPr>
        <w:t>Act</w:t>
      </w:r>
    </w:p>
    <w:p>
      <w:pPr>
        <w:pStyle w:val="BodyText"/>
      </w:pPr>
    </w:p>
    <w:p>
      <w:pPr>
        <w:pStyle w:val="BodyText"/>
        <w:tabs>
          <w:tab w:pos="3240" w:val="left" w:leader="none"/>
          <w:tab w:pos="3960" w:val="left" w:leader="none"/>
        </w:tabs>
        <w:ind w:left="360"/>
      </w:pPr>
      <w:r>
        <w:rPr>
          <w:spacing w:val="-5"/>
        </w:rPr>
        <w:t>PSC</w:t>
      </w:r>
      <w:r>
        <w:rPr/>
        <w:tab/>
      </w:r>
      <w:r>
        <w:rPr>
          <w:spacing w:val="-10"/>
        </w:rPr>
        <w:t>-</w:t>
      </w:r>
      <w:r>
        <w:rPr/>
        <w:tab/>
        <w:t>Production</w:t>
      </w:r>
      <w:r>
        <w:rPr>
          <w:spacing w:val="-4"/>
        </w:rPr>
        <w:t> </w:t>
      </w:r>
      <w:r>
        <w:rPr/>
        <w:t>Sharing</w:t>
      </w:r>
      <w:r>
        <w:rPr>
          <w:spacing w:val="-4"/>
        </w:rPr>
        <w:t> </w:t>
      </w:r>
      <w:r>
        <w:rPr>
          <w:spacing w:val="-2"/>
        </w:rPr>
        <w:t>Contract</w:t>
      </w:r>
    </w:p>
    <w:p>
      <w:pPr>
        <w:spacing w:after="0"/>
        <w:sectPr>
          <w:pgSz w:w="11910" w:h="16840"/>
          <w:pgMar w:header="0" w:footer="1000" w:top="1340" w:bottom="1200" w:left="1080" w:right="1280"/>
        </w:sectPr>
      </w:pPr>
    </w:p>
    <w:p>
      <w:pPr>
        <w:pStyle w:val="Heading1"/>
        <w:spacing w:before="78"/>
        <w:ind w:left="439"/>
      </w:pPr>
      <w:bookmarkStart w:name="_TOC_250021" w:id="4"/>
      <w:bookmarkEnd w:id="4"/>
      <w:r>
        <w:rPr>
          <w:spacing w:val="-2"/>
        </w:rPr>
        <w:t>ABSTRACT</w:t>
      </w:r>
    </w:p>
    <w:p>
      <w:pPr>
        <w:spacing w:before="272"/>
        <w:ind w:left="360" w:right="152" w:firstLine="0"/>
        <w:jc w:val="both"/>
        <w:rPr>
          <w:i/>
          <w:sz w:val="24"/>
        </w:rPr>
      </w:pPr>
      <w:r>
        <w:rPr>
          <w:i/>
          <w:sz w:val="24"/>
        </w:rPr>
        <w:t>The aim of this paper is to examine the ownership, the legal</w:t>
      </w:r>
      <w:r>
        <w:rPr>
          <w:i/>
          <w:spacing w:val="40"/>
          <w:sz w:val="24"/>
        </w:rPr>
        <w:t> </w:t>
      </w:r>
      <w:r>
        <w:rPr>
          <w:i/>
          <w:sz w:val="24"/>
        </w:rPr>
        <w:t>framework as well as the basic components of the petroleum profits which components are revenue, adjusted profits, assessable profit, chargeable profit, assessable tax and chargeable tax.In Nigeria, the petroleum industry is the bedrock of the economy and is responsible for about 90 percent of her total revenue. Her other sources of revenue include, inter alia, agriculture, solid minerals, goods and services and most importantly taxes collected from various sources including the petroleum industry. Companies and corporations in Nigeria are taxed principally</w:t>
      </w:r>
      <w:r>
        <w:rPr>
          <w:i/>
          <w:spacing w:val="-1"/>
          <w:sz w:val="24"/>
        </w:rPr>
        <w:t> </w:t>
      </w:r>
      <w:r>
        <w:rPr>
          <w:i/>
          <w:sz w:val="24"/>
        </w:rPr>
        <w:t>under</w:t>
      </w:r>
      <w:r>
        <w:rPr>
          <w:i/>
          <w:spacing w:val="-1"/>
          <w:sz w:val="24"/>
        </w:rPr>
        <w:t> </w:t>
      </w:r>
      <w:r>
        <w:rPr>
          <w:i/>
          <w:sz w:val="24"/>
        </w:rPr>
        <w:t>the</w:t>
      </w:r>
      <w:r>
        <w:rPr>
          <w:i/>
          <w:spacing w:val="-1"/>
          <w:sz w:val="24"/>
        </w:rPr>
        <w:t> </w:t>
      </w:r>
      <w:r>
        <w:rPr>
          <w:i/>
          <w:sz w:val="24"/>
        </w:rPr>
        <w:t>Companies</w:t>
      </w:r>
      <w:r>
        <w:rPr>
          <w:i/>
          <w:spacing w:val="-1"/>
          <w:sz w:val="24"/>
        </w:rPr>
        <w:t> </w:t>
      </w:r>
      <w:r>
        <w:rPr>
          <w:i/>
          <w:sz w:val="24"/>
        </w:rPr>
        <w:t>Income</w:t>
      </w:r>
      <w:r>
        <w:rPr>
          <w:i/>
          <w:spacing w:val="-2"/>
          <w:sz w:val="24"/>
        </w:rPr>
        <w:t> </w:t>
      </w:r>
      <w:r>
        <w:rPr>
          <w:i/>
          <w:sz w:val="24"/>
        </w:rPr>
        <w:t>Tax</w:t>
      </w:r>
      <w:r>
        <w:rPr>
          <w:i/>
          <w:spacing w:val="-1"/>
          <w:sz w:val="24"/>
        </w:rPr>
        <w:t> </w:t>
      </w:r>
      <w:r>
        <w:rPr>
          <w:i/>
          <w:sz w:val="24"/>
        </w:rPr>
        <w:t>Act. Cap</w:t>
      </w:r>
      <w:r>
        <w:rPr>
          <w:i/>
          <w:spacing w:val="-1"/>
          <w:sz w:val="24"/>
        </w:rPr>
        <w:t> </w:t>
      </w:r>
      <w:r>
        <w:rPr>
          <w:i/>
          <w:sz w:val="24"/>
        </w:rPr>
        <w:t>60,</w:t>
      </w:r>
      <w:r>
        <w:rPr>
          <w:i/>
          <w:spacing w:val="-2"/>
          <w:sz w:val="24"/>
        </w:rPr>
        <w:t> </w:t>
      </w:r>
      <w:r>
        <w:rPr>
          <w:i/>
          <w:sz w:val="24"/>
        </w:rPr>
        <w:t>Laws</w:t>
      </w:r>
      <w:r>
        <w:rPr>
          <w:i/>
          <w:spacing w:val="-2"/>
          <w:sz w:val="24"/>
        </w:rPr>
        <w:t> </w:t>
      </w:r>
      <w:r>
        <w:rPr>
          <w:i/>
          <w:sz w:val="24"/>
        </w:rPr>
        <w:t>of</w:t>
      </w:r>
      <w:r>
        <w:rPr>
          <w:i/>
          <w:spacing w:val="-1"/>
          <w:sz w:val="24"/>
        </w:rPr>
        <w:t> </w:t>
      </w:r>
      <w:r>
        <w:rPr>
          <w:i/>
          <w:sz w:val="24"/>
        </w:rPr>
        <w:t>the</w:t>
      </w:r>
      <w:r>
        <w:rPr>
          <w:i/>
          <w:spacing w:val="-1"/>
          <w:sz w:val="24"/>
        </w:rPr>
        <w:t> </w:t>
      </w:r>
      <w:r>
        <w:rPr>
          <w:i/>
          <w:sz w:val="24"/>
        </w:rPr>
        <w:t>Federation</w:t>
      </w:r>
      <w:r>
        <w:rPr>
          <w:i/>
          <w:spacing w:val="-1"/>
          <w:sz w:val="24"/>
        </w:rPr>
        <w:t> </w:t>
      </w:r>
      <w:r>
        <w:rPr>
          <w:i/>
          <w:sz w:val="24"/>
        </w:rPr>
        <w:t>of</w:t>
      </w:r>
      <w:r>
        <w:rPr>
          <w:i/>
          <w:spacing w:val="-1"/>
          <w:sz w:val="24"/>
        </w:rPr>
        <w:t> </w:t>
      </w:r>
      <w:r>
        <w:rPr>
          <w:i/>
          <w:sz w:val="24"/>
        </w:rPr>
        <w:t>Nigeria, 1990.. While companies engaged in petroleum operations are taxed specially under the Petroleum Profit Tax Act, as amended (PPTA Cap.354, LFN, 1990). Because of the peculiar and complicated nature of the oil industry, the Federal Board of Inland Revenue (FBIR) is saddled with the onerous task of collecting taxes from the various companies including those engaged in the oil business.This project will examine the petroleum profit taxation system established under the PPTA, with a view to assessing whether or not it is effective in dealing with the myriad of problems associated with the financial areas of the oil industry particularly the problem of tax evasion on the part of some companies and deliberate fraudulent and incorrect assessment of the tax due and payable on petroleum profits by others.This paper also focuses on the assessment of the petroleum profit tax under the Petroleum Profit Tax Act. Cap P13, Laws of Federation of Nigeria 2004, as well as judicial authorities‟</w:t>
      </w:r>
      <w:r>
        <w:rPr>
          <w:i/>
          <w:spacing w:val="-6"/>
          <w:sz w:val="24"/>
        </w:rPr>
        <w:t> </w:t>
      </w:r>
      <w:r>
        <w:rPr>
          <w:i/>
          <w:sz w:val="24"/>
        </w:rPr>
        <w:t>regarding</w:t>
      </w:r>
      <w:r>
        <w:rPr>
          <w:i/>
          <w:spacing w:val="-6"/>
          <w:sz w:val="24"/>
        </w:rPr>
        <w:t> </w:t>
      </w:r>
      <w:r>
        <w:rPr>
          <w:i/>
          <w:sz w:val="24"/>
        </w:rPr>
        <w:t>same.</w:t>
      </w:r>
      <w:r>
        <w:rPr>
          <w:i/>
          <w:spacing w:val="-6"/>
          <w:sz w:val="24"/>
        </w:rPr>
        <w:t> </w:t>
      </w:r>
      <w:r>
        <w:rPr>
          <w:i/>
          <w:sz w:val="24"/>
        </w:rPr>
        <w:t>Nigeria‟s</w:t>
      </w:r>
      <w:r>
        <w:rPr>
          <w:i/>
          <w:spacing w:val="-4"/>
          <w:sz w:val="24"/>
        </w:rPr>
        <w:t> </w:t>
      </w:r>
      <w:r>
        <w:rPr>
          <w:i/>
          <w:sz w:val="24"/>
        </w:rPr>
        <w:t>economy</w:t>
      </w:r>
      <w:r>
        <w:rPr>
          <w:i/>
          <w:spacing w:val="-6"/>
          <w:sz w:val="24"/>
        </w:rPr>
        <w:t> </w:t>
      </w:r>
      <w:r>
        <w:rPr>
          <w:i/>
          <w:sz w:val="24"/>
        </w:rPr>
        <w:t>is</w:t>
      </w:r>
      <w:r>
        <w:rPr>
          <w:i/>
          <w:spacing w:val="-6"/>
          <w:sz w:val="24"/>
        </w:rPr>
        <w:t> </w:t>
      </w:r>
      <w:r>
        <w:rPr>
          <w:i/>
          <w:sz w:val="24"/>
        </w:rPr>
        <w:t>totally</w:t>
      </w:r>
      <w:r>
        <w:rPr>
          <w:i/>
          <w:spacing w:val="-6"/>
          <w:sz w:val="24"/>
        </w:rPr>
        <w:t> </w:t>
      </w:r>
      <w:r>
        <w:rPr>
          <w:i/>
          <w:sz w:val="24"/>
        </w:rPr>
        <w:t>dependent</w:t>
      </w:r>
      <w:r>
        <w:rPr>
          <w:i/>
          <w:spacing w:val="-3"/>
          <w:sz w:val="24"/>
        </w:rPr>
        <w:t> </w:t>
      </w:r>
      <w:r>
        <w:rPr>
          <w:i/>
          <w:sz w:val="24"/>
        </w:rPr>
        <w:t>on</w:t>
      </w:r>
      <w:r>
        <w:rPr>
          <w:i/>
          <w:spacing w:val="-6"/>
          <w:sz w:val="24"/>
        </w:rPr>
        <w:t> </w:t>
      </w:r>
      <w:r>
        <w:rPr>
          <w:i/>
          <w:sz w:val="24"/>
        </w:rPr>
        <w:t>oil.It</w:t>
      </w:r>
      <w:r>
        <w:rPr>
          <w:i/>
          <w:spacing w:val="-5"/>
          <w:sz w:val="24"/>
        </w:rPr>
        <w:t> </w:t>
      </w:r>
      <w:r>
        <w:rPr>
          <w:i/>
          <w:sz w:val="24"/>
        </w:rPr>
        <w:t>is</w:t>
      </w:r>
      <w:r>
        <w:rPr>
          <w:i/>
          <w:spacing w:val="-5"/>
          <w:sz w:val="24"/>
        </w:rPr>
        <w:t> </w:t>
      </w:r>
      <w:r>
        <w:rPr>
          <w:i/>
          <w:sz w:val="24"/>
        </w:rPr>
        <w:t>no</w:t>
      </w:r>
      <w:r>
        <w:rPr>
          <w:i/>
          <w:spacing w:val="-6"/>
          <w:sz w:val="24"/>
        </w:rPr>
        <w:t> </w:t>
      </w:r>
      <w:r>
        <w:rPr>
          <w:i/>
          <w:sz w:val="24"/>
        </w:rPr>
        <w:t>doubt</w:t>
      </w:r>
      <w:r>
        <w:rPr>
          <w:i/>
          <w:spacing w:val="-5"/>
          <w:sz w:val="24"/>
        </w:rPr>
        <w:t> </w:t>
      </w:r>
      <w:r>
        <w:rPr>
          <w:i/>
          <w:sz w:val="24"/>
        </w:rPr>
        <w:t>that proceeds from the sale of crude oil holds the mainstay of the Nigerian economy since 1970s.equally not in contention is the fact that oil explorations and exploitation requires enormous amount of money and technological know-how to execute.This paper also concludes that petroleum profit tax is one of the most important components direct taxes in Nigeria that affects the economic growth, therefore should be properly managed to reduce</w:t>
      </w:r>
      <w:r>
        <w:rPr>
          <w:i/>
          <w:spacing w:val="40"/>
          <w:sz w:val="24"/>
        </w:rPr>
        <w:t> </w:t>
      </w:r>
      <w:r>
        <w:rPr>
          <w:i/>
          <w:sz w:val="24"/>
        </w:rPr>
        <w:t>the level of evasion by petroleum exploration companies in Nigeria. The paper recommends among others that companies involved in petroleum operations should be properly</w:t>
      </w:r>
      <w:r>
        <w:rPr>
          <w:i/>
          <w:spacing w:val="80"/>
          <w:sz w:val="24"/>
        </w:rPr>
        <w:t> </w:t>
      </w:r>
      <w:r>
        <w:rPr>
          <w:i/>
          <w:sz w:val="24"/>
        </w:rPr>
        <w:t>supervised</w:t>
      </w:r>
      <w:r>
        <w:rPr>
          <w:i/>
          <w:spacing w:val="-1"/>
          <w:sz w:val="24"/>
        </w:rPr>
        <w:t> </w:t>
      </w:r>
      <w:r>
        <w:rPr>
          <w:i/>
          <w:sz w:val="24"/>
        </w:rPr>
        <w:t>by</w:t>
      </w:r>
      <w:r>
        <w:rPr>
          <w:i/>
          <w:spacing w:val="-1"/>
          <w:sz w:val="24"/>
        </w:rPr>
        <w:t> </w:t>
      </w:r>
      <w:r>
        <w:rPr>
          <w:i/>
          <w:sz w:val="24"/>
        </w:rPr>
        <w:t>the</w:t>
      </w:r>
      <w:r>
        <w:rPr>
          <w:i/>
          <w:spacing w:val="-1"/>
          <w:sz w:val="24"/>
        </w:rPr>
        <w:t> </w:t>
      </w:r>
      <w:r>
        <w:rPr>
          <w:i/>
          <w:sz w:val="24"/>
        </w:rPr>
        <w:t>relevant tax</w:t>
      </w:r>
      <w:r>
        <w:rPr>
          <w:i/>
          <w:spacing w:val="-1"/>
          <w:sz w:val="24"/>
        </w:rPr>
        <w:t> </w:t>
      </w:r>
      <w:r>
        <w:rPr>
          <w:i/>
          <w:sz w:val="24"/>
        </w:rPr>
        <w:t>authority</w:t>
      </w:r>
      <w:r>
        <w:rPr>
          <w:i/>
          <w:spacing w:val="-1"/>
          <w:sz w:val="24"/>
        </w:rPr>
        <w:t> </w:t>
      </w:r>
      <w:r>
        <w:rPr>
          <w:i/>
          <w:sz w:val="24"/>
        </w:rPr>
        <w:t>(FIRS)</w:t>
      </w:r>
      <w:r>
        <w:rPr>
          <w:i/>
          <w:spacing w:val="-3"/>
          <w:sz w:val="24"/>
        </w:rPr>
        <w:t> </w:t>
      </w:r>
      <w:r>
        <w:rPr>
          <w:i/>
          <w:sz w:val="24"/>
        </w:rPr>
        <w:t>to reduce</w:t>
      </w:r>
      <w:r>
        <w:rPr>
          <w:i/>
          <w:spacing w:val="-1"/>
          <w:sz w:val="24"/>
        </w:rPr>
        <w:t> </w:t>
      </w:r>
      <w:r>
        <w:rPr>
          <w:i/>
          <w:sz w:val="24"/>
        </w:rPr>
        <w:t>the</w:t>
      </w:r>
      <w:r>
        <w:rPr>
          <w:i/>
          <w:spacing w:val="-1"/>
          <w:sz w:val="24"/>
        </w:rPr>
        <w:t> </w:t>
      </w:r>
      <w:r>
        <w:rPr>
          <w:i/>
          <w:sz w:val="24"/>
        </w:rPr>
        <w:t>level of tax evasion, government should show more accountability in the management of tax revenue and finally, the level of corruption in Nigeria and that of government officials should be drastically reduced to win the confidence of tax payers for voluntary tax compliance. More so, government policy</w:t>
      </w:r>
      <w:r>
        <w:rPr>
          <w:i/>
          <w:spacing w:val="40"/>
          <w:sz w:val="24"/>
        </w:rPr>
        <w:t> </w:t>
      </w:r>
      <w:r>
        <w:rPr>
          <w:i/>
          <w:sz w:val="24"/>
        </w:rPr>
        <w:t>should create a conducive-business environment that will attract foreign investors to the </w:t>
      </w:r>
      <w:r>
        <w:rPr>
          <w:i/>
          <w:spacing w:val="-2"/>
          <w:sz w:val="24"/>
        </w:rPr>
        <w:t>country.</w:t>
      </w:r>
    </w:p>
    <w:p>
      <w:pPr>
        <w:spacing w:after="0"/>
        <w:jc w:val="both"/>
        <w:rPr>
          <w:sz w:val="24"/>
        </w:rPr>
        <w:sectPr>
          <w:pgSz w:w="11910" w:h="16840"/>
          <w:pgMar w:header="0" w:footer="1000" w:top="1340" w:bottom="1200" w:left="1080" w:right="1280"/>
        </w:sectPr>
      </w:pPr>
    </w:p>
    <w:p>
      <w:pPr>
        <w:pStyle w:val="Heading1"/>
        <w:spacing w:before="78"/>
        <w:ind w:left="440"/>
      </w:pPr>
      <w:r>
        <w:rPr/>
        <w:t>TABLES</w:t>
      </w:r>
      <w:r>
        <w:rPr>
          <w:spacing w:val="-2"/>
        </w:rPr>
        <w:t> </w:t>
      </w:r>
      <w:r>
        <w:rPr/>
        <w:t>OF</w:t>
      </w:r>
      <w:r>
        <w:rPr>
          <w:spacing w:val="-3"/>
        </w:rPr>
        <w:t> </w:t>
      </w:r>
      <w:r>
        <w:rPr>
          <w:spacing w:val="-2"/>
        </w:rPr>
        <w:t>CONTENTS</w:t>
      </w:r>
    </w:p>
    <w:p>
      <w:pPr>
        <w:pStyle w:val="BodyText"/>
        <w:tabs>
          <w:tab w:pos="1800" w:val="left" w:leader="none"/>
          <w:tab w:pos="2520" w:val="left" w:leader="none"/>
          <w:tab w:pos="3240" w:val="left" w:leader="none"/>
          <w:tab w:pos="3960" w:val="left" w:leader="none"/>
          <w:tab w:pos="4680" w:val="left" w:leader="none"/>
          <w:tab w:pos="5401" w:val="left" w:leader="none"/>
          <w:tab w:pos="6121" w:val="left" w:leader="none"/>
          <w:tab w:pos="6841" w:val="left" w:leader="none"/>
          <w:tab w:pos="7561" w:val="left" w:leader="none"/>
          <w:tab w:pos="8281" w:val="left" w:leader="none"/>
          <w:tab w:pos="9001" w:val="left" w:leader="none"/>
        </w:tabs>
        <w:spacing w:before="272"/>
        <w:ind w:left="360"/>
      </w:pPr>
      <w:r>
        <w:rPr/>
        <w:t>Title</w:t>
      </w:r>
      <w:r>
        <w:rPr>
          <w:spacing w:val="-3"/>
        </w:rPr>
        <w:t> </w:t>
      </w:r>
      <w:r>
        <w:rPr>
          <w:spacing w:val="-4"/>
        </w:rPr>
        <w:t>Page</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i</w:t>
      </w:r>
    </w:p>
    <w:p>
      <w:pPr>
        <w:spacing w:after="0"/>
        <w:sectPr>
          <w:pgSz w:w="11910" w:h="16840"/>
          <w:pgMar w:header="0" w:footer="1000" w:top="1340" w:bottom="1860" w:left="1080" w:right="1280"/>
        </w:sectPr>
      </w:pPr>
    </w:p>
    <w:sdt>
      <w:sdtPr>
        <w:docPartObj>
          <w:docPartGallery w:val="Table of Contents"/>
          <w:docPartUnique/>
        </w:docPartObj>
      </w:sdtPr>
      <w:sdtEndPr/>
      <w:sdtContent>
        <w:p>
          <w:pPr>
            <w:pStyle w:val="TOC1"/>
            <w:tabs>
              <w:tab w:pos="1800" w:val="left" w:leader="none"/>
              <w:tab w:pos="2520" w:val="left" w:leader="none"/>
              <w:tab w:pos="3240" w:val="left" w:leader="none"/>
              <w:tab w:pos="3960" w:val="left" w:leader="none"/>
              <w:tab w:pos="4680" w:val="left" w:leader="none"/>
              <w:tab w:pos="5401" w:val="left" w:leader="none"/>
              <w:tab w:pos="6121" w:val="left" w:leader="none"/>
              <w:tab w:pos="6841" w:val="left" w:leader="none"/>
              <w:tab w:pos="7561" w:val="left" w:leader="none"/>
              <w:tab w:pos="8281" w:val="left" w:leader="none"/>
              <w:tab w:pos="9136" w:val="right" w:leader="none"/>
            </w:tabs>
            <w:ind w:left="360" w:firstLine="0"/>
          </w:pPr>
          <w:hyperlink w:history="true" w:anchor="_TOC_250024">
            <w:r>
              <w:rPr>
                <w:spacing w:val="-2"/>
              </w:rPr>
              <w:t>Declaration</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5"/>
              </w:rPr>
              <w:t>ii</w:t>
            </w:r>
          </w:hyperlink>
        </w:p>
        <w:p>
          <w:pPr>
            <w:pStyle w:val="TOC1"/>
            <w:tabs>
              <w:tab w:pos="1800" w:val="left" w:leader="none"/>
              <w:tab w:pos="2520" w:val="left" w:leader="none"/>
              <w:tab w:pos="3240" w:val="left" w:leader="none"/>
              <w:tab w:pos="3960" w:val="left" w:leader="none"/>
              <w:tab w:pos="4680" w:val="left" w:leader="none"/>
              <w:tab w:pos="5401" w:val="left" w:leader="none"/>
              <w:tab w:pos="6121" w:val="left" w:leader="none"/>
              <w:tab w:pos="6841" w:val="left" w:leader="none"/>
              <w:tab w:pos="7561" w:val="left" w:leader="none"/>
              <w:tab w:pos="8281" w:val="left" w:leader="none"/>
              <w:tab w:pos="9203" w:val="right" w:leader="none"/>
            </w:tabs>
            <w:ind w:left="360" w:firstLine="0"/>
          </w:pPr>
          <w:hyperlink w:history="true" w:anchor="_TOC_250023">
            <w:r>
              <w:rPr>
                <w:spacing w:val="-2"/>
              </w:rPr>
              <w:t>Certification</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5"/>
              </w:rPr>
              <w:t>iii</w:t>
            </w:r>
          </w:hyperlink>
        </w:p>
        <w:p>
          <w:pPr>
            <w:pStyle w:val="TOC1"/>
            <w:tabs>
              <w:tab w:pos="1800" w:val="left" w:leader="none"/>
              <w:tab w:pos="2520" w:val="left" w:leader="none"/>
              <w:tab w:pos="3240" w:val="left" w:leader="none"/>
              <w:tab w:pos="3960" w:val="left" w:leader="none"/>
              <w:tab w:pos="4680" w:val="left" w:leader="none"/>
              <w:tab w:pos="5401" w:val="left" w:leader="none"/>
              <w:tab w:pos="6121" w:val="left" w:leader="none"/>
              <w:tab w:pos="6841" w:val="left" w:leader="none"/>
              <w:tab w:pos="7561" w:val="left" w:leader="none"/>
              <w:tab w:pos="8281" w:val="left" w:leader="none"/>
              <w:tab w:pos="9189" w:val="right" w:leader="none"/>
            </w:tabs>
            <w:ind w:left="360" w:firstLine="0"/>
          </w:pPr>
          <w:hyperlink w:history="true" w:anchor="_TOC_250022">
            <w:r>
              <w:rPr>
                <w:spacing w:val="-2"/>
              </w:rPr>
              <w:t>Dedication</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5"/>
              </w:rPr>
              <w:t>iv</w:t>
            </w:r>
          </w:hyperlink>
        </w:p>
        <w:p>
          <w:pPr>
            <w:pStyle w:val="TOC1"/>
            <w:tabs>
              <w:tab w:pos="2520" w:val="left" w:leader="none"/>
              <w:tab w:pos="3240" w:val="left" w:leader="none"/>
              <w:tab w:pos="3960" w:val="left" w:leader="none"/>
              <w:tab w:pos="4680" w:val="left" w:leader="none"/>
              <w:tab w:pos="5401" w:val="left" w:leader="none"/>
              <w:tab w:pos="6121" w:val="left" w:leader="none"/>
              <w:tab w:pos="6841" w:val="left" w:leader="none"/>
              <w:tab w:pos="7561" w:val="left" w:leader="none"/>
              <w:tab w:pos="8281" w:val="left" w:leader="none"/>
              <w:tab w:pos="9121" w:val="right" w:leader="none"/>
            </w:tabs>
            <w:ind w:left="360" w:firstLine="0"/>
          </w:pPr>
          <w:r>
            <w:rPr>
              <w:spacing w:val="-2"/>
            </w:rPr>
            <w:t>Acknowledgement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v</w:t>
          </w:r>
        </w:p>
        <w:p>
          <w:pPr>
            <w:pStyle w:val="TOC1"/>
            <w:tabs>
              <w:tab w:pos="2520" w:val="left" w:leader="none"/>
              <w:tab w:pos="3240" w:val="left" w:leader="none"/>
              <w:tab w:pos="3960" w:val="left" w:leader="none"/>
              <w:tab w:pos="4680" w:val="left" w:leader="none"/>
              <w:tab w:pos="5401" w:val="left" w:leader="none"/>
              <w:tab w:pos="6121" w:val="left" w:leader="none"/>
              <w:tab w:pos="6841" w:val="left" w:leader="none"/>
              <w:tab w:pos="7561" w:val="left" w:leader="none"/>
              <w:tab w:pos="8281" w:val="left" w:leader="none"/>
              <w:tab w:pos="9188" w:val="right" w:leader="none"/>
            </w:tabs>
            <w:ind w:left="360" w:firstLine="0"/>
          </w:pPr>
          <w:r>
            <w:rPr/>
            <w:t>List</w:t>
          </w:r>
          <w:r>
            <w:rPr>
              <w:spacing w:val="-3"/>
            </w:rPr>
            <w:t> </w:t>
          </w:r>
          <w:r>
            <w:rPr/>
            <w:t>of</w:t>
          </w:r>
          <w:r>
            <w:rPr>
              <w:spacing w:val="-2"/>
            </w:rPr>
            <w:t> Statutes</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5"/>
            </w:rPr>
            <w:t>vi</w:t>
          </w:r>
        </w:p>
        <w:p>
          <w:pPr>
            <w:pStyle w:val="TOC1"/>
            <w:tabs>
              <w:tab w:pos="2520" w:val="left" w:leader="none"/>
              <w:tab w:pos="3240" w:val="left" w:leader="none"/>
              <w:tab w:pos="3960" w:val="left" w:leader="none"/>
              <w:tab w:pos="4680" w:val="left" w:leader="none"/>
              <w:tab w:pos="5401" w:val="left" w:leader="none"/>
              <w:tab w:pos="6121" w:val="left" w:leader="none"/>
              <w:tab w:pos="6841" w:val="left" w:leader="none"/>
              <w:tab w:pos="7561" w:val="left" w:leader="none"/>
              <w:tab w:pos="8281" w:val="left" w:leader="none"/>
              <w:tab w:pos="9255" w:val="right" w:leader="none"/>
            </w:tabs>
            <w:ind w:left="360" w:firstLine="0"/>
          </w:pPr>
          <w:r>
            <w:rPr/>
            <w:t>Table</w:t>
          </w:r>
          <w:r>
            <w:rPr>
              <w:spacing w:val="-2"/>
            </w:rPr>
            <w:t> </w:t>
          </w:r>
          <w:r>
            <w:rPr/>
            <w:t>of</w:t>
          </w:r>
          <w:r>
            <w:rPr>
              <w:spacing w:val="-2"/>
            </w:rPr>
            <w:t> Cases-</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5"/>
            </w:rPr>
            <w:t>vii</w:t>
          </w:r>
        </w:p>
        <w:p>
          <w:pPr>
            <w:pStyle w:val="TOC1"/>
            <w:tabs>
              <w:tab w:pos="3240" w:val="left" w:leader="none"/>
              <w:tab w:pos="3960" w:val="left" w:leader="none"/>
              <w:tab w:pos="4680" w:val="left" w:leader="none"/>
              <w:tab w:pos="5401" w:val="left" w:leader="none"/>
              <w:tab w:pos="6121" w:val="left" w:leader="none"/>
              <w:tab w:pos="6841" w:val="left" w:leader="none"/>
              <w:tab w:pos="7561" w:val="left" w:leader="none"/>
              <w:tab w:pos="8281" w:val="left" w:leader="none"/>
              <w:tab w:pos="9322" w:val="right" w:leader="none"/>
            </w:tabs>
            <w:ind w:left="360" w:firstLine="0"/>
          </w:pPr>
          <w:r>
            <w:rPr/>
            <w:t>List</w:t>
          </w:r>
          <w:r>
            <w:rPr>
              <w:spacing w:val="-2"/>
            </w:rPr>
            <w:t> </w:t>
          </w:r>
          <w:r>
            <w:rPr/>
            <w:t>of</w:t>
          </w:r>
          <w:r>
            <w:rPr>
              <w:spacing w:val="-1"/>
            </w:rPr>
            <w:t> </w:t>
          </w:r>
          <w:r>
            <w:rPr/>
            <w:t>Abbreviations</w:t>
          </w:r>
          <w:r>
            <w:rPr>
              <w:spacing w:val="47"/>
            </w:rPr>
            <w:t> </w:t>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4"/>
            </w:rPr>
            <w:t>viii</w:t>
          </w:r>
        </w:p>
        <w:p>
          <w:pPr>
            <w:pStyle w:val="TOC1"/>
            <w:tabs>
              <w:tab w:pos="1800" w:val="left" w:leader="none"/>
              <w:tab w:pos="2520" w:val="left" w:leader="none"/>
              <w:tab w:pos="3240" w:val="left" w:leader="none"/>
              <w:tab w:pos="3960" w:val="left" w:leader="none"/>
              <w:tab w:pos="4680" w:val="left" w:leader="none"/>
              <w:tab w:pos="5401" w:val="left" w:leader="none"/>
              <w:tab w:pos="6121" w:val="left" w:leader="none"/>
              <w:tab w:pos="6841" w:val="left" w:leader="none"/>
              <w:tab w:pos="7561" w:val="left" w:leader="none"/>
              <w:tab w:pos="8281" w:val="left" w:leader="none"/>
              <w:tab w:pos="9189" w:val="right" w:leader="none"/>
            </w:tabs>
            <w:ind w:left="360" w:firstLine="0"/>
          </w:pPr>
          <w:hyperlink w:history="true" w:anchor="_TOC_250021">
            <w:r>
              <w:rPr>
                <w:spacing w:val="-2"/>
              </w:rPr>
              <w:t>Abstract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5"/>
              </w:rPr>
              <w:t>ix</w:t>
            </w:r>
          </w:hyperlink>
        </w:p>
        <w:p>
          <w:pPr>
            <w:pStyle w:val="TOC1"/>
            <w:tabs>
              <w:tab w:pos="2520" w:val="left" w:leader="none"/>
              <w:tab w:pos="3240" w:val="left" w:leader="none"/>
              <w:tab w:pos="3960" w:val="left" w:leader="none"/>
              <w:tab w:pos="4680" w:val="left" w:leader="none"/>
              <w:tab w:pos="5401" w:val="left" w:leader="none"/>
              <w:tab w:pos="6121" w:val="left" w:leader="none"/>
              <w:tab w:pos="6841" w:val="left" w:leader="none"/>
              <w:tab w:pos="7561" w:val="left" w:leader="none"/>
              <w:tab w:pos="8281" w:val="left" w:leader="none"/>
              <w:tab w:pos="9121" w:val="right" w:leader="none"/>
            </w:tabs>
            <w:ind w:left="360" w:firstLine="0"/>
          </w:pPr>
          <w:r>
            <w:rPr/>
            <w:t>Table</w:t>
          </w:r>
          <w:r>
            <w:rPr>
              <w:spacing w:val="-4"/>
            </w:rPr>
            <w:t> </w:t>
          </w:r>
          <w:r>
            <w:rPr/>
            <w:t>of</w:t>
          </w:r>
          <w:r>
            <w:rPr>
              <w:spacing w:val="-2"/>
            </w:rPr>
            <w:t> Contents</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x</w:t>
          </w:r>
        </w:p>
        <w:p>
          <w:pPr>
            <w:pStyle w:val="TOC3"/>
            <w:spacing w:line="480" w:lineRule="auto"/>
          </w:pPr>
          <w:hyperlink w:history="true" w:anchor="_TOC_250020">
            <w:r>
              <w:rPr/>
              <w:t>CHAPTER ONE GENERAL</w:t>
            </w:r>
            <w:r>
              <w:rPr>
                <w:spacing w:val="-15"/>
              </w:rPr>
              <w:t> </w:t>
            </w:r>
            <w:r>
              <w:rPr/>
              <w:t>INTRODUCTION</w:t>
            </w:r>
          </w:hyperlink>
        </w:p>
        <w:p>
          <w:pPr>
            <w:pStyle w:val="TOC1"/>
            <w:numPr>
              <w:ilvl w:val="1"/>
              <w:numId w:val="2"/>
            </w:numPr>
            <w:tabs>
              <w:tab w:pos="1080" w:val="left" w:leader="none"/>
              <w:tab w:pos="3960" w:val="left" w:leader="none"/>
              <w:tab w:pos="4680" w:val="left" w:leader="none"/>
              <w:tab w:pos="5401" w:val="left" w:leader="none"/>
              <w:tab w:pos="6121" w:val="left" w:leader="none"/>
              <w:tab w:pos="6841" w:val="left" w:leader="none"/>
              <w:tab w:pos="7561" w:val="left" w:leader="none"/>
              <w:tab w:pos="8281" w:val="left" w:leader="none"/>
              <w:tab w:pos="9121" w:val="right" w:leader="none"/>
            </w:tabs>
            <w:spacing w:line="272" w:lineRule="exact" w:before="0" w:after="0"/>
            <w:ind w:left="1080" w:right="0" w:hanging="720"/>
            <w:jc w:val="left"/>
          </w:pPr>
          <w:hyperlink w:history="true" w:anchor="_TOC_250019">
            <w:r>
              <w:rPr/>
              <w:t>Background</w:t>
            </w:r>
            <w:r>
              <w:rPr>
                <w:spacing w:val="-1"/>
              </w:rPr>
              <w:t> </w:t>
            </w:r>
            <w:r>
              <w:rPr/>
              <w:t>to</w:t>
            </w:r>
            <w:r>
              <w:rPr>
                <w:spacing w:val="-2"/>
              </w:rPr>
              <w:t> </w:t>
            </w:r>
            <w:r>
              <w:rPr/>
              <w:t>the</w:t>
            </w:r>
            <w:r>
              <w:rPr>
                <w:spacing w:val="-1"/>
              </w:rPr>
              <w:t> </w:t>
            </w:r>
            <w:r>
              <w:rPr>
                <w:spacing w:val="-2"/>
              </w:rPr>
              <w:t>Study-</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1</w:t>
            </w:r>
          </w:hyperlink>
        </w:p>
        <w:p>
          <w:pPr>
            <w:pStyle w:val="TOC1"/>
            <w:numPr>
              <w:ilvl w:val="1"/>
              <w:numId w:val="2"/>
            </w:numPr>
            <w:tabs>
              <w:tab w:pos="1080" w:val="left" w:leader="none"/>
              <w:tab w:pos="3960" w:val="left" w:leader="none"/>
              <w:tab w:pos="4680" w:val="left" w:leader="none"/>
              <w:tab w:pos="5401" w:val="left" w:leader="none"/>
              <w:tab w:pos="6121" w:val="left" w:leader="none"/>
              <w:tab w:pos="6841" w:val="left" w:leader="none"/>
              <w:tab w:pos="7561" w:val="left" w:leader="none"/>
              <w:tab w:pos="8281" w:val="left" w:leader="none"/>
              <w:tab w:pos="9121" w:val="right" w:leader="none"/>
            </w:tabs>
            <w:spacing w:line="240" w:lineRule="auto" w:before="276" w:after="0"/>
            <w:ind w:left="1080" w:right="0" w:hanging="720"/>
            <w:jc w:val="left"/>
          </w:pPr>
          <w:r>
            <w:rPr/>
            <w:t>Statement</w:t>
          </w:r>
          <w:r>
            <w:rPr>
              <w:spacing w:val="-1"/>
            </w:rPr>
            <w:t> </w:t>
          </w:r>
          <w:r>
            <w:rPr/>
            <w:t>of</w:t>
          </w:r>
          <w:r>
            <w:rPr>
              <w:spacing w:val="-2"/>
            </w:rPr>
            <w:t> </w:t>
          </w:r>
          <w:r>
            <w:rPr/>
            <w:t>Problem</w:t>
          </w:r>
          <w:r>
            <w:rPr>
              <w:spacing w:val="8"/>
            </w:rPr>
            <w:t> </w:t>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4</w:t>
          </w:r>
        </w:p>
        <w:p>
          <w:pPr>
            <w:pStyle w:val="TOC1"/>
            <w:numPr>
              <w:ilvl w:val="1"/>
              <w:numId w:val="2"/>
            </w:numPr>
            <w:tabs>
              <w:tab w:pos="1080" w:val="left" w:leader="none"/>
              <w:tab w:pos="4680" w:val="left" w:leader="none"/>
              <w:tab w:pos="5401" w:val="left" w:leader="none"/>
              <w:tab w:pos="6121" w:val="left" w:leader="none"/>
              <w:tab w:pos="6841" w:val="left" w:leader="none"/>
              <w:tab w:pos="7561" w:val="left" w:leader="none"/>
              <w:tab w:pos="8281" w:val="left" w:leader="none"/>
              <w:tab w:pos="9121" w:val="right" w:leader="none"/>
            </w:tabs>
            <w:spacing w:line="240" w:lineRule="auto" w:before="276" w:after="0"/>
            <w:ind w:left="1080" w:right="0" w:hanging="720"/>
            <w:jc w:val="left"/>
          </w:pPr>
          <w:r>
            <w:rPr/>
            <w:t>Aim</w:t>
          </w:r>
          <w:r>
            <w:rPr>
              <w:spacing w:val="-1"/>
            </w:rPr>
            <w:t> </w:t>
          </w:r>
          <w:r>
            <w:rPr/>
            <w:t>and Objectives</w:t>
          </w:r>
          <w:r>
            <w:rPr>
              <w:spacing w:val="-1"/>
            </w:rPr>
            <w:t> </w:t>
          </w:r>
          <w:r>
            <w:rPr/>
            <w:t>of the</w:t>
          </w:r>
          <w:r>
            <w:rPr>
              <w:spacing w:val="-1"/>
            </w:rPr>
            <w:t> </w:t>
          </w:r>
          <w:r>
            <w:rPr>
              <w:spacing w:val="-4"/>
            </w:rPr>
            <w:t>Study</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9</w:t>
          </w:r>
        </w:p>
        <w:p>
          <w:pPr>
            <w:pStyle w:val="TOC1"/>
            <w:numPr>
              <w:ilvl w:val="1"/>
              <w:numId w:val="2"/>
            </w:numPr>
            <w:tabs>
              <w:tab w:pos="1080" w:val="left" w:leader="none"/>
              <w:tab w:pos="3240" w:val="left" w:leader="none"/>
              <w:tab w:pos="3960" w:val="left" w:leader="none"/>
              <w:tab w:pos="4680" w:val="left" w:leader="none"/>
              <w:tab w:pos="5401" w:val="left" w:leader="none"/>
              <w:tab w:pos="6121" w:val="left" w:leader="none"/>
              <w:tab w:pos="6841" w:val="left" w:leader="none"/>
              <w:tab w:pos="7561" w:val="left" w:leader="none"/>
              <w:tab w:pos="8281" w:val="left" w:leader="none"/>
              <w:tab w:pos="9241" w:val="right" w:leader="none"/>
            </w:tabs>
            <w:spacing w:line="240" w:lineRule="auto" w:before="276" w:after="0"/>
            <w:ind w:left="1080" w:right="0" w:hanging="720"/>
            <w:jc w:val="left"/>
          </w:pPr>
          <w:r>
            <w:rPr/>
            <w:t>Scope</w:t>
          </w:r>
          <w:r>
            <w:rPr>
              <w:spacing w:val="-2"/>
            </w:rPr>
            <w:t> </w:t>
          </w:r>
          <w:r>
            <w:rPr/>
            <w:t>of the</w:t>
          </w:r>
          <w:r>
            <w:rPr>
              <w:spacing w:val="-2"/>
            </w:rPr>
            <w:t> </w:t>
          </w:r>
          <w:r>
            <w:rPr>
              <w:spacing w:val="-4"/>
            </w:rPr>
            <w:t>Study</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5"/>
            </w:rPr>
            <w:t>10</w:t>
          </w:r>
        </w:p>
        <w:p>
          <w:pPr>
            <w:pStyle w:val="TOC1"/>
            <w:numPr>
              <w:ilvl w:val="1"/>
              <w:numId w:val="2"/>
            </w:numPr>
            <w:tabs>
              <w:tab w:pos="1080" w:val="left" w:leader="none"/>
              <w:tab w:pos="3960" w:val="left" w:leader="none"/>
              <w:tab w:pos="4680" w:val="left" w:leader="none"/>
              <w:tab w:pos="5401" w:val="left" w:leader="none"/>
              <w:tab w:pos="6121" w:val="left" w:leader="none"/>
              <w:tab w:pos="6841" w:val="left" w:leader="none"/>
              <w:tab w:pos="7561" w:val="left" w:leader="none"/>
              <w:tab w:pos="8281" w:val="left" w:leader="none"/>
              <w:tab w:pos="9241" w:val="right" w:leader="none"/>
            </w:tabs>
            <w:spacing w:line="240" w:lineRule="auto" w:before="277" w:after="0"/>
            <w:ind w:left="1080" w:right="0" w:hanging="720"/>
            <w:jc w:val="left"/>
          </w:pPr>
          <w:r>
            <w:rPr/>
            <w:t>Justification</w:t>
          </w:r>
          <w:r>
            <w:rPr>
              <w:spacing w:val="-1"/>
            </w:rPr>
            <w:t> </w:t>
          </w:r>
          <w:r>
            <w:rPr/>
            <w:t>of</w:t>
          </w:r>
          <w:r>
            <w:rPr>
              <w:spacing w:val="-2"/>
            </w:rPr>
            <w:t> </w:t>
          </w:r>
          <w:r>
            <w:rPr/>
            <w:t>the </w:t>
          </w:r>
          <w:r>
            <w:rPr>
              <w:spacing w:val="-4"/>
            </w:rPr>
            <w:t>Study</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5"/>
            </w:rPr>
            <w:t>11</w:t>
          </w:r>
        </w:p>
        <w:p>
          <w:pPr>
            <w:pStyle w:val="TOC1"/>
            <w:numPr>
              <w:ilvl w:val="1"/>
              <w:numId w:val="2"/>
            </w:numPr>
            <w:tabs>
              <w:tab w:pos="1080" w:val="left" w:leader="none"/>
              <w:tab w:pos="3960" w:val="left" w:leader="none"/>
              <w:tab w:pos="4680" w:val="left" w:leader="none"/>
              <w:tab w:pos="5401" w:val="left" w:leader="none"/>
              <w:tab w:pos="6121" w:val="left" w:leader="none"/>
              <w:tab w:pos="6841" w:val="left" w:leader="none"/>
              <w:tab w:pos="7561" w:val="left" w:leader="none"/>
              <w:tab w:pos="8281" w:val="left" w:leader="none"/>
              <w:tab w:pos="9241" w:val="right" w:leader="none"/>
            </w:tabs>
            <w:spacing w:line="240" w:lineRule="auto" w:before="276" w:after="0"/>
            <w:ind w:left="1080" w:right="0" w:hanging="720"/>
            <w:jc w:val="left"/>
          </w:pPr>
          <w:hyperlink w:history="true" w:anchor="_TOC_250018">
            <w:r>
              <w:rPr/>
              <w:t>Research</w:t>
            </w:r>
            <w:r>
              <w:rPr>
                <w:spacing w:val="-5"/>
              </w:rPr>
              <w:t> </w:t>
            </w:r>
            <w:r>
              <w:rPr>
                <w:spacing w:val="-2"/>
              </w:rPr>
              <w:t>Methodology</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5"/>
              </w:rPr>
              <w:t>11</w:t>
            </w:r>
          </w:hyperlink>
        </w:p>
        <w:p>
          <w:pPr>
            <w:pStyle w:val="TOC1"/>
            <w:numPr>
              <w:ilvl w:val="1"/>
              <w:numId w:val="2"/>
            </w:numPr>
            <w:tabs>
              <w:tab w:pos="1080" w:val="left" w:leader="none"/>
              <w:tab w:pos="3240" w:val="left" w:leader="none"/>
              <w:tab w:pos="3960" w:val="left" w:leader="none"/>
              <w:tab w:pos="4680" w:val="left" w:leader="none"/>
              <w:tab w:pos="5401" w:val="left" w:leader="none"/>
              <w:tab w:pos="6121" w:val="left" w:leader="none"/>
              <w:tab w:pos="6841" w:val="left" w:leader="none"/>
              <w:tab w:pos="7561" w:val="left" w:leader="none"/>
              <w:tab w:pos="8281" w:val="left" w:leader="none"/>
              <w:tab w:pos="9241" w:val="right" w:leader="none"/>
            </w:tabs>
            <w:spacing w:line="240" w:lineRule="auto" w:before="276" w:after="0"/>
            <w:ind w:left="1080" w:right="0" w:hanging="720"/>
            <w:jc w:val="left"/>
          </w:pPr>
          <w:hyperlink w:history="true" w:anchor="_TOC_250017">
            <w:r>
              <w:rPr/>
              <w:t>Literature</w:t>
            </w:r>
            <w:r>
              <w:rPr>
                <w:spacing w:val="-6"/>
              </w:rPr>
              <w:t> </w:t>
            </w:r>
            <w:r>
              <w:rPr>
                <w:spacing w:val="-2"/>
              </w:rPr>
              <w:t>Review</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5"/>
              </w:rPr>
              <w:t>12</w:t>
            </w:r>
          </w:hyperlink>
        </w:p>
        <w:p>
          <w:pPr>
            <w:pStyle w:val="TOC1"/>
            <w:numPr>
              <w:ilvl w:val="1"/>
              <w:numId w:val="2"/>
            </w:numPr>
            <w:tabs>
              <w:tab w:pos="1080" w:val="left" w:leader="none"/>
              <w:tab w:pos="3960" w:val="left" w:leader="none"/>
              <w:tab w:pos="4680" w:val="left" w:leader="none"/>
              <w:tab w:pos="5401" w:val="left" w:leader="none"/>
              <w:tab w:pos="6121" w:val="left" w:leader="none"/>
              <w:tab w:pos="6841" w:val="left" w:leader="none"/>
              <w:tab w:pos="7561" w:val="left" w:leader="none"/>
              <w:tab w:pos="8281" w:val="left" w:leader="none"/>
              <w:tab w:pos="9241" w:val="right" w:leader="none"/>
            </w:tabs>
            <w:spacing w:line="240" w:lineRule="auto" w:before="276" w:after="0"/>
            <w:ind w:left="1080" w:right="0" w:hanging="720"/>
            <w:jc w:val="left"/>
          </w:pPr>
          <w:hyperlink w:history="true" w:anchor="_TOC_250016">
            <w:r>
              <w:rPr/>
              <w:t>Organizational</w:t>
            </w:r>
            <w:r>
              <w:rPr>
                <w:spacing w:val="-3"/>
              </w:rPr>
              <w:t> </w:t>
            </w:r>
            <w:r>
              <w:rPr>
                <w:spacing w:val="-2"/>
              </w:rPr>
              <w:t>Layout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5"/>
              </w:rPr>
              <w:t>15</w:t>
            </w:r>
          </w:hyperlink>
        </w:p>
        <w:p>
          <w:pPr>
            <w:pStyle w:val="TOC2"/>
            <w:spacing w:before="281"/>
            <w:ind w:right="240"/>
          </w:pPr>
          <w:hyperlink w:history="true" w:anchor="_TOC_250015">
            <w:r>
              <w:rPr/>
              <w:t>CHAPTER</w:t>
            </w:r>
            <w:r>
              <w:rPr>
                <w:spacing w:val="-4"/>
              </w:rPr>
              <w:t> </w:t>
            </w:r>
            <w:r>
              <w:rPr>
                <w:spacing w:val="-5"/>
              </w:rPr>
              <w:t>TWO</w:t>
            </w:r>
          </w:hyperlink>
        </w:p>
        <w:p>
          <w:pPr>
            <w:pStyle w:val="TOC2"/>
            <w:ind w:right="250"/>
          </w:pPr>
          <w:hyperlink w:history="true" w:anchor="_TOC_250014">
            <w:r>
              <w:rPr/>
              <w:t>LEGAL</w:t>
            </w:r>
            <w:r>
              <w:rPr>
                <w:spacing w:val="54"/>
              </w:rPr>
              <w:t> </w:t>
            </w:r>
            <w:r>
              <w:rPr/>
              <w:t>FRAMEWORKS</w:t>
            </w:r>
            <w:r>
              <w:rPr>
                <w:spacing w:val="57"/>
              </w:rPr>
              <w:t> </w:t>
            </w:r>
            <w:r>
              <w:rPr/>
              <w:t>OF</w:t>
            </w:r>
            <w:r>
              <w:rPr>
                <w:spacing w:val="53"/>
              </w:rPr>
              <w:t> </w:t>
            </w:r>
            <w:r>
              <w:rPr/>
              <w:t>THE</w:t>
            </w:r>
            <w:r>
              <w:rPr>
                <w:spacing w:val="66"/>
              </w:rPr>
              <w:t> </w:t>
            </w:r>
            <w:r>
              <w:rPr/>
              <w:t>PETROLEUM</w:t>
            </w:r>
            <w:r>
              <w:rPr>
                <w:spacing w:val="54"/>
              </w:rPr>
              <w:t> </w:t>
            </w:r>
            <w:r>
              <w:rPr/>
              <w:t>INDUSTRY</w:t>
            </w:r>
            <w:r>
              <w:rPr>
                <w:spacing w:val="48"/>
              </w:rPr>
              <w:t> </w:t>
            </w:r>
            <w:r>
              <w:rPr/>
              <w:t>IN</w:t>
            </w:r>
            <w:r>
              <w:rPr>
                <w:spacing w:val="56"/>
              </w:rPr>
              <w:t> </w:t>
            </w:r>
            <w:r>
              <w:rPr>
                <w:spacing w:val="-2"/>
              </w:rPr>
              <w:t>NIGERIA</w:t>
            </w:r>
          </w:hyperlink>
        </w:p>
        <w:p>
          <w:pPr>
            <w:pStyle w:val="TOC1"/>
            <w:numPr>
              <w:ilvl w:val="1"/>
              <w:numId w:val="3"/>
            </w:numPr>
            <w:tabs>
              <w:tab w:pos="1080" w:val="left" w:leader="none"/>
              <w:tab w:pos="3240" w:val="left" w:leader="none"/>
              <w:tab w:pos="3960" w:val="left" w:leader="none"/>
              <w:tab w:pos="4680" w:val="left" w:leader="none"/>
              <w:tab w:pos="5401" w:val="left" w:leader="none"/>
              <w:tab w:pos="6121" w:val="left" w:leader="none"/>
              <w:tab w:pos="6841" w:val="left" w:leader="none"/>
              <w:tab w:pos="7561" w:val="left" w:leader="none"/>
              <w:tab w:pos="8281" w:val="left" w:leader="none"/>
              <w:tab w:pos="9256" w:val="right" w:leader="none"/>
            </w:tabs>
            <w:spacing w:line="240" w:lineRule="auto" w:before="272" w:after="0"/>
            <w:ind w:left="1080" w:right="0" w:hanging="720"/>
            <w:jc w:val="left"/>
          </w:pPr>
          <w:hyperlink w:history="true" w:anchor="_TOC_250013">
            <w:r>
              <w:rPr/>
              <w:t>Introduction</w:t>
            </w:r>
            <w:r>
              <w:rPr>
                <w:spacing w:val="63"/>
              </w:rPr>
              <w:t>  </w:t>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5"/>
              </w:rPr>
              <w:t>16</w:t>
            </w:r>
          </w:hyperlink>
        </w:p>
        <w:p>
          <w:pPr>
            <w:pStyle w:val="TOC1"/>
            <w:numPr>
              <w:ilvl w:val="1"/>
              <w:numId w:val="3"/>
            </w:numPr>
            <w:tabs>
              <w:tab w:pos="1080" w:val="left" w:leader="none"/>
              <w:tab w:pos="3240" w:val="left" w:leader="none"/>
              <w:tab w:pos="3960" w:val="left" w:leader="none"/>
              <w:tab w:pos="4680" w:val="left" w:leader="none"/>
              <w:tab w:pos="5401" w:val="left" w:leader="none"/>
              <w:tab w:pos="6121" w:val="left" w:leader="none"/>
              <w:tab w:pos="6841" w:val="left" w:leader="none"/>
              <w:tab w:pos="7561" w:val="left" w:leader="none"/>
              <w:tab w:pos="8281" w:val="left" w:leader="none"/>
              <w:tab w:pos="9256" w:val="right" w:leader="none"/>
            </w:tabs>
            <w:spacing w:line="240" w:lineRule="auto" w:before="276" w:after="20"/>
            <w:ind w:left="1080" w:right="0" w:hanging="720"/>
            <w:jc w:val="left"/>
          </w:pPr>
          <w:hyperlink w:history="true" w:anchor="_TOC_250012">
            <w:r>
              <w:rPr/>
              <w:t>Petroleum</w:t>
            </w:r>
            <w:r>
              <w:rPr>
                <w:spacing w:val="55"/>
              </w:rPr>
              <w:t> </w:t>
            </w:r>
            <w:r>
              <w:rPr>
                <w:spacing w:val="-5"/>
              </w:rPr>
              <w:t>Act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5"/>
              </w:rPr>
              <w:t>16</w:t>
            </w:r>
          </w:hyperlink>
        </w:p>
        <w:p>
          <w:pPr>
            <w:pStyle w:val="TOC1"/>
            <w:numPr>
              <w:ilvl w:val="1"/>
              <w:numId w:val="3"/>
            </w:numPr>
            <w:tabs>
              <w:tab w:pos="1080" w:val="left" w:leader="none"/>
              <w:tab w:pos="3240" w:val="left" w:leader="none"/>
              <w:tab w:pos="3960" w:val="left" w:leader="none"/>
              <w:tab w:pos="4680" w:val="left" w:leader="none"/>
              <w:tab w:pos="5401" w:val="left" w:leader="none"/>
              <w:tab w:pos="6121" w:val="left" w:leader="none"/>
              <w:tab w:pos="6841" w:val="left" w:leader="none"/>
              <w:tab w:pos="7561" w:val="left" w:leader="none"/>
              <w:tab w:pos="8281" w:val="left" w:leader="none"/>
              <w:tab w:pos="9246" w:val="right" w:leader="none"/>
            </w:tabs>
            <w:spacing w:line="240" w:lineRule="auto" w:before="74" w:after="0"/>
            <w:ind w:left="1080" w:right="0" w:hanging="720"/>
            <w:jc w:val="left"/>
          </w:pPr>
          <w:hyperlink w:history="true" w:anchor="_TOC_250011">
            <w:r>
              <w:rPr/>
              <w:t>Oil</w:t>
            </w:r>
            <w:r>
              <w:rPr>
                <w:spacing w:val="8"/>
              </w:rPr>
              <w:t> </w:t>
            </w:r>
            <w:r>
              <w:rPr/>
              <w:t>Pipeline</w:t>
            </w:r>
            <w:r>
              <w:rPr>
                <w:spacing w:val="9"/>
              </w:rPr>
              <w:t> </w:t>
            </w:r>
            <w:r>
              <w:rPr>
                <w:spacing w:val="-5"/>
              </w:rPr>
              <w:t>Act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5"/>
              </w:rPr>
              <w:t>18</w:t>
            </w:r>
          </w:hyperlink>
        </w:p>
        <w:p>
          <w:pPr>
            <w:pStyle w:val="TOC1"/>
            <w:numPr>
              <w:ilvl w:val="1"/>
              <w:numId w:val="3"/>
            </w:numPr>
            <w:tabs>
              <w:tab w:pos="1080" w:val="left" w:leader="none"/>
              <w:tab w:pos="3960" w:val="left" w:leader="none"/>
              <w:tab w:pos="4680" w:val="left" w:leader="none"/>
              <w:tab w:pos="5401" w:val="left" w:leader="none"/>
              <w:tab w:pos="6121" w:val="left" w:leader="none"/>
              <w:tab w:pos="6841" w:val="left" w:leader="none"/>
              <w:tab w:pos="7561" w:val="left" w:leader="none"/>
              <w:tab w:pos="8281" w:val="left" w:leader="none"/>
              <w:tab w:pos="9246" w:val="right" w:leader="none"/>
            </w:tabs>
            <w:spacing w:line="240" w:lineRule="auto" w:before="276" w:after="0"/>
            <w:ind w:left="1080" w:right="0" w:hanging="720"/>
            <w:jc w:val="left"/>
          </w:pPr>
          <w:r>
            <w:rPr/>
            <w:t>Petroleum</w:t>
          </w:r>
          <w:r>
            <w:rPr>
              <w:spacing w:val="16"/>
            </w:rPr>
            <w:t> </w:t>
          </w:r>
          <w:r>
            <w:rPr/>
            <w:t>Profit</w:t>
          </w:r>
          <w:r>
            <w:rPr>
              <w:spacing w:val="14"/>
            </w:rPr>
            <w:t> </w:t>
          </w:r>
          <w:r>
            <w:rPr/>
            <w:t>Tax</w:t>
          </w:r>
          <w:r>
            <w:rPr>
              <w:spacing w:val="18"/>
            </w:rPr>
            <w:t> </w:t>
          </w:r>
          <w:r>
            <w:rPr>
              <w:spacing w:val="-5"/>
            </w:rPr>
            <w:t>Act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5"/>
            </w:rPr>
            <w:t>21</w:t>
          </w:r>
        </w:p>
        <w:p>
          <w:pPr>
            <w:pStyle w:val="TOC1"/>
            <w:numPr>
              <w:ilvl w:val="1"/>
              <w:numId w:val="3"/>
            </w:numPr>
            <w:tabs>
              <w:tab w:pos="1080" w:val="left" w:leader="none"/>
              <w:tab w:pos="7561" w:val="left" w:leader="none"/>
              <w:tab w:pos="8281" w:val="left" w:leader="none"/>
              <w:tab w:pos="9241" w:val="right" w:leader="none"/>
            </w:tabs>
            <w:spacing w:line="240" w:lineRule="auto" w:before="276" w:after="0"/>
            <w:ind w:left="1080" w:right="0" w:hanging="720"/>
            <w:jc w:val="left"/>
          </w:pPr>
          <w:hyperlink w:history="true" w:anchor="_TOC_250010">
            <w:r>
              <w:rPr/>
              <w:t>Nigerian</w:t>
            </w:r>
            <w:r>
              <w:rPr>
                <w:spacing w:val="4"/>
              </w:rPr>
              <w:t> </w:t>
            </w:r>
            <w:r>
              <w:rPr/>
              <w:t>Oil and Gas</w:t>
            </w:r>
            <w:r>
              <w:rPr>
                <w:spacing w:val="2"/>
              </w:rPr>
              <w:t> </w:t>
            </w:r>
            <w:r>
              <w:rPr/>
              <w:t>Industry</w:t>
            </w:r>
            <w:r>
              <w:rPr>
                <w:spacing w:val="-3"/>
              </w:rPr>
              <w:t> </w:t>
            </w:r>
            <w:r>
              <w:rPr/>
              <w:t>Local Content Development</w:t>
            </w:r>
            <w:r>
              <w:rPr>
                <w:spacing w:val="1"/>
              </w:rPr>
              <w:t> </w:t>
            </w:r>
            <w:r>
              <w:rPr>
                <w:spacing w:val="-5"/>
              </w:rPr>
              <w:t>Act</w:t>
            </w:r>
            <w:r>
              <w:rPr/>
              <w:tab/>
            </w:r>
            <w:r>
              <w:rPr>
                <w:spacing w:val="-10"/>
              </w:rPr>
              <w:t>-</w:t>
            </w:r>
            <w:r>
              <w:rPr/>
              <w:tab/>
            </w:r>
            <w:r>
              <w:rPr>
                <w:spacing w:val="-10"/>
              </w:rPr>
              <w:t>-</w:t>
            </w:r>
            <w:r>
              <w:rPr/>
              <w:tab/>
            </w:r>
            <w:r>
              <w:rPr>
                <w:spacing w:val="-5"/>
              </w:rPr>
              <w:t>26</w:t>
            </w:r>
          </w:hyperlink>
        </w:p>
        <w:p>
          <w:pPr>
            <w:pStyle w:val="TOC1"/>
            <w:numPr>
              <w:ilvl w:val="1"/>
              <w:numId w:val="3"/>
            </w:numPr>
            <w:tabs>
              <w:tab w:pos="1080" w:val="left" w:leader="none"/>
              <w:tab w:pos="5401" w:val="left" w:leader="none"/>
              <w:tab w:pos="6121" w:val="left" w:leader="none"/>
              <w:tab w:pos="6841" w:val="left" w:leader="none"/>
              <w:tab w:pos="7561" w:val="left" w:leader="none"/>
              <w:tab w:pos="8281" w:val="left" w:leader="none"/>
              <w:tab w:pos="9241" w:val="right" w:leader="none"/>
            </w:tabs>
            <w:spacing w:line="240" w:lineRule="auto" w:before="276" w:after="0"/>
            <w:ind w:left="1080" w:right="0" w:hanging="720"/>
            <w:jc w:val="left"/>
          </w:pPr>
          <w:hyperlink w:history="true" w:anchor="_TOC_250009">
            <w:r>
              <w:rPr/>
              <w:t>Companies</w:t>
            </w:r>
            <w:r>
              <w:rPr>
                <w:spacing w:val="-1"/>
              </w:rPr>
              <w:t> </w:t>
            </w:r>
            <w:r>
              <w:rPr/>
              <w:t>Income</w:t>
            </w:r>
            <w:r>
              <w:rPr>
                <w:spacing w:val="-1"/>
              </w:rPr>
              <w:t> </w:t>
            </w:r>
            <w:r>
              <w:rPr/>
              <w:t>Tax Act</w:t>
            </w:r>
            <w:r>
              <w:rPr>
                <w:spacing w:val="-2"/>
              </w:rPr>
              <w:t> </w:t>
            </w:r>
            <w:r>
              <w:rPr/>
              <w:t>(CITA)</w:t>
            </w:r>
            <w:r>
              <w:rPr>
                <w:spacing w:val="61"/>
              </w:rPr>
              <w:t> </w:t>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5"/>
              </w:rPr>
              <w:t>31</w:t>
            </w:r>
          </w:hyperlink>
        </w:p>
        <w:p>
          <w:pPr>
            <w:pStyle w:val="TOC2"/>
            <w:spacing w:before="281"/>
            <w:ind w:right="241"/>
          </w:pPr>
          <w:hyperlink w:history="true" w:anchor="_TOC_250008">
            <w:r>
              <w:rPr/>
              <w:t>CHAPTER</w:t>
            </w:r>
            <w:r>
              <w:rPr>
                <w:spacing w:val="-4"/>
              </w:rPr>
              <w:t> </w:t>
            </w:r>
            <w:r>
              <w:rPr>
                <w:spacing w:val="-2"/>
              </w:rPr>
              <w:t>THREE</w:t>
            </w:r>
          </w:hyperlink>
        </w:p>
        <w:p>
          <w:pPr>
            <w:pStyle w:val="TOC2"/>
            <w:spacing w:line="480" w:lineRule="auto"/>
          </w:pPr>
          <w:hyperlink w:history="true" w:anchor="_TOC_250007">
            <w:r>
              <w:rPr/>
              <w:t>PETROLEUM</w:t>
            </w:r>
            <w:r>
              <w:rPr>
                <w:spacing w:val="-6"/>
              </w:rPr>
              <w:t> </w:t>
            </w:r>
            <w:r>
              <w:rPr/>
              <w:t>PROFIT</w:t>
            </w:r>
            <w:r>
              <w:rPr>
                <w:spacing w:val="-6"/>
              </w:rPr>
              <w:t> </w:t>
            </w:r>
            <w:r>
              <w:rPr/>
              <w:t>UNDER</w:t>
            </w:r>
            <w:r>
              <w:rPr>
                <w:spacing w:val="-6"/>
              </w:rPr>
              <w:t> </w:t>
            </w:r>
            <w:r>
              <w:rPr/>
              <w:t>THE</w:t>
            </w:r>
            <w:r>
              <w:rPr>
                <w:spacing w:val="-6"/>
              </w:rPr>
              <w:t> </w:t>
            </w:r>
            <w:r>
              <w:rPr/>
              <w:t>NIGERIA’S</w:t>
            </w:r>
            <w:r>
              <w:rPr>
                <w:spacing w:val="-6"/>
              </w:rPr>
              <w:t> </w:t>
            </w:r>
            <w:r>
              <w:rPr/>
              <w:t>PETROLEUM</w:t>
            </w:r>
            <w:r>
              <w:rPr>
                <w:spacing w:val="-6"/>
              </w:rPr>
              <w:t> </w:t>
            </w:r>
            <w:r>
              <w:rPr/>
              <w:t>PROFIT</w:t>
            </w:r>
            <w:r>
              <w:rPr>
                <w:spacing w:val="-6"/>
              </w:rPr>
              <w:t> </w:t>
            </w:r>
            <w:r>
              <w:rPr/>
              <w:t>TAX </w:t>
            </w:r>
            <w:r>
              <w:rPr>
                <w:spacing w:val="-4"/>
              </w:rPr>
              <w:t>ACT</w:t>
            </w:r>
          </w:hyperlink>
        </w:p>
        <w:p>
          <w:pPr>
            <w:pStyle w:val="TOC1"/>
            <w:numPr>
              <w:ilvl w:val="1"/>
              <w:numId w:val="4"/>
            </w:numPr>
            <w:tabs>
              <w:tab w:pos="1080" w:val="left" w:leader="none"/>
              <w:tab w:pos="2520" w:val="left" w:leader="none"/>
              <w:tab w:pos="3240" w:val="left" w:leader="none"/>
              <w:tab w:pos="3960" w:val="left" w:leader="none"/>
              <w:tab w:pos="4680" w:val="left" w:leader="none"/>
              <w:tab w:pos="5401" w:val="left" w:leader="none"/>
              <w:tab w:pos="6121" w:val="left" w:leader="none"/>
              <w:tab w:pos="6841" w:val="left" w:leader="none"/>
              <w:tab w:pos="7561" w:val="left" w:leader="none"/>
              <w:tab w:pos="8281" w:val="left" w:leader="none"/>
              <w:tab w:pos="9241" w:val="right" w:leader="none"/>
            </w:tabs>
            <w:spacing w:line="272" w:lineRule="exact" w:before="0" w:after="0"/>
            <w:ind w:left="1080" w:right="0" w:hanging="720"/>
            <w:jc w:val="left"/>
          </w:pPr>
          <w:hyperlink w:history="true" w:anchor="_TOC_250006">
            <w:r>
              <w:rPr>
                <w:spacing w:val="-2"/>
              </w:rPr>
              <w:t>Introduction</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5"/>
              </w:rPr>
              <w:t>32</w:t>
            </w:r>
          </w:hyperlink>
        </w:p>
        <w:p>
          <w:pPr>
            <w:pStyle w:val="TOC1"/>
            <w:numPr>
              <w:ilvl w:val="1"/>
              <w:numId w:val="4"/>
            </w:numPr>
            <w:tabs>
              <w:tab w:pos="1080" w:val="left" w:leader="none"/>
              <w:tab w:pos="6121" w:val="left" w:leader="none"/>
              <w:tab w:pos="6841" w:val="left" w:leader="none"/>
              <w:tab w:pos="7561" w:val="left" w:leader="none"/>
              <w:tab w:pos="8281" w:val="left" w:leader="none"/>
              <w:tab w:pos="9241" w:val="right" w:leader="none"/>
            </w:tabs>
            <w:spacing w:line="240" w:lineRule="auto" w:before="276" w:after="0"/>
            <w:ind w:left="1080" w:right="0" w:hanging="720"/>
            <w:jc w:val="left"/>
          </w:pPr>
          <w:hyperlink w:history="true" w:anchor="_TOC_250005">
            <w:r>
              <w:rPr/>
              <w:t>1999</w:t>
            </w:r>
            <w:r>
              <w:rPr>
                <w:spacing w:val="-1"/>
              </w:rPr>
              <w:t> </w:t>
            </w:r>
            <w:r>
              <w:rPr/>
              <w:t>Constitution</w:t>
            </w:r>
            <w:r>
              <w:rPr>
                <w:spacing w:val="-1"/>
              </w:rPr>
              <w:t> </w:t>
            </w:r>
            <w:r>
              <w:rPr/>
              <w:t>and</w:t>
            </w:r>
            <w:r>
              <w:rPr>
                <w:spacing w:val="-1"/>
              </w:rPr>
              <w:t> </w:t>
            </w:r>
            <w:r>
              <w:rPr/>
              <w:t>the</w:t>
            </w:r>
            <w:r>
              <w:rPr>
                <w:spacing w:val="-1"/>
              </w:rPr>
              <w:t> </w:t>
            </w:r>
            <w:r>
              <w:rPr/>
              <w:t>Oil</w:t>
            </w:r>
            <w:r>
              <w:rPr>
                <w:spacing w:val="-1"/>
              </w:rPr>
              <w:t> </w:t>
            </w:r>
            <w:r>
              <w:rPr/>
              <w:t>and</w:t>
            </w:r>
            <w:r>
              <w:rPr>
                <w:spacing w:val="-1"/>
              </w:rPr>
              <w:t> </w:t>
            </w:r>
            <w:r>
              <w:rPr/>
              <w:t>Gas </w:t>
            </w:r>
            <w:r>
              <w:rPr>
                <w:spacing w:val="-2"/>
              </w:rPr>
              <w:t>Sector</w:t>
            </w:r>
            <w:r>
              <w:rPr/>
              <w:tab/>
            </w:r>
            <w:r>
              <w:rPr>
                <w:spacing w:val="-10"/>
              </w:rPr>
              <w:t>-</w:t>
            </w:r>
            <w:r>
              <w:rPr/>
              <w:tab/>
            </w:r>
            <w:r>
              <w:rPr>
                <w:spacing w:val="-10"/>
              </w:rPr>
              <w:t>-</w:t>
            </w:r>
            <w:r>
              <w:rPr/>
              <w:tab/>
            </w:r>
            <w:r>
              <w:rPr>
                <w:spacing w:val="-10"/>
              </w:rPr>
              <w:t>-</w:t>
            </w:r>
            <w:r>
              <w:rPr/>
              <w:tab/>
            </w:r>
            <w:r>
              <w:rPr>
                <w:spacing w:val="-10"/>
              </w:rPr>
              <w:t>-</w:t>
            </w:r>
            <w:r>
              <w:rPr/>
              <w:tab/>
            </w:r>
            <w:r>
              <w:rPr>
                <w:spacing w:val="-5"/>
              </w:rPr>
              <w:t>33</w:t>
            </w:r>
          </w:hyperlink>
        </w:p>
        <w:p>
          <w:pPr>
            <w:pStyle w:val="TOC1"/>
            <w:numPr>
              <w:ilvl w:val="1"/>
              <w:numId w:val="4"/>
            </w:numPr>
            <w:tabs>
              <w:tab w:pos="1080" w:val="left" w:leader="none"/>
              <w:tab w:pos="5401" w:val="left" w:leader="none"/>
              <w:tab w:pos="6121" w:val="left" w:leader="none"/>
              <w:tab w:pos="6841" w:val="left" w:leader="none"/>
              <w:tab w:pos="7561" w:val="left" w:leader="none"/>
              <w:tab w:pos="8281" w:val="left" w:leader="none"/>
              <w:tab w:pos="9241" w:val="right" w:leader="none"/>
            </w:tabs>
            <w:spacing w:line="240" w:lineRule="auto" w:before="276" w:after="0"/>
            <w:ind w:left="1080" w:right="0" w:hanging="720"/>
            <w:jc w:val="left"/>
          </w:pPr>
          <w:hyperlink w:history="true" w:anchor="_TOC_250004">
            <w:r>
              <w:rPr/>
              <w:t>Administration</w:t>
            </w:r>
            <w:r>
              <w:rPr>
                <w:spacing w:val="-1"/>
              </w:rPr>
              <w:t> </w:t>
            </w:r>
            <w:r>
              <w:rPr/>
              <w:t>of</w:t>
            </w:r>
            <w:r>
              <w:rPr>
                <w:spacing w:val="-1"/>
              </w:rPr>
              <w:t> </w:t>
            </w:r>
            <w:r>
              <w:rPr/>
              <w:t>Petroleum</w:t>
            </w:r>
            <w:r>
              <w:rPr>
                <w:spacing w:val="-1"/>
              </w:rPr>
              <w:t> </w:t>
            </w:r>
            <w:r>
              <w:rPr/>
              <w:t>Profit</w:t>
            </w:r>
            <w:r>
              <w:rPr>
                <w:spacing w:val="-1"/>
              </w:rPr>
              <w:t> </w:t>
            </w:r>
            <w:r>
              <w:rPr>
                <w:spacing w:val="-5"/>
              </w:rPr>
              <w:t>Tax</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5"/>
              </w:rPr>
              <w:t>35</w:t>
            </w:r>
          </w:hyperlink>
        </w:p>
        <w:p>
          <w:pPr>
            <w:pStyle w:val="TOC1"/>
            <w:numPr>
              <w:ilvl w:val="1"/>
              <w:numId w:val="4"/>
            </w:numPr>
            <w:tabs>
              <w:tab w:pos="1080" w:val="left" w:leader="none"/>
              <w:tab w:pos="5401" w:val="left" w:leader="none"/>
              <w:tab w:pos="6121" w:val="left" w:leader="none"/>
              <w:tab w:pos="6841" w:val="left" w:leader="none"/>
              <w:tab w:pos="7561" w:val="left" w:leader="none"/>
              <w:tab w:pos="8281" w:val="left" w:leader="none"/>
              <w:tab w:pos="9241" w:val="right" w:leader="none"/>
            </w:tabs>
            <w:spacing w:line="240" w:lineRule="auto" w:before="276" w:after="0"/>
            <w:ind w:left="1080" w:right="0" w:hanging="720"/>
            <w:jc w:val="left"/>
          </w:pPr>
          <w:hyperlink w:history="true" w:anchor="_TOC_250003">
            <w:r>
              <w:rPr/>
              <w:t>Oil</w:t>
            </w:r>
            <w:r>
              <w:rPr>
                <w:spacing w:val="-1"/>
              </w:rPr>
              <w:t> </w:t>
            </w:r>
            <w:r>
              <w:rPr/>
              <w:t>Licenses</w:t>
            </w:r>
            <w:r>
              <w:rPr>
                <w:spacing w:val="-3"/>
              </w:rPr>
              <w:t> </w:t>
            </w:r>
            <w:r>
              <w:rPr/>
              <w:t>and</w:t>
            </w:r>
            <w:r>
              <w:rPr>
                <w:spacing w:val="-2"/>
              </w:rPr>
              <w:t> </w:t>
            </w:r>
            <w:r>
              <w:rPr/>
              <w:t>Fiscal </w:t>
            </w:r>
            <w:r>
              <w:rPr>
                <w:spacing w:val="-2"/>
              </w:rPr>
              <w:t>Arrangements</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5"/>
              </w:rPr>
              <w:t>36</w:t>
            </w:r>
          </w:hyperlink>
        </w:p>
        <w:p>
          <w:pPr>
            <w:pStyle w:val="TOC1"/>
            <w:numPr>
              <w:ilvl w:val="1"/>
              <w:numId w:val="4"/>
            </w:numPr>
            <w:tabs>
              <w:tab w:pos="1080" w:val="left" w:leader="none"/>
              <w:tab w:pos="3960" w:val="left" w:leader="none"/>
              <w:tab w:pos="4680" w:val="left" w:leader="none"/>
              <w:tab w:pos="5401" w:val="left" w:leader="none"/>
              <w:tab w:pos="6121" w:val="left" w:leader="none"/>
              <w:tab w:pos="6841" w:val="left" w:leader="none"/>
              <w:tab w:pos="7561" w:val="left" w:leader="none"/>
              <w:tab w:pos="8281" w:val="left" w:leader="none"/>
              <w:tab w:pos="9241" w:val="right" w:leader="none"/>
            </w:tabs>
            <w:spacing w:line="240" w:lineRule="auto" w:before="276" w:after="0"/>
            <w:ind w:left="1080" w:right="0" w:hanging="720"/>
            <w:jc w:val="left"/>
          </w:pPr>
          <w:hyperlink w:history="true" w:anchor="_TOC_250002">
            <w:r>
              <w:rPr/>
              <w:t>Fiscal</w:t>
            </w:r>
            <w:r>
              <w:rPr>
                <w:spacing w:val="-2"/>
              </w:rPr>
              <w:t> </w:t>
            </w:r>
            <w:r>
              <w:rPr/>
              <w:t>Arrangements</w:t>
            </w:r>
            <w:r>
              <w:rPr>
                <w:spacing w:val="77"/>
                <w:w w:val="150"/>
              </w:rPr>
              <w:t> </w:t>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5"/>
              </w:rPr>
              <w:t>38</w:t>
            </w:r>
          </w:hyperlink>
        </w:p>
        <w:p>
          <w:pPr>
            <w:pStyle w:val="TOC1"/>
            <w:numPr>
              <w:ilvl w:val="1"/>
              <w:numId w:val="4"/>
            </w:numPr>
            <w:tabs>
              <w:tab w:pos="1080" w:val="left" w:leader="none"/>
              <w:tab w:pos="5401" w:val="left" w:leader="none"/>
              <w:tab w:pos="6121" w:val="left" w:leader="none"/>
              <w:tab w:pos="6841" w:val="left" w:leader="none"/>
              <w:tab w:pos="7561" w:val="left" w:leader="none"/>
              <w:tab w:pos="8281" w:val="left" w:leader="none"/>
              <w:tab w:pos="9241" w:val="right" w:leader="none"/>
            </w:tabs>
            <w:spacing w:line="240" w:lineRule="auto" w:before="276" w:after="0"/>
            <w:ind w:left="1080" w:right="0" w:hanging="720"/>
            <w:jc w:val="left"/>
          </w:pPr>
          <w:hyperlink w:history="true" w:anchor="_TOC_250001">
            <w:r>
              <w:rPr/>
              <w:t>Ownership</w:t>
            </w:r>
            <w:r>
              <w:rPr>
                <w:spacing w:val="-2"/>
              </w:rPr>
              <w:t> </w:t>
            </w:r>
            <w:r>
              <w:rPr/>
              <w:t>of</w:t>
            </w:r>
            <w:r>
              <w:rPr>
                <w:spacing w:val="-2"/>
              </w:rPr>
              <w:t> </w:t>
            </w:r>
            <w:r>
              <w:rPr/>
              <w:t>Petroleum</w:t>
            </w:r>
            <w:r>
              <w:rPr>
                <w:spacing w:val="1"/>
              </w:rPr>
              <w:t> </w:t>
            </w:r>
            <w:r>
              <w:rPr/>
              <w:t>Resources</w:t>
            </w:r>
            <w:r>
              <w:rPr>
                <w:spacing w:val="37"/>
              </w:rPr>
              <w:t>  </w:t>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5"/>
              </w:rPr>
              <w:t>40</w:t>
            </w:r>
          </w:hyperlink>
        </w:p>
        <w:p>
          <w:pPr>
            <w:pStyle w:val="TOC1"/>
            <w:numPr>
              <w:ilvl w:val="1"/>
              <w:numId w:val="4"/>
            </w:numPr>
            <w:tabs>
              <w:tab w:pos="1080" w:val="left" w:leader="none"/>
              <w:tab w:pos="5401" w:val="left" w:leader="none"/>
              <w:tab w:pos="6121" w:val="left" w:leader="none"/>
              <w:tab w:pos="6841" w:val="left" w:leader="none"/>
              <w:tab w:pos="7561" w:val="left" w:leader="none"/>
              <w:tab w:pos="8281" w:val="left" w:leader="none"/>
              <w:tab w:pos="9241" w:val="right" w:leader="none"/>
            </w:tabs>
            <w:spacing w:line="240" w:lineRule="auto" w:before="276" w:after="0"/>
            <w:ind w:left="1080" w:right="0" w:hanging="720"/>
            <w:jc w:val="left"/>
          </w:pPr>
          <w:hyperlink w:history="true" w:anchor="_TOC_250000">
            <w:r>
              <w:rPr/>
              <w:t>Assessment</w:t>
            </w:r>
            <w:r>
              <w:rPr>
                <w:spacing w:val="-2"/>
              </w:rPr>
              <w:t> </w:t>
            </w:r>
            <w:r>
              <w:rPr/>
              <w:t>of</w:t>
            </w:r>
            <w:r>
              <w:rPr>
                <w:spacing w:val="-1"/>
              </w:rPr>
              <w:t> </w:t>
            </w:r>
            <w:r>
              <w:rPr/>
              <w:t>Petroleum</w:t>
            </w:r>
            <w:r>
              <w:rPr>
                <w:spacing w:val="1"/>
              </w:rPr>
              <w:t> </w:t>
            </w:r>
            <w:r>
              <w:rPr/>
              <w:t>Profit</w:t>
            </w:r>
            <w:r>
              <w:rPr>
                <w:spacing w:val="-2"/>
              </w:rPr>
              <w:t> </w:t>
            </w:r>
            <w:r>
              <w:rPr/>
              <w:t>Tax</w:t>
            </w:r>
            <w:r>
              <w:rPr>
                <w:spacing w:val="60"/>
              </w:rPr>
              <w:t> </w:t>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5"/>
              </w:rPr>
              <w:t>41</w:t>
            </w:r>
          </w:hyperlink>
        </w:p>
      </w:sdtContent>
    </w:sdt>
    <w:p>
      <w:pPr>
        <w:spacing w:after="0" w:line="240" w:lineRule="auto"/>
        <w:jc w:val="left"/>
        <w:sectPr>
          <w:type w:val="continuous"/>
          <w:pgSz w:w="11910" w:h="16840"/>
          <w:pgMar w:header="0" w:footer="1000" w:top="1359" w:bottom="1860" w:left="1080" w:right="1280"/>
        </w:sectPr>
      </w:pPr>
    </w:p>
    <w:p>
      <w:pPr>
        <w:spacing w:before="281"/>
        <w:ind w:left="440" w:right="238" w:firstLine="0"/>
        <w:jc w:val="center"/>
        <w:rPr>
          <w:b/>
          <w:sz w:val="24"/>
        </w:rPr>
      </w:pPr>
      <w:r>
        <w:rPr>
          <w:b/>
          <w:spacing w:val="-6"/>
          <w:sz w:val="24"/>
        </w:rPr>
        <w:t>CHAPTER</w:t>
      </w:r>
      <w:r>
        <w:rPr>
          <w:b/>
          <w:spacing w:val="-4"/>
          <w:sz w:val="24"/>
        </w:rPr>
        <w:t> FOUR</w:t>
      </w:r>
    </w:p>
    <w:p>
      <w:pPr>
        <w:spacing w:before="276"/>
        <w:ind w:left="455" w:right="238" w:firstLine="0"/>
        <w:jc w:val="center"/>
        <w:rPr>
          <w:b/>
          <w:sz w:val="24"/>
        </w:rPr>
      </w:pPr>
      <w:r>
        <w:rPr>
          <w:b/>
          <w:spacing w:val="-6"/>
          <w:sz w:val="24"/>
        </w:rPr>
        <w:t>OFFENCES</w:t>
      </w:r>
      <w:r>
        <w:rPr>
          <w:b/>
          <w:spacing w:val="-13"/>
          <w:sz w:val="24"/>
        </w:rPr>
        <w:t> </w:t>
      </w:r>
      <w:r>
        <w:rPr>
          <w:b/>
          <w:spacing w:val="-6"/>
          <w:sz w:val="24"/>
        </w:rPr>
        <w:t>AND</w:t>
      </w:r>
      <w:r>
        <w:rPr>
          <w:b/>
          <w:spacing w:val="-13"/>
          <w:sz w:val="24"/>
        </w:rPr>
        <w:t> </w:t>
      </w:r>
      <w:r>
        <w:rPr>
          <w:b/>
          <w:spacing w:val="-6"/>
          <w:sz w:val="24"/>
        </w:rPr>
        <w:t>PENALTIES</w:t>
      </w:r>
      <w:r>
        <w:rPr>
          <w:b/>
          <w:spacing w:val="-14"/>
          <w:sz w:val="24"/>
        </w:rPr>
        <w:t> </w:t>
      </w:r>
      <w:r>
        <w:rPr>
          <w:b/>
          <w:spacing w:val="-6"/>
          <w:sz w:val="24"/>
        </w:rPr>
        <w:t>IN</w:t>
      </w:r>
      <w:r>
        <w:rPr>
          <w:b/>
          <w:spacing w:val="-14"/>
          <w:sz w:val="24"/>
        </w:rPr>
        <w:t> </w:t>
      </w:r>
      <w:r>
        <w:rPr>
          <w:b/>
          <w:spacing w:val="-6"/>
          <w:sz w:val="24"/>
        </w:rPr>
        <w:t>RELATION</w:t>
      </w:r>
      <w:r>
        <w:rPr>
          <w:b/>
          <w:spacing w:val="-13"/>
          <w:sz w:val="24"/>
        </w:rPr>
        <w:t> </w:t>
      </w:r>
      <w:r>
        <w:rPr>
          <w:b/>
          <w:spacing w:val="-6"/>
          <w:sz w:val="24"/>
        </w:rPr>
        <w:t>TO'THE</w:t>
      </w:r>
      <w:r>
        <w:rPr>
          <w:b/>
          <w:spacing w:val="-23"/>
          <w:sz w:val="24"/>
        </w:rPr>
        <w:t> </w:t>
      </w:r>
      <w:r>
        <w:rPr>
          <w:b/>
          <w:spacing w:val="-6"/>
          <w:sz w:val="24"/>
        </w:rPr>
        <w:t>PETROLEUM</w:t>
      </w:r>
      <w:r>
        <w:rPr>
          <w:b/>
          <w:spacing w:val="-22"/>
          <w:sz w:val="24"/>
        </w:rPr>
        <w:t> </w:t>
      </w:r>
      <w:r>
        <w:rPr>
          <w:b/>
          <w:spacing w:val="-6"/>
          <w:sz w:val="24"/>
        </w:rPr>
        <w:t>PROFIT</w:t>
      </w:r>
      <w:r>
        <w:rPr>
          <w:b/>
          <w:spacing w:val="-21"/>
          <w:sz w:val="24"/>
        </w:rPr>
        <w:t> </w:t>
      </w:r>
      <w:r>
        <w:rPr>
          <w:b/>
          <w:spacing w:val="-6"/>
          <w:sz w:val="24"/>
        </w:rPr>
        <w:t>TAX</w:t>
      </w:r>
    </w:p>
    <w:p>
      <w:pPr>
        <w:pStyle w:val="BodyText"/>
        <w:spacing w:before="51"/>
        <w:rPr>
          <w:b/>
          <w:sz w:val="20"/>
        </w:rPr>
      </w:pPr>
    </w:p>
    <w:tbl>
      <w:tblPr>
        <w:tblW w:w="0" w:type="auto"/>
        <w:jc w:val="left"/>
        <w:tblInd w:w="3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6384"/>
        <w:gridCol w:w="1988"/>
        <w:gridCol w:w="615"/>
      </w:tblGrid>
      <w:tr>
        <w:trPr>
          <w:trHeight w:val="409" w:hRule="atLeast"/>
        </w:trPr>
        <w:tc>
          <w:tcPr>
            <w:tcW w:w="6384" w:type="dxa"/>
          </w:tcPr>
          <w:p>
            <w:pPr>
              <w:pStyle w:val="TableParagraph"/>
              <w:tabs>
                <w:tab w:pos="769" w:val="left" w:leader="none"/>
                <w:tab w:pos="2210" w:val="left" w:leader="none"/>
                <w:tab w:pos="2930" w:val="left" w:leader="none"/>
                <w:tab w:pos="3650" w:val="left" w:leader="none"/>
                <w:tab w:pos="4370" w:val="left" w:leader="none"/>
                <w:tab w:pos="5090" w:val="left" w:leader="none"/>
                <w:tab w:pos="5810" w:val="left" w:leader="none"/>
              </w:tabs>
              <w:spacing w:line="266" w:lineRule="exact" w:before="0"/>
              <w:rPr>
                <w:sz w:val="24"/>
              </w:rPr>
            </w:pPr>
            <w:r>
              <w:rPr>
                <w:spacing w:val="-5"/>
                <w:sz w:val="24"/>
              </w:rPr>
              <w:t>4.1</w:t>
            </w:r>
            <w:r>
              <w:rPr>
                <w:sz w:val="24"/>
              </w:rPr>
              <w:tab/>
            </w:r>
            <w:r>
              <w:rPr>
                <w:spacing w:val="-2"/>
                <w:sz w:val="24"/>
              </w:rPr>
              <w:t>Introduction</w:t>
            </w:r>
            <w:r>
              <w:rPr>
                <w:sz w:val="24"/>
              </w:rPr>
              <w:tab/>
            </w: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p>
        </w:tc>
        <w:tc>
          <w:tcPr>
            <w:tcW w:w="1988" w:type="dxa"/>
          </w:tcPr>
          <w:p>
            <w:pPr>
              <w:pStyle w:val="TableParagraph"/>
              <w:tabs>
                <w:tab w:pos="867" w:val="left" w:leader="none"/>
                <w:tab w:pos="1587" w:val="left" w:leader="none"/>
              </w:tabs>
              <w:spacing w:line="266" w:lineRule="exact" w:before="0"/>
              <w:ind w:left="146"/>
              <w:rPr>
                <w:sz w:val="24"/>
              </w:rPr>
            </w:pPr>
            <w:r>
              <w:rPr>
                <w:spacing w:val="-10"/>
                <w:sz w:val="24"/>
              </w:rPr>
              <w:t>-</w:t>
            </w:r>
            <w:r>
              <w:rPr>
                <w:sz w:val="24"/>
              </w:rPr>
              <w:tab/>
            </w:r>
            <w:r>
              <w:rPr>
                <w:spacing w:val="-10"/>
                <w:sz w:val="24"/>
              </w:rPr>
              <w:t>-</w:t>
            </w:r>
            <w:r>
              <w:rPr>
                <w:sz w:val="24"/>
              </w:rPr>
              <w:tab/>
            </w:r>
            <w:r>
              <w:rPr>
                <w:spacing w:val="-10"/>
                <w:sz w:val="24"/>
              </w:rPr>
              <w:t>-</w:t>
            </w:r>
          </w:p>
        </w:tc>
        <w:tc>
          <w:tcPr>
            <w:tcW w:w="615" w:type="dxa"/>
          </w:tcPr>
          <w:p>
            <w:pPr>
              <w:pStyle w:val="TableParagraph"/>
              <w:spacing w:line="266" w:lineRule="exact" w:before="0"/>
              <w:ind w:left="0" w:right="53"/>
              <w:jc w:val="right"/>
              <w:rPr>
                <w:sz w:val="24"/>
              </w:rPr>
            </w:pPr>
            <w:r>
              <w:rPr>
                <w:spacing w:val="-5"/>
                <w:sz w:val="24"/>
              </w:rPr>
              <w:t>53</w:t>
            </w:r>
          </w:p>
        </w:tc>
      </w:tr>
      <w:tr>
        <w:trPr>
          <w:trHeight w:val="552" w:hRule="atLeast"/>
        </w:trPr>
        <w:tc>
          <w:tcPr>
            <w:tcW w:w="6384" w:type="dxa"/>
          </w:tcPr>
          <w:p>
            <w:pPr>
              <w:pStyle w:val="TableParagraph"/>
              <w:tabs>
                <w:tab w:pos="769" w:val="left" w:leader="none"/>
              </w:tabs>
              <w:rPr>
                <w:sz w:val="24"/>
              </w:rPr>
            </w:pPr>
            <w:r>
              <w:rPr>
                <w:spacing w:val="-5"/>
                <w:sz w:val="24"/>
              </w:rPr>
              <w:t>4.2</w:t>
            </w:r>
            <w:r>
              <w:rPr>
                <w:sz w:val="24"/>
              </w:rPr>
              <w:tab/>
              <w:t>Statutory</w:t>
            </w:r>
            <w:r>
              <w:rPr>
                <w:spacing w:val="5"/>
                <w:sz w:val="24"/>
              </w:rPr>
              <w:t> </w:t>
            </w:r>
            <w:r>
              <w:rPr>
                <w:sz w:val="24"/>
              </w:rPr>
              <w:t>Offences</w:t>
            </w:r>
            <w:r>
              <w:rPr>
                <w:spacing w:val="14"/>
                <w:sz w:val="24"/>
              </w:rPr>
              <w:t> </w:t>
            </w:r>
            <w:r>
              <w:rPr>
                <w:sz w:val="24"/>
              </w:rPr>
              <w:t>against</w:t>
            </w:r>
            <w:r>
              <w:rPr>
                <w:spacing w:val="14"/>
                <w:sz w:val="24"/>
              </w:rPr>
              <w:t> </w:t>
            </w:r>
            <w:r>
              <w:rPr>
                <w:sz w:val="24"/>
              </w:rPr>
              <w:t>the</w:t>
            </w:r>
            <w:r>
              <w:rPr>
                <w:spacing w:val="11"/>
                <w:sz w:val="24"/>
              </w:rPr>
              <w:t> </w:t>
            </w:r>
            <w:r>
              <w:rPr>
                <w:sz w:val="24"/>
              </w:rPr>
              <w:t>Petroleum</w:t>
            </w:r>
            <w:r>
              <w:rPr>
                <w:spacing w:val="14"/>
                <w:sz w:val="24"/>
              </w:rPr>
              <w:t> </w:t>
            </w:r>
            <w:r>
              <w:rPr>
                <w:sz w:val="24"/>
              </w:rPr>
              <w:t>Profit</w:t>
            </w:r>
            <w:r>
              <w:rPr>
                <w:spacing w:val="14"/>
                <w:sz w:val="24"/>
              </w:rPr>
              <w:t> </w:t>
            </w:r>
            <w:r>
              <w:rPr>
                <w:spacing w:val="-5"/>
                <w:sz w:val="24"/>
              </w:rPr>
              <w:t>Tax</w:t>
            </w:r>
          </w:p>
        </w:tc>
        <w:tc>
          <w:tcPr>
            <w:tcW w:w="1988" w:type="dxa"/>
          </w:tcPr>
          <w:p>
            <w:pPr>
              <w:pStyle w:val="TableParagraph"/>
              <w:tabs>
                <w:tab w:pos="867" w:val="left" w:leader="none"/>
                <w:tab w:pos="1587" w:val="left" w:leader="none"/>
              </w:tabs>
              <w:ind w:left="146"/>
              <w:rPr>
                <w:sz w:val="24"/>
              </w:rPr>
            </w:pPr>
            <w:r>
              <w:rPr>
                <w:spacing w:val="-10"/>
                <w:sz w:val="24"/>
              </w:rPr>
              <w:t>-</w:t>
            </w:r>
            <w:r>
              <w:rPr>
                <w:sz w:val="24"/>
              </w:rPr>
              <w:tab/>
            </w:r>
            <w:r>
              <w:rPr>
                <w:spacing w:val="-10"/>
                <w:sz w:val="24"/>
              </w:rPr>
              <w:t>-</w:t>
            </w:r>
            <w:r>
              <w:rPr>
                <w:sz w:val="24"/>
              </w:rPr>
              <w:tab/>
            </w:r>
            <w:r>
              <w:rPr>
                <w:spacing w:val="-10"/>
                <w:sz w:val="24"/>
              </w:rPr>
              <w:t>-</w:t>
            </w:r>
          </w:p>
        </w:tc>
        <w:tc>
          <w:tcPr>
            <w:tcW w:w="615" w:type="dxa"/>
          </w:tcPr>
          <w:p>
            <w:pPr>
              <w:pStyle w:val="TableParagraph"/>
              <w:ind w:left="0" w:right="48"/>
              <w:jc w:val="right"/>
              <w:rPr>
                <w:sz w:val="24"/>
              </w:rPr>
            </w:pPr>
            <w:r>
              <w:rPr>
                <w:spacing w:val="-5"/>
                <w:sz w:val="24"/>
              </w:rPr>
              <w:t>54</w:t>
            </w:r>
          </w:p>
        </w:tc>
      </w:tr>
      <w:tr>
        <w:trPr>
          <w:trHeight w:val="408" w:hRule="atLeast"/>
        </w:trPr>
        <w:tc>
          <w:tcPr>
            <w:tcW w:w="6384" w:type="dxa"/>
          </w:tcPr>
          <w:p>
            <w:pPr>
              <w:pStyle w:val="TableParagraph"/>
              <w:tabs>
                <w:tab w:pos="769" w:val="left" w:leader="none"/>
              </w:tabs>
              <w:spacing w:line="256" w:lineRule="exact"/>
              <w:rPr>
                <w:sz w:val="24"/>
              </w:rPr>
            </w:pPr>
            <w:r>
              <w:rPr>
                <w:spacing w:val="-5"/>
                <w:sz w:val="24"/>
              </w:rPr>
              <w:t>4.3</w:t>
            </w:r>
            <w:r>
              <w:rPr>
                <w:sz w:val="24"/>
              </w:rPr>
              <w:tab/>
            </w:r>
            <w:r>
              <w:rPr>
                <w:spacing w:val="-2"/>
                <w:sz w:val="24"/>
              </w:rPr>
              <w:t>Penalties</w:t>
            </w:r>
            <w:r>
              <w:rPr>
                <w:spacing w:val="-15"/>
                <w:sz w:val="24"/>
              </w:rPr>
              <w:t> </w:t>
            </w:r>
            <w:r>
              <w:rPr>
                <w:spacing w:val="-2"/>
                <w:sz w:val="24"/>
              </w:rPr>
              <w:t>against</w:t>
            </w:r>
            <w:r>
              <w:rPr>
                <w:spacing w:val="-13"/>
                <w:sz w:val="24"/>
              </w:rPr>
              <w:t> </w:t>
            </w:r>
            <w:r>
              <w:rPr>
                <w:spacing w:val="-2"/>
                <w:sz w:val="24"/>
              </w:rPr>
              <w:t>Petroleum</w:t>
            </w:r>
            <w:r>
              <w:rPr>
                <w:spacing w:val="-13"/>
                <w:sz w:val="24"/>
              </w:rPr>
              <w:t> </w:t>
            </w:r>
            <w:r>
              <w:rPr>
                <w:spacing w:val="-2"/>
                <w:sz w:val="24"/>
              </w:rPr>
              <w:t>Profit</w:t>
            </w:r>
            <w:r>
              <w:rPr>
                <w:spacing w:val="-13"/>
                <w:sz w:val="24"/>
              </w:rPr>
              <w:t> </w:t>
            </w:r>
            <w:r>
              <w:rPr>
                <w:spacing w:val="-2"/>
                <w:sz w:val="24"/>
              </w:rPr>
              <w:t>Tax</w:t>
            </w:r>
            <w:r>
              <w:rPr>
                <w:spacing w:val="-10"/>
                <w:sz w:val="24"/>
              </w:rPr>
              <w:t> </w:t>
            </w:r>
            <w:r>
              <w:rPr>
                <w:spacing w:val="-2"/>
                <w:sz w:val="24"/>
              </w:rPr>
              <w:t>Avoidance/Evasion</w:t>
            </w:r>
          </w:p>
        </w:tc>
        <w:tc>
          <w:tcPr>
            <w:tcW w:w="1988" w:type="dxa"/>
          </w:tcPr>
          <w:p>
            <w:pPr>
              <w:pStyle w:val="TableParagraph"/>
              <w:tabs>
                <w:tab w:pos="867" w:val="left" w:leader="none"/>
                <w:tab w:pos="1587" w:val="left" w:leader="none"/>
              </w:tabs>
              <w:spacing w:line="256" w:lineRule="exact"/>
              <w:ind w:left="146"/>
              <w:rPr>
                <w:sz w:val="24"/>
              </w:rPr>
            </w:pPr>
            <w:r>
              <w:rPr>
                <w:spacing w:val="-10"/>
                <w:sz w:val="24"/>
              </w:rPr>
              <w:t>-</w:t>
            </w:r>
            <w:r>
              <w:rPr>
                <w:sz w:val="24"/>
              </w:rPr>
              <w:tab/>
            </w:r>
            <w:r>
              <w:rPr>
                <w:spacing w:val="-10"/>
                <w:sz w:val="24"/>
              </w:rPr>
              <w:t>-</w:t>
            </w:r>
            <w:r>
              <w:rPr>
                <w:sz w:val="24"/>
              </w:rPr>
              <w:tab/>
            </w:r>
            <w:r>
              <w:rPr>
                <w:spacing w:val="-10"/>
                <w:sz w:val="24"/>
              </w:rPr>
              <w:t>-</w:t>
            </w:r>
          </w:p>
        </w:tc>
        <w:tc>
          <w:tcPr>
            <w:tcW w:w="615" w:type="dxa"/>
          </w:tcPr>
          <w:p>
            <w:pPr>
              <w:pStyle w:val="TableParagraph"/>
              <w:spacing w:line="256" w:lineRule="exact"/>
              <w:ind w:left="0" w:right="58"/>
              <w:jc w:val="right"/>
              <w:rPr>
                <w:sz w:val="24"/>
              </w:rPr>
            </w:pPr>
            <w:r>
              <w:rPr>
                <w:spacing w:val="-5"/>
                <w:sz w:val="24"/>
              </w:rPr>
              <w:t>56</w:t>
            </w:r>
          </w:p>
        </w:tc>
      </w:tr>
    </w:tbl>
    <w:p>
      <w:pPr>
        <w:pStyle w:val="BodyText"/>
        <w:spacing w:before="6"/>
        <w:rPr>
          <w:b/>
        </w:rPr>
      </w:pPr>
    </w:p>
    <w:p>
      <w:pPr>
        <w:spacing w:before="0"/>
        <w:ind w:left="438" w:right="240" w:firstLine="0"/>
        <w:jc w:val="center"/>
        <w:rPr>
          <w:b/>
          <w:sz w:val="24"/>
        </w:rPr>
      </w:pPr>
      <w:r>
        <w:rPr>
          <w:b/>
          <w:sz w:val="24"/>
        </w:rPr>
        <w:t>CHAPTER</w:t>
      </w:r>
      <w:r>
        <w:rPr>
          <w:b/>
          <w:spacing w:val="-5"/>
          <w:sz w:val="24"/>
        </w:rPr>
        <w:t> </w:t>
      </w:r>
      <w:r>
        <w:rPr>
          <w:b/>
          <w:spacing w:val="-4"/>
          <w:sz w:val="24"/>
        </w:rPr>
        <w:t>FIVE</w:t>
      </w:r>
    </w:p>
    <w:p>
      <w:pPr>
        <w:pStyle w:val="BodyText"/>
        <w:rPr>
          <w:b/>
        </w:rPr>
      </w:pPr>
    </w:p>
    <w:p>
      <w:pPr>
        <w:spacing w:before="0"/>
        <w:ind w:left="438" w:right="238" w:firstLine="0"/>
        <w:jc w:val="center"/>
        <w:rPr>
          <w:b/>
          <w:sz w:val="24"/>
        </w:rPr>
      </w:pPr>
      <w:r>
        <w:rPr>
          <w:b/>
          <w:sz w:val="24"/>
        </w:rPr>
        <w:t>SUMMARY, CONCLUSION</w:t>
      </w:r>
      <w:r>
        <w:rPr>
          <w:b/>
          <w:spacing w:val="-1"/>
          <w:sz w:val="24"/>
        </w:rPr>
        <w:t> </w:t>
      </w:r>
      <w:r>
        <w:rPr>
          <w:b/>
          <w:sz w:val="24"/>
        </w:rPr>
        <w:t>AND</w:t>
      </w:r>
      <w:r>
        <w:rPr>
          <w:b/>
          <w:spacing w:val="-1"/>
          <w:sz w:val="24"/>
        </w:rPr>
        <w:t> </w:t>
      </w:r>
      <w:r>
        <w:rPr>
          <w:b/>
          <w:spacing w:val="-2"/>
          <w:sz w:val="24"/>
        </w:rPr>
        <w:t>RECOMMENDATIONS</w:t>
      </w:r>
    </w:p>
    <w:p>
      <w:pPr>
        <w:pStyle w:val="BodyText"/>
        <w:spacing w:before="51"/>
        <w:rPr>
          <w:b/>
          <w:sz w:val="20"/>
        </w:rPr>
      </w:pPr>
    </w:p>
    <w:tbl>
      <w:tblPr>
        <w:tblW w:w="0" w:type="auto"/>
        <w:jc w:val="left"/>
        <w:tblInd w:w="3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2931"/>
        <w:gridCol w:w="5441"/>
        <w:gridCol w:w="610"/>
      </w:tblGrid>
      <w:tr>
        <w:trPr>
          <w:trHeight w:val="408" w:hRule="atLeast"/>
        </w:trPr>
        <w:tc>
          <w:tcPr>
            <w:tcW w:w="2931" w:type="dxa"/>
          </w:tcPr>
          <w:p>
            <w:pPr>
              <w:pStyle w:val="TableParagraph"/>
              <w:tabs>
                <w:tab w:pos="769" w:val="left" w:leader="none"/>
                <w:tab w:pos="2210" w:val="left" w:leader="none"/>
              </w:tabs>
              <w:spacing w:line="266" w:lineRule="exact" w:before="0"/>
              <w:rPr>
                <w:sz w:val="24"/>
              </w:rPr>
            </w:pPr>
            <w:r>
              <w:rPr>
                <w:spacing w:val="-5"/>
                <w:sz w:val="24"/>
              </w:rPr>
              <w:t>5.1</w:t>
            </w:r>
            <w:r>
              <w:rPr>
                <w:sz w:val="24"/>
              </w:rPr>
              <w:tab/>
            </w:r>
            <w:r>
              <w:rPr>
                <w:spacing w:val="-2"/>
                <w:sz w:val="24"/>
              </w:rPr>
              <w:t>Summary-</w:t>
            </w:r>
            <w:r>
              <w:rPr>
                <w:sz w:val="24"/>
              </w:rPr>
              <w:tab/>
            </w:r>
            <w:r>
              <w:rPr>
                <w:spacing w:val="-10"/>
                <w:sz w:val="24"/>
              </w:rPr>
              <w:t>-</w:t>
            </w:r>
          </w:p>
        </w:tc>
        <w:tc>
          <w:tcPr>
            <w:tcW w:w="5441" w:type="dxa"/>
          </w:tcPr>
          <w:p>
            <w:pPr>
              <w:pStyle w:val="TableParagraph"/>
              <w:tabs>
                <w:tab w:pos="719" w:val="left" w:leader="none"/>
                <w:tab w:pos="1439" w:val="left" w:leader="none"/>
                <w:tab w:pos="2159" w:val="left" w:leader="none"/>
                <w:tab w:pos="2879" w:val="left" w:leader="none"/>
                <w:tab w:pos="3599" w:val="left" w:leader="none"/>
                <w:tab w:pos="4320" w:val="left" w:leader="none"/>
                <w:tab w:pos="5040" w:val="left" w:leader="none"/>
              </w:tabs>
              <w:spacing w:line="266" w:lineRule="exact" w:before="0"/>
              <w:ind w:left="-1" w:right="318"/>
              <w:jc w:val="right"/>
              <w:rPr>
                <w:sz w:val="24"/>
              </w:rPr>
            </w:pP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p>
        </w:tc>
        <w:tc>
          <w:tcPr>
            <w:tcW w:w="610" w:type="dxa"/>
          </w:tcPr>
          <w:p>
            <w:pPr>
              <w:pStyle w:val="TableParagraph"/>
              <w:spacing w:line="266" w:lineRule="exact" w:before="0"/>
              <w:ind w:left="0" w:right="53"/>
              <w:jc w:val="right"/>
              <w:rPr>
                <w:sz w:val="24"/>
              </w:rPr>
            </w:pPr>
            <w:r>
              <w:rPr>
                <w:spacing w:val="-5"/>
                <w:sz w:val="24"/>
              </w:rPr>
              <w:t>61</w:t>
            </w:r>
          </w:p>
        </w:tc>
      </w:tr>
      <w:tr>
        <w:trPr>
          <w:trHeight w:val="552" w:hRule="atLeast"/>
        </w:trPr>
        <w:tc>
          <w:tcPr>
            <w:tcW w:w="2931" w:type="dxa"/>
          </w:tcPr>
          <w:p>
            <w:pPr>
              <w:pStyle w:val="TableParagraph"/>
              <w:tabs>
                <w:tab w:pos="769" w:val="left" w:leader="none"/>
              </w:tabs>
              <w:ind w:right="-15"/>
              <w:rPr>
                <w:sz w:val="24"/>
              </w:rPr>
            </w:pPr>
            <w:r>
              <w:rPr>
                <w:spacing w:val="-5"/>
                <w:sz w:val="24"/>
              </w:rPr>
              <w:t>5.2</w:t>
            </w:r>
            <w:r>
              <w:rPr>
                <w:sz w:val="24"/>
              </w:rPr>
              <w:tab/>
            </w:r>
            <w:r>
              <w:rPr>
                <w:spacing w:val="-2"/>
                <w:sz w:val="24"/>
              </w:rPr>
              <w:t>Findings/Observation</w:t>
            </w:r>
            <w:r>
              <w:rPr>
                <w:spacing w:val="-2"/>
                <w:sz w:val="24"/>
              </w:rPr>
              <w:t>s</w:t>
            </w:r>
          </w:p>
        </w:tc>
        <w:tc>
          <w:tcPr>
            <w:tcW w:w="5441" w:type="dxa"/>
          </w:tcPr>
          <w:p>
            <w:pPr>
              <w:pStyle w:val="TableParagraph"/>
              <w:tabs>
                <w:tab w:pos="719" w:val="left" w:leader="none"/>
                <w:tab w:pos="1440" w:val="left" w:leader="none"/>
                <w:tab w:pos="2160" w:val="left" w:leader="none"/>
                <w:tab w:pos="2880" w:val="left" w:leader="none"/>
                <w:tab w:pos="3600" w:val="left" w:leader="none"/>
                <w:tab w:pos="4320" w:val="left" w:leader="none"/>
              </w:tabs>
              <w:ind w:left="0" w:right="318"/>
              <w:jc w:val="right"/>
              <w:rPr>
                <w:sz w:val="24"/>
              </w:rPr>
            </w:pP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p>
        </w:tc>
        <w:tc>
          <w:tcPr>
            <w:tcW w:w="610" w:type="dxa"/>
          </w:tcPr>
          <w:p>
            <w:pPr>
              <w:pStyle w:val="TableParagraph"/>
              <w:ind w:left="0" w:right="48"/>
              <w:jc w:val="right"/>
              <w:rPr>
                <w:sz w:val="24"/>
              </w:rPr>
            </w:pPr>
            <w:r>
              <w:rPr>
                <w:spacing w:val="-5"/>
                <w:sz w:val="24"/>
              </w:rPr>
              <w:t>62</w:t>
            </w:r>
          </w:p>
        </w:tc>
      </w:tr>
      <w:tr>
        <w:trPr>
          <w:trHeight w:val="552" w:hRule="atLeast"/>
        </w:trPr>
        <w:tc>
          <w:tcPr>
            <w:tcW w:w="2931" w:type="dxa"/>
          </w:tcPr>
          <w:p>
            <w:pPr>
              <w:pStyle w:val="TableParagraph"/>
              <w:tabs>
                <w:tab w:pos="769" w:val="left" w:leader="none"/>
              </w:tabs>
              <w:rPr>
                <w:sz w:val="24"/>
              </w:rPr>
            </w:pPr>
            <w:r>
              <w:rPr>
                <w:spacing w:val="-5"/>
                <w:sz w:val="24"/>
              </w:rPr>
              <w:t>5.3</w:t>
            </w:r>
            <w:r>
              <w:rPr>
                <w:sz w:val="24"/>
              </w:rPr>
              <w:tab/>
            </w:r>
            <w:r>
              <w:rPr>
                <w:spacing w:val="-2"/>
                <w:sz w:val="24"/>
              </w:rPr>
              <w:t>Recommendations</w:t>
            </w:r>
          </w:p>
        </w:tc>
        <w:tc>
          <w:tcPr>
            <w:tcW w:w="5441" w:type="dxa"/>
          </w:tcPr>
          <w:p>
            <w:pPr>
              <w:pStyle w:val="TableParagraph"/>
              <w:tabs>
                <w:tab w:pos="719" w:val="left" w:leader="none"/>
                <w:tab w:pos="1439" w:val="left" w:leader="none"/>
                <w:tab w:pos="2159" w:val="left" w:leader="none"/>
                <w:tab w:pos="2879" w:val="left" w:leader="none"/>
                <w:tab w:pos="3599" w:val="left" w:leader="none"/>
                <w:tab w:pos="4320" w:val="left" w:leader="none"/>
                <w:tab w:pos="5040" w:val="left" w:leader="none"/>
              </w:tabs>
              <w:ind w:left="-1" w:right="318"/>
              <w:jc w:val="right"/>
              <w:rPr>
                <w:sz w:val="24"/>
              </w:rPr>
            </w:pP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p>
        </w:tc>
        <w:tc>
          <w:tcPr>
            <w:tcW w:w="610" w:type="dxa"/>
          </w:tcPr>
          <w:p>
            <w:pPr>
              <w:pStyle w:val="TableParagraph"/>
              <w:ind w:left="0" w:right="48"/>
              <w:jc w:val="right"/>
              <w:rPr>
                <w:sz w:val="24"/>
              </w:rPr>
            </w:pPr>
            <w:r>
              <w:rPr>
                <w:spacing w:val="-5"/>
                <w:sz w:val="24"/>
              </w:rPr>
              <w:t>64</w:t>
            </w:r>
          </w:p>
        </w:tc>
      </w:tr>
      <w:tr>
        <w:trPr>
          <w:trHeight w:val="408" w:hRule="atLeast"/>
        </w:trPr>
        <w:tc>
          <w:tcPr>
            <w:tcW w:w="2931" w:type="dxa"/>
          </w:tcPr>
          <w:p>
            <w:pPr>
              <w:pStyle w:val="TableParagraph"/>
              <w:spacing w:line="256" w:lineRule="exact"/>
              <w:ind w:left="769"/>
              <w:rPr>
                <w:sz w:val="24"/>
              </w:rPr>
            </w:pPr>
            <w:r>
              <w:rPr>
                <w:sz w:val="24"/>
              </w:rPr>
              <w:t>Bibliography</w:t>
            </w:r>
            <w:r>
              <w:rPr>
                <w:spacing w:val="25"/>
                <w:sz w:val="24"/>
              </w:rPr>
              <w:t>  </w:t>
            </w:r>
            <w:r>
              <w:rPr>
                <w:spacing w:val="-10"/>
                <w:sz w:val="24"/>
              </w:rPr>
              <w:t>-</w:t>
            </w:r>
          </w:p>
        </w:tc>
        <w:tc>
          <w:tcPr>
            <w:tcW w:w="5441" w:type="dxa"/>
          </w:tcPr>
          <w:p>
            <w:pPr>
              <w:pStyle w:val="TableParagraph"/>
              <w:tabs>
                <w:tab w:pos="719" w:val="left" w:leader="none"/>
                <w:tab w:pos="1439" w:val="left" w:leader="none"/>
                <w:tab w:pos="2159" w:val="left" w:leader="none"/>
                <w:tab w:pos="2879" w:val="left" w:leader="none"/>
                <w:tab w:pos="3599" w:val="left" w:leader="none"/>
                <w:tab w:pos="4320" w:val="left" w:leader="none"/>
                <w:tab w:pos="5040" w:val="left" w:leader="none"/>
              </w:tabs>
              <w:spacing w:line="256" w:lineRule="exact"/>
              <w:ind w:left="-1" w:right="318"/>
              <w:jc w:val="right"/>
              <w:rPr>
                <w:sz w:val="24"/>
              </w:rPr>
            </w:pP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p>
        </w:tc>
        <w:tc>
          <w:tcPr>
            <w:tcW w:w="610" w:type="dxa"/>
          </w:tcPr>
          <w:p>
            <w:pPr>
              <w:pStyle w:val="TableParagraph"/>
              <w:spacing w:line="256" w:lineRule="exact"/>
              <w:ind w:left="0" w:right="48"/>
              <w:jc w:val="right"/>
              <w:rPr>
                <w:sz w:val="24"/>
              </w:rPr>
            </w:pPr>
            <w:r>
              <w:rPr>
                <w:spacing w:val="-5"/>
                <w:sz w:val="24"/>
              </w:rPr>
              <w:t>68</w:t>
            </w:r>
          </w:p>
        </w:tc>
      </w:tr>
    </w:tbl>
    <w:p>
      <w:pPr>
        <w:spacing w:after="0" w:line="256" w:lineRule="exact"/>
        <w:jc w:val="right"/>
        <w:rPr>
          <w:sz w:val="24"/>
        </w:rPr>
        <w:sectPr>
          <w:type w:val="continuous"/>
          <w:pgSz w:w="11910" w:h="16840"/>
          <w:pgMar w:header="0" w:footer="1000" w:top="1340" w:bottom="1200" w:left="1080" w:right="1280"/>
        </w:sectPr>
      </w:pPr>
    </w:p>
    <w:p>
      <w:pPr>
        <w:pStyle w:val="Heading1"/>
        <w:spacing w:line="480" w:lineRule="auto" w:before="78"/>
        <w:ind w:left="3289" w:right="2632" w:firstLine="708"/>
        <w:jc w:val="left"/>
      </w:pPr>
      <w:bookmarkStart w:name="_TOC_250020" w:id="5"/>
      <w:r>
        <w:rPr/>
        <w:t>CHAPTER ONE GENERAL</w:t>
      </w:r>
      <w:r>
        <w:rPr>
          <w:spacing w:val="-15"/>
        </w:rPr>
        <w:t> </w:t>
      </w:r>
      <w:bookmarkEnd w:id="5"/>
      <w:r>
        <w:rPr/>
        <w:t>INTRODUCTION</w:t>
      </w:r>
    </w:p>
    <w:p>
      <w:pPr>
        <w:pStyle w:val="Heading2"/>
        <w:numPr>
          <w:ilvl w:val="1"/>
          <w:numId w:val="5"/>
        </w:numPr>
        <w:tabs>
          <w:tab w:pos="1079" w:val="left" w:leader="none"/>
        </w:tabs>
        <w:spacing w:line="240" w:lineRule="auto" w:before="1" w:after="0"/>
        <w:ind w:left="1079" w:right="0" w:hanging="719"/>
        <w:jc w:val="both"/>
      </w:pPr>
      <w:bookmarkStart w:name="_TOC_250019" w:id="6"/>
      <w:r>
        <w:rPr/>
        <w:t>Background</w:t>
      </w:r>
      <w:r>
        <w:rPr>
          <w:spacing w:val="-1"/>
        </w:rPr>
        <w:t> </w:t>
      </w:r>
      <w:r>
        <w:rPr/>
        <w:t>to</w:t>
      </w:r>
      <w:r>
        <w:rPr>
          <w:spacing w:val="-1"/>
        </w:rPr>
        <w:t> </w:t>
      </w:r>
      <w:r>
        <w:rPr/>
        <w:t>the</w:t>
      </w:r>
      <w:r>
        <w:rPr>
          <w:spacing w:val="-2"/>
        </w:rPr>
        <w:t> </w:t>
      </w:r>
      <w:bookmarkEnd w:id="6"/>
      <w:r>
        <w:rPr>
          <w:spacing w:val="-4"/>
        </w:rPr>
        <w:t>Study</w:t>
      </w:r>
    </w:p>
    <w:p>
      <w:pPr>
        <w:pStyle w:val="BodyText"/>
        <w:spacing w:line="480" w:lineRule="auto" w:before="271"/>
        <w:ind w:left="360" w:right="158" w:firstLine="719"/>
        <w:jc w:val="both"/>
      </w:pPr>
      <w:r>
        <w:rPr/>
        <w:t>Before a country considers how best to administer its tax system it must first</w:t>
      </w:r>
      <w:r>
        <w:rPr>
          <w:spacing w:val="40"/>
        </w:rPr>
        <w:t> </w:t>
      </w:r>
      <w:r>
        <w:rPr/>
        <w:t>possesses a clear picture of its tax system. The quality and quantity of resources required by tax administrations are to a large extent determined by the type of tax system which it is introduced. A nation‟s tax goals are not achieved by designing a tax system which is fair.</w:t>
      </w:r>
      <w:r>
        <w:rPr>
          <w:spacing w:val="40"/>
        </w:rPr>
        <w:t> </w:t>
      </w:r>
      <w:r>
        <w:rPr/>
        <w:t>Any fair system which is not administered as planned becomes inequitable. Thus, a good tax system</w:t>
      </w:r>
      <w:r>
        <w:rPr>
          <w:spacing w:val="-2"/>
        </w:rPr>
        <w:t> </w:t>
      </w:r>
      <w:r>
        <w:rPr/>
        <w:t>is</w:t>
      </w:r>
      <w:r>
        <w:rPr>
          <w:spacing w:val="-2"/>
        </w:rPr>
        <w:t> </w:t>
      </w:r>
      <w:r>
        <w:rPr/>
        <w:t>capable</w:t>
      </w:r>
      <w:r>
        <w:rPr>
          <w:spacing w:val="-1"/>
        </w:rPr>
        <w:t> </w:t>
      </w:r>
      <w:r>
        <w:rPr/>
        <w:t>of</w:t>
      </w:r>
      <w:r>
        <w:rPr>
          <w:spacing w:val="-2"/>
        </w:rPr>
        <w:t> </w:t>
      </w:r>
      <w:r>
        <w:rPr/>
        <w:t>financing</w:t>
      </w:r>
      <w:r>
        <w:rPr>
          <w:spacing w:val="-4"/>
        </w:rPr>
        <w:t> </w:t>
      </w:r>
      <w:r>
        <w:rPr/>
        <w:t>the</w:t>
      </w:r>
      <w:r>
        <w:rPr>
          <w:spacing w:val="-3"/>
        </w:rPr>
        <w:t> </w:t>
      </w:r>
      <w:r>
        <w:rPr/>
        <w:t>necessary</w:t>
      </w:r>
      <w:r>
        <w:rPr>
          <w:spacing w:val="-7"/>
        </w:rPr>
        <w:t> </w:t>
      </w:r>
      <w:r>
        <w:rPr/>
        <w:t>level of</w:t>
      </w:r>
      <w:r>
        <w:rPr>
          <w:spacing w:val="-2"/>
        </w:rPr>
        <w:t> </w:t>
      </w:r>
      <w:r>
        <w:rPr/>
        <w:t>public</w:t>
      </w:r>
      <w:r>
        <w:rPr>
          <w:spacing w:val="-3"/>
        </w:rPr>
        <w:t> </w:t>
      </w:r>
      <w:r>
        <w:rPr/>
        <w:t>spending</w:t>
      </w:r>
      <w:r>
        <w:rPr>
          <w:spacing w:val="-5"/>
        </w:rPr>
        <w:t> </w:t>
      </w:r>
      <w:r>
        <w:rPr/>
        <w:t>in</w:t>
      </w:r>
      <w:r>
        <w:rPr>
          <w:spacing w:val="-2"/>
        </w:rPr>
        <w:t> </w:t>
      </w:r>
      <w:r>
        <w:rPr/>
        <w:t>the</w:t>
      </w:r>
      <w:r>
        <w:rPr>
          <w:spacing w:val="-1"/>
        </w:rPr>
        <w:t> </w:t>
      </w:r>
      <w:r>
        <w:rPr/>
        <w:t>most</w:t>
      </w:r>
      <w:r>
        <w:rPr>
          <w:spacing w:val="-2"/>
        </w:rPr>
        <w:t> </w:t>
      </w:r>
      <w:r>
        <w:rPr/>
        <w:t>efficient and equitable way possible. It should also raise enough revenue to finance essential expenditures without recourses to excessive public sector borrowing, raise the revenue in ways that are equitable that minimized its disincentive effects on economic activities, to do so in ways that do not deviate substantially from international norms.</w:t>
      </w:r>
    </w:p>
    <w:p>
      <w:pPr>
        <w:pStyle w:val="BodyText"/>
        <w:spacing w:line="480" w:lineRule="auto" w:before="1"/>
        <w:ind w:left="360" w:right="158" w:firstLine="719"/>
        <w:jc w:val="both"/>
      </w:pPr>
      <w:r>
        <w:rPr/>
        <w:t>It is common knowledge that one of the problems plaguing taxation in Nigeria has been the widespread tax evasion and avoidance which in the view of many experts in the tax field which has led to the loss of revenue which can be blamed on our inefficient and inept</w:t>
      </w:r>
      <w:r>
        <w:rPr>
          <w:spacing w:val="40"/>
        </w:rPr>
        <w:t> </w:t>
      </w:r>
      <w:r>
        <w:rPr/>
        <w:t>tax administrative machinery</w:t>
      </w:r>
      <w:r>
        <w:rPr>
          <w:vertAlign w:val="superscript"/>
        </w:rPr>
        <w:t>1</w:t>
      </w:r>
      <w:r>
        <w:rPr>
          <w:vertAlign w:val="baseline"/>
        </w:rPr>
        <w:t>. There‟s no doubt that the administrative machinery</w:t>
      </w:r>
      <w:r>
        <w:rPr>
          <w:spacing w:val="-2"/>
          <w:vertAlign w:val="baseline"/>
        </w:rPr>
        <w:t> </w:t>
      </w:r>
      <w:r>
        <w:rPr>
          <w:vertAlign w:val="baseline"/>
        </w:rPr>
        <w:t>in Nigeria still has a long way to go in terms of delivery and efficiency but it is believed that Nigeria‟s income tax law could in spite of their low rates and generous allowances, still have yielded much more revenue, but for the inefficient and defective assessment and collection machinery.</w:t>
      </w:r>
      <w:r>
        <w:rPr>
          <w:vertAlign w:val="superscript"/>
        </w:rPr>
        <w:t>2</w:t>
      </w:r>
      <w:r>
        <w:rPr>
          <w:vertAlign w:val="baseline"/>
        </w:rPr>
        <w:t>For no matter how sophisticated and progressive a tax legislation is, it cannot be effective unless it is properly administered with competence and integrity. This is why</w:t>
      </w:r>
      <w:r>
        <w:rPr>
          <w:spacing w:val="-3"/>
          <w:vertAlign w:val="baseline"/>
        </w:rPr>
        <w:t> </w:t>
      </w:r>
      <w:r>
        <w:rPr>
          <w:vertAlign w:val="baseline"/>
        </w:rPr>
        <w:t>in this paper we will be examining the problems facing the administration of petroleum taxation.</w:t>
      </w:r>
    </w:p>
    <w:p>
      <w:pPr>
        <w:pStyle w:val="BodyText"/>
        <w:spacing w:before="168"/>
        <w:rPr>
          <w:sz w:val="20"/>
        </w:rPr>
      </w:pPr>
      <w:r>
        <w:rPr/>
        <mc:AlternateContent>
          <mc:Choice Requires="wps">
            <w:drawing>
              <wp:anchor distT="0" distB="0" distL="0" distR="0" allowOverlap="1" layoutInCell="1" locked="0" behindDoc="1" simplePos="0" relativeHeight="487592960">
                <wp:simplePos x="0" y="0"/>
                <wp:positionH relativeFrom="page">
                  <wp:posOffset>914704</wp:posOffset>
                </wp:positionH>
                <wp:positionV relativeFrom="paragraph">
                  <wp:posOffset>268512</wp:posOffset>
                </wp:positionV>
                <wp:extent cx="1829435" cy="9525"/>
                <wp:effectExtent l="0" t="0" r="0" b="0"/>
                <wp:wrapTopAndBottom/>
                <wp:docPr id="13" name="Graphic 13"/>
                <wp:cNvGraphicFramePr>
                  <a:graphicFrameLocks/>
                </wp:cNvGraphicFramePr>
                <a:graphic>
                  <a:graphicData uri="http://schemas.microsoft.com/office/word/2010/wordprocessingShape">
                    <wps:wsp>
                      <wps:cNvPr id="13" name="Graphic 13"/>
                      <wps:cNvSpPr/>
                      <wps:spPr>
                        <a:xfrm>
                          <a:off x="0" y="0"/>
                          <a:ext cx="1829435" cy="9525"/>
                        </a:xfrm>
                        <a:custGeom>
                          <a:avLst/>
                          <a:gdLst/>
                          <a:ahLst/>
                          <a:cxnLst/>
                          <a:rect l="l" t="t" r="r" b="b"/>
                          <a:pathLst>
                            <a:path w="1829435" h="9525">
                              <a:moveTo>
                                <a:pt x="1829054" y="0"/>
                              </a:moveTo>
                              <a:lnTo>
                                <a:pt x="0" y="0"/>
                              </a:lnTo>
                              <a:lnTo>
                                <a:pt x="0" y="9144"/>
                              </a:lnTo>
                              <a:lnTo>
                                <a:pt x="1829054" y="9144"/>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21.142704pt;width:144.020pt;height:.72003pt;mso-position-horizontal-relative:page;mso-position-vertical-relative:paragraph;z-index:-15723520;mso-wrap-distance-left:0;mso-wrap-distance-right:0" id="docshape13" filled="true" fillcolor="#000000" stroked="false">
                <v:fill type="solid"/>
                <w10:wrap type="topAndBottom"/>
              </v:rect>
            </w:pict>
          </mc:Fallback>
        </mc:AlternateContent>
      </w:r>
    </w:p>
    <w:p>
      <w:pPr>
        <w:spacing w:before="102"/>
        <w:ind w:left="360" w:right="223" w:firstLine="0"/>
        <w:jc w:val="left"/>
        <w:rPr>
          <w:rFonts w:ascii="Calibri" w:hAnsi="Calibri"/>
          <w:sz w:val="20"/>
        </w:rPr>
      </w:pPr>
      <w:r>
        <w:rPr>
          <w:rFonts w:ascii="Calibri" w:hAnsi="Calibri"/>
          <w:sz w:val="20"/>
          <w:vertAlign w:val="superscript"/>
        </w:rPr>
        <w:t>1</w:t>
      </w:r>
      <w:r>
        <w:rPr>
          <w:rFonts w:ascii="Calibri" w:hAnsi="Calibri"/>
          <w:spacing w:val="-4"/>
          <w:sz w:val="20"/>
          <w:vertAlign w:val="baseline"/>
        </w:rPr>
        <w:t> </w:t>
      </w:r>
      <w:r>
        <w:rPr>
          <w:rFonts w:ascii="Calibri" w:hAnsi="Calibri"/>
          <w:sz w:val="20"/>
          <w:vertAlign w:val="baseline"/>
        </w:rPr>
        <w:t>A.O.Philips,</w:t>
      </w:r>
      <w:r>
        <w:rPr>
          <w:rFonts w:ascii="Calibri" w:hAnsi="Calibri"/>
          <w:spacing w:val="-2"/>
          <w:sz w:val="20"/>
          <w:vertAlign w:val="baseline"/>
        </w:rPr>
        <w:t> </w:t>
      </w:r>
      <w:r>
        <w:rPr>
          <w:rFonts w:ascii="Calibri" w:hAnsi="Calibri"/>
          <w:sz w:val="20"/>
          <w:vertAlign w:val="baseline"/>
        </w:rPr>
        <w:t>(1968)</w:t>
      </w:r>
      <w:r>
        <w:rPr>
          <w:rFonts w:ascii="Calibri" w:hAnsi="Calibri"/>
          <w:i/>
          <w:sz w:val="20"/>
          <w:vertAlign w:val="baseline"/>
        </w:rPr>
        <w:t>‘’Nigeria’s</w:t>
      </w:r>
      <w:r>
        <w:rPr>
          <w:rFonts w:ascii="Calibri" w:hAnsi="Calibri"/>
          <w:i/>
          <w:spacing w:val="-2"/>
          <w:sz w:val="20"/>
          <w:vertAlign w:val="baseline"/>
        </w:rPr>
        <w:t> </w:t>
      </w:r>
      <w:r>
        <w:rPr>
          <w:rFonts w:ascii="Calibri" w:hAnsi="Calibri"/>
          <w:i/>
          <w:sz w:val="20"/>
          <w:vertAlign w:val="baseline"/>
        </w:rPr>
        <w:t>Companies</w:t>
      </w:r>
      <w:r>
        <w:rPr>
          <w:rFonts w:ascii="Calibri" w:hAnsi="Calibri"/>
          <w:i/>
          <w:spacing w:val="-4"/>
          <w:sz w:val="20"/>
          <w:vertAlign w:val="baseline"/>
        </w:rPr>
        <w:t> </w:t>
      </w:r>
      <w:r>
        <w:rPr>
          <w:rFonts w:ascii="Calibri" w:hAnsi="Calibri"/>
          <w:i/>
          <w:sz w:val="20"/>
          <w:vertAlign w:val="baseline"/>
        </w:rPr>
        <w:t>Income</w:t>
      </w:r>
      <w:r>
        <w:rPr>
          <w:rFonts w:ascii="Calibri" w:hAnsi="Calibri"/>
          <w:i/>
          <w:spacing w:val="-3"/>
          <w:sz w:val="20"/>
          <w:vertAlign w:val="baseline"/>
        </w:rPr>
        <w:t> </w:t>
      </w:r>
      <w:r>
        <w:rPr>
          <w:rFonts w:ascii="Calibri" w:hAnsi="Calibri"/>
          <w:i/>
          <w:sz w:val="20"/>
          <w:vertAlign w:val="baseline"/>
        </w:rPr>
        <w:t>Tax’’. </w:t>
      </w:r>
      <w:r>
        <w:rPr>
          <w:rFonts w:ascii="Calibri" w:hAnsi="Calibri"/>
          <w:sz w:val="20"/>
          <w:vertAlign w:val="baseline"/>
        </w:rPr>
        <w:t>The</w:t>
      </w:r>
      <w:r>
        <w:rPr>
          <w:rFonts w:ascii="Calibri" w:hAnsi="Calibri"/>
          <w:spacing w:val="-4"/>
          <w:sz w:val="20"/>
          <w:vertAlign w:val="baseline"/>
        </w:rPr>
        <w:t> </w:t>
      </w:r>
      <w:r>
        <w:rPr>
          <w:rFonts w:ascii="Calibri" w:hAnsi="Calibri"/>
          <w:sz w:val="20"/>
          <w:vertAlign w:val="baseline"/>
        </w:rPr>
        <w:t>Nigerian</w:t>
      </w:r>
      <w:r>
        <w:rPr>
          <w:rFonts w:ascii="Calibri" w:hAnsi="Calibri"/>
          <w:spacing w:val="-3"/>
          <w:sz w:val="20"/>
          <w:vertAlign w:val="baseline"/>
        </w:rPr>
        <w:t> </w:t>
      </w:r>
      <w:r>
        <w:rPr>
          <w:rFonts w:ascii="Calibri" w:hAnsi="Calibri"/>
          <w:sz w:val="20"/>
          <w:vertAlign w:val="baseline"/>
        </w:rPr>
        <w:t>Journal</w:t>
      </w:r>
      <w:r>
        <w:rPr>
          <w:rFonts w:ascii="Calibri" w:hAnsi="Calibri"/>
          <w:spacing w:val="-3"/>
          <w:sz w:val="20"/>
          <w:vertAlign w:val="baseline"/>
        </w:rPr>
        <w:t> </w:t>
      </w:r>
      <w:r>
        <w:rPr>
          <w:rFonts w:ascii="Calibri" w:hAnsi="Calibri"/>
          <w:sz w:val="20"/>
          <w:vertAlign w:val="baseline"/>
        </w:rPr>
        <w:t>of</w:t>
      </w:r>
      <w:r>
        <w:rPr>
          <w:rFonts w:ascii="Calibri" w:hAnsi="Calibri"/>
          <w:spacing w:val="-5"/>
          <w:sz w:val="20"/>
          <w:vertAlign w:val="baseline"/>
        </w:rPr>
        <w:t> </w:t>
      </w:r>
      <w:r>
        <w:rPr>
          <w:rFonts w:ascii="Calibri" w:hAnsi="Calibri"/>
          <w:sz w:val="20"/>
          <w:vertAlign w:val="baseline"/>
        </w:rPr>
        <w:t>Economics</w:t>
      </w:r>
      <w:r>
        <w:rPr>
          <w:rFonts w:ascii="Calibri" w:hAnsi="Calibri"/>
          <w:spacing w:val="-3"/>
          <w:sz w:val="20"/>
          <w:vertAlign w:val="baseline"/>
        </w:rPr>
        <w:t> </w:t>
      </w:r>
      <w:r>
        <w:rPr>
          <w:rFonts w:ascii="Calibri" w:hAnsi="Calibri"/>
          <w:sz w:val="20"/>
          <w:vertAlign w:val="baseline"/>
        </w:rPr>
        <w:t>and</w:t>
      </w:r>
      <w:r>
        <w:rPr>
          <w:rFonts w:ascii="Calibri" w:hAnsi="Calibri"/>
          <w:spacing w:val="-3"/>
          <w:sz w:val="20"/>
          <w:vertAlign w:val="baseline"/>
        </w:rPr>
        <w:t> </w:t>
      </w:r>
      <w:r>
        <w:rPr>
          <w:rFonts w:ascii="Calibri" w:hAnsi="Calibri"/>
          <w:sz w:val="20"/>
          <w:vertAlign w:val="baseline"/>
        </w:rPr>
        <w:t>Social</w:t>
      </w:r>
      <w:r>
        <w:rPr>
          <w:rFonts w:ascii="Calibri" w:hAnsi="Calibri"/>
          <w:spacing w:val="-4"/>
          <w:sz w:val="20"/>
          <w:vertAlign w:val="baseline"/>
        </w:rPr>
        <w:t> </w:t>
      </w:r>
      <w:r>
        <w:rPr>
          <w:rFonts w:ascii="Calibri" w:hAnsi="Calibri"/>
          <w:sz w:val="20"/>
          <w:vertAlign w:val="baseline"/>
        </w:rPr>
        <w:t>Studies, Vol. 3, at p.333.</w:t>
      </w:r>
    </w:p>
    <w:p>
      <w:pPr>
        <w:spacing w:line="243" w:lineRule="exact" w:before="0"/>
        <w:ind w:left="360" w:right="0" w:firstLine="0"/>
        <w:jc w:val="left"/>
        <w:rPr>
          <w:rFonts w:ascii="Calibri"/>
          <w:sz w:val="20"/>
        </w:rPr>
      </w:pPr>
      <w:r>
        <w:rPr>
          <w:rFonts w:ascii="Calibri"/>
          <w:sz w:val="20"/>
          <w:vertAlign w:val="superscript"/>
        </w:rPr>
        <w:t>2</w:t>
      </w:r>
      <w:r>
        <w:rPr>
          <w:rFonts w:ascii="Calibri"/>
          <w:spacing w:val="-6"/>
          <w:sz w:val="20"/>
          <w:vertAlign w:val="baseline"/>
        </w:rPr>
        <w:t> </w:t>
      </w:r>
      <w:r>
        <w:rPr>
          <w:rFonts w:ascii="Calibri"/>
          <w:sz w:val="20"/>
          <w:vertAlign w:val="baseline"/>
        </w:rPr>
        <w:t>United</w:t>
      </w:r>
      <w:r>
        <w:rPr>
          <w:rFonts w:ascii="Calibri"/>
          <w:spacing w:val="-5"/>
          <w:sz w:val="20"/>
          <w:vertAlign w:val="baseline"/>
        </w:rPr>
        <w:t> </w:t>
      </w:r>
      <w:r>
        <w:rPr>
          <w:rFonts w:ascii="Calibri"/>
          <w:sz w:val="20"/>
          <w:vertAlign w:val="baseline"/>
        </w:rPr>
        <w:t>States</w:t>
      </w:r>
      <w:r>
        <w:rPr>
          <w:rFonts w:ascii="Calibri"/>
          <w:spacing w:val="-4"/>
          <w:sz w:val="20"/>
          <w:vertAlign w:val="baseline"/>
        </w:rPr>
        <w:t> </w:t>
      </w:r>
      <w:r>
        <w:rPr>
          <w:rFonts w:ascii="Calibri"/>
          <w:sz w:val="20"/>
          <w:vertAlign w:val="baseline"/>
        </w:rPr>
        <w:t>v.</w:t>
      </w:r>
      <w:r>
        <w:rPr>
          <w:rFonts w:ascii="Calibri"/>
          <w:spacing w:val="-5"/>
          <w:sz w:val="20"/>
          <w:vertAlign w:val="baseline"/>
        </w:rPr>
        <w:t> </w:t>
      </w:r>
      <w:r>
        <w:rPr>
          <w:rFonts w:ascii="Calibri"/>
          <w:sz w:val="20"/>
          <w:vertAlign w:val="baseline"/>
        </w:rPr>
        <w:t>Butler,2279</w:t>
      </w:r>
      <w:r>
        <w:rPr>
          <w:rFonts w:ascii="Calibri"/>
          <w:spacing w:val="-3"/>
          <w:sz w:val="20"/>
          <w:vertAlign w:val="baseline"/>
        </w:rPr>
        <w:t> </w:t>
      </w:r>
      <w:r>
        <w:rPr>
          <w:rFonts w:ascii="Calibri"/>
          <w:sz w:val="20"/>
          <w:vertAlign w:val="baseline"/>
        </w:rPr>
        <w:t>US</w:t>
      </w:r>
      <w:r>
        <w:rPr>
          <w:rFonts w:ascii="Calibri"/>
          <w:spacing w:val="-6"/>
          <w:sz w:val="20"/>
          <w:vertAlign w:val="baseline"/>
        </w:rPr>
        <w:t> </w:t>
      </w:r>
      <w:r>
        <w:rPr>
          <w:rFonts w:ascii="Calibri"/>
          <w:sz w:val="20"/>
          <w:vertAlign w:val="baseline"/>
        </w:rPr>
        <w:t>(1936)</w:t>
      </w:r>
      <w:r>
        <w:rPr>
          <w:rFonts w:ascii="Calibri"/>
          <w:spacing w:val="-7"/>
          <w:sz w:val="20"/>
          <w:vertAlign w:val="baseline"/>
        </w:rPr>
        <w:t> </w:t>
      </w:r>
      <w:r>
        <w:rPr>
          <w:rFonts w:ascii="Calibri"/>
          <w:sz w:val="20"/>
          <w:vertAlign w:val="baseline"/>
        </w:rPr>
        <w:t>at</w:t>
      </w:r>
      <w:r>
        <w:rPr>
          <w:rFonts w:ascii="Calibri"/>
          <w:spacing w:val="-5"/>
          <w:sz w:val="20"/>
          <w:vertAlign w:val="baseline"/>
        </w:rPr>
        <w:t> </w:t>
      </w:r>
      <w:r>
        <w:rPr>
          <w:rFonts w:ascii="Calibri"/>
          <w:spacing w:val="-4"/>
          <w:sz w:val="20"/>
          <w:vertAlign w:val="baseline"/>
        </w:rPr>
        <w:t>p.61</w:t>
      </w:r>
    </w:p>
    <w:p>
      <w:pPr>
        <w:spacing w:after="0" w:line="243" w:lineRule="exact"/>
        <w:jc w:val="left"/>
        <w:rPr>
          <w:rFonts w:ascii="Calibri"/>
          <w:sz w:val="20"/>
        </w:rPr>
        <w:sectPr>
          <w:footerReference w:type="default" r:id="rId6"/>
          <w:pgSz w:w="11910" w:h="16840"/>
          <w:pgMar w:header="0" w:footer="1000" w:top="1340" w:bottom="1200" w:left="1080" w:right="1280"/>
          <w:pgNumType w:start="1"/>
        </w:sectPr>
      </w:pPr>
    </w:p>
    <w:p>
      <w:pPr>
        <w:pStyle w:val="BodyText"/>
        <w:spacing w:line="480" w:lineRule="auto" w:before="74"/>
        <w:ind w:left="360" w:right="158" w:firstLine="719"/>
        <w:jc w:val="both"/>
      </w:pPr>
      <w:r>
        <w:rPr/>
        <w:t>The Nigerian tax system has undergone several reforms geared at enhancing tax collection and administration with minimal enforcement cost. The recent reforms include the Petroleum Industry Bill 2012 which is with the National Assembly, introduction of TIN (Unique Tax Payers identification number which became effective since February 2008), automated tax system that facilitates tracking of tax positions and issues by individual tax payers-payment system which enhances smooth payment procedure and reduces the</w:t>
      </w:r>
      <w:r>
        <w:rPr>
          <w:spacing w:val="40"/>
        </w:rPr>
        <w:t> </w:t>
      </w:r>
      <w:r>
        <w:rPr/>
        <w:t>incidence of tax touts, enforcement scheme (special purpose tax officers), these are special</w:t>
      </w:r>
      <w:r>
        <w:rPr>
          <w:spacing w:val="40"/>
        </w:rPr>
        <w:t> </w:t>
      </w:r>
      <w:r>
        <w:rPr/>
        <w:t>tax officers in collaboration with other security agencies to ensure strict compliance in payment of taxes.</w:t>
      </w:r>
    </w:p>
    <w:p>
      <w:pPr>
        <w:pStyle w:val="BodyText"/>
        <w:spacing w:line="480" w:lineRule="auto" w:before="1"/>
        <w:ind w:left="360" w:right="162" w:firstLine="719"/>
        <w:jc w:val="both"/>
      </w:pPr>
      <w:r>
        <w:rPr/>
        <w:t>The tax authority now has autonomy to asses, collect and record tax. This enabling environment which came into being on the basis of (Section 8(q) of FIRS Establishment Act 2007) has led to an improvement in tax administration in the country.</w:t>
      </w:r>
    </w:p>
    <w:p>
      <w:pPr>
        <w:pStyle w:val="BodyText"/>
        <w:spacing w:line="480" w:lineRule="auto"/>
        <w:ind w:left="360" w:right="159" w:firstLine="719"/>
        <w:jc w:val="both"/>
      </w:pPr>
      <w:r>
        <w:rPr/>
        <w:t>Petroleum is no doubt a predominant source of Nigeria‟s revenue and foreign exchange. The petroleum industry is divided into two main segments. The upstream and downstream sectors. The upstream refers to activities such as exploration, production and delivery to an export terminal of crude oil or gas.</w:t>
      </w:r>
    </w:p>
    <w:p>
      <w:pPr>
        <w:pStyle w:val="BodyText"/>
        <w:spacing w:line="480" w:lineRule="auto"/>
        <w:ind w:left="360" w:right="159" w:firstLine="719"/>
        <w:jc w:val="both"/>
      </w:pPr>
      <w:r>
        <w:rPr/>
        <w:t>The downstream on the other hand encompasses activities like loading of crude oil at the terminal and its user especially transportation, supply tradition, refining, distribution and marketing</w:t>
      </w:r>
      <w:r>
        <w:rPr>
          <w:spacing w:val="-2"/>
        </w:rPr>
        <w:t> </w:t>
      </w:r>
      <w:r>
        <w:rPr/>
        <w:t>petroleum.</w:t>
      </w:r>
      <w:r>
        <w:rPr>
          <w:spacing w:val="-2"/>
        </w:rPr>
        <w:t> </w:t>
      </w:r>
      <w:r>
        <w:rPr/>
        <w:t>The</w:t>
      </w:r>
      <w:r>
        <w:rPr>
          <w:spacing w:val="-3"/>
        </w:rPr>
        <w:t> </w:t>
      </w:r>
      <w:r>
        <w:rPr/>
        <w:t>Petroleum</w:t>
      </w:r>
      <w:r>
        <w:rPr>
          <w:spacing w:val="-2"/>
        </w:rPr>
        <w:t> </w:t>
      </w:r>
      <w:r>
        <w:rPr/>
        <w:t>Profit</w:t>
      </w:r>
      <w:r>
        <w:rPr>
          <w:spacing w:val="-2"/>
        </w:rPr>
        <w:t> </w:t>
      </w:r>
      <w:r>
        <w:rPr/>
        <w:t>Tax is</w:t>
      </w:r>
      <w:r>
        <w:rPr>
          <w:spacing w:val="-2"/>
        </w:rPr>
        <w:t> </w:t>
      </w:r>
      <w:r>
        <w:rPr/>
        <w:t>applicable</w:t>
      </w:r>
      <w:r>
        <w:rPr>
          <w:spacing w:val="-1"/>
        </w:rPr>
        <w:t> </w:t>
      </w:r>
      <w:r>
        <w:rPr/>
        <w:t>to</w:t>
      </w:r>
      <w:r>
        <w:rPr>
          <w:spacing w:val="-2"/>
        </w:rPr>
        <w:t> </w:t>
      </w:r>
      <w:r>
        <w:rPr/>
        <w:t>upstream</w:t>
      </w:r>
      <w:r>
        <w:rPr>
          <w:spacing w:val="-2"/>
        </w:rPr>
        <w:t> </w:t>
      </w:r>
      <w:r>
        <w:rPr/>
        <w:t>operations</w:t>
      </w:r>
      <w:r>
        <w:rPr>
          <w:spacing w:val="-2"/>
        </w:rPr>
        <w:t> </w:t>
      </w:r>
      <w:r>
        <w:rPr/>
        <w:t>in</w:t>
      </w:r>
      <w:r>
        <w:rPr>
          <w:spacing w:val="-2"/>
        </w:rPr>
        <w:t> </w:t>
      </w:r>
      <w:r>
        <w:rPr/>
        <w:t>the</w:t>
      </w:r>
      <w:r>
        <w:rPr>
          <w:spacing w:val="-3"/>
        </w:rPr>
        <w:t> </w:t>
      </w:r>
      <w:r>
        <w:rPr/>
        <w:t>oil sector. It is particularly related to rents, royalties, margins and profit sharing elements associating with oil mining, prospering and exploration leases. It is the most important tax in Nigeria in terms of its share of total revenue, contributing almost 90 percent of foreign exchange earnings and government revenue. It covered oil and gas sector.</w:t>
      </w:r>
      <w:r>
        <w:rPr>
          <w:vertAlign w:val="superscript"/>
        </w:rPr>
        <w:t>3</w:t>
      </w:r>
    </w:p>
    <w:p>
      <w:pPr>
        <w:pStyle w:val="BodyText"/>
        <w:rPr>
          <w:sz w:val="20"/>
        </w:rPr>
      </w:pPr>
    </w:p>
    <w:p>
      <w:pPr>
        <w:pStyle w:val="BodyText"/>
        <w:spacing w:before="181"/>
        <w:rPr>
          <w:sz w:val="20"/>
        </w:rPr>
      </w:pPr>
      <w:r>
        <w:rPr/>
        <mc:AlternateContent>
          <mc:Choice Requires="wps">
            <w:drawing>
              <wp:anchor distT="0" distB="0" distL="0" distR="0" allowOverlap="1" layoutInCell="1" locked="0" behindDoc="1" simplePos="0" relativeHeight="487593472">
                <wp:simplePos x="0" y="0"/>
                <wp:positionH relativeFrom="page">
                  <wp:posOffset>914704</wp:posOffset>
                </wp:positionH>
                <wp:positionV relativeFrom="paragraph">
                  <wp:posOffset>276413</wp:posOffset>
                </wp:positionV>
                <wp:extent cx="1829435" cy="9525"/>
                <wp:effectExtent l="0" t="0" r="0" b="0"/>
                <wp:wrapTopAndBottom/>
                <wp:docPr id="14" name="Graphic 14"/>
                <wp:cNvGraphicFramePr>
                  <a:graphicFrameLocks/>
                </wp:cNvGraphicFramePr>
                <a:graphic>
                  <a:graphicData uri="http://schemas.microsoft.com/office/word/2010/wordprocessingShape">
                    <wps:wsp>
                      <wps:cNvPr id="14" name="Graphic 14"/>
                      <wps:cNvSpPr/>
                      <wps:spPr>
                        <a:xfrm>
                          <a:off x="0" y="0"/>
                          <a:ext cx="1829435" cy="9525"/>
                        </a:xfrm>
                        <a:custGeom>
                          <a:avLst/>
                          <a:gdLst/>
                          <a:ahLst/>
                          <a:cxnLst/>
                          <a:rect l="l" t="t" r="r" b="b"/>
                          <a:pathLst>
                            <a:path w="1829435" h="9525">
                              <a:moveTo>
                                <a:pt x="1829054" y="0"/>
                              </a:moveTo>
                              <a:lnTo>
                                <a:pt x="0" y="0"/>
                              </a:lnTo>
                              <a:lnTo>
                                <a:pt x="0" y="9144"/>
                              </a:lnTo>
                              <a:lnTo>
                                <a:pt x="1829054" y="9144"/>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21.764853pt;width:144.020pt;height:.72003pt;mso-position-horizontal-relative:page;mso-position-vertical-relative:paragraph;z-index:-15723008;mso-wrap-distance-left:0;mso-wrap-distance-right:0" id="docshape14" filled="true" fillcolor="#000000" stroked="false">
                <v:fill type="solid"/>
                <w10:wrap type="topAndBottom"/>
              </v:rect>
            </w:pict>
          </mc:Fallback>
        </mc:AlternateContent>
      </w:r>
    </w:p>
    <w:p>
      <w:pPr>
        <w:spacing w:before="102"/>
        <w:ind w:left="360" w:right="0" w:firstLine="0"/>
        <w:jc w:val="left"/>
        <w:rPr>
          <w:rFonts w:ascii="Calibri"/>
          <w:sz w:val="20"/>
        </w:rPr>
      </w:pPr>
      <w:r>
        <w:rPr>
          <w:rFonts w:ascii="Calibri"/>
          <w:sz w:val="20"/>
          <w:vertAlign w:val="superscript"/>
        </w:rPr>
        <w:t>3</w:t>
      </w:r>
      <w:r>
        <w:rPr>
          <w:rFonts w:ascii="Calibri"/>
          <w:spacing w:val="-4"/>
          <w:sz w:val="20"/>
          <w:vertAlign w:val="baseline"/>
        </w:rPr>
        <w:t> </w:t>
      </w:r>
      <w:r>
        <w:rPr>
          <w:rFonts w:ascii="Calibri"/>
          <w:sz w:val="20"/>
          <w:vertAlign w:val="baseline"/>
        </w:rPr>
        <w:t>Ayodele</w:t>
      </w:r>
      <w:r>
        <w:rPr>
          <w:rFonts w:ascii="Calibri"/>
          <w:spacing w:val="-3"/>
          <w:sz w:val="20"/>
          <w:vertAlign w:val="baseline"/>
        </w:rPr>
        <w:t> </w:t>
      </w:r>
      <w:r>
        <w:rPr>
          <w:rFonts w:ascii="Calibri"/>
          <w:sz w:val="20"/>
          <w:vertAlign w:val="baseline"/>
        </w:rPr>
        <w:t>(2006)</w:t>
      </w:r>
      <w:r>
        <w:rPr>
          <w:rFonts w:ascii="Calibri"/>
          <w:spacing w:val="-3"/>
          <w:sz w:val="20"/>
          <w:vertAlign w:val="baseline"/>
        </w:rPr>
        <w:t> </w:t>
      </w:r>
      <w:r>
        <w:rPr>
          <w:rFonts w:ascii="Calibri"/>
          <w:i/>
          <w:sz w:val="20"/>
          <w:vertAlign w:val="baseline"/>
        </w:rPr>
        <w:t>Tax</w:t>
      </w:r>
      <w:r>
        <w:rPr>
          <w:rFonts w:ascii="Calibri"/>
          <w:i/>
          <w:spacing w:val="-3"/>
          <w:sz w:val="20"/>
          <w:vertAlign w:val="baseline"/>
        </w:rPr>
        <w:t> </w:t>
      </w:r>
      <w:r>
        <w:rPr>
          <w:rFonts w:ascii="Calibri"/>
          <w:i/>
          <w:sz w:val="20"/>
          <w:vertAlign w:val="baseline"/>
        </w:rPr>
        <w:t>Policy</w:t>
      </w:r>
      <w:r>
        <w:rPr>
          <w:rFonts w:ascii="Calibri"/>
          <w:i/>
          <w:spacing w:val="-4"/>
          <w:sz w:val="20"/>
          <w:vertAlign w:val="baseline"/>
        </w:rPr>
        <w:t> </w:t>
      </w:r>
      <w:r>
        <w:rPr>
          <w:rFonts w:ascii="Calibri"/>
          <w:i/>
          <w:sz w:val="20"/>
          <w:vertAlign w:val="baseline"/>
        </w:rPr>
        <w:t>Reforms</w:t>
      </w:r>
      <w:r>
        <w:rPr>
          <w:rFonts w:ascii="Calibri"/>
          <w:i/>
          <w:spacing w:val="-4"/>
          <w:sz w:val="20"/>
          <w:vertAlign w:val="baseline"/>
        </w:rPr>
        <w:t> </w:t>
      </w:r>
      <w:r>
        <w:rPr>
          <w:rFonts w:ascii="Calibri"/>
          <w:i/>
          <w:sz w:val="20"/>
          <w:vertAlign w:val="baseline"/>
        </w:rPr>
        <w:t>in Nigeria</w:t>
      </w:r>
      <w:r>
        <w:rPr>
          <w:rFonts w:ascii="Calibri"/>
          <w:sz w:val="20"/>
          <w:vertAlign w:val="baseline"/>
        </w:rPr>
        <w:t>,</w:t>
      </w:r>
      <w:r>
        <w:rPr>
          <w:rFonts w:ascii="Calibri"/>
          <w:spacing w:val="-3"/>
          <w:sz w:val="20"/>
          <w:vertAlign w:val="baseline"/>
        </w:rPr>
        <w:t> </w:t>
      </w:r>
      <w:r>
        <w:rPr>
          <w:rFonts w:ascii="Calibri"/>
          <w:sz w:val="20"/>
          <w:vertAlign w:val="baseline"/>
        </w:rPr>
        <w:t>Research</w:t>
      </w:r>
      <w:r>
        <w:rPr>
          <w:rFonts w:ascii="Calibri"/>
          <w:spacing w:val="-3"/>
          <w:sz w:val="20"/>
          <w:vertAlign w:val="baseline"/>
        </w:rPr>
        <w:t> </w:t>
      </w:r>
      <w:r>
        <w:rPr>
          <w:rFonts w:ascii="Calibri"/>
          <w:sz w:val="20"/>
          <w:vertAlign w:val="baseline"/>
        </w:rPr>
        <w:t>Paper</w:t>
      </w:r>
      <w:r>
        <w:rPr>
          <w:rFonts w:ascii="Calibri"/>
          <w:spacing w:val="-3"/>
          <w:sz w:val="20"/>
          <w:vertAlign w:val="baseline"/>
        </w:rPr>
        <w:t> </w:t>
      </w:r>
      <w:r>
        <w:rPr>
          <w:rFonts w:ascii="Calibri"/>
          <w:sz w:val="20"/>
          <w:vertAlign w:val="baseline"/>
        </w:rPr>
        <w:t>No.</w:t>
      </w:r>
      <w:r>
        <w:rPr>
          <w:rFonts w:ascii="Calibri"/>
          <w:spacing w:val="-3"/>
          <w:sz w:val="20"/>
          <w:vertAlign w:val="baseline"/>
        </w:rPr>
        <w:t> </w:t>
      </w:r>
      <w:r>
        <w:rPr>
          <w:rFonts w:ascii="Calibri"/>
          <w:sz w:val="20"/>
          <w:vertAlign w:val="baseline"/>
        </w:rPr>
        <w:t>2004,</w:t>
      </w:r>
      <w:r>
        <w:rPr>
          <w:rFonts w:ascii="Calibri"/>
          <w:spacing w:val="-3"/>
          <w:sz w:val="20"/>
          <w:vertAlign w:val="baseline"/>
        </w:rPr>
        <w:t> </w:t>
      </w:r>
      <w:r>
        <w:rPr>
          <w:rFonts w:ascii="Calibri"/>
          <w:sz w:val="20"/>
          <w:vertAlign w:val="baseline"/>
        </w:rPr>
        <w:t>National</w:t>
      </w:r>
      <w:r>
        <w:rPr>
          <w:rFonts w:ascii="Calibri"/>
          <w:spacing w:val="-3"/>
          <w:sz w:val="20"/>
          <w:vertAlign w:val="baseline"/>
        </w:rPr>
        <w:t> </w:t>
      </w:r>
      <w:r>
        <w:rPr>
          <w:rFonts w:ascii="Calibri"/>
          <w:sz w:val="20"/>
          <w:vertAlign w:val="baseline"/>
        </w:rPr>
        <w:t>centre</w:t>
      </w:r>
      <w:r>
        <w:rPr>
          <w:rFonts w:ascii="Calibri"/>
          <w:spacing w:val="-4"/>
          <w:sz w:val="20"/>
          <w:vertAlign w:val="baseline"/>
        </w:rPr>
        <w:t> </w:t>
      </w:r>
      <w:r>
        <w:rPr>
          <w:rFonts w:ascii="Calibri"/>
          <w:sz w:val="20"/>
          <w:vertAlign w:val="baseline"/>
        </w:rPr>
        <w:t>for</w:t>
      </w:r>
      <w:r>
        <w:rPr>
          <w:rFonts w:ascii="Calibri"/>
          <w:spacing w:val="-3"/>
          <w:sz w:val="20"/>
          <w:vertAlign w:val="baseline"/>
        </w:rPr>
        <w:t> </w:t>
      </w:r>
      <w:r>
        <w:rPr>
          <w:rFonts w:ascii="Calibri"/>
          <w:sz w:val="20"/>
          <w:vertAlign w:val="baseline"/>
        </w:rPr>
        <w:t>Economic Management and Administration, Ibadan, (Nigeria),</w:t>
      </w:r>
    </w:p>
    <w:p>
      <w:pPr>
        <w:spacing w:after="0"/>
        <w:jc w:val="left"/>
        <w:rPr>
          <w:rFonts w:ascii="Calibri"/>
          <w:sz w:val="20"/>
        </w:rPr>
        <w:sectPr>
          <w:pgSz w:w="11910" w:h="16840"/>
          <w:pgMar w:header="0" w:footer="1000" w:top="1340" w:bottom="1200" w:left="1080" w:right="1280"/>
        </w:sectPr>
      </w:pPr>
    </w:p>
    <w:p>
      <w:pPr>
        <w:pStyle w:val="BodyText"/>
        <w:spacing w:line="480" w:lineRule="auto" w:before="74"/>
        <w:ind w:left="360" w:right="159" w:firstLine="719"/>
        <w:jc w:val="both"/>
      </w:pPr>
      <w:r>
        <w:rPr/>
        <w:t>The tax system is an opportunity for government to collect additional revenue needed in discharging its pressing obligations. A tax system offers itself as one of the most effective means of mobilizing a nation‟s internal resources and it lends itself to creating an environment conducive to the promotion of economic growth.</w:t>
      </w:r>
    </w:p>
    <w:p>
      <w:pPr>
        <w:pStyle w:val="BodyText"/>
        <w:spacing w:line="480" w:lineRule="auto"/>
        <w:ind w:left="360" w:right="153" w:firstLine="719"/>
        <w:jc w:val="both"/>
      </w:pPr>
      <w:r>
        <w:rPr/>
        <w:t>Oil is the dominant source of government revenue,accounting for about 90 percent of total exports, and this approximates to 80 percent of total government revenues. Since the oil discoveries in the early</w:t>
      </w:r>
      <w:r>
        <w:rPr>
          <w:spacing w:val="-2"/>
        </w:rPr>
        <w:t> </w:t>
      </w:r>
      <w:r>
        <w:rPr/>
        <w:t>1970s,oil has become the dominant factor in Nigeria‟s economy. The problem of low economic performanceof Nigeria cannot be attributed solely to instability of earnings from the oil sector, but as a result of failure by the government to utilize</w:t>
      </w:r>
      <w:r>
        <w:rPr>
          <w:spacing w:val="40"/>
        </w:rPr>
        <w:t> </w:t>
      </w:r>
      <w:r>
        <w:rPr/>
        <w:t>productively the financial windfall from the export of crude oil from the mid-1970s to develop other sectors of the economy.</w:t>
      </w:r>
    </w:p>
    <w:p>
      <w:pPr>
        <w:pStyle w:val="BodyText"/>
        <w:spacing w:line="480" w:lineRule="auto" w:before="1"/>
        <w:ind w:left="360" w:right="158" w:firstLine="719"/>
        <w:jc w:val="both"/>
      </w:pPr>
      <w:r>
        <w:rPr/>
        <w:t>The Nigerian petroleum industry has been described as the largest among all</w:t>
      </w:r>
      <w:r>
        <w:rPr>
          <w:spacing w:val="40"/>
        </w:rPr>
        <w:t> </w:t>
      </w:r>
      <w:r>
        <w:rPr/>
        <w:t>industries in the country. This is probably</w:t>
      </w:r>
      <w:r>
        <w:rPr>
          <w:spacing w:val="-2"/>
        </w:rPr>
        <w:t> </w:t>
      </w:r>
      <w:r>
        <w:rPr/>
        <w:t>due to the belief that petroleum is one of the major sources of energy worldwide.The size,international characteristics, androle assumed by the petroleum industry were noted to have originated from the notion that petroleum is versatile as it currently satisfies a wide variety of energy and related needs.</w:t>
      </w:r>
    </w:p>
    <w:p>
      <w:pPr>
        <w:pStyle w:val="BodyText"/>
        <w:spacing w:line="480" w:lineRule="auto"/>
        <w:ind w:left="360" w:right="155" w:firstLine="719"/>
        <w:jc w:val="both"/>
      </w:pPr>
      <w:r>
        <w:rPr/>
        <w:t>Petroleum is the most vital source of energy,providing over 50 percent of all commercial energy consumption in the world. The revenues obtained from crude oil in Nigeria are of absolute advantage to expenditure commitments on various projects at the local,state, and federal levels. The Nigerian economy relies heavily on the revenue derived from petroleum products,they provide 70 percent of government revenue and about 95 percentof foreign exchange earnings.Apart from this, the contribution of petroleum to</w:t>
      </w:r>
      <w:r>
        <w:rPr>
          <w:spacing w:val="40"/>
        </w:rPr>
        <w:t> </w:t>
      </w:r>
      <w:r>
        <w:rPr/>
        <w:t>national development is many and varied,employment generation,foreign exchange earnings,income</w:t>
      </w:r>
      <w:r>
        <w:rPr>
          <w:spacing w:val="-1"/>
        </w:rPr>
        <w:t> </w:t>
      </w:r>
      <w:r>
        <w:rPr/>
        <w:t>generation,</w:t>
      </w:r>
      <w:r>
        <w:rPr>
          <w:spacing w:val="-2"/>
        </w:rPr>
        <w:t> </w:t>
      </w:r>
      <w:r>
        <w:rPr/>
        <w:t>industrialization,</w:t>
      </w:r>
      <w:r>
        <w:rPr>
          <w:spacing w:val="-3"/>
        </w:rPr>
        <w:t> </w:t>
      </w:r>
      <w:r>
        <w:rPr/>
        <w:t>and</w:t>
      </w:r>
      <w:r>
        <w:rPr>
          <w:spacing w:val="-4"/>
        </w:rPr>
        <w:t> </w:t>
      </w:r>
      <w:r>
        <w:rPr/>
        <w:t>improvements</w:t>
      </w:r>
      <w:r>
        <w:rPr>
          <w:spacing w:val="-3"/>
        </w:rPr>
        <w:t> </w:t>
      </w:r>
      <w:r>
        <w:rPr/>
        <w:t>in</w:t>
      </w:r>
      <w:r>
        <w:rPr>
          <w:spacing w:val="-3"/>
        </w:rPr>
        <w:t> </w:t>
      </w:r>
      <w:r>
        <w:rPr/>
        <w:t>other</w:t>
      </w:r>
      <w:r>
        <w:rPr>
          <w:spacing w:val="-4"/>
        </w:rPr>
        <w:t> </w:t>
      </w:r>
      <w:r>
        <w:rPr/>
        <w:t>economic</w:t>
      </w:r>
      <w:r>
        <w:rPr>
          <w:spacing w:val="-1"/>
        </w:rPr>
        <w:t> </w:t>
      </w:r>
      <w:r>
        <w:rPr/>
        <w:t>variables. While</w:t>
      </w:r>
      <w:r>
        <w:rPr>
          <w:spacing w:val="54"/>
        </w:rPr>
        <w:t> </w:t>
      </w:r>
      <w:r>
        <w:rPr/>
        <w:t>the</w:t>
      </w:r>
      <w:r>
        <w:rPr>
          <w:spacing w:val="55"/>
        </w:rPr>
        <w:t> </w:t>
      </w:r>
      <w:r>
        <w:rPr/>
        <w:t>major</w:t>
      </w:r>
      <w:r>
        <w:rPr>
          <w:spacing w:val="57"/>
        </w:rPr>
        <w:t> </w:t>
      </w:r>
      <w:r>
        <w:rPr/>
        <w:t>investors</w:t>
      </w:r>
      <w:r>
        <w:rPr>
          <w:spacing w:val="56"/>
        </w:rPr>
        <w:t> </w:t>
      </w:r>
      <w:r>
        <w:rPr/>
        <w:t>in</w:t>
      </w:r>
      <w:r>
        <w:rPr>
          <w:spacing w:val="57"/>
        </w:rPr>
        <w:t> </w:t>
      </w:r>
      <w:r>
        <w:rPr/>
        <w:t>the</w:t>
      </w:r>
      <w:r>
        <w:rPr>
          <w:spacing w:val="55"/>
        </w:rPr>
        <w:t> </w:t>
      </w:r>
      <w:r>
        <w:rPr/>
        <w:t>petroleum</w:t>
      </w:r>
      <w:r>
        <w:rPr>
          <w:spacing w:val="56"/>
        </w:rPr>
        <w:t> </w:t>
      </w:r>
      <w:r>
        <w:rPr/>
        <w:t>industry</w:t>
      </w:r>
      <w:r>
        <w:rPr>
          <w:spacing w:val="52"/>
        </w:rPr>
        <w:t> </w:t>
      </w:r>
      <w:r>
        <w:rPr/>
        <w:t>are</w:t>
      </w:r>
      <w:r>
        <w:rPr>
          <w:spacing w:val="55"/>
        </w:rPr>
        <w:t> </w:t>
      </w:r>
      <w:r>
        <w:rPr/>
        <w:t>the</w:t>
      </w:r>
      <w:r>
        <w:rPr>
          <w:spacing w:val="56"/>
        </w:rPr>
        <w:t> </w:t>
      </w:r>
      <w:r>
        <w:rPr/>
        <w:t>international</w:t>
      </w:r>
      <w:r>
        <w:rPr>
          <w:spacing w:val="56"/>
        </w:rPr>
        <w:t> </w:t>
      </w:r>
      <w:r>
        <w:rPr/>
        <w:t>oil</w:t>
      </w:r>
      <w:r>
        <w:rPr>
          <w:spacing w:val="58"/>
        </w:rPr>
        <w:t> </w:t>
      </w:r>
      <w:r>
        <w:rPr>
          <w:spacing w:val="-2"/>
        </w:rPr>
        <w:t>companies</w:t>
      </w:r>
    </w:p>
    <w:p>
      <w:pPr>
        <w:spacing w:after="0" w:line="480" w:lineRule="auto"/>
        <w:jc w:val="both"/>
        <w:sectPr>
          <w:pgSz w:w="11910" w:h="16840"/>
          <w:pgMar w:header="0" w:footer="1000" w:top="1340" w:bottom="1200" w:left="1080" w:right="1280"/>
        </w:sectPr>
      </w:pPr>
    </w:p>
    <w:p>
      <w:pPr>
        <w:pStyle w:val="BodyText"/>
        <w:spacing w:line="480" w:lineRule="auto" w:before="74"/>
        <w:ind w:left="360" w:right="157"/>
        <w:jc w:val="both"/>
      </w:pPr>
      <w:r>
        <w:rPr/>
        <w:t>(IOCs), the principal legislation governing petroleum operations in Nigerian is the Petroleum Profit Tax(PPT).under the PPT, the tax rate was set at 67.5 percent for the first five years of operations by the oil company and 85percent thereafter.</w:t>
      </w:r>
    </w:p>
    <w:p>
      <w:pPr>
        <w:pStyle w:val="BodyText"/>
        <w:spacing w:line="480" w:lineRule="auto"/>
        <w:ind w:left="360" w:right="158" w:firstLine="719"/>
        <w:jc w:val="both"/>
      </w:pPr>
      <w:r>
        <w:rPr/>
        <w:t>The petroleum industry is the largest and main generator of Gross Domestic Product (GDP) in Nigeria which is the most populous in African nations. Since the British discovered oil in the Niger Delta in the late 1950s;the oil industry has become the main stay of the Nigerian economy. Agriculture was the mainstay of the country‟s economy. However, the regulatory regime, since its enthronement in the industry has not been without challenges.</w:t>
      </w:r>
    </w:p>
    <w:p>
      <w:pPr>
        <w:pStyle w:val="Heading2"/>
        <w:numPr>
          <w:ilvl w:val="1"/>
          <w:numId w:val="5"/>
        </w:numPr>
        <w:tabs>
          <w:tab w:pos="1079" w:val="left" w:leader="none"/>
        </w:tabs>
        <w:spacing w:line="240" w:lineRule="auto" w:before="5" w:after="0"/>
        <w:ind w:left="1079" w:right="0" w:hanging="719"/>
        <w:jc w:val="both"/>
      </w:pPr>
      <w:r>
        <w:rPr/>
        <w:t>Statement</w:t>
      </w:r>
      <w:r>
        <w:rPr>
          <w:spacing w:val="-2"/>
        </w:rPr>
        <w:t> </w:t>
      </w:r>
      <w:r>
        <w:rPr/>
        <w:t>of</w:t>
      </w:r>
      <w:r>
        <w:rPr>
          <w:spacing w:val="-3"/>
        </w:rPr>
        <w:t> </w:t>
      </w:r>
      <w:r>
        <w:rPr/>
        <w:t>the</w:t>
      </w:r>
      <w:r>
        <w:rPr>
          <w:spacing w:val="-2"/>
        </w:rPr>
        <w:t> </w:t>
      </w:r>
      <w:r>
        <w:rPr/>
        <w:t>Research</w:t>
      </w:r>
      <w:r>
        <w:rPr>
          <w:spacing w:val="-2"/>
        </w:rPr>
        <w:t> Problem</w:t>
      </w:r>
    </w:p>
    <w:p>
      <w:pPr>
        <w:pStyle w:val="BodyText"/>
        <w:spacing w:line="480" w:lineRule="auto" w:before="272"/>
        <w:ind w:left="360" w:right="155" w:firstLine="719"/>
        <w:jc w:val="both"/>
      </w:pPr>
      <w:r>
        <w:rPr/>
        <w:t>It</w:t>
      </w:r>
      <w:r>
        <w:rPr>
          <w:spacing w:val="-1"/>
        </w:rPr>
        <w:t> </w:t>
      </w:r>
      <w:r>
        <w:rPr/>
        <w:t>is</w:t>
      </w:r>
      <w:r>
        <w:rPr>
          <w:spacing w:val="-1"/>
        </w:rPr>
        <w:t> </w:t>
      </w:r>
      <w:r>
        <w:rPr/>
        <w:t>obvious</w:t>
      </w:r>
      <w:r>
        <w:rPr>
          <w:spacing w:val="-1"/>
        </w:rPr>
        <w:t> </w:t>
      </w:r>
      <w:r>
        <w:rPr/>
        <w:t>that</w:t>
      </w:r>
      <w:r>
        <w:rPr>
          <w:spacing w:val="-1"/>
        </w:rPr>
        <w:t> </w:t>
      </w:r>
      <w:r>
        <w:rPr/>
        <w:t>petroleum</w:t>
      </w:r>
      <w:r>
        <w:rPr>
          <w:spacing w:val="-1"/>
        </w:rPr>
        <w:t> </w:t>
      </w:r>
      <w:r>
        <w:rPr/>
        <w:t>income</w:t>
      </w:r>
      <w:r>
        <w:rPr>
          <w:spacing w:val="-2"/>
        </w:rPr>
        <w:t> </w:t>
      </w:r>
      <w:r>
        <w:rPr/>
        <w:t>be</w:t>
      </w:r>
      <w:r>
        <w:rPr>
          <w:spacing w:val="-2"/>
        </w:rPr>
        <w:t> </w:t>
      </w:r>
      <w:r>
        <w:rPr/>
        <w:t>it revenue from</w:t>
      </w:r>
      <w:r>
        <w:rPr>
          <w:spacing w:val="-1"/>
        </w:rPr>
        <w:t> </w:t>
      </w:r>
      <w:r>
        <w:rPr/>
        <w:t>the</w:t>
      </w:r>
      <w:r>
        <w:rPr>
          <w:spacing w:val="-2"/>
        </w:rPr>
        <w:t> </w:t>
      </w:r>
      <w:r>
        <w:rPr/>
        <w:t>sale</w:t>
      </w:r>
      <w:r>
        <w:rPr>
          <w:spacing w:val="-2"/>
        </w:rPr>
        <w:t> </w:t>
      </w:r>
      <w:r>
        <w:rPr/>
        <w:t>of</w:t>
      </w:r>
      <w:r>
        <w:rPr>
          <w:spacing w:val="-2"/>
        </w:rPr>
        <w:t> </w:t>
      </w:r>
      <w:r>
        <w:rPr/>
        <w:t>crude</w:t>
      </w:r>
      <w:r>
        <w:rPr>
          <w:spacing w:val="-2"/>
        </w:rPr>
        <w:t> </w:t>
      </w:r>
      <w:r>
        <w:rPr/>
        <w:t>oil,</w:t>
      </w:r>
      <w:r>
        <w:rPr>
          <w:spacing w:val="-1"/>
        </w:rPr>
        <w:t> </w:t>
      </w:r>
      <w:r>
        <w:rPr/>
        <w:t>petroleum profit tax, royalties etc. can cause an increase or a decrease in economic growth and development of a nation, depending on the type of policy and practical implementation the government in power adopts. Nigeria with all its oil wealth has performed poorly, with GDP per capita today.</w:t>
      </w:r>
    </w:p>
    <w:p>
      <w:pPr>
        <w:pStyle w:val="BodyText"/>
        <w:spacing w:line="480" w:lineRule="auto"/>
        <w:ind w:left="360" w:right="156" w:firstLine="719"/>
        <w:jc w:val="both"/>
      </w:pPr>
      <w:r>
        <w:rPr/>
        <w:t>The problems with Nigerian economy have been traced to failure of successive governments to utilize oil revenue and excess crude oil income in the development of other sectors of the economy effectively</w:t>
      </w:r>
      <w:r>
        <w:rPr>
          <w:spacing w:val="40"/>
        </w:rPr>
        <w:t> </w:t>
      </w:r>
      <w:r>
        <w:rPr/>
        <w:t>and efficiently. overall, there has been poor performance of national institutions such as power, energy, road, transportation, politics, financial systems and investments environment have been deteriorating and inefficient.</w:t>
      </w:r>
    </w:p>
    <w:p>
      <w:pPr>
        <w:pStyle w:val="BodyText"/>
        <w:spacing w:line="480" w:lineRule="auto" w:before="1"/>
        <w:ind w:left="360" w:right="157" w:firstLine="719"/>
        <w:jc w:val="both"/>
      </w:pPr>
      <w:r>
        <w:rPr/>
        <w:t>There are problems affecting the Petroleum Profit Tax (PPT) in general. These</w:t>
      </w:r>
      <w:r>
        <w:rPr>
          <w:spacing w:val="40"/>
        </w:rPr>
        <w:t> </w:t>
      </w:r>
      <w:r>
        <w:rPr/>
        <w:t>include the problems relating to the PPT administration, the complexity of PPT/MOU calculation, and the problems of PPT avoidance and evasion.</w:t>
      </w:r>
    </w:p>
    <w:p>
      <w:pPr>
        <w:pStyle w:val="BodyText"/>
        <w:spacing w:line="480" w:lineRule="auto"/>
        <w:ind w:left="360" w:right="164" w:firstLine="719"/>
        <w:jc w:val="both"/>
      </w:pPr>
      <w:r>
        <w:rPr/>
        <w:t>The Corporate Tax Act has provided various offences and penalties, and the reason</w:t>
      </w:r>
      <w:r>
        <w:rPr>
          <w:spacing w:val="40"/>
        </w:rPr>
        <w:t> </w:t>
      </w:r>
      <w:r>
        <w:rPr/>
        <w:t>for these penalties are to discourage companies from evading or avoiding the payment of taxes as and when due.</w:t>
      </w:r>
    </w:p>
    <w:p>
      <w:pPr>
        <w:spacing w:after="0" w:line="480" w:lineRule="auto"/>
        <w:jc w:val="both"/>
        <w:sectPr>
          <w:pgSz w:w="11910" w:h="16840"/>
          <w:pgMar w:header="0" w:footer="1000" w:top="1340" w:bottom="1200" w:left="1080" w:right="1280"/>
        </w:sectPr>
      </w:pPr>
    </w:p>
    <w:p>
      <w:pPr>
        <w:pStyle w:val="BodyText"/>
        <w:spacing w:line="480" w:lineRule="auto" w:before="74"/>
        <w:ind w:left="360" w:right="163" w:firstLine="719"/>
        <w:jc w:val="both"/>
      </w:pPr>
      <w:r>
        <w:rPr/>
        <w:t>Therefore even if tax avoidance strategies are legal, the question is whether they are ethical.in</w:t>
      </w:r>
      <w:r>
        <w:rPr>
          <w:spacing w:val="-2"/>
        </w:rPr>
        <w:t> </w:t>
      </w:r>
      <w:r>
        <w:rPr/>
        <w:t>1947</w:t>
      </w:r>
      <w:r>
        <w:rPr>
          <w:spacing w:val="-2"/>
        </w:rPr>
        <w:t> </w:t>
      </w:r>
      <w:r>
        <w:rPr/>
        <w:t>in</w:t>
      </w:r>
      <w:r>
        <w:rPr>
          <w:spacing w:val="-2"/>
        </w:rPr>
        <w:t> </w:t>
      </w:r>
      <w:r>
        <w:rPr/>
        <w:t>the</w:t>
      </w:r>
      <w:r>
        <w:rPr>
          <w:spacing w:val="-3"/>
        </w:rPr>
        <w:t> </w:t>
      </w:r>
      <w:r>
        <w:rPr/>
        <w:t>United</w:t>
      </w:r>
      <w:r>
        <w:rPr>
          <w:spacing w:val="-3"/>
        </w:rPr>
        <w:t> </w:t>
      </w:r>
      <w:r>
        <w:rPr/>
        <w:t>States</w:t>
      </w:r>
      <w:r>
        <w:rPr>
          <w:spacing w:val="-2"/>
        </w:rPr>
        <w:t> </w:t>
      </w:r>
      <w:r>
        <w:rPr/>
        <w:t>of</w:t>
      </w:r>
      <w:r>
        <w:rPr>
          <w:spacing w:val="-3"/>
        </w:rPr>
        <w:t> </w:t>
      </w:r>
      <w:r>
        <w:rPr/>
        <w:t>America,</w:t>
      </w:r>
      <w:r>
        <w:rPr>
          <w:spacing w:val="-2"/>
        </w:rPr>
        <w:t> </w:t>
      </w:r>
      <w:r>
        <w:rPr/>
        <w:t>a</w:t>
      </w:r>
      <w:r>
        <w:rPr>
          <w:spacing w:val="-3"/>
        </w:rPr>
        <w:t> </w:t>
      </w:r>
      <w:r>
        <w:rPr/>
        <w:t>Federal</w:t>
      </w:r>
      <w:r>
        <w:rPr>
          <w:spacing w:val="-2"/>
        </w:rPr>
        <w:t> </w:t>
      </w:r>
      <w:r>
        <w:rPr/>
        <w:t>Judge, Learned Hand</w:t>
      </w:r>
      <w:r>
        <w:rPr>
          <w:spacing w:val="-2"/>
        </w:rPr>
        <w:t> </w:t>
      </w:r>
      <w:r>
        <w:rPr/>
        <w:t>answered</w:t>
      </w:r>
      <w:r>
        <w:rPr>
          <w:spacing w:val="-2"/>
        </w:rPr>
        <w:t> </w:t>
      </w:r>
      <w:r>
        <w:rPr/>
        <w:t>this question in the following way:</w:t>
      </w:r>
      <w:r>
        <w:rPr>
          <w:vertAlign w:val="superscript"/>
        </w:rPr>
        <w:t>4</w:t>
      </w:r>
    </w:p>
    <w:p>
      <w:pPr>
        <w:pStyle w:val="BodyText"/>
        <w:ind w:left="1800" w:right="1596"/>
        <w:jc w:val="both"/>
      </w:pPr>
      <w:r>
        <w:rPr/>
        <w:t>Over and over again courts have said that there is nothing sinister in so arranging one‟s affairs as to keep taxes as low as possible. Everybody does so, rich or poor; and all do right, for nobody owes any public duty to pay more than the law demands: taxes are enforced exactions, not voluntary contributions.to demand more in the name of morals is mere </w:t>
      </w:r>
      <w:r>
        <w:rPr>
          <w:spacing w:val="-2"/>
        </w:rPr>
        <w:t>cant.</w:t>
      </w:r>
    </w:p>
    <w:p>
      <w:pPr>
        <w:pStyle w:val="BodyText"/>
      </w:pPr>
    </w:p>
    <w:p>
      <w:pPr>
        <w:pStyle w:val="BodyText"/>
      </w:pPr>
    </w:p>
    <w:p>
      <w:pPr>
        <w:pStyle w:val="BodyText"/>
        <w:spacing w:line="480" w:lineRule="auto" w:before="1"/>
        <w:ind w:left="360" w:right="158" w:firstLine="719"/>
        <w:jc w:val="both"/>
      </w:pPr>
      <w:r>
        <w:rPr/>
        <w:t>There is no doubt that about the significance of strong, able and effective administration in any system. It is widely agreed that one of the main aims of taxation is to raise revenue for the government to meet its needs of providing necessary services to the public.</w:t>
      </w:r>
      <w:r>
        <w:rPr>
          <w:spacing w:val="-1"/>
        </w:rPr>
        <w:t> </w:t>
      </w:r>
      <w:r>
        <w:rPr/>
        <w:t>It is</w:t>
      </w:r>
      <w:r>
        <w:rPr>
          <w:spacing w:val="-3"/>
        </w:rPr>
        <w:t> </w:t>
      </w:r>
      <w:r>
        <w:rPr/>
        <w:t>also</w:t>
      </w:r>
      <w:r>
        <w:rPr>
          <w:spacing w:val="-3"/>
        </w:rPr>
        <w:t> </w:t>
      </w:r>
      <w:r>
        <w:rPr/>
        <w:t>agreed</w:t>
      </w:r>
      <w:r>
        <w:rPr>
          <w:spacing w:val="-1"/>
        </w:rPr>
        <w:t> </w:t>
      </w:r>
      <w:r>
        <w:rPr/>
        <w:t>that</w:t>
      </w:r>
      <w:r>
        <w:rPr>
          <w:spacing w:val="-3"/>
        </w:rPr>
        <w:t> </w:t>
      </w:r>
      <w:r>
        <w:rPr/>
        <w:t>tax</w:t>
      </w:r>
      <w:r>
        <w:rPr>
          <w:spacing w:val="-2"/>
        </w:rPr>
        <w:t> </w:t>
      </w:r>
      <w:r>
        <w:rPr/>
        <w:t>evasion/avoidance</w:t>
      </w:r>
      <w:r>
        <w:rPr>
          <w:spacing w:val="-4"/>
        </w:rPr>
        <w:t> </w:t>
      </w:r>
      <w:r>
        <w:rPr/>
        <w:t>cause</w:t>
      </w:r>
      <w:r>
        <w:rPr>
          <w:spacing w:val="-2"/>
        </w:rPr>
        <w:t> </w:t>
      </w:r>
      <w:r>
        <w:rPr/>
        <w:t>government</w:t>
      </w:r>
      <w:r>
        <w:rPr>
          <w:spacing w:val="-3"/>
        </w:rPr>
        <w:t> </w:t>
      </w:r>
      <w:r>
        <w:rPr/>
        <w:t>to</w:t>
      </w:r>
      <w:r>
        <w:rPr>
          <w:spacing w:val="-3"/>
        </w:rPr>
        <w:t> </w:t>
      </w:r>
      <w:r>
        <w:rPr/>
        <w:t>loose</w:t>
      </w:r>
      <w:r>
        <w:rPr>
          <w:spacing w:val="-3"/>
        </w:rPr>
        <w:t> </w:t>
      </w:r>
      <w:r>
        <w:rPr/>
        <w:t>huge</w:t>
      </w:r>
      <w:r>
        <w:rPr>
          <w:spacing w:val="-2"/>
        </w:rPr>
        <w:t> </w:t>
      </w:r>
      <w:r>
        <w:rPr/>
        <w:t>amount</w:t>
      </w:r>
      <w:r>
        <w:rPr>
          <w:spacing w:val="-3"/>
        </w:rPr>
        <w:t> </w:t>
      </w:r>
      <w:r>
        <w:rPr/>
        <w:t>of money. Consequently, there is the opinion that the</w:t>
      </w:r>
      <w:r>
        <w:rPr>
          <w:spacing w:val="-1"/>
        </w:rPr>
        <w:t> </w:t>
      </w:r>
      <w:r>
        <w:rPr/>
        <w:t>loss of revenue as the result of widespread tax evasion/avoidance in Nigeria is due to the weak, inept and inefficient system of tax </w:t>
      </w:r>
      <w:r>
        <w:rPr>
          <w:spacing w:val="-2"/>
        </w:rPr>
        <w:t>administration.</w:t>
      </w:r>
      <w:r>
        <w:rPr>
          <w:spacing w:val="-2"/>
          <w:vertAlign w:val="superscript"/>
        </w:rPr>
        <w:t>5</w:t>
      </w:r>
    </w:p>
    <w:p>
      <w:pPr>
        <w:pStyle w:val="BodyText"/>
        <w:spacing w:line="480" w:lineRule="auto"/>
        <w:ind w:left="360" w:right="161" w:firstLine="719"/>
        <w:jc w:val="both"/>
      </w:pPr>
      <w:r>
        <w:rPr/>
        <w:t>In the oil sub-sector, the Federal Board of Inland Revenue (FBIR) is vested with the power to administer the petroleum Profit tax. It is also responsible for carrying out all acts deemed necessary and expedient for inter-alia the assessment of petroleum profits tax.</w:t>
      </w:r>
      <w:r>
        <w:rPr>
          <w:vertAlign w:val="superscript"/>
        </w:rPr>
        <w:t>6</w:t>
      </w:r>
    </w:p>
    <w:p>
      <w:pPr>
        <w:pStyle w:val="BodyText"/>
        <w:spacing w:line="480" w:lineRule="auto" w:before="1"/>
        <w:ind w:left="360" w:right="153" w:firstLine="719"/>
        <w:jc w:val="both"/>
      </w:pPr>
      <w:r>
        <w:rPr/>
        <w:t>Another problem that may affect petroleum Profit Tax as well as its assessment is the tax evasion/avoidance.An oil company can evade tax by deliberately delivering false returns, refusal to pay the tax at the right time or refusal to pay the tax at all. It can also avoid tax by manipulating some provisions from the petroleum Profit Tax Act. In other words, some oil companies may look for any lacuna in the PPT provisions so that they will make use of it to avoid</w:t>
      </w:r>
      <w:r>
        <w:rPr>
          <w:spacing w:val="4"/>
        </w:rPr>
        <w:t> </w:t>
      </w:r>
      <w:r>
        <w:rPr/>
        <w:t>tax.</w:t>
      </w:r>
      <w:r>
        <w:rPr>
          <w:spacing w:val="6"/>
        </w:rPr>
        <w:t> </w:t>
      </w:r>
      <w:r>
        <w:rPr/>
        <w:t>This</w:t>
      </w:r>
      <w:r>
        <w:rPr>
          <w:spacing w:val="8"/>
        </w:rPr>
        <w:t> </w:t>
      </w:r>
      <w:r>
        <w:rPr/>
        <w:t>also</w:t>
      </w:r>
      <w:r>
        <w:rPr>
          <w:spacing w:val="7"/>
        </w:rPr>
        <w:t> </w:t>
      </w:r>
      <w:r>
        <w:rPr/>
        <w:t>a</w:t>
      </w:r>
      <w:r>
        <w:rPr>
          <w:spacing w:val="8"/>
        </w:rPr>
        <w:t> </w:t>
      </w:r>
      <w:r>
        <w:rPr/>
        <w:t>serious</w:t>
      </w:r>
      <w:r>
        <w:rPr>
          <w:spacing w:val="7"/>
        </w:rPr>
        <w:t> </w:t>
      </w:r>
      <w:r>
        <w:rPr/>
        <w:t>matter</w:t>
      </w:r>
      <w:r>
        <w:rPr>
          <w:spacing w:val="5"/>
        </w:rPr>
        <w:t> </w:t>
      </w:r>
      <w:r>
        <w:rPr/>
        <w:t>that</w:t>
      </w:r>
      <w:r>
        <w:rPr>
          <w:spacing w:val="6"/>
        </w:rPr>
        <w:t> </w:t>
      </w:r>
      <w:r>
        <w:rPr/>
        <w:t>may</w:t>
      </w:r>
      <w:r>
        <w:rPr>
          <w:spacing w:val="4"/>
        </w:rPr>
        <w:t> </w:t>
      </w:r>
      <w:r>
        <w:rPr/>
        <w:t>render</w:t>
      </w:r>
      <w:r>
        <w:rPr>
          <w:spacing w:val="6"/>
        </w:rPr>
        <w:t> </w:t>
      </w:r>
      <w:r>
        <w:rPr/>
        <w:t>a</w:t>
      </w:r>
      <w:r>
        <w:rPr>
          <w:spacing w:val="8"/>
        </w:rPr>
        <w:t> </w:t>
      </w:r>
      <w:r>
        <w:rPr/>
        <w:t>significant</w:t>
      </w:r>
      <w:r>
        <w:rPr>
          <w:spacing w:val="9"/>
        </w:rPr>
        <w:t> </w:t>
      </w:r>
      <w:r>
        <w:rPr/>
        <w:t>amount</w:t>
      </w:r>
      <w:r>
        <w:rPr>
          <w:spacing w:val="10"/>
        </w:rPr>
        <w:t> </w:t>
      </w:r>
      <w:r>
        <w:rPr/>
        <w:t>of</w:t>
      </w:r>
      <w:r>
        <w:rPr>
          <w:spacing w:val="6"/>
        </w:rPr>
        <w:t> </w:t>
      </w:r>
      <w:r>
        <w:rPr/>
        <w:t>revenue</w:t>
      </w:r>
      <w:r>
        <w:rPr>
          <w:spacing w:val="8"/>
        </w:rPr>
        <w:t> </w:t>
      </w:r>
      <w:r>
        <w:rPr>
          <w:spacing w:val="-2"/>
        </w:rPr>
        <w:t>coming</w:t>
      </w:r>
    </w:p>
    <w:p>
      <w:pPr>
        <w:pStyle w:val="BodyText"/>
        <w:spacing w:before="6"/>
        <w:rPr>
          <w:sz w:val="10"/>
        </w:rPr>
      </w:pPr>
      <w:r>
        <w:rPr/>
        <mc:AlternateContent>
          <mc:Choice Requires="wps">
            <w:drawing>
              <wp:anchor distT="0" distB="0" distL="0" distR="0" allowOverlap="1" layoutInCell="1" locked="0" behindDoc="1" simplePos="0" relativeHeight="487593984">
                <wp:simplePos x="0" y="0"/>
                <wp:positionH relativeFrom="page">
                  <wp:posOffset>914704</wp:posOffset>
                </wp:positionH>
                <wp:positionV relativeFrom="paragraph">
                  <wp:posOffset>92647</wp:posOffset>
                </wp:positionV>
                <wp:extent cx="1829435" cy="9525"/>
                <wp:effectExtent l="0" t="0" r="0" b="0"/>
                <wp:wrapTopAndBottom/>
                <wp:docPr id="15" name="Graphic 15"/>
                <wp:cNvGraphicFramePr>
                  <a:graphicFrameLocks/>
                </wp:cNvGraphicFramePr>
                <a:graphic>
                  <a:graphicData uri="http://schemas.microsoft.com/office/word/2010/wordprocessingShape">
                    <wps:wsp>
                      <wps:cNvPr id="15" name="Graphic 15"/>
                      <wps:cNvSpPr/>
                      <wps:spPr>
                        <a:xfrm>
                          <a:off x="0" y="0"/>
                          <a:ext cx="1829435" cy="9525"/>
                        </a:xfrm>
                        <a:custGeom>
                          <a:avLst/>
                          <a:gdLst/>
                          <a:ahLst/>
                          <a:cxnLst/>
                          <a:rect l="l" t="t" r="r" b="b"/>
                          <a:pathLst>
                            <a:path w="1829435" h="9525">
                              <a:moveTo>
                                <a:pt x="1829054" y="0"/>
                              </a:moveTo>
                              <a:lnTo>
                                <a:pt x="0" y="0"/>
                              </a:lnTo>
                              <a:lnTo>
                                <a:pt x="0" y="9144"/>
                              </a:lnTo>
                              <a:lnTo>
                                <a:pt x="1829054" y="9144"/>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7.295048pt;width:144.020pt;height:.72003pt;mso-position-horizontal-relative:page;mso-position-vertical-relative:paragraph;z-index:-15722496;mso-wrap-distance-left:0;mso-wrap-distance-right:0" id="docshape15" filled="true" fillcolor="#000000" stroked="false">
                <v:fill type="solid"/>
                <w10:wrap type="topAndBottom"/>
              </v:rect>
            </w:pict>
          </mc:Fallback>
        </mc:AlternateContent>
      </w:r>
    </w:p>
    <w:p>
      <w:pPr>
        <w:spacing w:line="243" w:lineRule="exact" w:before="102"/>
        <w:ind w:left="360" w:right="0" w:firstLine="0"/>
        <w:jc w:val="left"/>
        <w:rPr>
          <w:rFonts w:ascii="Calibri"/>
          <w:sz w:val="20"/>
        </w:rPr>
      </w:pPr>
      <w:r>
        <w:rPr>
          <w:rFonts w:ascii="Calibri"/>
          <w:sz w:val="20"/>
          <w:vertAlign w:val="superscript"/>
        </w:rPr>
        <w:t>4</w:t>
      </w:r>
      <w:r>
        <w:rPr>
          <w:rFonts w:ascii="Calibri"/>
          <w:spacing w:val="-7"/>
          <w:sz w:val="20"/>
          <w:vertAlign w:val="baseline"/>
        </w:rPr>
        <w:t> </w:t>
      </w:r>
      <w:r>
        <w:rPr>
          <w:rFonts w:ascii="Calibri"/>
          <w:sz w:val="20"/>
          <w:vertAlign w:val="baseline"/>
        </w:rPr>
        <w:t>See</w:t>
      </w:r>
      <w:r>
        <w:rPr>
          <w:rFonts w:ascii="Calibri"/>
          <w:spacing w:val="-7"/>
          <w:sz w:val="20"/>
          <w:vertAlign w:val="baseline"/>
        </w:rPr>
        <w:t> </w:t>
      </w:r>
      <w:r>
        <w:rPr>
          <w:rFonts w:ascii="Calibri"/>
          <w:i/>
          <w:sz w:val="20"/>
          <w:vertAlign w:val="baseline"/>
        </w:rPr>
        <w:t>Commissioner</w:t>
      </w:r>
      <w:r>
        <w:rPr>
          <w:rFonts w:ascii="Calibri"/>
          <w:i/>
          <w:spacing w:val="-7"/>
          <w:sz w:val="20"/>
          <w:vertAlign w:val="baseline"/>
        </w:rPr>
        <w:t> </w:t>
      </w:r>
      <w:r>
        <w:rPr>
          <w:rFonts w:ascii="Calibri"/>
          <w:i/>
          <w:sz w:val="20"/>
          <w:vertAlign w:val="baseline"/>
        </w:rPr>
        <w:t>v.</w:t>
      </w:r>
      <w:r>
        <w:rPr>
          <w:rFonts w:ascii="Calibri"/>
          <w:i/>
          <w:spacing w:val="-6"/>
          <w:sz w:val="20"/>
          <w:vertAlign w:val="baseline"/>
        </w:rPr>
        <w:t> </w:t>
      </w:r>
      <w:r>
        <w:rPr>
          <w:rFonts w:ascii="Calibri"/>
          <w:i/>
          <w:sz w:val="20"/>
          <w:vertAlign w:val="baseline"/>
        </w:rPr>
        <w:t>Newman</w:t>
      </w:r>
      <w:r>
        <w:rPr>
          <w:rFonts w:ascii="Calibri"/>
          <w:sz w:val="20"/>
          <w:vertAlign w:val="baseline"/>
        </w:rPr>
        <w:t>-159</w:t>
      </w:r>
      <w:r>
        <w:rPr>
          <w:rFonts w:ascii="Calibri"/>
          <w:spacing w:val="-7"/>
          <w:sz w:val="20"/>
          <w:vertAlign w:val="baseline"/>
        </w:rPr>
        <w:t> </w:t>
      </w:r>
      <w:r>
        <w:rPr>
          <w:rFonts w:ascii="Calibri"/>
          <w:sz w:val="20"/>
          <w:vertAlign w:val="baseline"/>
        </w:rPr>
        <w:t>F.2d</w:t>
      </w:r>
      <w:r>
        <w:rPr>
          <w:rFonts w:ascii="Calibri"/>
          <w:spacing w:val="-6"/>
          <w:sz w:val="20"/>
          <w:vertAlign w:val="baseline"/>
        </w:rPr>
        <w:t> </w:t>
      </w:r>
      <w:r>
        <w:rPr>
          <w:rFonts w:ascii="Calibri"/>
          <w:sz w:val="20"/>
          <w:vertAlign w:val="baseline"/>
        </w:rPr>
        <w:t>848,850</w:t>
      </w:r>
      <w:r>
        <w:rPr>
          <w:rFonts w:ascii="Calibri"/>
          <w:spacing w:val="-6"/>
          <w:sz w:val="20"/>
          <w:vertAlign w:val="baseline"/>
        </w:rPr>
        <w:t> </w:t>
      </w:r>
      <w:r>
        <w:rPr>
          <w:rFonts w:ascii="Calibri"/>
          <w:sz w:val="20"/>
          <w:vertAlign w:val="baseline"/>
        </w:rPr>
        <w:t>(CA-</w:t>
      </w:r>
      <w:r>
        <w:rPr>
          <w:rFonts w:ascii="Calibri"/>
          <w:spacing w:val="-2"/>
          <w:sz w:val="20"/>
          <w:vertAlign w:val="baseline"/>
        </w:rPr>
        <w:t>2,1947)</w:t>
      </w:r>
    </w:p>
    <w:p>
      <w:pPr>
        <w:spacing w:line="243" w:lineRule="exact" w:before="0"/>
        <w:ind w:left="360" w:right="0" w:firstLine="0"/>
        <w:jc w:val="left"/>
        <w:rPr>
          <w:rFonts w:ascii="Calibri"/>
          <w:sz w:val="20"/>
        </w:rPr>
      </w:pPr>
      <w:r>
        <w:rPr>
          <w:rFonts w:ascii="Calibri"/>
          <w:sz w:val="20"/>
          <w:vertAlign w:val="superscript"/>
        </w:rPr>
        <w:t>5</w:t>
      </w:r>
      <w:r>
        <w:rPr>
          <w:rFonts w:ascii="Calibri"/>
          <w:spacing w:val="-9"/>
          <w:sz w:val="20"/>
          <w:vertAlign w:val="baseline"/>
        </w:rPr>
        <w:t> </w:t>
      </w:r>
      <w:r>
        <w:rPr>
          <w:rFonts w:ascii="Calibri"/>
          <w:sz w:val="20"/>
          <w:vertAlign w:val="baseline"/>
        </w:rPr>
        <w:t>Ayua,I.A.</w:t>
      </w:r>
      <w:r>
        <w:rPr>
          <w:rFonts w:ascii="Calibri"/>
          <w:spacing w:val="-8"/>
          <w:sz w:val="20"/>
          <w:vertAlign w:val="baseline"/>
        </w:rPr>
        <w:t> </w:t>
      </w:r>
      <w:r>
        <w:rPr>
          <w:rFonts w:ascii="Calibri"/>
          <w:sz w:val="20"/>
          <w:vertAlign w:val="baseline"/>
        </w:rPr>
        <w:t>(1996)</w:t>
      </w:r>
      <w:r>
        <w:rPr>
          <w:rFonts w:ascii="Calibri"/>
          <w:spacing w:val="-8"/>
          <w:sz w:val="20"/>
          <w:vertAlign w:val="baseline"/>
        </w:rPr>
        <w:t> </w:t>
      </w:r>
      <w:r>
        <w:rPr>
          <w:rFonts w:ascii="Calibri"/>
          <w:i/>
          <w:sz w:val="20"/>
          <w:vertAlign w:val="baseline"/>
        </w:rPr>
        <w:t>Nigerian</w:t>
      </w:r>
      <w:r>
        <w:rPr>
          <w:rFonts w:ascii="Calibri"/>
          <w:i/>
          <w:spacing w:val="-7"/>
          <w:sz w:val="20"/>
          <w:vertAlign w:val="baseline"/>
        </w:rPr>
        <w:t> </w:t>
      </w:r>
      <w:r>
        <w:rPr>
          <w:rFonts w:ascii="Calibri"/>
          <w:i/>
          <w:sz w:val="20"/>
          <w:vertAlign w:val="baseline"/>
        </w:rPr>
        <w:t>Tax</w:t>
      </w:r>
      <w:r>
        <w:rPr>
          <w:rFonts w:ascii="Calibri"/>
          <w:i/>
          <w:spacing w:val="-7"/>
          <w:sz w:val="20"/>
          <w:vertAlign w:val="baseline"/>
        </w:rPr>
        <w:t> </w:t>
      </w:r>
      <w:r>
        <w:rPr>
          <w:rFonts w:ascii="Calibri"/>
          <w:i/>
          <w:sz w:val="20"/>
          <w:vertAlign w:val="baseline"/>
        </w:rPr>
        <w:t>Laws</w:t>
      </w:r>
      <w:r>
        <w:rPr>
          <w:rFonts w:ascii="Calibri"/>
          <w:sz w:val="20"/>
          <w:vertAlign w:val="baseline"/>
        </w:rPr>
        <w:t>,</w:t>
      </w:r>
      <w:r>
        <w:rPr>
          <w:rFonts w:ascii="Calibri"/>
          <w:spacing w:val="-7"/>
          <w:sz w:val="20"/>
          <w:vertAlign w:val="baseline"/>
        </w:rPr>
        <w:t> </w:t>
      </w:r>
      <w:r>
        <w:rPr>
          <w:rFonts w:ascii="Calibri"/>
          <w:sz w:val="20"/>
          <w:vertAlign w:val="baseline"/>
        </w:rPr>
        <w:t>Spectrum</w:t>
      </w:r>
      <w:r>
        <w:rPr>
          <w:rFonts w:ascii="Calibri"/>
          <w:spacing w:val="-9"/>
          <w:sz w:val="20"/>
          <w:vertAlign w:val="baseline"/>
        </w:rPr>
        <w:t> </w:t>
      </w:r>
      <w:r>
        <w:rPr>
          <w:rFonts w:ascii="Calibri"/>
          <w:sz w:val="20"/>
          <w:vertAlign w:val="baseline"/>
        </w:rPr>
        <w:t>Law</w:t>
      </w:r>
      <w:r>
        <w:rPr>
          <w:rFonts w:ascii="Calibri"/>
          <w:spacing w:val="-9"/>
          <w:sz w:val="20"/>
          <w:vertAlign w:val="baseline"/>
        </w:rPr>
        <w:t> </w:t>
      </w:r>
      <w:r>
        <w:rPr>
          <w:rFonts w:ascii="Calibri"/>
          <w:sz w:val="20"/>
          <w:vertAlign w:val="baseline"/>
        </w:rPr>
        <w:t>Publishing,Ibadan,1</w:t>
      </w:r>
      <w:r>
        <w:rPr>
          <w:rFonts w:ascii="Calibri"/>
          <w:sz w:val="20"/>
          <w:vertAlign w:val="superscript"/>
        </w:rPr>
        <w:t>st</w:t>
      </w:r>
      <w:r>
        <w:rPr>
          <w:rFonts w:ascii="Calibri"/>
          <w:spacing w:val="-7"/>
          <w:sz w:val="20"/>
          <w:vertAlign w:val="baseline"/>
        </w:rPr>
        <w:t> </w:t>
      </w:r>
      <w:r>
        <w:rPr>
          <w:rFonts w:ascii="Calibri"/>
          <w:sz w:val="20"/>
          <w:vertAlign w:val="baseline"/>
        </w:rPr>
        <w:t>edition,</w:t>
      </w:r>
      <w:r>
        <w:rPr>
          <w:rFonts w:ascii="Calibri"/>
          <w:spacing w:val="-8"/>
          <w:sz w:val="20"/>
          <w:vertAlign w:val="baseline"/>
        </w:rPr>
        <w:t> </w:t>
      </w:r>
      <w:r>
        <w:rPr>
          <w:rFonts w:ascii="Calibri"/>
          <w:spacing w:val="-2"/>
          <w:sz w:val="20"/>
          <w:vertAlign w:val="baseline"/>
        </w:rPr>
        <w:t>p.165</w:t>
      </w:r>
    </w:p>
    <w:p>
      <w:pPr>
        <w:spacing w:before="1"/>
        <w:ind w:left="360" w:right="0" w:firstLine="0"/>
        <w:jc w:val="left"/>
        <w:rPr>
          <w:rFonts w:ascii="Calibri"/>
          <w:sz w:val="20"/>
        </w:rPr>
      </w:pPr>
      <w:r>
        <w:rPr>
          <w:rFonts w:ascii="Calibri"/>
          <w:sz w:val="20"/>
          <w:vertAlign w:val="superscript"/>
        </w:rPr>
        <w:t>6</w:t>
      </w:r>
      <w:r>
        <w:rPr>
          <w:rFonts w:ascii="Calibri"/>
          <w:spacing w:val="-2"/>
          <w:sz w:val="20"/>
          <w:vertAlign w:val="baseline"/>
        </w:rPr>
        <w:t> Ibid.P.150</w:t>
      </w:r>
    </w:p>
    <w:p>
      <w:pPr>
        <w:spacing w:after="0"/>
        <w:jc w:val="left"/>
        <w:rPr>
          <w:rFonts w:ascii="Calibri"/>
          <w:sz w:val="20"/>
        </w:rPr>
        <w:sectPr>
          <w:pgSz w:w="11910" w:h="16840"/>
          <w:pgMar w:header="0" w:footer="1000" w:top="1340" w:bottom="1200" w:left="1080" w:right="1280"/>
        </w:sectPr>
      </w:pPr>
    </w:p>
    <w:p>
      <w:pPr>
        <w:pStyle w:val="BodyText"/>
        <w:spacing w:line="480" w:lineRule="auto" w:before="74"/>
        <w:ind w:left="360" w:right="156"/>
        <w:jc w:val="both"/>
      </w:pPr>
      <w:r>
        <w:rPr/>
        <w:t>from this sector to reduce. Subsequently, the government may not have enough money</w:t>
      </w:r>
      <w:r>
        <w:rPr>
          <w:spacing w:val="-2"/>
        </w:rPr>
        <w:t> </w:t>
      </w:r>
      <w:r>
        <w:rPr/>
        <w:t>to use for public services; it is also a critical problem that has to be tackled.</w:t>
      </w:r>
    </w:p>
    <w:p>
      <w:pPr>
        <w:pStyle w:val="BodyText"/>
        <w:spacing w:line="480" w:lineRule="auto"/>
        <w:ind w:left="360" w:right="156" w:firstLine="719"/>
        <w:jc w:val="both"/>
      </w:pPr>
      <w:r>
        <w:rPr/>
        <w:t>Also, theft and illegal oil bunkering of oil by supposed criminal syndicates also reduces the country‟s revenue, possibly</w:t>
      </w:r>
      <w:r>
        <w:rPr>
          <w:spacing w:val="-1"/>
        </w:rPr>
        <w:t> </w:t>
      </w:r>
      <w:r>
        <w:rPr/>
        <w:t>by</w:t>
      </w:r>
      <w:r>
        <w:rPr>
          <w:spacing w:val="-1"/>
        </w:rPr>
        <w:t> </w:t>
      </w:r>
      <w:r>
        <w:rPr/>
        <w:t>several billion dollars every year.</w:t>
      </w:r>
      <w:r>
        <w:rPr>
          <w:vertAlign w:val="superscript"/>
        </w:rPr>
        <w:t>7</w:t>
      </w:r>
      <w:r>
        <w:rPr>
          <w:spacing w:val="-1"/>
          <w:vertAlign w:val="baseline"/>
        </w:rPr>
        <w:t> </w:t>
      </w:r>
      <w:r>
        <w:rPr>
          <w:vertAlign w:val="baseline"/>
        </w:rPr>
        <w:t>In March 2003 for example, political turmoil resulted in force majeure declarations by Chevron, Texaco and Shell, the major oil producers in the country.</w:t>
      </w:r>
    </w:p>
    <w:p>
      <w:pPr>
        <w:pStyle w:val="BodyText"/>
        <w:spacing w:line="480" w:lineRule="auto" w:before="1"/>
        <w:ind w:left="360" w:right="157" w:firstLine="719"/>
        <w:jc w:val="right"/>
      </w:pPr>
      <w:r>
        <w:rPr/>
        <w:t>There is also the problem of the crises in Niger Delta area gives negative effect on the petroleum Profit</w:t>
      </w:r>
      <w:r>
        <w:rPr>
          <w:spacing w:val="26"/>
        </w:rPr>
        <w:t> </w:t>
      </w:r>
      <w:r>
        <w:rPr/>
        <w:t>Tax</w:t>
      </w:r>
      <w:r>
        <w:rPr>
          <w:spacing w:val="26"/>
        </w:rPr>
        <w:t> </w:t>
      </w:r>
      <w:r>
        <w:rPr/>
        <w:t>and subsequently affects its assessment.</w:t>
      </w:r>
      <w:r>
        <w:rPr>
          <w:spacing w:val="26"/>
        </w:rPr>
        <w:t> </w:t>
      </w:r>
      <w:r>
        <w:rPr/>
        <w:t>For</w:t>
      </w:r>
      <w:r>
        <w:rPr>
          <w:spacing w:val="28"/>
        </w:rPr>
        <w:t> </w:t>
      </w:r>
      <w:r>
        <w:rPr/>
        <w:t>example, on</w:t>
      </w:r>
      <w:r>
        <w:rPr>
          <w:spacing w:val="25"/>
        </w:rPr>
        <w:t> </w:t>
      </w:r>
      <w:r>
        <w:rPr/>
        <w:t>January 19, 2006,</w:t>
      </w:r>
      <w:r>
        <w:rPr>
          <w:spacing w:val="40"/>
        </w:rPr>
        <w:t> </w:t>
      </w:r>
      <w:r>
        <w:rPr/>
        <w:t>a</w:t>
      </w:r>
      <w:r>
        <w:rPr>
          <w:spacing w:val="40"/>
        </w:rPr>
        <w:t> </w:t>
      </w:r>
      <w:r>
        <w:rPr/>
        <w:t>group</w:t>
      </w:r>
      <w:r>
        <w:rPr>
          <w:spacing w:val="40"/>
        </w:rPr>
        <w:t> </w:t>
      </w:r>
      <w:r>
        <w:rPr/>
        <w:t>called</w:t>
      </w:r>
      <w:r>
        <w:rPr>
          <w:spacing w:val="40"/>
        </w:rPr>
        <w:t> </w:t>
      </w:r>
      <w:r>
        <w:rPr/>
        <w:t>the</w:t>
      </w:r>
      <w:r>
        <w:rPr>
          <w:spacing w:val="40"/>
        </w:rPr>
        <w:t> </w:t>
      </w:r>
      <w:r>
        <w:rPr/>
        <w:t>Movement</w:t>
      </w:r>
      <w:r>
        <w:rPr>
          <w:spacing w:val="40"/>
        </w:rPr>
        <w:t> </w:t>
      </w:r>
      <w:r>
        <w:rPr/>
        <w:t>for</w:t>
      </w:r>
      <w:r>
        <w:rPr>
          <w:spacing w:val="40"/>
        </w:rPr>
        <w:t> </w:t>
      </w:r>
      <w:r>
        <w:rPr/>
        <w:t>the</w:t>
      </w:r>
      <w:r>
        <w:rPr>
          <w:spacing w:val="40"/>
        </w:rPr>
        <w:t> </w:t>
      </w:r>
      <w:r>
        <w:rPr/>
        <w:t>Emancipation</w:t>
      </w:r>
      <w:r>
        <w:rPr>
          <w:spacing w:val="40"/>
        </w:rPr>
        <w:t> </w:t>
      </w:r>
      <w:r>
        <w:rPr/>
        <w:t>of</w:t>
      </w:r>
      <w:r>
        <w:rPr>
          <w:spacing w:val="40"/>
        </w:rPr>
        <w:t> </w:t>
      </w:r>
      <w:r>
        <w:rPr/>
        <w:t>the</w:t>
      </w:r>
      <w:r>
        <w:rPr>
          <w:spacing w:val="40"/>
        </w:rPr>
        <w:t> </w:t>
      </w:r>
      <w:r>
        <w:rPr/>
        <w:t>Niger</w:t>
      </w:r>
      <w:r>
        <w:rPr>
          <w:spacing w:val="40"/>
        </w:rPr>
        <w:t> </w:t>
      </w:r>
      <w:r>
        <w:rPr/>
        <w:t>Delta</w:t>
      </w:r>
      <w:r>
        <w:rPr>
          <w:spacing w:val="40"/>
        </w:rPr>
        <w:t> </w:t>
      </w:r>
      <w:r>
        <w:rPr/>
        <w:t>(MEND)</w:t>
      </w:r>
      <w:r>
        <w:rPr>
          <w:spacing w:val="80"/>
        </w:rPr>
        <w:t> </w:t>
      </w:r>
      <w:r>
        <w:rPr/>
        <w:t>grabbed</w:t>
      </w:r>
      <w:r>
        <w:rPr>
          <w:spacing w:val="37"/>
        </w:rPr>
        <w:t> </w:t>
      </w:r>
      <w:r>
        <w:rPr/>
        <w:t>four</w:t>
      </w:r>
      <w:r>
        <w:rPr>
          <w:spacing w:val="36"/>
        </w:rPr>
        <w:t> </w:t>
      </w:r>
      <w:r>
        <w:rPr/>
        <w:t>oil</w:t>
      </w:r>
      <w:r>
        <w:rPr>
          <w:spacing w:val="38"/>
        </w:rPr>
        <w:t> </w:t>
      </w:r>
      <w:r>
        <w:rPr/>
        <w:t>workers</w:t>
      </w:r>
      <w:r>
        <w:rPr>
          <w:spacing w:val="37"/>
        </w:rPr>
        <w:t> </w:t>
      </w:r>
      <w:r>
        <w:rPr/>
        <w:t>and</w:t>
      </w:r>
      <w:r>
        <w:rPr>
          <w:spacing w:val="37"/>
        </w:rPr>
        <w:t> </w:t>
      </w:r>
      <w:r>
        <w:rPr/>
        <w:t>also</w:t>
      </w:r>
      <w:r>
        <w:rPr>
          <w:spacing w:val="38"/>
        </w:rPr>
        <w:t> </w:t>
      </w:r>
      <w:r>
        <w:rPr/>
        <w:t>attacked</w:t>
      </w:r>
      <w:r>
        <w:rPr>
          <w:spacing w:val="37"/>
        </w:rPr>
        <w:t> </w:t>
      </w:r>
      <w:r>
        <w:rPr/>
        <w:t>pipelines</w:t>
      </w:r>
      <w:r>
        <w:rPr>
          <w:spacing w:val="37"/>
        </w:rPr>
        <w:t> </w:t>
      </w:r>
      <w:r>
        <w:rPr/>
        <w:t>and</w:t>
      </w:r>
      <w:r>
        <w:rPr>
          <w:spacing w:val="37"/>
        </w:rPr>
        <w:t> </w:t>
      </w:r>
      <w:r>
        <w:rPr/>
        <w:t>platforms</w:t>
      </w:r>
      <w:r>
        <w:rPr>
          <w:spacing w:val="37"/>
        </w:rPr>
        <w:t> </w:t>
      </w:r>
      <w:r>
        <w:rPr/>
        <w:t>of</w:t>
      </w:r>
      <w:r>
        <w:rPr>
          <w:spacing w:val="39"/>
        </w:rPr>
        <w:t> </w:t>
      </w:r>
      <w:r>
        <w:rPr/>
        <w:t>Royal</w:t>
      </w:r>
      <w:r>
        <w:rPr>
          <w:spacing w:val="38"/>
        </w:rPr>
        <w:t> </w:t>
      </w:r>
      <w:r>
        <w:rPr/>
        <w:t>Dutch</w:t>
      </w:r>
      <w:r>
        <w:rPr>
          <w:spacing w:val="37"/>
        </w:rPr>
        <w:t> </w:t>
      </w:r>
      <w:r>
        <w:rPr/>
        <w:t>Shell Company(which was the biggest oil producing company in the Niger Delta).the MEND was always behind the bombing of pipelines and kidnapping of oil</w:t>
      </w:r>
      <w:r>
        <w:rPr>
          <w:spacing w:val="24"/>
        </w:rPr>
        <w:t> </w:t>
      </w:r>
      <w:r>
        <w:rPr/>
        <w:t>workers. The group has also</w:t>
      </w:r>
      <w:r>
        <w:rPr>
          <w:spacing w:val="80"/>
        </w:rPr>
        <w:t> </w:t>
      </w:r>
      <w:r>
        <w:rPr/>
        <w:t>warned that it will drive oil companies like Shell, Chevron and Exxon-Mobil out of the area,</w:t>
      </w:r>
      <w:r>
        <w:rPr>
          <w:vertAlign w:val="superscript"/>
        </w:rPr>
        <w:t>8</w:t>
      </w:r>
      <w:r>
        <w:rPr>
          <w:vertAlign w:val="baseline"/>
        </w:rPr>
        <w:t> Presently,</w:t>
      </w:r>
      <w:r>
        <w:rPr>
          <w:spacing w:val="40"/>
          <w:vertAlign w:val="baseline"/>
        </w:rPr>
        <w:t> </w:t>
      </w:r>
      <w:r>
        <w:rPr>
          <w:vertAlign w:val="baseline"/>
        </w:rPr>
        <w:t>Nigerian</w:t>
      </w:r>
      <w:r>
        <w:rPr>
          <w:spacing w:val="40"/>
          <w:vertAlign w:val="baseline"/>
        </w:rPr>
        <w:t> </w:t>
      </w:r>
      <w:r>
        <w:rPr>
          <w:vertAlign w:val="baseline"/>
        </w:rPr>
        <w:t>has</w:t>
      </w:r>
      <w:r>
        <w:rPr>
          <w:spacing w:val="40"/>
          <w:vertAlign w:val="baseline"/>
        </w:rPr>
        <w:t> </w:t>
      </w:r>
      <w:r>
        <w:rPr>
          <w:vertAlign w:val="baseline"/>
        </w:rPr>
        <w:t>been</w:t>
      </w:r>
      <w:r>
        <w:rPr>
          <w:spacing w:val="40"/>
          <w:vertAlign w:val="baseline"/>
        </w:rPr>
        <w:t> </w:t>
      </w:r>
      <w:r>
        <w:rPr>
          <w:vertAlign w:val="baseline"/>
        </w:rPr>
        <w:t>hit</w:t>
      </w:r>
      <w:r>
        <w:rPr>
          <w:spacing w:val="40"/>
          <w:vertAlign w:val="baseline"/>
        </w:rPr>
        <w:t> </w:t>
      </w:r>
      <w:r>
        <w:rPr>
          <w:vertAlign w:val="baseline"/>
        </w:rPr>
        <w:t>by</w:t>
      </w:r>
      <w:r>
        <w:rPr>
          <w:spacing w:val="40"/>
          <w:vertAlign w:val="baseline"/>
        </w:rPr>
        <w:t> </w:t>
      </w:r>
      <w:r>
        <w:rPr>
          <w:vertAlign w:val="baseline"/>
        </w:rPr>
        <w:t>growing</w:t>
      </w:r>
      <w:r>
        <w:rPr>
          <w:spacing w:val="40"/>
          <w:vertAlign w:val="baseline"/>
        </w:rPr>
        <w:t> </w:t>
      </w:r>
      <w:r>
        <w:rPr>
          <w:vertAlign w:val="baseline"/>
        </w:rPr>
        <w:t>unrest</w:t>
      </w:r>
      <w:r>
        <w:rPr>
          <w:spacing w:val="40"/>
          <w:vertAlign w:val="baseline"/>
        </w:rPr>
        <w:t> </w:t>
      </w:r>
      <w:r>
        <w:rPr>
          <w:vertAlign w:val="baseline"/>
        </w:rPr>
        <w:t>in</w:t>
      </w:r>
      <w:r>
        <w:rPr>
          <w:spacing w:val="40"/>
          <w:vertAlign w:val="baseline"/>
        </w:rPr>
        <w:t> </w:t>
      </w:r>
      <w:r>
        <w:rPr>
          <w:vertAlign w:val="baseline"/>
        </w:rPr>
        <w:t>the</w:t>
      </w:r>
      <w:r>
        <w:rPr>
          <w:spacing w:val="40"/>
          <w:vertAlign w:val="baseline"/>
        </w:rPr>
        <w:t> </w:t>
      </w:r>
      <w:r>
        <w:rPr>
          <w:vertAlign w:val="baseline"/>
        </w:rPr>
        <w:t>country‟s</w:t>
      </w:r>
      <w:r>
        <w:rPr>
          <w:spacing w:val="40"/>
          <w:vertAlign w:val="baseline"/>
        </w:rPr>
        <w:t> </w:t>
      </w:r>
      <w:r>
        <w:rPr>
          <w:vertAlign w:val="baseline"/>
        </w:rPr>
        <w:t>oil</w:t>
      </w:r>
      <w:r>
        <w:rPr>
          <w:spacing w:val="40"/>
          <w:vertAlign w:val="baseline"/>
        </w:rPr>
        <w:t> </w:t>
      </w:r>
      <w:r>
        <w:rPr>
          <w:vertAlign w:val="baseline"/>
        </w:rPr>
        <w:t>producing</w:t>
      </w:r>
    </w:p>
    <w:p>
      <w:pPr>
        <w:pStyle w:val="BodyText"/>
        <w:spacing w:line="480" w:lineRule="auto"/>
        <w:ind w:left="360" w:right="157"/>
        <w:jc w:val="both"/>
      </w:pPr>
      <w:r>
        <w:rPr/>
        <w:t>south by a new militant group calling itself the Niger Delta Avengers, this group attack on Shell‟s Forcados underwater flow line in February used divers, showing they have the skills and knowledge of oil infrastructure to target areas that will significantly halt production. Other attacks include the sabotage of Chevron‟s offshore okan gas valve platform, and bombings of Eni‟s infrastructure and Nigerian National Petroleum Corporation (NNPC) pipelines, which provide gas to Lagos for power generation.</w:t>
      </w:r>
    </w:p>
    <w:p>
      <w:pPr>
        <w:pStyle w:val="BodyText"/>
        <w:spacing w:line="480" w:lineRule="auto" w:before="1"/>
        <w:ind w:left="360" w:right="156" w:firstLine="719"/>
        <w:jc w:val="both"/>
      </w:pPr>
      <w:r>
        <w:rPr/>
        <w:t>Nigeria has budgeted for production of 2.2 million barrels per day this year but the attacks have cut output to 1.4 million barrels per day according to the petroleum minister Emmanuel</w:t>
      </w:r>
      <w:r>
        <w:rPr>
          <w:spacing w:val="-1"/>
        </w:rPr>
        <w:t> </w:t>
      </w:r>
      <w:r>
        <w:rPr/>
        <w:t>Kachikwu.</w:t>
      </w:r>
      <w:r>
        <w:rPr>
          <w:spacing w:val="-1"/>
        </w:rPr>
        <w:t> </w:t>
      </w:r>
      <w:r>
        <w:rPr/>
        <w:t>The</w:t>
      </w:r>
      <w:r>
        <w:rPr>
          <w:spacing w:val="-1"/>
        </w:rPr>
        <w:t> </w:t>
      </w:r>
      <w:r>
        <w:rPr/>
        <w:t>sabotage</w:t>
      </w:r>
      <w:r>
        <w:rPr>
          <w:spacing w:val="-2"/>
        </w:rPr>
        <w:t> </w:t>
      </w:r>
      <w:r>
        <w:rPr/>
        <w:t>couldn‟t</w:t>
      </w:r>
      <w:r>
        <w:rPr>
          <w:spacing w:val="2"/>
        </w:rPr>
        <w:t> </w:t>
      </w:r>
      <w:r>
        <w:rPr/>
        <w:t>have</w:t>
      </w:r>
      <w:r>
        <w:rPr>
          <w:spacing w:val="-2"/>
        </w:rPr>
        <w:t> </w:t>
      </w:r>
      <w:r>
        <w:rPr/>
        <w:t>come</w:t>
      </w:r>
      <w:r>
        <w:rPr>
          <w:spacing w:val="1"/>
        </w:rPr>
        <w:t> </w:t>
      </w:r>
      <w:r>
        <w:rPr/>
        <w:t>at</w:t>
      </w:r>
      <w:r>
        <w:rPr>
          <w:spacing w:val="2"/>
        </w:rPr>
        <w:t> </w:t>
      </w:r>
      <w:r>
        <w:rPr/>
        <w:t>a</w:t>
      </w:r>
      <w:r>
        <w:rPr>
          <w:spacing w:val="-2"/>
        </w:rPr>
        <w:t> </w:t>
      </w:r>
      <w:r>
        <w:rPr/>
        <w:t>worse</w:t>
      </w:r>
      <w:r>
        <w:rPr>
          <w:spacing w:val="-1"/>
        </w:rPr>
        <w:t> </w:t>
      </w:r>
      <w:r>
        <w:rPr/>
        <w:t>time,</w:t>
      </w:r>
      <w:r>
        <w:rPr>
          <w:spacing w:val="1"/>
        </w:rPr>
        <w:t> </w:t>
      </w:r>
      <w:r>
        <w:rPr/>
        <w:t>with</w:t>
      </w:r>
      <w:r>
        <w:rPr>
          <w:spacing w:val="4"/>
        </w:rPr>
        <w:t> </w:t>
      </w:r>
      <w:r>
        <w:rPr/>
        <w:t>Nigeria,</w:t>
      </w:r>
      <w:r>
        <w:rPr>
          <w:spacing w:val="2"/>
        </w:rPr>
        <w:t> </w:t>
      </w:r>
      <w:r>
        <w:rPr>
          <w:spacing w:val="-2"/>
        </w:rPr>
        <w:t>which</w:t>
      </w:r>
    </w:p>
    <w:p>
      <w:pPr>
        <w:pStyle w:val="BodyText"/>
        <w:spacing w:before="3"/>
        <w:rPr>
          <w:sz w:val="13"/>
        </w:rPr>
      </w:pPr>
      <w:r>
        <w:rPr/>
        <mc:AlternateContent>
          <mc:Choice Requires="wps">
            <w:drawing>
              <wp:anchor distT="0" distB="0" distL="0" distR="0" allowOverlap="1" layoutInCell="1" locked="0" behindDoc="1" simplePos="0" relativeHeight="487594496">
                <wp:simplePos x="0" y="0"/>
                <wp:positionH relativeFrom="page">
                  <wp:posOffset>914704</wp:posOffset>
                </wp:positionH>
                <wp:positionV relativeFrom="paragraph">
                  <wp:posOffset>112444</wp:posOffset>
                </wp:positionV>
                <wp:extent cx="1829435" cy="9525"/>
                <wp:effectExtent l="0" t="0" r="0" b="0"/>
                <wp:wrapTopAndBottom/>
                <wp:docPr id="16" name="Graphic 16"/>
                <wp:cNvGraphicFramePr>
                  <a:graphicFrameLocks/>
                </wp:cNvGraphicFramePr>
                <a:graphic>
                  <a:graphicData uri="http://schemas.microsoft.com/office/word/2010/wordprocessingShape">
                    <wps:wsp>
                      <wps:cNvPr id="16" name="Graphic 16"/>
                      <wps:cNvSpPr/>
                      <wps:spPr>
                        <a:xfrm>
                          <a:off x="0" y="0"/>
                          <a:ext cx="1829435" cy="9525"/>
                        </a:xfrm>
                        <a:custGeom>
                          <a:avLst/>
                          <a:gdLst/>
                          <a:ahLst/>
                          <a:cxnLst/>
                          <a:rect l="l" t="t" r="r" b="b"/>
                          <a:pathLst>
                            <a:path w="1829435" h="9525">
                              <a:moveTo>
                                <a:pt x="1829054" y="0"/>
                              </a:moveTo>
                              <a:lnTo>
                                <a:pt x="0" y="0"/>
                              </a:lnTo>
                              <a:lnTo>
                                <a:pt x="0" y="9143"/>
                              </a:lnTo>
                              <a:lnTo>
                                <a:pt x="1829054" y="9143"/>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8.853936pt;width:144.020pt;height:.71997pt;mso-position-horizontal-relative:page;mso-position-vertical-relative:paragraph;z-index:-15721984;mso-wrap-distance-left:0;mso-wrap-distance-right:0" id="docshape16" filled="true" fillcolor="#000000" stroked="false">
                <v:fill type="solid"/>
                <w10:wrap type="topAndBottom"/>
              </v:rect>
            </w:pict>
          </mc:Fallback>
        </mc:AlternateContent>
      </w:r>
    </w:p>
    <w:p>
      <w:pPr>
        <w:spacing w:before="102"/>
        <w:ind w:left="360" w:right="223" w:firstLine="0"/>
        <w:jc w:val="left"/>
        <w:rPr>
          <w:rFonts w:ascii="Calibri" w:hAnsi="Calibri"/>
          <w:sz w:val="20"/>
        </w:rPr>
      </w:pPr>
      <w:r>
        <w:rPr>
          <w:rFonts w:ascii="Calibri" w:hAnsi="Calibri"/>
          <w:sz w:val="20"/>
          <w:vertAlign w:val="superscript"/>
        </w:rPr>
        <w:t>7</w:t>
      </w:r>
      <w:r>
        <w:rPr>
          <w:rFonts w:ascii="Calibri" w:hAnsi="Calibri"/>
          <w:spacing w:val="-4"/>
          <w:sz w:val="20"/>
          <w:vertAlign w:val="baseline"/>
        </w:rPr>
        <w:t> </w:t>
      </w:r>
      <w:r>
        <w:rPr>
          <w:rFonts w:ascii="Calibri" w:hAnsi="Calibri"/>
          <w:sz w:val="20"/>
          <w:vertAlign w:val="baseline"/>
        </w:rPr>
        <w:t>Mahatni,</w:t>
      </w:r>
      <w:r>
        <w:rPr>
          <w:rFonts w:ascii="Calibri" w:hAnsi="Calibri"/>
          <w:spacing w:val="-2"/>
          <w:sz w:val="20"/>
          <w:vertAlign w:val="baseline"/>
        </w:rPr>
        <w:t> </w:t>
      </w:r>
      <w:r>
        <w:rPr>
          <w:rFonts w:ascii="Calibri" w:hAnsi="Calibri"/>
          <w:sz w:val="20"/>
          <w:vertAlign w:val="baseline"/>
        </w:rPr>
        <w:t>(2006)</w:t>
      </w:r>
      <w:r>
        <w:rPr>
          <w:rFonts w:ascii="Calibri" w:hAnsi="Calibri"/>
          <w:spacing w:val="-3"/>
          <w:sz w:val="20"/>
          <w:vertAlign w:val="baseline"/>
        </w:rPr>
        <w:t> </w:t>
      </w:r>
      <w:r>
        <w:rPr>
          <w:rFonts w:ascii="Calibri" w:hAnsi="Calibri"/>
          <w:sz w:val="20"/>
          <w:vertAlign w:val="baseline"/>
        </w:rPr>
        <w:t>D,</w:t>
      </w:r>
      <w:r>
        <w:rPr>
          <w:rFonts w:ascii="Calibri" w:hAnsi="Calibri"/>
          <w:spacing w:val="-3"/>
          <w:sz w:val="20"/>
          <w:vertAlign w:val="baseline"/>
        </w:rPr>
        <w:t> </w:t>
      </w:r>
      <w:r>
        <w:rPr>
          <w:rFonts w:ascii="Calibri" w:hAnsi="Calibri"/>
          <w:sz w:val="20"/>
          <w:vertAlign w:val="baseline"/>
        </w:rPr>
        <w:t>Financial</w:t>
      </w:r>
      <w:r>
        <w:rPr>
          <w:rFonts w:ascii="Calibri" w:hAnsi="Calibri"/>
          <w:spacing w:val="-1"/>
          <w:sz w:val="20"/>
          <w:vertAlign w:val="baseline"/>
        </w:rPr>
        <w:t> </w:t>
      </w:r>
      <w:r>
        <w:rPr>
          <w:rFonts w:ascii="Calibri" w:hAnsi="Calibri"/>
          <w:sz w:val="20"/>
          <w:vertAlign w:val="baseline"/>
        </w:rPr>
        <w:t>Times</w:t>
      </w:r>
      <w:r>
        <w:rPr>
          <w:rFonts w:ascii="Calibri" w:hAnsi="Calibri"/>
          <w:spacing w:val="-5"/>
          <w:sz w:val="20"/>
          <w:vertAlign w:val="baseline"/>
        </w:rPr>
        <w:t> </w:t>
      </w:r>
      <w:r>
        <w:rPr>
          <w:rFonts w:ascii="Calibri" w:hAnsi="Calibri"/>
          <w:sz w:val="20"/>
          <w:vertAlign w:val="baseline"/>
        </w:rPr>
        <w:t>Reporter,</w:t>
      </w:r>
      <w:r>
        <w:rPr>
          <w:rFonts w:ascii="Calibri" w:hAnsi="Calibri"/>
          <w:spacing w:val="-1"/>
          <w:sz w:val="20"/>
          <w:vertAlign w:val="baseline"/>
        </w:rPr>
        <w:t> </w:t>
      </w:r>
      <w:r>
        <w:rPr>
          <w:rFonts w:ascii="Calibri" w:hAnsi="Calibri"/>
          <w:i/>
          <w:sz w:val="20"/>
          <w:vertAlign w:val="baseline"/>
        </w:rPr>
        <w:t>’’Fight</w:t>
      </w:r>
      <w:r>
        <w:rPr>
          <w:rFonts w:ascii="Calibri" w:hAnsi="Calibri"/>
          <w:i/>
          <w:spacing w:val="-3"/>
          <w:sz w:val="20"/>
          <w:vertAlign w:val="baseline"/>
        </w:rPr>
        <w:t> </w:t>
      </w:r>
      <w:r>
        <w:rPr>
          <w:rFonts w:ascii="Calibri" w:hAnsi="Calibri"/>
          <w:i/>
          <w:sz w:val="20"/>
          <w:vertAlign w:val="baseline"/>
        </w:rPr>
        <w:t>over</w:t>
      </w:r>
      <w:r>
        <w:rPr>
          <w:rFonts w:ascii="Calibri" w:hAnsi="Calibri"/>
          <w:i/>
          <w:spacing w:val="-5"/>
          <w:sz w:val="20"/>
          <w:vertAlign w:val="baseline"/>
        </w:rPr>
        <w:t> </w:t>
      </w:r>
      <w:r>
        <w:rPr>
          <w:rFonts w:ascii="Calibri" w:hAnsi="Calibri"/>
          <w:i/>
          <w:sz w:val="20"/>
          <w:vertAlign w:val="baseline"/>
        </w:rPr>
        <w:t>oil</w:t>
      </w:r>
      <w:r>
        <w:rPr>
          <w:rFonts w:ascii="Calibri" w:hAnsi="Calibri"/>
          <w:i/>
          <w:spacing w:val="-4"/>
          <w:sz w:val="20"/>
          <w:vertAlign w:val="baseline"/>
        </w:rPr>
        <w:t> </w:t>
      </w:r>
      <w:r>
        <w:rPr>
          <w:rFonts w:ascii="Calibri" w:hAnsi="Calibri"/>
          <w:i/>
          <w:sz w:val="20"/>
          <w:vertAlign w:val="baseline"/>
        </w:rPr>
        <w:t>money</w:t>
      </w:r>
      <w:r>
        <w:rPr>
          <w:rFonts w:ascii="Calibri" w:hAnsi="Calibri"/>
          <w:i/>
          <w:spacing w:val="-4"/>
          <w:sz w:val="20"/>
          <w:vertAlign w:val="baseline"/>
        </w:rPr>
        <w:t> </w:t>
      </w:r>
      <w:r>
        <w:rPr>
          <w:rFonts w:ascii="Calibri" w:hAnsi="Calibri"/>
          <w:i/>
          <w:sz w:val="20"/>
          <w:vertAlign w:val="baseline"/>
        </w:rPr>
        <w:t>percolates</w:t>
      </w:r>
      <w:r>
        <w:rPr>
          <w:rFonts w:ascii="Calibri" w:hAnsi="Calibri"/>
          <w:i/>
          <w:spacing w:val="-4"/>
          <w:sz w:val="20"/>
          <w:vertAlign w:val="baseline"/>
        </w:rPr>
        <w:t> </w:t>
      </w:r>
      <w:r>
        <w:rPr>
          <w:rFonts w:ascii="Calibri" w:hAnsi="Calibri"/>
          <w:i/>
          <w:sz w:val="20"/>
          <w:vertAlign w:val="baseline"/>
        </w:rPr>
        <w:t>in</w:t>
      </w:r>
      <w:r>
        <w:rPr>
          <w:rFonts w:ascii="Calibri" w:hAnsi="Calibri"/>
          <w:i/>
          <w:spacing w:val="-3"/>
          <w:sz w:val="20"/>
          <w:vertAlign w:val="baseline"/>
        </w:rPr>
        <w:t> </w:t>
      </w:r>
      <w:r>
        <w:rPr>
          <w:rFonts w:ascii="Calibri" w:hAnsi="Calibri"/>
          <w:i/>
          <w:sz w:val="20"/>
          <w:vertAlign w:val="baseline"/>
        </w:rPr>
        <w:t>Nigeria” </w:t>
      </w:r>
      <w:r>
        <w:rPr>
          <w:rFonts w:ascii="Calibri" w:hAnsi="Calibri"/>
          <w:sz w:val="20"/>
          <w:vertAlign w:val="baseline"/>
        </w:rPr>
        <w:t>Retrieved</w:t>
      </w:r>
      <w:r>
        <w:rPr>
          <w:rFonts w:ascii="Calibri" w:hAnsi="Calibri"/>
          <w:spacing w:val="-3"/>
          <w:sz w:val="20"/>
          <w:vertAlign w:val="baseline"/>
        </w:rPr>
        <w:t> </w:t>
      </w:r>
      <w:r>
        <w:rPr>
          <w:rFonts w:ascii="Calibri" w:hAnsi="Calibri"/>
          <w:sz w:val="20"/>
          <w:vertAlign w:val="baseline"/>
        </w:rPr>
        <w:t>July 20,2006 from </w:t>
      </w:r>
      <w:hyperlink r:id="rId7">
        <w:r>
          <w:rPr>
            <w:rFonts w:ascii="Calibri" w:hAnsi="Calibri"/>
            <w:color w:val="0000FF"/>
            <w:sz w:val="20"/>
            <w:u w:val="single" w:color="0000FF"/>
            <w:vertAlign w:val="baseline"/>
          </w:rPr>
          <w:t>http://www.npr.org</w:t>
        </w:r>
      </w:hyperlink>
    </w:p>
    <w:p>
      <w:pPr>
        <w:spacing w:before="0"/>
        <w:ind w:left="360" w:right="0" w:firstLine="0"/>
        <w:jc w:val="left"/>
        <w:rPr>
          <w:rFonts w:ascii="Calibri" w:hAnsi="Calibri"/>
          <w:sz w:val="20"/>
        </w:rPr>
      </w:pPr>
      <w:r>
        <w:rPr>
          <w:rFonts w:ascii="Calibri" w:hAnsi="Calibri"/>
          <w:sz w:val="20"/>
          <w:vertAlign w:val="superscript"/>
        </w:rPr>
        <w:t>8</w:t>
      </w:r>
      <w:r>
        <w:rPr>
          <w:rFonts w:ascii="Calibri" w:hAnsi="Calibri"/>
          <w:spacing w:val="-4"/>
          <w:sz w:val="20"/>
          <w:vertAlign w:val="baseline"/>
        </w:rPr>
        <w:t> </w:t>
      </w:r>
      <w:r>
        <w:rPr>
          <w:rFonts w:ascii="Calibri" w:hAnsi="Calibri"/>
          <w:sz w:val="20"/>
          <w:vertAlign w:val="baseline"/>
        </w:rPr>
        <w:t>Opele,S.</w:t>
      </w:r>
      <w:r>
        <w:rPr>
          <w:rFonts w:ascii="Calibri" w:hAnsi="Calibri"/>
          <w:spacing w:val="-3"/>
          <w:sz w:val="20"/>
          <w:vertAlign w:val="baseline"/>
        </w:rPr>
        <w:t> </w:t>
      </w:r>
      <w:r>
        <w:rPr>
          <w:rFonts w:ascii="Calibri" w:hAnsi="Calibri"/>
          <w:sz w:val="20"/>
          <w:vertAlign w:val="baseline"/>
        </w:rPr>
        <w:t>(2006)</w:t>
      </w:r>
      <w:r>
        <w:rPr>
          <w:rFonts w:ascii="Calibri" w:hAnsi="Calibri"/>
          <w:spacing w:val="-4"/>
          <w:sz w:val="20"/>
          <w:vertAlign w:val="baseline"/>
        </w:rPr>
        <w:t> </w:t>
      </w:r>
      <w:r>
        <w:rPr>
          <w:rFonts w:ascii="Calibri" w:hAnsi="Calibri"/>
          <w:i/>
          <w:sz w:val="20"/>
          <w:vertAlign w:val="baseline"/>
        </w:rPr>
        <w:t>“Oil</w:t>
      </w:r>
      <w:r>
        <w:rPr>
          <w:rFonts w:ascii="Calibri" w:hAnsi="Calibri"/>
          <w:i/>
          <w:spacing w:val="-4"/>
          <w:sz w:val="20"/>
          <w:vertAlign w:val="baseline"/>
        </w:rPr>
        <w:t> </w:t>
      </w:r>
      <w:r>
        <w:rPr>
          <w:rFonts w:ascii="Calibri" w:hAnsi="Calibri"/>
          <w:i/>
          <w:sz w:val="20"/>
          <w:vertAlign w:val="baseline"/>
        </w:rPr>
        <w:t>and</w:t>
      </w:r>
      <w:r>
        <w:rPr>
          <w:rFonts w:ascii="Calibri" w:hAnsi="Calibri"/>
          <w:i/>
          <w:spacing w:val="-3"/>
          <w:sz w:val="20"/>
          <w:vertAlign w:val="baseline"/>
        </w:rPr>
        <w:t> </w:t>
      </w:r>
      <w:r>
        <w:rPr>
          <w:rFonts w:ascii="Calibri" w:hAnsi="Calibri"/>
          <w:i/>
          <w:sz w:val="20"/>
          <w:vertAlign w:val="baseline"/>
        </w:rPr>
        <w:t>Youth</w:t>
      </w:r>
      <w:r>
        <w:rPr>
          <w:rFonts w:ascii="Calibri" w:hAnsi="Calibri"/>
          <w:i/>
          <w:spacing w:val="-3"/>
          <w:sz w:val="20"/>
          <w:vertAlign w:val="baseline"/>
        </w:rPr>
        <w:t> </w:t>
      </w:r>
      <w:r>
        <w:rPr>
          <w:rFonts w:ascii="Calibri" w:hAnsi="Calibri"/>
          <w:i/>
          <w:sz w:val="20"/>
          <w:vertAlign w:val="baseline"/>
        </w:rPr>
        <w:t>Restiveness</w:t>
      </w:r>
      <w:r>
        <w:rPr>
          <w:rFonts w:ascii="Calibri" w:hAnsi="Calibri"/>
          <w:i/>
          <w:spacing w:val="-4"/>
          <w:sz w:val="20"/>
          <w:vertAlign w:val="baseline"/>
        </w:rPr>
        <w:t> </w:t>
      </w:r>
      <w:r>
        <w:rPr>
          <w:rFonts w:ascii="Calibri" w:hAnsi="Calibri"/>
          <w:i/>
          <w:sz w:val="20"/>
          <w:vertAlign w:val="baseline"/>
        </w:rPr>
        <w:t>in</w:t>
      </w:r>
      <w:r>
        <w:rPr>
          <w:rFonts w:ascii="Calibri" w:hAnsi="Calibri"/>
          <w:i/>
          <w:spacing w:val="-3"/>
          <w:sz w:val="20"/>
          <w:vertAlign w:val="baseline"/>
        </w:rPr>
        <w:t> </w:t>
      </w:r>
      <w:r>
        <w:rPr>
          <w:rFonts w:ascii="Calibri" w:hAnsi="Calibri"/>
          <w:i/>
          <w:sz w:val="20"/>
          <w:vertAlign w:val="baseline"/>
        </w:rPr>
        <w:t>Niger</w:t>
      </w:r>
      <w:r>
        <w:rPr>
          <w:rFonts w:ascii="Calibri" w:hAnsi="Calibri"/>
          <w:i/>
          <w:spacing w:val="-5"/>
          <w:sz w:val="20"/>
          <w:vertAlign w:val="baseline"/>
        </w:rPr>
        <w:t> </w:t>
      </w:r>
      <w:r>
        <w:rPr>
          <w:rFonts w:ascii="Calibri" w:hAnsi="Calibri"/>
          <w:i/>
          <w:sz w:val="20"/>
          <w:vertAlign w:val="baseline"/>
        </w:rPr>
        <w:t>Delta”</w:t>
      </w:r>
      <w:r>
        <w:rPr>
          <w:rFonts w:ascii="Calibri" w:hAnsi="Calibri"/>
          <w:sz w:val="20"/>
          <w:vertAlign w:val="baseline"/>
        </w:rPr>
        <w:t>.</w:t>
      </w:r>
      <w:r>
        <w:rPr>
          <w:rFonts w:ascii="Calibri" w:hAnsi="Calibri"/>
          <w:spacing w:val="-3"/>
          <w:sz w:val="20"/>
          <w:vertAlign w:val="baseline"/>
        </w:rPr>
        <w:t> </w:t>
      </w:r>
      <w:r>
        <w:rPr>
          <w:rFonts w:ascii="Calibri" w:hAnsi="Calibri"/>
          <w:sz w:val="20"/>
          <w:vertAlign w:val="baseline"/>
        </w:rPr>
        <w:t>Retrieved</w:t>
      </w:r>
      <w:r>
        <w:rPr>
          <w:rFonts w:ascii="Calibri" w:hAnsi="Calibri"/>
          <w:spacing w:val="-3"/>
          <w:sz w:val="20"/>
          <w:vertAlign w:val="baseline"/>
        </w:rPr>
        <w:t> </w:t>
      </w:r>
      <w:r>
        <w:rPr>
          <w:rFonts w:ascii="Calibri" w:hAnsi="Calibri"/>
          <w:sz w:val="20"/>
          <w:vertAlign w:val="baseline"/>
        </w:rPr>
        <w:t>September</w:t>
      </w:r>
      <w:r>
        <w:rPr>
          <w:rFonts w:ascii="Calibri" w:hAnsi="Calibri"/>
          <w:spacing w:val="-3"/>
          <w:sz w:val="20"/>
          <w:vertAlign w:val="baseline"/>
        </w:rPr>
        <w:t> </w:t>
      </w:r>
      <w:r>
        <w:rPr>
          <w:rFonts w:ascii="Calibri" w:hAnsi="Calibri"/>
          <w:sz w:val="20"/>
          <w:vertAlign w:val="baseline"/>
        </w:rPr>
        <w:t>10,2006</w:t>
      </w:r>
      <w:r>
        <w:rPr>
          <w:rFonts w:ascii="Calibri" w:hAnsi="Calibri"/>
          <w:spacing w:val="-2"/>
          <w:sz w:val="20"/>
          <w:vertAlign w:val="baseline"/>
        </w:rPr>
        <w:t> </w:t>
      </w:r>
      <w:r>
        <w:rPr>
          <w:rFonts w:ascii="Calibri" w:hAnsi="Calibri"/>
          <w:sz w:val="20"/>
          <w:vertAlign w:val="baseline"/>
        </w:rPr>
        <w:t>from </w:t>
      </w:r>
      <w:hyperlink r:id="rId8">
        <w:r>
          <w:rPr>
            <w:rFonts w:ascii="Calibri" w:hAnsi="Calibri"/>
            <w:color w:val="0000FF"/>
            <w:spacing w:val="-2"/>
            <w:sz w:val="20"/>
            <w:u w:val="single" w:color="0000FF"/>
            <w:vertAlign w:val="baseline"/>
          </w:rPr>
          <w:t>http://www.nigerdeltacampaign.com</w:t>
        </w:r>
      </w:hyperlink>
    </w:p>
    <w:p>
      <w:pPr>
        <w:spacing w:after="0"/>
        <w:jc w:val="left"/>
        <w:rPr>
          <w:rFonts w:ascii="Calibri" w:hAnsi="Calibri"/>
          <w:sz w:val="20"/>
        </w:rPr>
        <w:sectPr>
          <w:pgSz w:w="11910" w:h="16840"/>
          <w:pgMar w:header="0" w:footer="1000" w:top="1340" w:bottom="1200" w:left="1080" w:right="1280"/>
        </w:sectPr>
      </w:pPr>
    </w:p>
    <w:p>
      <w:pPr>
        <w:pStyle w:val="BodyText"/>
        <w:spacing w:line="480" w:lineRule="auto" w:before="74"/>
        <w:ind w:left="360" w:right="153"/>
        <w:jc w:val="both"/>
      </w:pPr>
      <w:r>
        <w:rPr/>
        <w:t>normally depends on oil export sales for 70 percent of government revenue, on the brink of a recession. The daily production output of the oil companies in the Niger Delta drops and so Nigeria loses revenue. Indeed, this is a tremendous problem of which an urgent solution should be provided.</w:t>
      </w:r>
    </w:p>
    <w:p>
      <w:pPr>
        <w:pStyle w:val="BodyText"/>
        <w:spacing w:line="480" w:lineRule="auto"/>
        <w:ind w:left="360" w:right="155" w:firstLine="719"/>
        <w:jc w:val="both"/>
      </w:pPr>
      <w:r>
        <w:rPr/>
        <w:t>Another major problem existing within the tax administration of the upstream oil sub- sector lies essentially on the design of the tax administrative system and the capability of the institution. This consequently leads to low efficiency and effectiveness of not only the assessment of petroleum profit tax, but also the collection of the tax.</w:t>
      </w:r>
    </w:p>
    <w:p>
      <w:pPr>
        <w:pStyle w:val="BodyText"/>
        <w:spacing w:line="480" w:lineRule="auto" w:before="1"/>
        <w:ind w:left="360" w:right="158" w:firstLine="719"/>
        <w:jc w:val="both"/>
      </w:pPr>
      <w:r>
        <w:rPr/>
        <w:t>The first need of any modern government is to generate enough revenue which is indeed</w:t>
      </w:r>
      <w:r>
        <w:rPr>
          <w:spacing w:val="-7"/>
        </w:rPr>
        <w:t> </w:t>
      </w:r>
      <w:r>
        <w:rPr/>
        <w:t>„‟the</w:t>
      </w:r>
      <w:r>
        <w:rPr>
          <w:spacing w:val="-7"/>
        </w:rPr>
        <w:t> </w:t>
      </w:r>
      <w:r>
        <w:rPr/>
        <w:t>breadth</w:t>
      </w:r>
      <w:r>
        <w:rPr>
          <w:spacing w:val="-7"/>
        </w:rPr>
        <w:t> </w:t>
      </w:r>
      <w:r>
        <w:rPr/>
        <w:t>of</w:t>
      </w:r>
      <w:r>
        <w:rPr>
          <w:spacing w:val="-6"/>
        </w:rPr>
        <w:t> </w:t>
      </w:r>
      <w:r>
        <w:rPr/>
        <w:t>its</w:t>
      </w:r>
      <w:r>
        <w:rPr>
          <w:spacing w:val="-7"/>
        </w:rPr>
        <w:t> </w:t>
      </w:r>
      <w:r>
        <w:rPr/>
        <w:t>nostrils‟‟.</w:t>
      </w:r>
      <w:r>
        <w:rPr>
          <w:spacing w:val="-7"/>
        </w:rPr>
        <w:t> </w:t>
      </w:r>
      <w:r>
        <w:rPr/>
        <w:t>There</w:t>
      </w:r>
      <w:r>
        <w:rPr>
          <w:spacing w:val="-7"/>
        </w:rPr>
        <w:t> </w:t>
      </w:r>
      <w:r>
        <w:rPr/>
        <w:t>is</w:t>
      </w:r>
      <w:r>
        <w:rPr>
          <w:spacing w:val="-7"/>
        </w:rPr>
        <w:t> </w:t>
      </w:r>
      <w:r>
        <w:rPr/>
        <w:t>high</w:t>
      </w:r>
      <w:r>
        <w:rPr>
          <w:spacing w:val="-5"/>
        </w:rPr>
        <w:t> </w:t>
      </w:r>
      <w:r>
        <w:rPr/>
        <w:t>incidence</w:t>
      </w:r>
      <w:r>
        <w:rPr>
          <w:spacing w:val="-6"/>
        </w:rPr>
        <w:t> </w:t>
      </w:r>
      <w:r>
        <w:rPr/>
        <w:t>of</w:t>
      </w:r>
      <w:r>
        <w:rPr>
          <w:spacing w:val="40"/>
        </w:rPr>
        <w:t> </w:t>
      </w:r>
      <w:r>
        <w:rPr/>
        <w:t>tax</w:t>
      </w:r>
      <w:r>
        <w:rPr>
          <w:spacing w:val="-6"/>
        </w:rPr>
        <w:t> </w:t>
      </w:r>
      <w:r>
        <w:rPr/>
        <w:t>evasion</w:t>
      </w:r>
      <w:r>
        <w:rPr>
          <w:spacing w:val="-7"/>
        </w:rPr>
        <w:t> </w:t>
      </w:r>
      <w:r>
        <w:rPr/>
        <w:t>and</w:t>
      </w:r>
      <w:r>
        <w:rPr>
          <w:spacing w:val="-7"/>
        </w:rPr>
        <w:t> </w:t>
      </w:r>
      <w:r>
        <w:rPr/>
        <w:t>avoidance</w:t>
      </w:r>
      <w:r>
        <w:rPr>
          <w:spacing w:val="-6"/>
        </w:rPr>
        <w:t> </w:t>
      </w:r>
      <w:r>
        <w:rPr/>
        <w:t>by tax payers. This may affect the amount of revenue collectible by the government for the running of the administration furthermore, it is hoped that people were wrongly assessed and the assessment sometimes result to regressive taxation. Thus, taxation is by far one of the most significant sources of revenue for the government .Nigerians regard payment of tax as a means through which government raises revenue at herself on the expense of their sweat. Operators in the Nigerian Oil and Gas industries have in recent times expressed concern over excessive taxes which have impeded their ability to operate at optimal level as well as</w:t>
      </w:r>
      <w:r>
        <w:rPr>
          <w:spacing w:val="40"/>
        </w:rPr>
        <w:t> </w:t>
      </w:r>
      <w:r>
        <w:rPr/>
        <w:t>achieve the desired level of growth. In contracts, government has rolled out various</w:t>
      </w:r>
      <w:r>
        <w:rPr>
          <w:spacing w:val="40"/>
        </w:rPr>
        <w:t> </w:t>
      </w:r>
      <w:r>
        <w:rPr/>
        <w:t>incentives to investors in these sectors to facilitate a favourable business environment and enhance international competitiveness.</w:t>
      </w:r>
    </w:p>
    <w:p>
      <w:pPr>
        <w:pStyle w:val="BodyText"/>
        <w:spacing w:line="480" w:lineRule="auto" w:before="1"/>
        <w:ind w:left="360" w:right="157" w:firstLine="719"/>
        <w:jc w:val="both"/>
      </w:pPr>
      <w:r>
        <w:rPr/>
        <w:t>It</w:t>
      </w:r>
      <w:r>
        <w:rPr>
          <w:spacing w:val="-2"/>
        </w:rPr>
        <w:t> </w:t>
      </w:r>
      <w:r>
        <w:rPr/>
        <w:t>is</w:t>
      </w:r>
      <w:r>
        <w:rPr>
          <w:spacing w:val="-2"/>
        </w:rPr>
        <w:t> </w:t>
      </w:r>
      <w:r>
        <w:rPr/>
        <w:t>good</w:t>
      </w:r>
      <w:r>
        <w:rPr>
          <w:spacing w:val="-2"/>
        </w:rPr>
        <w:t> </w:t>
      </w:r>
      <w:r>
        <w:rPr/>
        <w:t>to</w:t>
      </w:r>
      <w:r>
        <w:rPr>
          <w:spacing w:val="-2"/>
        </w:rPr>
        <w:t> </w:t>
      </w:r>
      <w:r>
        <w:rPr/>
        <w:t>note</w:t>
      </w:r>
      <w:r>
        <w:rPr>
          <w:spacing w:val="-3"/>
        </w:rPr>
        <w:t> </w:t>
      </w:r>
      <w:r>
        <w:rPr/>
        <w:t>that</w:t>
      </w:r>
      <w:r>
        <w:rPr>
          <w:spacing w:val="-2"/>
        </w:rPr>
        <w:t> </w:t>
      </w:r>
      <w:r>
        <w:rPr/>
        <w:t>no</w:t>
      </w:r>
      <w:r>
        <w:rPr>
          <w:spacing w:val="-2"/>
        </w:rPr>
        <w:t> </w:t>
      </w:r>
      <w:r>
        <w:rPr/>
        <w:t>taxation</w:t>
      </w:r>
      <w:r>
        <w:rPr>
          <w:spacing w:val="-2"/>
        </w:rPr>
        <w:t> </w:t>
      </w:r>
      <w:r>
        <w:rPr/>
        <w:t>succeeds</w:t>
      </w:r>
      <w:r>
        <w:rPr>
          <w:spacing w:val="-2"/>
        </w:rPr>
        <w:t> </w:t>
      </w:r>
      <w:r>
        <w:rPr/>
        <w:t>without</w:t>
      </w:r>
      <w:r>
        <w:rPr>
          <w:spacing w:val="-2"/>
        </w:rPr>
        <w:t> </w:t>
      </w:r>
      <w:r>
        <w:rPr/>
        <w:t>the</w:t>
      </w:r>
      <w:r>
        <w:rPr>
          <w:spacing w:val="-3"/>
        </w:rPr>
        <w:t> </w:t>
      </w:r>
      <w:r>
        <w:rPr/>
        <w:t>tax</w:t>
      </w:r>
      <w:r>
        <w:rPr>
          <w:spacing w:val="-2"/>
        </w:rPr>
        <w:t> </w:t>
      </w:r>
      <w:r>
        <w:rPr/>
        <w:t>payers‟</w:t>
      </w:r>
      <w:r>
        <w:rPr>
          <w:spacing w:val="-4"/>
        </w:rPr>
        <w:t> </w:t>
      </w:r>
      <w:r>
        <w:rPr/>
        <w:t>co-operation.</w:t>
      </w:r>
      <w:r>
        <w:rPr>
          <w:spacing w:val="-2"/>
        </w:rPr>
        <w:t> </w:t>
      </w:r>
      <w:r>
        <w:rPr/>
        <w:t>Here, we can ask some thought provoking questions such as:</w:t>
      </w:r>
    </w:p>
    <w:p>
      <w:pPr>
        <w:pStyle w:val="ListParagraph"/>
        <w:numPr>
          <w:ilvl w:val="0"/>
          <w:numId w:val="6"/>
        </w:numPr>
        <w:tabs>
          <w:tab w:pos="719" w:val="left" w:leader="none"/>
        </w:tabs>
        <w:spacing w:line="240" w:lineRule="auto" w:before="0" w:after="0"/>
        <w:ind w:left="719" w:right="0" w:hanging="486"/>
        <w:jc w:val="both"/>
        <w:rPr>
          <w:sz w:val="24"/>
        </w:rPr>
      </w:pPr>
      <w:r>
        <w:rPr>
          <w:sz w:val="24"/>
        </w:rPr>
        <w:t>What</w:t>
      </w:r>
      <w:r>
        <w:rPr>
          <w:spacing w:val="-1"/>
          <w:sz w:val="24"/>
        </w:rPr>
        <w:t> </w:t>
      </w:r>
      <w:r>
        <w:rPr>
          <w:sz w:val="24"/>
        </w:rPr>
        <w:t>makes taxation</w:t>
      </w:r>
      <w:r>
        <w:rPr>
          <w:spacing w:val="-1"/>
          <w:sz w:val="24"/>
        </w:rPr>
        <w:t> </w:t>
      </w:r>
      <w:r>
        <w:rPr>
          <w:sz w:val="24"/>
        </w:rPr>
        <w:t>such a</w:t>
      </w:r>
      <w:r>
        <w:rPr>
          <w:spacing w:val="-2"/>
          <w:sz w:val="24"/>
        </w:rPr>
        <w:t> </w:t>
      </w:r>
      <w:r>
        <w:rPr>
          <w:sz w:val="24"/>
        </w:rPr>
        <w:t>difficult </w:t>
      </w:r>
      <w:r>
        <w:rPr>
          <w:spacing w:val="-2"/>
          <w:sz w:val="24"/>
        </w:rPr>
        <w:t>issue?</w:t>
      </w:r>
    </w:p>
    <w:p>
      <w:pPr>
        <w:pStyle w:val="BodyText"/>
        <w:spacing w:before="1"/>
      </w:pPr>
    </w:p>
    <w:p>
      <w:pPr>
        <w:pStyle w:val="ListParagraph"/>
        <w:numPr>
          <w:ilvl w:val="0"/>
          <w:numId w:val="6"/>
        </w:numPr>
        <w:tabs>
          <w:tab w:pos="719" w:val="left" w:leader="none"/>
        </w:tabs>
        <w:spacing w:line="240" w:lineRule="auto" w:before="0" w:after="0"/>
        <w:ind w:left="719" w:right="0" w:hanging="553"/>
        <w:jc w:val="both"/>
        <w:rPr>
          <w:sz w:val="24"/>
        </w:rPr>
      </w:pPr>
      <w:r>
        <w:rPr>
          <w:sz w:val="24"/>
        </w:rPr>
        <w:t>Why</w:t>
      </w:r>
      <w:r>
        <w:rPr>
          <w:spacing w:val="-9"/>
          <w:sz w:val="24"/>
        </w:rPr>
        <w:t> </w:t>
      </w:r>
      <w:r>
        <w:rPr>
          <w:sz w:val="24"/>
        </w:rPr>
        <w:t>do people feel cheated when it comes to </w:t>
      </w:r>
      <w:r>
        <w:rPr>
          <w:spacing w:val="-4"/>
          <w:sz w:val="24"/>
        </w:rPr>
        <w:t>tax?</w:t>
      </w:r>
    </w:p>
    <w:p>
      <w:pPr>
        <w:pStyle w:val="BodyText"/>
      </w:pPr>
    </w:p>
    <w:p>
      <w:pPr>
        <w:pStyle w:val="ListParagraph"/>
        <w:numPr>
          <w:ilvl w:val="0"/>
          <w:numId w:val="6"/>
        </w:numPr>
        <w:tabs>
          <w:tab w:pos="720" w:val="left" w:leader="none"/>
        </w:tabs>
        <w:spacing w:line="240" w:lineRule="auto" w:before="0" w:after="0"/>
        <w:ind w:left="720" w:right="0" w:hanging="619"/>
        <w:jc w:val="left"/>
        <w:rPr>
          <w:sz w:val="24"/>
        </w:rPr>
      </w:pPr>
      <w:r>
        <w:rPr>
          <w:sz w:val="24"/>
        </w:rPr>
        <w:t>Is</w:t>
      </w:r>
      <w:r>
        <w:rPr>
          <w:spacing w:val="-4"/>
          <w:sz w:val="24"/>
        </w:rPr>
        <w:t> </w:t>
      </w:r>
      <w:r>
        <w:rPr>
          <w:sz w:val="24"/>
        </w:rPr>
        <w:t>government</w:t>
      </w:r>
      <w:r>
        <w:rPr>
          <w:spacing w:val="-5"/>
          <w:sz w:val="24"/>
        </w:rPr>
        <w:t> </w:t>
      </w:r>
      <w:r>
        <w:rPr>
          <w:sz w:val="24"/>
        </w:rPr>
        <w:t>making</w:t>
      </w:r>
      <w:r>
        <w:rPr>
          <w:spacing w:val="-8"/>
          <w:sz w:val="24"/>
        </w:rPr>
        <w:t> </w:t>
      </w:r>
      <w:r>
        <w:rPr>
          <w:sz w:val="24"/>
        </w:rPr>
        <w:t>judicious</w:t>
      </w:r>
      <w:r>
        <w:rPr>
          <w:spacing w:val="-6"/>
          <w:sz w:val="24"/>
        </w:rPr>
        <w:t> </w:t>
      </w:r>
      <w:r>
        <w:rPr>
          <w:sz w:val="24"/>
        </w:rPr>
        <w:t>use</w:t>
      </w:r>
      <w:r>
        <w:rPr>
          <w:spacing w:val="-6"/>
          <w:sz w:val="24"/>
        </w:rPr>
        <w:t> </w:t>
      </w:r>
      <w:r>
        <w:rPr>
          <w:sz w:val="24"/>
        </w:rPr>
        <w:t>of</w:t>
      </w:r>
      <w:r>
        <w:rPr>
          <w:spacing w:val="-7"/>
          <w:sz w:val="24"/>
        </w:rPr>
        <w:t> </w:t>
      </w:r>
      <w:r>
        <w:rPr>
          <w:sz w:val="24"/>
        </w:rPr>
        <w:t>tax</w:t>
      </w:r>
      <w:r>
        <w:rPr>
          <w:spacing w:val="-4"/>
          <w:sz w:val="24"/>
        </w:rPr>
        <w:t> </w:t>
      </w:r>
      <w:r>
        <w:rPr>
          <w:sz w:val="24"/>
        </w:rPr>
        <w:t>payers‟</w:t>
      </w:r>
      <w:r>
        <w:rPr>
          <w:spacing w:val="-5"/>
          <w:sz w:val="24"/>
        </w:rPr>
        <w:t> </w:t>
      </w:r>
      <w:r>
        <w:rPr>
          <w:spacing w:val="-2"/>
          <w:sz w:val="24"/>
        </w:rPr>
        <w:t>money?</w:t>
      </w:r>
    </w:p>
    <w:p>
      <w:pPr>
        <w:spacing w:after="0" w:line="240" w:lineRule="auto"/>
        <w:jc w:val="left"/>
        <w:rPr>
          <w:sz w:val="24"/>
        </w:rPr>
        <w:sectPr>
          <w:pgSz w:w="11910" w:h="16840"/>
          <w:pgMar w:header="0" w:footer="1000" w:top="1340" w:bottom="1200" w:left="1080" w:right="1280"/>
        </w:sectPr>
      </w:pPr>
    </w:p>
    <w:p>
      <w:pPr>
        <w:pStyle w:val="ListParagraph"/>
        <w:numPr>
          <w:ilvl w:val="0"/>
          <w:numId w:val="6"/>
        </w:numPr>
        <w:tabs>
          <w:tab w:pos="720" w:val="left" w:leader="none"/>
        </w:tabs>
        <w:spacing w:line="240" w:lineRule="auto" w:before="74" w:after="0"/>
        <w:ind w:left="720" w:right="0" w:hanging="607"/>
        <w:jc w:val="left"/>
        <w:rPr>
          <w:sz w:val="24"/>
        </w:rPr>
      </w:pPr>
      <w:r>
        <w:rPr>
          <w:sz w:val="24"/>
        </w:rPr>
        <w:t>What</w:t>
      </w:r>
      <w:r>
        <w:rPr>
          <w:spacing w:val="-1"/>
          <w:sz w:val="24"/>
        </w:rPr>
        <w:t> </w:t>
      </w:r>
      <w:r>
        <w:rPr>
          <w:sz w:val="24"/>
        </w:rPr>
        <w:t>are</w:t>
      </w:r>
      <w:r>
        <w:rPr>
          <w:spacing w:val="-2"/>
          <w:sz w:val="24"/>
        </w:rPr>
        <w:t> </w:t>
      </w:r>
      <w:r>
        <w:rPr>
          <w:sz w:val="24"/>
        </w:rPr>
        <w:t>the</w:t>
      </w:r>
      <w:r>
        <w:rPr>
          <w:spacing w:val="-1"/>
          <w:sz w:val="24"/>
        </w:rPr>
        <w:t> </w:t>
      </w:r>
      <w:r>
        <w:rPr>
          <w:sz w:val="24"/>
        </w:rPr>
        <w:t>problems affecting</w:t>
      </w:r>
      <w:r>
        <w:rPr>
          <w:spacing w:val="-4"/>
          <w:sz w:val="24"/>
        </w:rPr>
        <w:t> </w:t>
      </w:r>
      <w:r>
        <w:rPr>
          <w:sz w:val="24"/>
        </w:rPr>
        <w:t>the</w:t>
      </w:r>
      <w:r>
        <w:rPr>
          <w:spacing w:val="-1"/>
          <w:sz w:val="24"/>
        </w:rPr>
        <w:t> </w:t>
      </w:r>
      <w:r>
        <w:rPr>
          <w:sz w:val="24"/>
        </w:rPr>
        <w:t>successful</w:t>
      </w:r>
      <w:r>
        <w:rPr>
          <w:spacing w:val="-1"/>
          <w:sz w:val="24"/>
        </w:rPr>
        <w:t> </w:t>
      </w:r>
      <w:r>
        <w:rPr>
          <w:sz w:val="24"/>
        </w:rPr>
        <w:t>operation of</w:t>
      </w:r>
      <w:r>
        <w:rPr>
          <w:spacing w:val="-2"/>
          <w:sz w:val="24"/>
        </w:rPr>
        <w:t> </w:t>
      </w:r>
      <w:r>
        <w:rPr>
          <w:sz w:val="24"/>
        </w:rPr>
        <w:t>tax system</w:t>
      </w:r>
      <w:r>
        <w:rPr>
          <w:spacing w:val="-1"/>
          <w:sz w:val="24"/>
        </w:rPr>
        <w:t> </w:t>
      </w:r>
      <w:r>
        <w:rPr>
          <w:sz w:val="24"/>
        </w:rPr>
        <w:t>in</w:t>
      </w:r>
      <w:r>
        <w:rPr>
          <w:spacing w:val="2"/>
          <w:sz w:val="24"/>
        </w:rPr>
        <w:t> </w:t>
      </w:r>
      <w:r>
        <w:rPr>
          <w:spacing w:val="-2"/>
          <w:sz w:val="24"/>
        </w:rPr>
        <w:t>Nigeria?</w:t>
      </w:r>
    </w:p>
    <w:p>
      <w:pPr>
        <w:pStyle w:val="BodyText"/>
        <w:spacing w:line="480" w:lineRule="auto" w:before="276"/>
        <w:ind w:left="360" w:right="157" w:firstLine="719"/>
        <w:jc w:val="both"/>
      </w:pPr>
      <w:r>
        <w:rPr/>
        <w:t>In view of the above questions this study is going to be carried out to offer solutions</w:t>
      </w:r>
      <w:r>
        <w:rPr>
          <w:spacing w:val="40"/>
        </w:rPr>
        <w:t> </w:t>
      </w:r>
      <w:r>
        <w:rPr/>
        <w:t>to them.There is high incidence of tax evasion and avoidance by tax payers. This may affect the amount of revenue collectible by the government for the running of administration.</w:t>
      </w:r>
    </w:p>
    <w:p>
      <w:pPr>
        <w:pStyle w:val="BodyText"/>
        <w:spacing w:line="480" w:lineRule="auto"/>
        <w:ind w:left="360" w:right="158" w:firstLine="719"/>
        <w:jc w:val="both"/>
      </w:pPr>
      <w:r>
        <w:rPr/>
        <w:t>Furthermore, it is hoped that people were wrongly assessed and the assessment sometimes result to regressive taxation.</w:t>
      </w:r>
    </w:p>
    <w:p>
      <w:pPr>
        <w:pStyle w:val="BodyText"/>
        <w:spacing w:line="480" w:lineRule="auto"/>
        <w:ind w:left="360" w:right="155" w:firstLine="719"/>
        <w:jc w:val="both"/>
      </w:pPr>
      <w:r>
        <w:rPr/>
        <w:t>Tax as a whole has been the most dependable government revenue source. This is because of the certainty of revenue to be derived data at a particular time. Despite these there have been some problems on the part some taxation authority in ensuring the smooth and efficient use of machinery of collection of taxes.</w:t>
      </w:r>
    </w:p>
    <w:p>
      <w:pPr>
        <w:pStyle w:val="BodyText"/>
        <w:spacing w:line="480" w:lineRule="auto" w:before="1"/>
        <w:ind w:left="360" w:right="162" w:firstLine="719"/>
        <w:jc w:val="both"/>
      </w:pPr>
      <w:r>
        <w:rPr/>
        <w:t>Taxation in petroleum industry is not a simple task especially in Nigeria where voluntary</w:t>
      </w:r>
      <w:r>
        <w:rPr>
          <w:spacing w:val="-6"/>
        </w:rPr>
        <w:t> </w:t>
      </w:r>
      <w:r>
        <w:rPr/>
        <w:t>compliance</w:t>
      </w:r>
      <w:r>
        <w:rPr>
          <w:spacing w:val="-2"/>
        </w:rPr>
        <w:t> </w:t>
      </w:r>
      <w:r>
        <w:rPr/>
        <w:t>is</w:t>
      </w:r>
      <w:r>
        <w:rPr>
          <w:spacing w:val="-3"/>
        </w:rPr>
        <w:t> </w:t>
      </w:r>
      <w:r>
        <w:rPr/>
        <w:t>lacking</w:t>
      </w:r>
      <w:r>
        <w:rPr>
          <w:spacing w:val="-3"/>
        </w:rPr>
        <w:t> </w:t>
      </w:r>
      <w:r>
        <w:rPr/>
        <w:t>in</w:t>
      </w:r>
      <w:r>
        <w:rPr>
          <w:spacing w:val="-3"/>
        </w:rPr>
        <w:t> </w:t>
      </w:r>
      <w:r>
        <w:rPr/>
        <w:t>effecting</w:t>
      </w:r>
      <w:r>
        <w:rPr>
          <w:spacing w:val="-3"/>
        </w:rPr>
        <w:t> </w:t>
      </w:r>
      <w:r>
        <w:rPr/>
        <w:t>the</w:t>
      </w:r>
      <w:r>
        <w:rPr>
          <w:spacing w:val="-3"/>
        </w:rPr>
        <w:t> </w:t>
      </w:r>
      <w:r>
        <w:rPr/>
        <w:t>problems</w:t>
      </w:r>
      <w:r>
        <w:rPr>
          <w:spacing w:val="-3"/>
        </w:rPr>
        <w:t> </w:t>
      </w:r>
      <w:r>
        <w:rPr/>
        <w:t>of</w:t>
      </w:r>
      <w:r>
        <w:rPr>
          <w:spacing w:val="-3"/>
        </w:rPr>
        <w:t> </w:t>
      </w:r>
      <w:r>
        <w:rPr/>
        <w:t>tax</w:t>
      </w:r>
      <w:r>
        <w:rPr>
          <w:spacing w:val="-1"/>
        </w:rPr>
        <w:t> </w:t>
      </w:r>
      <w:r>
        <w:rPr/>
        <w:t>collection</w:t>
      </w:r>
      <w:r>
        <w:rPr>
          <w:spacing w:val="-1"/>
        </w:rPr>
        <w:t> </w:t>
      </w:r>
      <w:r>
        <w:rPr/>
        <w:t>constitute</w:t>
      </w:r>
      <w:r>
        <w:rPr>
          <w:spacing w:val="-3"/>
        </w:rPr>
        <w:t> </w:t>
      </w:r>
      <w:r>
        <w:rPr/>
        <w:t>area</w:t>
      </w:r>
      <w:r>
        <w:rPr>
          <w:spacing w:val="-4"/>
        </w:rPr>
        <w:t> </w:t>
      </w:r>
      <w:r>
        <w:rPr/>
        <w:t>ban to the achievement of target the peculiar problems which prompted this research viz.</w:t>
      </w:r>
    </w:p>
    <w:p>
      <w:pPr>
        <w:pStyle w:val="BodyText"/>
        <w:spacing w:line="480" w:lineRule="auto"/>
        <w:ind w:left="360" w:right="166" w:firstLine="719"/>
        <w:jc w:val="both"/>
      </w:pPr>
      <w:r>
        <w:rPr/>
        <w:t>The rate of taxes have several implication for taxation in petroleum industry if the rates are high, people will reject them and if they are low the government</w:t>
      </w:r>
      <w:r>
        <w:rPr>
          <w:spacing w:val="40"/>
        </w:rPr>
        <w:t> </w:t>
      </w:r>
      <w:r>
        <w:rPr/>
        <w:t>will lose large revenue . How then will the board reconcile these two interest? What rate should it charge?</w:t>
      </w:r>
    </w:p>
    <w:p>
      <w:pPr>
        <w:pStyle w:val="BodyText"/>
        <w:spacing w:line="480" w:lineRule="auto"/>
        <w:ind w:left="360" w:right="165" w:firstLine="719"/>
        <w:jc w:val="both"/>
      </w:pPr>
      <w:r>
        <w:rPr/>
        <w:t>Most of the tax law are outdated and are being subjected to different need of amendment which makes it difficult to identify the real law. What then is the government doing to prevent saboteurs from taking advantage of these poor legal systems.</w:t>
      </w:r>
    </w:p>
    <w:p>
      <w:pPr>
        <w:pStyle w:val="BodyText"/>
        <w:spacing w:line="480" w:lineRule="auto" w:before="1"/>
        <w:ind w:left="360" w:right="160" w:firstLine="719"/>
        <w:jc w:val="both"/>
      </w:pPr>
      <w:r>
        <w:rPr/>
        <w:t>In recent years there had been increase of sharp malpractices and practices and mismanagement of tax revenue, by issuing of duplicated receipt and forged certificate and collecting revenue and not paying it into government treasury, who is responsible for such malpractices? Does it mean the collection machinery is ineffective?</w:t>
      </w:r>
      <w:r>
        <w:rPr>
          <w:spacing w:val="40"/>
        </w:rPr>
        <w:t> </w:t>
      </w:r>
      <w:r>
        <w:rPr/>
        <w:t>Or are the staff purity treated? If they are, how does the board intend to solve it?</w:t>
      </w:r>
    </w:p>
    <w:p>
      <w:pPr>
        <w:spacing w:after="0" w:line="480" w:lineRule="auto"/>
        <w:jc w:val="both"/>
        <w:sectPr>
          <w:pgSz w:w="11910" w:h="16840"/>
          <w:pgMar w:header="0" w:footer="1000" w:top="1340" w:bottom="1200" w:left="1080" w:right="1280"/>
        </w:sectPr>
      </w:pPr>
    </w:p>
    <w:p>
      <w:pPr>
        <w:pStyle w:val="BodyText"/>
        <w:spacing w:line="480" w:lineRule="auto" w:before="74"/>
        <w:ind w:left="360" w:right="161"/>
        <w:jc w:val="both"/>
      </w:pPr>
      <w:r>
        <w:rPr/>
        <w:t>Another</w:t>
      </w:r>
      <w:r>
        <w:rPr>
          <w:spacing w:val="-1"/>
        </w:rPr>
        <w:t> </w:t>
      </w:r>
      <w:r>
        <w:rPr/>
        <w:t>problem is the conflict between government policies</w:t>
      </w:r>
      <w:r>
        <w:rPr>
          <w:spacing w:val="-1"/>
        </w:rPr>
        <w:t> </w:t>
      </w:r>
      <w:r>
        <w:rPr/>
        <w:t>and the</w:t>
      </w:r>
      <w:r>
        <w:rPr>
          <w:spacing w:val="-1"/>
        </w:rPr>
        <w:t> </w:t>
      </w:r>
      <w:r>
        <w:rPr/>
        <w:t>objectives, so how</w:t>
      </w:r>
      <w:r>
        <w:rPr>
          <w:spacing w:val="-1"/>
        </w:rPr>
        <w:t> </w:t>
      </w:r>
      <w:r>
        <w:rPr/>
        <w:t>does government intend to harmonize these two issues? Despite these problems it does not mean problem taxation was bad, but it will perform better if these problems are solved.</w:t>
      </w:r>
    </w:p>
    <w:p>
      <w:pPr>
        <w:pStyle w:val="BodyText"/>
        <w:spacing w:line="480" w:lineRule="auto"/>
        <w:ind w:left="360" w:right="160" w:firstLine="719"/>
        <w:jc w:val="both"/>
      </w:pPr>
      <w:r>
        <w:rPr/>
        <w:t>Empirical studies like those of (Sanni 2002) and (Dotun 1996) have reported different views on tax incentives as a catalyst for economic growth and development. A school of thought believes that tax incentive encourages economic growth and development while another believes that it reduces revenue to the government. As a result of this , it does not stimulate economic growth and development .It must be noted that some of the measures taken so far by the government to improve the economy has not produced good results. The Naira exchange rate has not been able to stimulate the economy. The poverty alleviation program aimed at reducing the rate of poverty among Nigerians was introduced. This</w:t>
      </w:r>
      <w:r>
        <w:rPr>
          <w:spacing w:val="40"/>
        </w:rPr>
        <w:t> </w:t>
      </w:r>
      <w:r>
        <w:rPr/>
        <w:t>program covered provision of jobs for able and unemployed youths, provisions of loans to small and medium scale enterprises at a minimum lending rate.</w:t>
      </w:r>
    </w:p>
    <w:p>
      <w:pPr>
        <w:pStyle w:val="BodyText"/>
        <w:spacing w:line="480" w:lineRule="auto" w:before="1"/>
        <w:ind w:left="360" w:right="154" w:firstLine="719"/>
        <w:jc w:val="both"/>
      </w:pPr>
      <w:r>
        <w:rPr/>
        <w:t>With all these measures and policies Nigerian economy has not shown any</w:t>
      </w:r>
      <w:r>
        <w:rPr>
          <w:spacing w:val="40"/>
        </w:rPr>
        <w:t> </w:t>
      </w:r>
      <w:r>
        <w:rPr/>
        <w:t>appreciable progress. Nigeria still remains one of the developing nations. Given this gap, the study seeks to examine the nature of tax incentives that are extended to deserving companies and the interactions that exists between tax incentives and the economy.Also,it is will be important to examine the impact of petroleum profit Tax (PPT) on economic growth in </w:t>
      </w:r>
      <w:r>
        <w:rPr>
          <w:spacing w:val="-2"/>
        </w:rPr>
        <w:t>Nigeria.</w:t>
      </w:r>
    </w:p>
    <w:p>
      <w:pPr>
        <w:pStyle w:val="Heading2"/>
        <w:numPr>
          <w:ilvl w:val="1"/>
          <w:numId w:val="5"/>
        </w:numPr>
        <w:tabs>
          <w:tab w:pos="1079" w:val="left" w:leader="none"/>
        </w:tabs>
        <w:spacing w:line="240" w:lineRule="auto" w:before="6" w:after="0"/>
        <w:ind w:left="1079" w:right="0" w:hanging="719"/>
        <w:jc w:val="both"/>
      </w:pPr>
      <w:r>
        <w:rPr/>
        <w:t>Aim</w:t>
      </w:r>
      <w:r>
        <w:rPr>
          <w:spacing w:val="-4"/>
        </w:rPr>
        <w:t> </w:t>
      </w:r>
      <w:r>
        <w:rPr/>
        <w:t>and </w:t>
      </w:r>
      <w:r>
        <w:rPr>
          <w:spacing w:val="-2"/>
        </w:rPr>
        <w:t>Objectives</w:t>
      </w:r>
    </w:p>
    <w:p>
      <w:pPr>
        <w:pStyle w:val="BodyText"/>
        <w:spacing w:line="480" w:lineRule="auto" w:before="271"/>
        <w:ind w:left="360" w:right="159" w:firstLine="719"/>
        <w:jc w:val="both"/>
      </w:pPr>
      <w:r>
        <w:rPr/>
        <w:t>The research mainly aims at examining the problems and identifying any loophole in the provisions relating to the tax assessment of the upstream oil sector, under the Petroleum Profit Tax Act.</w:t>
      </w:r>
      <w:r>
        <w:rPr>
          <w:vertAlign w:val="superscript"/>
        </w:rPr>
        <w:t>9</w:t>
      </w:r>
      <w:r>
        <w:rPr>
          <w:vertAlign w:val="baseline"/>
        </w:rPr>
        <w:t>Also, to examine the impact of petroleum profit tax on economic growth in </w:t>
      </w:r>
      <w:r>
        <w:rPr>
          <w:spacing w:val="-2"/>
          <w:vertAlign w:val="baseline"/>
        </w:rPr>
        <w:t>Nigeria.</w:t>
      </w:r>
    </w:p>
    <w:p>
      <w:pPr>
        <w:pStyle w:val="BodyText"/>
        <w:spacing w:before="103"/>
        <w:rPr>
          <w:sz w:val="20"/>
        </w:rPr>
      </w:pPr>
      <w:r>
        <w:rPr/>
        <mc:AlternateContent>
          <mc:Choice Requires="wps">
            <w:drawing>
              <wp:anchor distT="0" distB="0" distL="0" distR="0" allowOverlap="1" layoutInCell="1" locked="0" behindDoc="1" simplePos="0" relativeHeight="487595008">
                <wp:simplePos x="0" y="0"/>
                <wp:positionH relativeFrom="page">
                  <wp:posOffset>914704</wp:posOffset>
                </wp:positionH>
                <wp:positionV relativeFrom="paragraph">
                  <wp:posOffset>226759</wp:posOffset>
                </wp:positionV>
                <wp:extent cx="1829435" cy="9525"/>
                <wp:effectExtent l="0" t="0" r="0" b="0"/>
                <wp:wrapTopAndBottom/>
                <wp:docPr id="17" name="Graphic 17"/>
                <wp:cNvGraphicFramePr>
                  <a:graphicFrameLocks/>
                </wp:cNvGraphicFramePr>
                <a:graphic>
                  <a:graphicData uri="http://schemas.microsoft.com/office/word/2010/wordprocessingShape">
                    <wps:wsp>
                      <wps:cNvPr id="17" name="Graphic 17"/>
                      <wps:cNvSpPr/>
                      <wps:spPr>
                        <a:xfrm>
                          <a:off x="0" y="0"/>
                          <a:ext cx="1829435" cy="9525"/>
                        </a:xfrm>
                        <a:custGeom>
                          <a:avLst/>
                          <a:gdLst/>
                          <a:ahLst/>
                          <a:cxnLst/>
                          <a:rect l="l" t="t" r="r" b="b"/>
                          <a:pathLst>
                            <a:path w="1829435" h="9525">
                              <a:moveTo>
                                <a:pt x="1829054" y="0"/>
                              </a:moveTo>
                              <a:lnTo>
                                <a:pt x="0" y="0"/>
                              </a:lnTo>
                              <a:lnTo>
                                <a:pt x="0" y="9144"/>
                              </a:lnTo>
                              <a:lnTo>
                                <a:pt x="1829054" y="9144"/>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17.855047pt;width:144.020pt;height:.72003pt;mso-position-horizontal-relative:page;mso-position-vertical-relative:paragraph;z-index:-15721472;mso-wrap-distance-left:0;mso-wrap-distance-right:0" id="docshape17" filled="true" fillcolor="#000000" stroked="false">
                <v:fill type="solid"/>
                <w10:wrap type="topAndBottom"/>
              </v:rect>
            </w:pict>
          </mc:Fallback>
        </mc:AlternateContent>
      </w:r>
    </w:p>
    <w:p>
      <w:pPr>
        <w:spacing w:before="102"/>
        <w:ind w:left="360" w:right="0" w:firstLine="0"/>
        <w:jc w:val="left"/>
        <w:rPr>
          <w:rFonts w:ascii="Calibri"/>
          <w:sz w:val="20"/>
        </w:rPr>
      </w:pPr>
      <w:r>
        <w:rPr>
          <w:rFonts w:ascii="Calibri"/>
          <w:sz w:val="20"/>
          <w:vertAlign w:val="superscript"/>
        </w:rPr>
        <w:t>9</w:t>
      </w:r>
      <w:r>
        <w:rPr>
          <w:rFonts w:ascii="Calibri"/>
          <w:spacing w:val="-5"/>
          <w:sz w:val="20"/>
          <w:vertAlign w:val="baseline"/>
        </w:rPr>
        <w:t> </w:t>
      </w:r>
      <w:r>
        <w:rPr>
          <w:rFonts w:ascii="Calibri"/>
          <w:sz w:val="20"/>
          <w:vertAlign w:val="baseline"/>
        </w:rPr>
        <w:t>Cap.P.13</w:t>
      </w:r>
      <w:r>
        <w:rPr>
          <w:rFonts w:ascii="Calibri"/>
          <w:spacing w:val="-5"/>
          <w:sz w:val="20"/>
          <w:vertAlign w:val="baseline"/>
        </w:rPr>
        <w:t> </w:t>
      </w:r>
      <w:r>
        <w:rPr>
          <w:rFonts w:ascii="Calibri"/>
          <w:sz w:val="20"/>
          <w:vertAlign w:val="baseline"/>
        </w:rPr>
        <w:t>Laws</w:t>
      </w:r>
      <w:r>
        <w:rPr>
          <w:rFonts w:ascii="Calibri"/>
          <w:spacing w:val="-6"/>
          <w:sz w:val="20"/>
          <w:vertAlign w:val="baseline"/>
        </w:rPr>
        <w:t> </w:t>
      </w:r>
      <w:r>
        <w:rPr>
          <w:rFonts w:ascii="Calibri"/>
          <w:sz w:val="20"/>
          <w:vertAlign w:val="baseline"/>
        </w:rPr>
        <w:t>of</w:t>
      </w:r>
      <w:r>
        <w:rPr>
          <w:rFonts w:ascii="Calibri"/>
          <w:spacing w:val="-6"/>
          <w:sz w:val="20"/>
          <w:vertAlign w:val="baseline"/>
        </w:rPr>
        <w:t> </w:t>
      </w:r>
      <w:r>
        <w:rPr>
          <w:rFonts w:ascii="Calibri"/>
          <w:sz w:val="20"/>
          <w:vertAlign w:val="baseline"/>
        </w:rPr>
        <w:t>the</w:t>
      </w:r>
      <w:r>
        <w:rPr>
          <w:rFonts w:ascii="Calibri"/>
          <w:spacing w:val="-5"/>
          <w:sz w:val="20"/>
          <w:vertAlign w:val="baseline"/>
        </w:rPr>
        <w:t> </w:t>
      </w:r>
      <w:r>
        <w:rPr>
          <w:rFonts w:ascii="Calibri"/>
          <w:sz w:val="20"/>
          <w:vertAlign w:val="baseline"/>
        </w:rPr>
        <w:t>Federation</w:t>
      </w:r>
      <w:r>
        <w:rPr>
          <w:rFonts w:ascii="Calibri"/>
          <w:spacing w:val="-4"/>
          <w:sz w:val="20"/>
          <w:vertAlign w:val="baseline"/>
        </w:rPr>
        <w:t> </w:t>
      </w:r>
      <w:r>
        <w:rPr>
          <w:rFonts w:ascii="Calibri"/>
          <w:sz w:val="20"/>
          <w:vertAlign w:val="baseline"/>
        </w:rPr>
        <w:t>of</w:t>
      </w:r>
      <w:r>
        <w:rPr>
          <w:rFonts w:ascii="Calibri"/>
          <w:spacing w:val="-6"/>
          <w:sz w:val="20"/>
          <w:vertAlign w:val="baseline"/>
        </w:rPr>
        <w:t> </w:t>
      </w:r>
      <w:r>
        <w:rPr>
          <w:rFonts w:ascii="Calibri"/>
          <w:spacing w:val="-2"/>
          <w:sz w:val="20"/>
          <w:vertAlign w:val="baseline"/>
        </w:rPr>
        <w:t>Nigerian,2004.</w:t>
      </w:r>
    </w:p>
    <w:p>
      <w:pPr>
        <w:spacing w:after="0"/>
        <w:jc w:val="left"/>
        <w:rPr>
          <w:rFonts w:ascii="Calibri"/>
          <w:sz w:val="20"/>
        </w:rPr>
        <w:sectPr>
          <w:pgSz w:w="11910" w:h="16840"/>
          <w:pgMar w:header="0" w:footer="1000" w:top="1340" w:bottom="1200" w:left="1080" w:right="1280"/>
        </w:sectPr>
      </w:pPr>
    </w:p>
    <w:p>
      <w:pPr>
        <w:pStyle w:val="BodyText"/>
        <w:spacing w:line="480" w:lineRule="auto" w:before="74"/>
        <w:ind w:left="360" w:right="162" w:firstLine="719"/>
        <w:jc w:val="both"/>
      </w:pPr>
      <w:r>
        <w:rPr/>
        <w:t>The general objective of this study</w:t>
      </w:r>
      <w:r>
        <w:rPr>
          <w:spacing w:val="-3"/>
        </w:rPr>
        <w:t> </w:t>
      </w:r>
      <w:r>
        <w:rPr/>
        <w:t>is to assess the effect that taxation has towards the development/growth of Nigerian economy. Taxation is known to be one of the most</w:t>
      </w:r>
      <w:r>
        <w:rPr>
          <w:spacing w:val="40"/>
        </w:rPr>
        <w:t> </w:t>
      </w:r>
      <w:r>
        <w:rPr/>
        <w:t>important sources of revenue to government, the efficiency and effectiveness of its management is therefore very important. Unfortunately, this is not what is operative and so the main objectives of this study are stated below;</w:t>
      </w:r>
    </w:p>
    <w:p>
      <w:pPr>
        <w:pStyle w:val="ListParagraph"/>
        <w:numPr>
          <w:ilvl w:val="2"/>
          <w:numId w:val="5"/>
        </w:numPr>
        <w:tabs>
          <w:tab w:pos="1078" w:val="left" w:leader="none"/>
        </w:tabs>
        <w:spacing w:line="240" w:lineRule="auto" w:before="0" w:after="0"/>
        <w:ind w:left="1078" w:right="0" w:hanging="485"/>
        <w:jc w:val="both"/>
        <w:rPr>
          <w:sz w:val="24"/>
        </w:rPr>
      </w:pPr>
      <w:r>
        <w:rPr>
          <w:sz w:val="24"/>
        </w:rPr>
        <w:t>To</w:t>
      </w:r>
      <w:r>
        <w:rPr>
          <w:spacing w:val="-1"/>
          <w:sz w:val="24"/>
        </w:rPr>
        <w:t> </w:t>
      </w:r>
      <w:r>
        <w:rPr>
          <w:sz w:val="24"/>
        </w:rPr>
        <w:t>examine</w:t>
      </w:r>
      <w:r>
        <w:rPr>
          <w:spacing w:val="-2"/>
          <w:sz w:val="24"/>
        </w:rPr>
        <w:t> </w:t>
      </w:r>
      <w:r>
        <w:rPr>
          <w:sz w:val="24"/>
        </w:rPr>
        <w:t>the extent</w:t>
      </w:r>
      <w:r>
        <w:rPr>
          <w:spacing w:val="-1"/>
          <w:sz w:val="24"/>
        </w:rPr>
        <w:t> </w:t>
      </w:r>
      <w:r>
        <w:rPr>
          <w:sz w:val="24"/>
        </w:rPr>
        <w:t>the</w:t>
      </w:r>
      <w:r>
        <w:rPr>
          <w:spacing w:val="-2"/>
          <w:sz w:val="24"/>
        </w:rPr>
        <w:t> </w:t>
      </w:r>
      <w:r>
        <w:rPr>
          <w:sz w:val="24"/>
        </w:rPr>
        <w:t>Government</w:t>
      </w:r>
      <w:r>
        <w:rPr>
          <w:spacing w:val="-1"/>
          <w:sz w:val="24"/>
        </w:rPr>
        <w:t> </w:t>
      </w:r>
      <w:r>
        <w:rPr>
          <w:sz w:val="24"/>
        </w:rPr>
        <w:t>has been</w:t>
      </w:r>
      <w:r>
        <w:rPr>
          <w:spacing w:val="-1"/>
          <w:sz w:val="24"/>
        </w:rPr>
        <w:t> </w:t>
      </w:r>
      <w:r>
        <w:rPr>
          <w:sz w:val="24"/>
        </w:rPr>
        <w:t>using</w:t>
      </w:r>
      <w:r>
        <w:rPr>
          <w:spacing w:val="-2"/>
          <w:sz w:val="24"/>
        </w:rPr>
        <w:t> </w:t>
      </w:r>
      <w:r>
        <w:rPr>
          <w:sz w:val="24"/>
        </w:rPr>
        <w:t>revenue generated</w:t>
      </w:r>
      <w:r>
        <w:rPr>
          <w:spacing w:val="-1"/>
          <w:sz w:val="24"/>
        </w:rPr>
        <w:t> </w:t>
      </w:r>
      <w:r>
        <w:rPr>
          <w:sz w:val="24"/>
        </w:rPr>
        <w:t>by</w:t>
      </w:r>
      <w:r>
        <w:rPr>
          <w:spacing w:val="-3"/>
          <w:sz w:val="24"/>
        </w:rPr>
        <w:t> </w:t>
      </w:r>
      <w:r>
        <w:rPr>
          <w:spacing w:val="-5"/>
          <w:sz w:val="24"/>
        </w:rPr>
        <w:t>tax</w:t>
      </w:r>
    </w:p>
    <w:p>
      <w:pPr>
        <w:pStyle w:val="BodyText"/>
      </w:pPr>
    </w:p>
    <w:p>
      <w:pPr>
        <w:pStyle w:val="ListParagraph"/>
        <w:numPr>
          <w:ilvl w:val="2"/>
          <w:numId w:val="5"/>
        </w:numPr>
        <w:tabs>
          <w:tab w:pos="1078" w:val="left" w:leader="none"/>
          <w:tab w:pos="1080" w:val="left" w:leader="none"/>
        </w:tabs>
        <w:spacing w:line="480" w:lineRule="auto" w:before="1" w:after="0"/>
        <w:ind w:left="1080" w:right="161" w:hanging="555"/>
        <w:jc w:val="both"/>
        <w:rPr>
          <w:sz w:val="24"/>
        </w:rPr>
      </w:pPr>
      <w:r>
        <w:rPr>
          <w:sz w:val="24"/>
        </w:rPr>
        <w:t>To examine the causes and reasons for high tax evasion and avoidance, andthe effect on economy.</w:t>
      </w:r>
    </w:p>
    <w:p>
      <w:pPr>
        <w:pStyle w:val="ListParagraph"/>
        <w:numPr>
          <w:ilvl w:val="2"/>
          <w:numId w:val="5"/>
        </w:numPr>
        <w:tabs>
          <w:tab w:pos="1078" w:val="left" w:leader="none"/>
        </w:tabs>
        <w:spacing w:line="240" w:lineRule="auto" w:before="0" w:after="0"/>
        <w:ind w:left="1078" w:right="0" w:hanging="617"/>
        <w:jc w:val="both"/>
        <w:rPr>
          <w:sz w:val="24"/>
        </w:rPr>
      </w:pPr>
      <w:r>
        <w:rPr>
          <w:sz w:val="24"/>
        </w:rPr>
        <w:t>To</w:t>
      </w:r>
      <w:r>
        <w:rPr>
          <w:spacing w:val="-1"/>
          <w:sz w:val="24"/>
        </w:rPr>
        <w:t> </w:t>
      </w:r>
      <w:r>
        <w:rPr>
          <w:sz w:val="24"/>
        </w:rPr>
        <w:t>determine</w:t>
      </w:r>
      <w:r>
        <w:rPr>
          <w:spacing w:val="-2"/>
          <w:sz w:val="24"/>
        </w:rPr>
        <w:t> </w:t>
      </w:r>
      <w:r>
        <w:rPr>
          <w:sz w:val="24"/>
        </w:rPr>
        <w:t>the reaction</w:t>
      </w:r>
      <w:r>
        <w:rPr>
          <w:spacing w:val="-1"/>
          <w:sz w:val="24"/>
        </w:rPr>
        <w:t> </w:t>
      </w:r>
      <w:r>
        <w:rPr>
          <w:sz w:val="24"/>
        </w:rPr>
        <w:t>of</w:t>
      </w:r>
      <w:r>
        <w:rPr>
          <w:spacing w:val="-2"/>
          <w:sz w:val="24"/>
        </w:rPr>
        <w:t> </w:t>
      </w:r>
      <w:r>
        <w:rPr>
          <w:sz w:val="24"/>
        </w:rPr>
        <w:t>people towards</w:t>
      </w:r>
      <w:r>
        <w:rPr>
          <w:spacing w:val="-1"/>
          <w:sz w:val="24"/>
        </w:rPr>
        <w:t> </w:t>
      </w:r>
      <w:r>
        <w:rPr>
          <w:sz w:val="24"/>
        </w:rPr>
        <w:t>payment</w:t>
      </w:r>
      <w:r>
        <w:rPr>
          <w:spacing w:val="-1"/>
          <w:sz w:val="24"/>
        </w:rPr>
        <w:t> </w:t>
      </w:r>
      <w:r>
        <w:rPr>
          <w:sz w:val="24"/>
        </w:rPr>
        <w:t>of</w:t>
      </w:r>
      <w:r>
        <w:rPr>
          <w:spacing w:val="-1"/>
          <w:sz w:val="24"/>
        </w:rPr>
        <w:t> </w:t>
      </w:r>
      <w:r>
        <w:rPr>
          <w:spacing w:val="-4"/>
          <w:sz w:val="24"/>
        </w:rPr>
        <w:t>tax.</w:t>
      </w:r>
    </w:p>
    <w:p>
      <w:pPr>
        <w:pStyle w:val="ListParagraph"/>
        <w:numPr>
          <w:ilvl w:val="2"/>
          <w:numId w:val="5"/>
        </w:numPr>
        <w:tabs>
          <w:tab w:pos="1079" w:val="left" w:leader="none"/>
        </w:tabs>
        <w:spacing w:line="240" w:lineRule="auto" w:before="276" w:after="0"/>
        <w:ind w:left="1079" w:right="0" w:hanging="606"/>
        <w:jc w:val="both"/>
        <w:rPr>
          <w:sz w:val="24"/>
        </w:rPr>
      </w:pPr>
      <w:r>
        <w:rPr>
          <w:sz w:val="24"/>
        </w:rPr>
        <w:t>To</w:t>
      </w:r>
      <w:r>
        <w:rPr>
          <w:spacing w:val="-1"/>
          <w:sz w:val="24"/>
        </w:rPr>
        <w:t> </w:t>
      </w:r>
      <w:r>
        <w:rPr>
          <w:sz w:val="24"/>
        </w:rPr>
        <w:t>study</w:t>
      </w:r>
      <w:r>
        <w:rPr>
          <w:spacing w:val="-5"/>
          <w:sz w:val="24"/>
        </w:rPr>
        <w:t> </w:t>
      </w:r>
      <w:r>
        <w:rPr>
          <w:sz w:val="24"/>
        </w:rPr>
        <w:t>and</w:t>
      </w:r>
      <w:r>
        <w:rPr>
          <w:spacing w:val="2"/>
          <w:sz w:val="24"/>
        </w:rPr>
        <w:t> </w:t>
      </w:r>
      <w:r>
        <w:rPr>
          <w:sz w:val="24"/>
        </w:rPr>
        <w:t>analyze</w:t>
      </w:r>
      <w:r>
        <w:rPr>
          <w:spacing w:val="-2"/>
          <w:sz w:val="24"/>
        </w:rPr>
        <w:t> </w:t>
      </w:r>
      <w:r>
        <w:rPr>
          <w:sz w:val="24"/>
        </w:rPr>
        <w:t>the</w:t>
      </w:r>
      <w:r>
        <w:rPr>
          <w:spacing w:val="1"/>
          <w:sz w:val="24"/>
        </w:rPr>
        <w:t> </w:t>
      </w:r>
      <w:r>
        <w:rPr>
          <w:sz w:val="24"/>
        </w:rPr>
        <w:t>machinery</w:t>
      </w:r>
      <w:r>
        <w:rPr>
          <w:spacing w:val="-5"/>
          <w:sz w:val="24"/>
        </w:rPr>
        <w:t> </w:t>
      </w:r>
      <w:r>
        <w:rPr>
          <w:sz w:val="24"/>
        </w:rPr>
        <w:t>of collection</w:t>
      </w:r>
      <w:r>
        <w:rPr>
          <w:spacing w:val="2"/>
          <w:sz w:val="24"/>
        </w:rPr>
        <w:t> </w:t>
      </w:r>
      <w:r>
        <w:rPr>
          <w:sz w:val="24"/>
        </w:rPr>
        <w:t>of</w:t>
      </w:r>
      <w:r>
        <w:rPr>
          <w:spacing w:val="-1"/>
          <w:sz w:val="24"/>
        </w:rPr>
        <w:t> </w:t>
      </w:r>
      <w:r>
        <w:rPr>
          <w:sz w:val="24"/>
        </w:rPr>
        <w:t>taxes </w:t>
      </w:r>
      <w:r>
        <w:rPr>
          <w:spacing w:val="-2"/>
          <w:sz w:val="24"/>
        </w:rPr>
        <w:t>available</w:t>
      </w:r>
    </w:p>
    <w:p>
      <w:pPr>
        <w:pStyle w:val="ListParagraph"/>
        <w:numPr>
          <w:ilvl w:val="2"/>
          <w:numId w:val="5"/>
        </w:numPr>
        <w:tabs>
          <w:tab w:pos="1080" w:val="left" w:leader="none"/>
        </w:tabs>
        <w:spacing w:line="480" w:lineRule="auto" w:before="276" w:after="0"/>
        <w:ind w:left="1080" w:right="160" w:hanging="540"/>
        <w:jc w:val="both"/>
        <w:rPr>
          <w:sz w:val="24"/>
        </w:rPr>
      </w:pPr>
      <w:r>
        <w:rPr>
          <w:sz w:val="24"/>
        </w:rPr>
        <w:t>To examine the revenue collection in the form of taxes for the past years from available records and to highlight areas of weakness and to make necessary recommendation on how to improve on it.</w:t>
      </w:r>
    </w:p>
    <w:p>
      <w:pPr>
        <w:pStyle w:val="ListParagraph"/>
        <w:numPr>
          <w:ilvl w:val="2"/>
          <w:numId w:val="5"/>
        </w:numPr>
        <w:tabs>
          <w:tab w:pos="1078" w:val="left" w:leader="none"/>
          <w:tab w:pos="1080" w:val="left" w:leader="none"/>
        </w:tabs>
        <w:spacing w:line="480" w:lineRule="auto" w:before="0" w:after="0"/>
        <w:ind w:left="1080" w:right="162" w:hanging="608"/>
        <w:jc w:val="both"/>
        <w:rPr>
          <w:sz w:val="24"/>
        </w:rPr>
      </w:pPr>
      <w:r>
        <w:rPr>
          <w:sz w:val="24"/>
        </w:rPr>
        <w:t>To find out the various internal and external problem confronting the petroleum industry taxation revenue service in the administration of tax with a view to suggesting possible solutions.</w:t>
      </w:r>
    </w:p>
    <w:p>
      <w:pPr>
        <w:pStyle w:val="Heading2"/>
        <w:numPr>
          <w:ilvl w:val="1"/>
          <w:numId w:val="5"/>
        </w:numPr>
        <w:tabs>
          <w:tab w:pos="1079" w:val="left" w:leader="none"/>
        </w:tabs>
        <w:spacing w:line="240" w:lineRule="auto" w:before="5" w:after="0"/>
        <w:ind w:left="1079" w:right="0" w:hanging="719"/>
        <w:jc w:val="both"/>
      </w:pPr>
      <w:r>
        <w:rPr/>
        <w:t>Scope</w:t>
      </w:r>
      <w:r>
        <w:rPr>
          <w:spacing w:val="-2"/>
        </w:rPr>
        <w:t> </w:t>
      </w:r>
      <w:r>
        <w:rPr/>
        <w:t>of the</w:t>
      </w:r>
      <w:r>
        <w:rPr>
          <w:spacing w:val="-1"/>
        </w:rPr>
        <w:t> </w:t>
      </w:r>
      <w:r>
        <w:rPr>
          <w:spacing w:val="-2"/>
        </w:rPr>
        <w:t>Research</w:t>
      </w:r>
    </w:p>
    <w:p>
      <w:pPr>
        <w:pStyle w:val="BodyText"/>
        <w:spacing w:line="480" w:lineRule="auto" w:before="272"/>
        <w:ind w:left="360" w:right="156" w:firstLine="719"/>
        <w:jc w:val="both"/>
      </w:pPr>
      <w:r>
        <w:rPr/>
        <w:t>The scope of this study covers critical examinations on the impact of taxation on Nigerian economy. It will also analyze other related issues such as structure and administrative machinery of tax in Nigeria and their associated problems. The essence of this digression is to possibly find out the obstacles if any, that hinder the effective collection and administration of tax in the country.</w:t>
      </w:r>
    </w:p>
    <w:p>
      <w:pPr>
        <w:pStyle w:val="BodyText"/>
        <w:ind w:left="360"/>
        <w:jc w:val="both"/>
      </w:pPr>
      <w:r>
        <w:rPr/>
        <w:t>This</w:t>
      </w:r>
      <w:r>
        <w:rPr>
          <w:spacing w:val="-1"/>
        </w:rPr>
        <w:t> </w:t>
      </w:r>
      <w:r>
        <w:rPr/>
        <w:t>research</w:t>
      </w:r>
      <w:r>
        <w:rPr>
          <w:spacing w:val="-1"/>
        </w:rPr>
        <w:t> </w:t>
      </w:r>
      <w:r>
        <w:rPr/>
        <w:t>work</w:t>
      </w:r>
      <w:r>
        <w:rPr>
          <w:spacing w:val="-1"/>
        </w:rPr>
        <w:t> </w:t>
      </w:r>
      <w:r>
        <w:rPr/>
        <w:t>shall</w:t>
      </w:r>
      <w:r>
        <w:rPr>
          <w:spacing w:val="-1"/>
        </w:rPr>
        <w:t> </w:t>
      </w:r>
      <w:r>
        <w:rPr/>
        <w:t>also</w:t>
      </w:r>
      <w:r>
        <w:rPr>
          <w:spacing w:val="-1"/>
        </w:rPr>
        <w:t> </w:t>
      </w:r>
      <w:r>
        <w:rPr/>
        <w:t>cover</w:t>
      </w:r>
      <w:r>
        <w:rPr>
          <w:spacing w:val="-1"/>
        </w:rPr>
        <w:t> </w:t>
      </w:r>
      <w:r>
        <w:rPr/>
        <w:t>the</w:t>
      </w:r>
      <w:r>
        <w:rPr>
          <w:spacing w:val="-1"/>
        </w:rPr>
        <w:t> </w:t>
      </w:r>
      <w:r>
        <w:rPr/>
        <w:t>following</w:t>
      </w:r>
      <w:r>
        <w:rPr>
          <w:spacing w:val="-1"/>
        </w:rPr>
        <w:t> </w:t>
      </w:r>
      <w:r>
        <w:rPr>
          <w:spacing w:val="-2"/>
        </w:rPr>
        <w:t>areas:</w:t>
      </w:r>
    </w:p>
    <w:p>
      <w:pPr>
        <w:pStyle w:val="BodyText"/>
      </w:pPr>
    </w:p>
    <w:p>
      <w:pPr>
        <w:pStyle w:val="ListParagraph"/>
        <w:numPr>
          <w:ilvl w:val="2"/>
          <w:numId w:val="5"/>
        </w:numPr>
        <w:tabs>
          <w:tab w:pos="1078" w:val="left" w:leader="none"/>
        </w:tabs>
        <w:spacing w:line="240" w:lineRule="auto" w:before="1" w:after="0"/>
        <w:ind w:left="1078" w:right="0" w:hanging="485"/>
        <w:jc w:val="both"/>
        <w:rPr>
          <w:sz w:val="24"/>
        </w:rPr>
      </w:pPr>
      <w:r>
        <w:rPr>
          <w:sz w:val="24"/>
        </w:rPr>
        <w:t>An</w:t>
      </w:r>
      <w:r>
        <w:rPr>
          <w:spacing w:val="-2"/>
          <w:sz w:val="24"/>
        </w:rPr>
        <w:t> </w:t>
      </w:r>
      <w:r>
        <w:rPr>
          <w:sz w:val="24"/>
        </w:rPr>
        <w:t>evaluation</w:t>
      </w:r>
      <w:r>
        <w:rPr>
          <w:spacing w:val="-1"/>
          <w:sz w:val="24"/>
        </w:rPr>
        <w:t> </w:t>
      </w:r>
      <w:r>
        <w:rPr>
          <w:sz w:val="24"/>
        </w:rPr>
        <w:t>of</w:t>
      </w:r>
      <w:r>
        <w:rPr>
          <w:spacing w:val="-1"/>
          <w:sz w:val="24"/>
        </w:rPr>
        <w:t> </w:t>
      </w:r>
      <w:r>
        <w:rPr>
          <w:sz w:val="24"/>
        </w:rPr>
        <w:t>petroleum</w:t>
      </w:r>
      <w:r>
        <w:rPr>
          <w:spacing w:val="-2"/>
          <w:sz w:val="24"/>
        </w:rPr>
        <w:t> </w:t>
      </w:r>
      <w:r>
        <w:rPr>
          <w:sz w:val="24"/>
        </w:rPr>
        <w:t>tax</w:t>
      </w:r>
      <w:r>
        <w:rPr>
          <w:spacing w:val="1"/>
          <w:sz w:val="24"/>
        </w:rPr>
        <w:t> </w:t>
      </w:r>
      <w:r>
        <w:rPr>
          <w:sz w:val="24"/>
        </w:rPr>
        <w:t>administration</w:t>
      </w:r>
      <w:r>
        <w:rPr>
          <w:spacing w:val="-1"/>
          <w:sz w:val="24"/>
        </w:rPr>
        <w:t> </w:t>
      </w:r>
      <w:r>
        <w:rPr>
          <w:sz w:val="24"/>
        </w:rPr>
        <w:t>in</w:t>
      </w:r>
      <w:r>
        <w:rPr>
          <w:spacing w:val="-3"/>
          <w:sz w:val="24"/>
        </w:rPr>
        <w:t> </w:t>
      </w:r>
      <w:r>
        <w:rPr>
          <w:spacing w:val="-2"/>
          <w:sz w:val="24"/>
        </w:rPr>
        <w:t>Nigeria;</w:t>
      </w:r>
    </w:p>
    <w:p>
      <w:pPr>
        <w:pStyle w:val="ListParagraph"/>
        <w:numPr>
          <w:ilvl w:val="2"/>
          <w:numId w:val="5"/>
        </w:numPr>
        <w:tabs>
          <w:tab w:pos="1079" w:val="left" w:leader="none"/>
        </w:tabs>
        <w:spacing w:line="240" w:lineRule="auto" w:before="276" w:after="0"/>
        <w:ind w:left="1079" w:right="0" w:hanging="553"/>
        <w:jc w:val="both"/>
        <w:rPr>
          <w:sz w:val="24"/>
        </w:rPr>
      </w:pPr>
      <w:r>
        <w:rPr>
          <w:sz w:val="24"/>
        </w:rPr>
        <w:t>The</w:t>
      </w:r>
      <w:r>
        <w:rPr>
          <w:spacing w:val="-4"/>
          <w:sz w:val="24"/>
        </w:rPr>
        <w:t> </w:t>
      </w:r>
      <w:r>
        <w:rPr>
          <w:sz w:val="24"/>
        </w:rPr>
        <w:t>offences</w:t>
      </w:r>
      <w:r>
        <w:rPr>
          <w:spacing w:val="1"/>
          <w:sz w:val="24"/>
        </w:rPr>
        <w:t> </w:t>
      </w:r>
      <w:r>
        <w:rPr>
          <w:sz w:val="24"/>
        </w:rPr>
        <w:t>and</w:t>
      </w:r>
      <w:r>
        <w:rPr>
          <w:spacing w:val="-1"/>
          <w:sz w:val="24"/>
        </w:rPr>
        <w:t> </w:t>
      </w:r>
      <w:r>
        <w:rPr>
          <w:sz w:val="24"/>
        </w:rPr>
        <w:t>penalties</w:t>
      </w:r>
      <w:r>
        <w:rPr>
          <w:spacing w:val="-1"/>
          <w:sz w:val="24"/>
        </w:rPr>
        <w:t> </w:t>
      </w:r>
      <w:r>
        <w:rPr>
          <w:sz w:val="24"/>
        </w:rPr>
        <w:t>in</w:t>
      </w:r>
      <w:r>
        <w:rPr>
          <w:spacing w:val="-1"/>
          <w:sz w:val="24"/>
        </w:rPr>
        <w:t> </w:t>
      </w:r>
      <w:r>
        <w:rPr>
          <w:sz w:val="24"/>
        </w:rPr>
        <w:t>Nigerian</w:t>
      </w:r>
      <w:r>
        <w:rPr>
          <w:spacing w:val="-1"/>
          <w:sz w:val="24"/>
        </w:rPr>
        <w:t> </w:t>
      </w:r>
      <w:r>
        <w:rPr>
          <w:sz w:val="24"/>
        </w:rPr>
        <w:t>tax </w:t>
      </w:r>
      <w:r>
        <w:rPr>
          <w:spacing w:val="-4"/>
          <w:sz w:val="24"/>
        </w:rPr>
        <w:t>law.</w:t>
      </w:r>
    </w:p>
    <w:p>
      <w:pPr>
        <w:spacing w:after="0" w:line="240" w:lineRule="auto"/>
        <w:jc w:val="both"/>
        <w:rPr>
          <w:sz w:val="24"/>
        </w:rPr>
        <w:sectPr>
          <w:pgSz w:w="11910" w:h="16840"/>
          <w:pgMar w:header="0" w:footer="1000" w:top="1340" w:bottom="1200" w:left="1080" w:right="1280"/>
        </w:sectPr>
      </w:pPr>
    </w:p>
    <w:p>
      <w:pPr>
        <w:pStyle w:val="ListParagraph"/>
        <w:numPr>
          <w:ilvl w:val="2"/>
          <w:numId w:val="5"/>
        </w:numPr>
        <w:tabs>
          <w:tab w:pos="1078" w:val="left" w:leader="none"/>
        </w:tabs>
        <w:spacing w:line="240" w:lineRule="auto" w:before="74" w:after="0"/>
        <w:ind w:left="1078" w:right="0" w:hanging="617"/>
        <w:jc w:val="both"/>
        <w:rPr>
          <w:sz w:val="24"/>
        </w:rPr>
      </w:pPr>
      <w:r>
        <w:rPr>
          <w:sz w:val="24"/>
        </w:rPr>
        <w:t>Critical</w:t>
      </w:r>
      <w:r>
        <w:rPr>
          <w:spacing w:val="-2"/>
          <w:sz w:val="24"/>
        </w:rPr>
        <w:t> </w:t>
      </w:r>
      <w:r>
        <w:rPr>
          <w:sz w:val="24"/>
        </w:rPr>
        <w:t>tax administration</w:t>
      </w:r>
      <w:r>
        <w:rPr>
          <w:spacing w:val="-2"/>
          <w:sz w:val="24"/>
        </w:rPr>
        <w:t> </w:t>
      </w:r>
      <w:r>
        <w:rPr>
          <w:sz w:val="24"/>
        </w:rPr>
        <w:t>challenges</w:t>
      </w:r>
      <w:r>
        <w:rPr>
          <w:spacing w:val="-1"/>
          <w:sz w:val="24"/>
        </w:rPr>
        <w:t> </w:t>
      </w:r>
      <w:r>
        <w:rPr>
          <w:sz w:val="24"/>
        </w:rPr>
        <w:t>in</w:t>
      </w:r>
      <w:r>
        <w:rPr>
          <w:spacing w:val="-2"/>
          <w:sz w:val="24"/>
        </w:rPr>
        <w:t> </w:t>
      </w:r>
      <w:r>
        <w:rPr>
          <w:sz w:val="24"/>
        </w:rPr>
        <w:t>the</w:t>
      </w:r>
      <w:r>
        <w:rPr>
          <w:spacing w:val="-3"/>
          <w:sz w:val="24"/>
        </w:rPr>
        <w:t> </w:t>
      </w:r>
      <w:r>
        <w:rPr>
          <w:sz w:val="24"/>
        </w:rPr>
        <w:t>21st</w:t>
      </w:r>
      <w:r>
        <w:rPr>
          <w:spacing w:val="-1"/>
          <w:sz w:val="24"/>
        </w:rPr>
        <w:t> </w:t>
      </w:r>
      <w:r>
        <w:rPr>
          <w:sz w:val="24"/>
        </w:rPr>
        <w:t>century</w:t>
      </w:r>
      <w:r>
        <w:rPr>
          <w:spacing w:val="-5"/>
          <w:sz w:val="24"/>
        </w:rPr>
        <w:t> </w:t>
      </w:r>
      <w:r>
        <w:rPr>
          <w:sz w:val="24"/>
        </w:rPr>
        <w:t>Nigeria</w:t>
      </w:r>
      <w:r>
        <w:rPr>
          <w:spacing w:val="-1"/>
          <w:sz w:val="24"/>
        </w:rPr>
        <w:t> </w:t>
      </w:r>
      <w:r>
        <w:rPr>
          <w:spacing w:val="-4"/>
          <w:sz w:val="24"/>
        </w:rPr>
        <w:t>and;</w:t>
      </w:r>
    </w:p>
    <w:p>
      <w:pPr>
        <w:pStyle w:val="ListParagraph"/>
        <w:numPr>
          <w:ilvl w:val="2"/>
          <w:numId w:val="5"/>
        </w:numPr>
        <w:tabs>
          <w:tab w:pos="1079" w:val="left" w:leader="none"/>
        </w:tabs>
        <w:spacing w:line="240" w:lineRule="auto" w:before="276" w:after="0"/>
        <w:ind w:left="1079" w:right="0" w:hanging="606"/>
        <w:jc w:val="both"/>
        <w:rPr>
          <w:sz w:val="24"/>
        </w:rPr>
      </w:pPr>
      <w:r>
        <w:rPr>
          <w:sz w:val="24"/>
        </w:rPr>
        <w:t>Measures</w:t>
      </w:r>
      <w:r>
        <w:rPr>
          <w:spacing w:val="-2"/>
          <w:sz w:val="24"/>
        </w:rPr>
        <w:t> </w:t>
      </w:r>
      <w:r>
        <w:rPr>
          <w:sz w:val="24"/>
        </w:rPr>
        <w:t>required</w:t>
      </w:r>
      <w:r>
        <w:rPr>
          <w:spacing w:val="-1"/>
          <w:sz w:val="24"/>
        </w:rPr>
        <w:t> </w:t>
      </w:r>
      <w:r>
        <w:rPr>
          <w:sz w:val="24"/>
        </w:rPr>
        <w:t>by</w:t>
      </w:r>
      <w:r>
        <w:rPr>
          <w:spacing w:val="-6"/>
          <w:sz w:val="24"/>
        </w:rPr>
        <w:t> </w:t>
      </w:r>
      <w:r>
        <w:rPr>
          <w:sz w:val="24"/>
        </w:rPr>
        <w:t>tax</w:t>
      </w:r>
      <w:r>
        <w:rPr>
          <w:spacing w:val="1"/>
          <w:sz w:val="24"/>
        </w:rPr>
        <w:t> </w:t>
      </w:r>
      <w:r>
        <w:rPr>
          <w:sz w:val="24"/>
        </w:rPr>
        <w:t>authorities</w:t>
      </w:r>
      <w:r>
        <w:rPr>
          <w:spacing w:val="-1"/>
          <w:sz w:val="24"/>
        </w:rPr>
        <w:t> </w:t>
      </w:r>
      <w:r>
        <w:rPr>
          <w:sz w:val="24"/>
        </w:rPr>
        <w:t>and</w:t>
      </w:r>
      <w:r>
        <w:rPr>
          <w:spacing w:val="-1"/>
          <w:sz w:val="24"/>
        </w:rPr>
        <w:t> </w:t>
      </w:r>
      <w:r>
        <w:rPr>
          <w:sz w:val="24"/>
        </w:rPr>
        <w:t>practitioners</w:t>
      </w:r>
      <w:r>
        <w:rPr>
          <w:spacing w:val="-1"/>
          <w:sz w:val="24"/>
        </w:rPr>
        <w:t> </w:t>
      </w:r>
      <w:r>
        <w:rPr>
          <w:sz w:val="24"/>
        </w:rPr>
        <w:t>to</w:t>
      </w:r>
      <w:r>
        <w:rPr>
          <w:spacing w:val="-1"/>
          <w:sz w:val="24"/>
        </w:rPr>
        <w:t> </w:t>
      </w:r>
      <w:r>
        <w:rPr>
          <w:sz w:val="24"/>
        </w:rPr>
        <w:t>meet</w:t>
      </w:r>
      <w:r>
        <w:rPr>
          <w:spacing w:val="-1"/>
          <w:sz w:val="24"/>
        </w:rPr>
        <w:t> </w:t>
      </w:r>
      <w:r>
        <w:rPr>
          <w:sz w:val="24"/>
        </w:rPr>
        <w:t>these </w:t>
      </w:r>
      <w:r>
        <w:rPr>
          <w:spacing w:val="-2"/>
          <w:sz w:val="24"/>
        </w:rPr>
        <w:t>challenges</w:t>
      </w:r>
    </w:p>
    <w:p>
      <w:pPr>
        <w:pStyle w:val="BodyText"/>
      </w:pPr>
    </w:p>
    <w:p>
      <w:pPr>
        <w:pStyle w:val="BodyText"/>
        <w:spacing w:line="480" w:lineRule="auto"/>
        <w:ind w:left="360" w:right="160" w:firstLine="719"/>
        <w:jc w:val="both"/>
      </w:pPr>
      <w:r>
        <w:rPr/>
        <w:t>This work shall focus mainly on the issues and problems that are specifically related</w:t>
      </w:r>
      <w:r>
        <w:rPr>
          <w:spacing w:val="40"/>
        </w:rPr>
        <w:t> </w:t>
      </w:r>
      <w:r>
        <w:rPr/>
        <w:t>to the petroleum profit tax of the upstream sector. These issues shall be traced and examined based on the petroleum Profit Tax Act.</w:t>
      </w:r>
    </w:p>
    <w:p>
      <w:pPr>
        <w:pStyle w:val="Heading2"/>
        <w:numPr>
          <w:ilvl w:val="1"/>
          <w:numId w:val="5"/>
        </w:numPr>
        <w:tabs>
          <w:tab w:pos="1079" w:val="left" w:leader="none"/>
        </w:tabs>
        <w:spacing w:line="240" w:lineRule="auto" w:before="5" w:after="0"/>
        <w:ind w:left="1079" w:right="0" w:hanging="719"/>
        <w:jc w:val="both"/>
      </w:pPr>
      <w:r>
        <w:rPr>
          <w:spacing w:val="-2"/>
        </w:rPr>
        <w:t>Justification</w:t>
      </w:r>
    </w:p>
    <w:p>
      <w:pPr>
        <w:pStyle w:val="BodyText"/>
        <w:spacing w:line="480" w:lineRule="auto" w:before="271"/>
        <w:ind w:left="360" w:right="159" w:firstLine="719"/>
        <w:jc w:val="both"/>
      </w:pPr>
      <w:r>
        <w:rPr/>
        <w:t>The justification for embarking on a research work in this area is inspired by the fact that petroleum industry is currently one of the most important industries in the economic life of Nigeria and yet no adequate and well researched literatures that covers the law and</w:t>
      </w:r>
      <w:r>
        <w:rPr>
          <w:spacing w:val="80"/>
        </w:rPr>
        <w:t> </w:t>
      </w:r>
      <w:r>
        <w:rPr/>
        <w:t>practice of the petroleum industry activities and operations together is readily available for those looking for information or those that want to acquire knowledge in this area. This work will therefore contribute to the knowledge by providing an insight to the laws, practice and regulations available in the petroleum industry in Nigeria. Students and lecturers in the faculties of laws in the Nigerian universities, particularly, (students and lecturers of oil and gas law),legal practitioners, other professionals in the petroleum industry and the general public will find this work very useful.</w:t>
      </w:r>
    </w:p>
    <w:p>
      <w:pPr>
        <w:pStyle w:val="Heading2"/>
        <w:numPr>
          <w:ilvl w:val="1"/>
          <w:numId w:val="5"/>
        </w:numPr>
        <w:tabs>
          <w:tab w:pos="1079" w:val="left" w:leader="none"/>
        </w:tabs>
        <w:spacing w:line="240" w:lineRule="auto" w:before="6" w:after="0"/>
        <w:ind w:left="1079" w:right="0" w:hanging="719"/>
        <w:jc w:val="both"/>
      </w:pPr>
      <w:bookmarkStart w:name="_TOC_250018" w:id="7"/>
      <w:r>
        <w:rPr/>
        <w:t>Research</w:t>
      </w:r>
      <w:r>
        <w:rPr>
          <w:spacing w:val="-3"/>
        </w:rPr>
        <w:t> </w:t>
      </w:r>
      <w:bookmarkEnd w:id="7"/>
      <w:r>
        <w:rPr>
          <w:spacing w:val="-2"/>
        </w:rPr>
        <w:t>Methodology</w:t>
      </w:r>
    </w:p>
    <w:p>
      <w:pPr>
        <w:pStyle w:val="BodyText"/>
        <w:spacing w:line="480" w:lineRule="auto" w:before="272"/>
        <w:ind w:left="360" w:right="160" w:firstLine="719"/>
        <w:jc w:val="both"/>
      </w:pPr>
      <w:r>
        <w:rPr/>
        <w:t>The methodology employed in this research is purely doctrinal and it makes use of both primary and secondary legal materials. It will therefore depend on the research from textbooks written by scholars and legal sages. In order to buttress relevant points, legal statutes shall be quoted. Nigerian or foreign cases would be cited to explain or support any point deemed necessary. Journals and articles related to the research topic shall be used. Newspapers may also be used. Reports and conference papers on the topic or any other topic related to it would also be utilized. Relevant materials available on the internet website shall be used.</w:t>
      </w:r>
    </w:p>
    <w:p>
      <w:pPr>
        <w:spacing w:after="0" w:line="480" w:lineRule="auto"/>
        <w:jc w:val="both"/>
        <w:sectPr>
          <w:pgSz w:w="11910" w:h="16840"/>
          <w:pgMar w:header="0" w:footer="1000" w:top="1340" w:bottom="1200" w:left="1080" w:right="1280"/>
        </w:sectPr>
      </w:pPr>
    </w:p>
    <w:p>
      <w:pPr>
        <w:pStyle w:val="BodyText"/>
        <w:spacing w:line="480" w:lineRule="auto" w:before="74"/>
        <w:ind w:left="360" w:right="157" w:firstLine="719"/>
        <w:jc w:val="both"/>
      </w:pPr>
      <w:r>
        <w:rPr/>
        <w:t>Finally solutions to the problems of the research shall b proffered by way of </w:t>
      </w:r>
      <w:r>
        <w:rPr>
          <w:spacing w:val="-2"/>
        </w:rPr>
        <w:t>recommendations.</w:t>
      </w:r>
    </w:p>
    <w:p>
      <w:pPr>
        <w:pStyle w:val="Heading2"/>
        <w:numPr>
          <w:ilvl w:val="1"/>
          <w:numId w:val="5"/>
        </w:numPr>
        <w:tabs>
          <w:tab w:pos="1079" w:val="left" w:leader="none"/>
        </w:tabs>
        <w:spacing w:line="240" w:lineRule="auto" w:before="5" w:after="0"/>
        <w:ind w:left="1079" w:right="0" w:hanging="719"/>
        <w:jc w:val="both"/>
      </w:pPr>
      <w:bookmarkStart w:name="_TOC_250017" w:id="8"/>
      <w:r>
        <w:rPr/>
        <w:t>Literature</w:t>
      </w:r>
      <w:r>
        <w:rPr>
          <w:spacing w:val="-6"/>
        </w:rPr>
        <w:t> </w:t>
      </w:r>
      <w:bookmarkEnd w:id="8"/>
      <w:r>
        <w:rPr>
          <w:spacing w:val="-2"/>
        </w:rPr>
        <w:t>Review</w:t>
      </w:r>
    </w:p>
    <w:p>
      <w:pPr>
        <w:pStyle w:val="BodyText"/>
        <w:spacing w:line="480" w:lineRule="auto" w:before="271"/>
        <w:ind w:left="360" w:right="158" w:firstLine="719"/>
        <w:jc w:val="both"/>
      </w:pPr>
      <w:r>
        <w:rPr/>
        <w:t>Notwithstanding the inadequacy of literatures authored by local writers in the field of petroleum law in Nigeria, there are however few Nigerian authors who have written extensively and have made meaningful contributions as far as Petroleum Law in Nigeria is </w:t>
      </w:r>
      <w:r>
        <w:rPr>
          <w:spacing w:val="-2"/>
        </w:rPr>
        <w:t>concerned.</w:t>
      </w:r>
    </w:p>
    <w:p>
      <w:pPr>
        <w:pStyle w:val="BodyText"/>
        <w:spacing w:line="480" w:lineRule="auto" w:before="1"/>
        <w:ind w:left="360" w:right="154" w:firstLine="719"/>
        <w:jc w:val="both"/>
      </w:pPr>
      <w:r>
        <w:rPr/>
        <w:t>For instance Etikerentse</w:t>
      </w:r>
      <w:r>
        <w:rPr>
          <w:vertAlign w:val="superscript"/>
        </w:rPr>
        <w:t>10</w:t>
      </w:r>
      <w:r>
        <w:rPr>
          <w:spacing w:val="-1"/>
          <w:vertAlign w:val="baseline"/>
        </w:rPr>
        <w:t> </w:t>
      </w:r>
      <w:r>
        <w:rPr>
          <w:vertAlign w:val="baseline"/>
        </w:rPr>
        <w:t>who is the first author to have written a comprehensive text on Petroleum Law in Nigeria as far back as 1984 has yet published another work titled Nigerian Petroleum Law</w:t>
      </w:r>
      <w:r>
        <w:rPr>
          <w:vertAlign w:val="superscript"/>
        </w:rPr>
        <w:t>11</w:t>
      </w:r>
      <w:r>
        <w:rPr>
          <w:spacing w:val="-1"/>
          <w:vertAlign w:val="baseline"/>
        </w:rPr>
        <w:t> </w:t>
      </w:r>
      <w:r>
        <w:rPr>
          <w:vertAlign w:val="baseline"/>
        </w:rPr>
        <w:t>which is very comprehensive in nature as far as petroleum law in Nigeria is concerned.</w:t>
      </w:r>
    </w:p>
    <w:p>
      <w:pPr>
        <w:pStyle w:val="BodyText"/>
        <w:spacing w:line="480" w:lineRule="auto"/>
        <w:ind w:left="360" w:right="155" w:firstLine="719"/>
        <w:jc w:val="both"/>
      </w:pPr>
      <w:r>
        <w:rPr/>
        <w:t>Abdulrazaq M.T in his book titled Nigerian Tax Offences and Penalties</w:t>
      </w:r>
      <w:r>
        <w:rPr>
          <w:vertAlign w:val="superscript"/>
        </w:rPr>
        <w:t>12</w:t>
      </w:r>
      <w:r>
        <w:rPr>
          <w:spacing w:val="-1"/>
          <w:vertAlign w:val="baseline"/>
        </w:rPr>
        <w:t> </w:t>
      </w:r>
      <w:r>
        <w:rPr>
          <w:vertAlign w:val="baseline"/>
        </w:rPr>
        <w:t>provided a comprehensive and detailed analysis of „Offences and Penalties‟ and therefore, highly commendable, However, the following are some of the researcher‟s observations and comments. At page 37-38 of the book,Nigerian Tax</w:t>
      </w:r>
      <w:r>
        <w:rPr>
          <w:spacing w:val="40"/>
          <w:vertAlign w:val="baseline"/>
        </w:rPr>
        <w:t> </w:t>
      </w:r>
      <w:r>
        <w:rPr>
          <w:vertAlign w:val="baseline"/>
        </w:rPr>
        <w:t>Offences and Penalties, it is stated that:</w:t>
      </w:r>
    </w:p>
    <w:p>
      <w:pPr>
        <w:pStyle w:val="BodyText"/>
        <w:ind w:left="1800" w:right="1595"/>
        <w:jc w:val="both"/>
      </w:pPr>
      <w:r>
        <w:rPr/>
        <w:t>“In Nigeria there are some monetary penalties and criminal sanction in connection with tax evasion, including the Revenue Boards power to sell off defaulting tax payers goods or other chattels,bonds or securities as well as his premises so that the amount owed can be recovered.”</w:t>
      </w:r>
    </w:p>
    <w:p>
      <w:pPr>
        <w:pStyle w:val="BodyText"/>
      </w:pPr>
    </w:p>
    <w:p>
      <w:pPr>
        <w:pStyle w:val="BodyText"/>
        <w:spacing w:before="1"/>
      </w:pPr>
    </w:p>
    <w:p>
      <w:pPr>
        <w:pStyle w:val="BodyText"/>
        <w:spacing w:line="480" w:lineRule="auto"/>
        <w:ind w:left="360" w:right="161" w:firstLine="719"/>
        <w:jc w:val="both"/>
      </w:pPr>
      <w:r>
        <w:rPr/>
        <w:t>One is therefore, bound to ask questions in view of the above comments of Prof Abdulrazaq M.T.,does the Federal Board of Internal Revenue (FBIR) have the absolute</w:t>
      </w:r>
      <w:r>
        <w:rPr>
          <w:spacing w:val="40"/>
        </w:rPr>
        <w:t> </w:t>
      </w:r>
      <w:r>
        <w:rPr/>
        <w:t>power to sell off defaulting tax payers property (s)?</w:t>
      </w:r>
    </w:p>
    <w:p>
      <w:pPr>
        <w:pStyle w:val="BodyText"/>
        <w:spacing w:line="480" w:lineRule="auto"/>
        <w:ind w:left="360" w:right="156" w:firstLine="719"/>
        <w:jc w:val="both"/>
      </w:pPr>
      <w:r>
        <w:rPr/>
        <w:t>With due respect to the learned Professor Abdulrazaq M.T, it is submitted by the writer</w:t>
      </w:r>
      <w:r>
        <w:rPr>
          <w:spacing w:val="7"/>
        </w:rPr>
        <w:t> </w:t>
      </w:r>
      <w:r>
        <w:rPr/>
        <w:t>that</w:t>
      </w:r>
      <w:r>
        <w:rPr>
          <w:spacing w:val="10"/>
        </w:rPr>
        <w:t> </w:t>
      </w:r>
      <w:r>
        <w:rPr/>
        <w:t>the</w:t>
      </w:r>
      <w:r>
        <w:rPr>
          <w:spacing w:val="10"/>
        </w:rPr>
        <w:t> </w:t>
      </w:r>
      <w:r>
        <w:rPr/>
        <w:t>revenue</w:t>
      </w:r>
      <w:r>
        <w:rPr>
          <w:spacing w:val="12"/>
        </w:rPr>
        <w:t> </w:t>
      </w:r>
      <w:r>
        <w:rPr/>
        <w:t>Board</w:t>
      </w:r>
      <w:r>
        <w:rPr>
          <w:spacing w:val="10"/>
        </w:rPr>
        <w:t> </w:t>
      </w:r>
      <w:r>
        <w:rPr/>
        <w:t>do</w:t>
      </w:r>
      <w:r>
        <w:rPr>
          <w:spacing w:val="10"/>
        </w:rPr>
        <w:t> </w:t>
      </w:r>
      <w:r>
        <w:rPr/>
        <w:t>not</w:t>
      </w:r>
      <w:r>
        <w:rPr>
          <w:spacing w:val="11"/>
        </w:rPr>
        <w:t> </w:t>
      </w:r>
      <w:r>
        <w:rPr/>
        <w:t>have</w:t>
      </w:r>
      <w:r>
        <w:rPr>
          <w:spacing w:val="9"/>
        </w:rPr>
        <w:t> </w:t>
      </w:r>
      <w:r>
        <w:rPr/>
        <w:t>the</w:t>
      </w:r>
      <w:r>
        <w:rPr>
          <w:spacing w:val="10"/>
        </w:rPr>
        <w:t> </w:t>
      </w:r>
      <w:r>
        <w:rPr/>
        <w:t>absolute</w:t>
      </w:r>
      <w:r>
        <w:rPr>
          <w:spacing w:val="10"/>
        </w:rPr>
        <w:t> </w:t>
      </w:r>
      <w:r>
        <w:rPr/>
        <w:t>power</w:t>
      </w:r>
      <w:r>
        <w:rPr>
          <w:spacing w:val="10"/>
        </w:rPr>
        <w:t> </w:t>
      </w:r>
      <w:r>
        <w:rPr/>
        <w:t>to</w:t>
      </w:r>
      <w:r>
        <w:rPr>
          <w:spacing w:val="11"/>
        </w:rPr>
        <w:t> </w:t>
      </w:r>
      <w:r>
        <w:rPr/>
        <w:t>sell</w:t>
      </w:r>
      <w:r>
        <w:rPr>
          <w:spacing w:val="11"/>
        </w:rPr>
        <w:t> </w:t>
      </w:r>
      <w:r>
        <w:rPr/>
        <w:t>off</w:t>
      </w:r>
      <w:r>
        <w:rPr>
          <w:spacing w:val="10"/>
        </w:rPr>
        <w:t> </w:t>
      </w:r>
      <w:r>
        <w:rPr/>
        <w:t>defaulting</w:t>
      </w:r>
      <w:r>
        <w:rPr>
          <w:spacing w:val="8"/>
        </w:rPr>
        <w:t> </w:t>
      </w:r>
      <w:r>
        <w:rPr>
          <w:spacing w:val="-2"/>
        </w:rPr>
        <w:t>taxpayers</w:t>
      </w:r>
    </w:p>
    <w:p>
      <w:pPr>
        <w:pStyle w:val="BodyText"/>
        <w:spacing w:before="6"/>
        <w:rPr>
          <w:sz w:val="10"/>
        </w:rPr>
      </w:pPr>
      <w:r>
        <w:rPr/>
        <mc:AlternateContent>
          <mc:Choice Requires="wps">
            <w:drawing>
              <wp:anchor distT="0" distB="0" distL="0" distR="0" allowOverlap="1" layoutInCell="1" locked="0" behindDoc="1" simplePos="0" relativeHeight="487595520">
                <wp:simplePos x="0" y="0"/>
                <wp:positionH relativeFrom="page">
                  <wp:posOffset>914704</wp:posOffset>
                </wp:positionH>
                <wp:positionV relativeFrom="paragraph">
                  <wp:posOffset>92632</wp:posOffset>
                </wp:positionV>
                <wp:extent cx="1829435" cy="9525"/>
                <wp:effectExtent l="0" t="0" r="0" b="0"/>
                <wp:wrapTopAndBottom/>
                <wp:docPr id="18" name="Graphic 18"/>
                <wp:cNvGraphicFramePr>
                  <a:graphicFrameLocks/>
                </wp:cNvGraphicFramePr>
                <a:graphic>
                  <a:graphicData uri="http://schemas.microsoft.com/office/word/2010/wordprocessingShape">
                    <wps:wsp>
                      <wps:cNvPr id="18" name="Graphic 18"/>
                      <wps:cNvSpPr/>
                      <wps:spPr>
                        <a:xfrm>
                          <a:off x="0" y="0"/>
                          <a:ext cx="1829435" cy="9525"/>
                        </a:xfrm>
                        <a:custGeom>
                          <a:avLst/>
                          <a:gdLst/>
                          <a:ahLst/>
                          <a:cxnLst/>
                          <a:rect l="l" t="t" r="r" b="b"/>
                          <a:pathLst>
                            <a:path w="1829435" h="9525">
                              <a:moveTo>
                                <a:pt x="1829054" y="0"/>
                              </a:moveTo>
                              <a:lnTo>
                                <a:pt x="0" y="0"/>
                              </a:lnTo>
                              <a:lnTo>
                                <a:pt x="0" y="9144"/>
                              </a:lnTo>
                              <a:lnTo>
                                <a:pt x="1829054" y="9144"/>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7.293876pt;width:144.020pt;height:.72003pt;mso-position-horizontal-relative:page;mso-position-vertical-relative:paragraph;z-index:-15720960;mso-wrap-distance-left:0;mso-wrap-distance-right:0" id="docshape18" filled="true" fillcolor="#000000" stroked="false">
                <v:fill type="solid"/>
                <w10:wrap type="topAndBottom"/>
              </v:rect>
            </w:pict>
          </mc:Fallback>
        </mc:AlternateContent>
      </w:r>
    </w:p>
    <w:p>
      <w:pPr>
        <w:spacing w:line="243" w:lineRule="exact" w:before="102"/>
        <w:ind w:left="360" w:right="0" w:firstLine="0"/>
        <w:jc w:val="left"/>
        <w:rPr>
          <w:rFonts w:ascii="Calibri" w:hAnsi="Calibri"/>
          <w:sz w:val="20"/>
        </w:rPr>
      </w:pPr>
      <w:r>
        <w:rPr>
          <w:rFonts w:ascii="Calibri" w:hAnsi="Calibri"/>
          <w:sz w:val="20"/>
          <w:vertAlign w:val="superscript"/>
        </w:rPr>
        <w:t>10</w:t>
      </w:r>
      <w:r>
        <w:rPr>
          <w:rFonts w:ascii="Calibri" w:hAnsi="Calibri"/>
          <w:spacing w:val="-10"/>
          <w:sz w:val="20"/>
          <w:vertAlign w:val="baseline"/>
        </w:rPr>
        <w:t> </w:t>
      </w:r>
      <w:r>
        <w:rPr>
          <w:rFonts w:ascii="Calibri" w:hAnsi="Calibri"/>
          <w:sz w:val="20"/>
          <w:vertAlign w:val="baseline"/>
        </w:rPr>
        <w:t>Etikerentse.</w:t>
      </w:r>
      <w:r>
        <w:rPr>
          <w:rFonts w:ascii="Calibri" w:hAnsi="Calibri"/>
          <w:spacing w:val="-8"/>
          <w:sz w:val="20"/>
          <w:vertAlign w:val="baseline"/>
        </w:rPr>
        <w:t> </w:t>
      </w:r>
      <w:r>
        <w:rPr>
          <w:rFonts w:ascii="Calibri" w:hAnsi="Calibri"/>
          <w:sz w:val="20"/>
          <w:vertAlign w:val="baseline"/>
        </w:rPr>
        <w:t>G.(2005)</w:t>
      </w:r>
      <w:r>
        <w:rPr>
          <w:rFonts w:ascii="Calibri" w:hAnsi="Calibri"/>
          <w:i/>
          <w:sz w:val="20"/>
          <w:vertAlign w:val="baseline"/>
        </w:rPr>
        <w:t>“Petroleum</w:t>
      </w:r>
      <w:r>
        <w:rPr>
          <w:rFonts w:ascii="Calibri" w:hAnsi="Calibri"/>
          <w:i/>
          <w:spacing w:val="-9"/>
          <w:sz w:val="20"/>
          <w:vertAlign w:val="baseline"/>
        </w:rPr>
        <w:t> </w:t>
      </w:r>
      <w:r>
        <w:rPr>
          <w:rFonts w:ascii="Calibri" w:hAnsi="Calibri"/>
          <w:i/>
          <w:sz w:val="20"/>
          <w:vertAlign w:val="baseline"/>
        </w:rPr>
        <w:t>Law</w:t>
      </w:r>
      <w:r>
        <w:rPr>
          <w:rFonts w:ascii="Calibri" w:hAnsi="Calibri"/>
          <w:i/>
          <w:spacing w:val="-9"/>
          <w:sz w:val="20"/>
          <w:vertAlign w:val="baseline"/>
        </w:rPr>
        <w:t> </w:t>
      </w:r>
      <w:r>
        <w:rPr>
          <w:rFonts w:ascii="Calibri" w:hAnsi="Calibri"/>
          <w:i/>
          <w:sz w:val="20"/>
          <w:vertAlign w:val="baseline"/>
        </w:rPr>
        <w:t>Nigeria”</w:t>
      </w:r>
      <w:r>
        <w:rPr>
          <w:rFonts w:ascii="Calibri" w:hAnsi="Calibri"/>
          <w:sz w:val="20"/>
          <w:vertAlign w:val="baseline"/>
        </w:rPr>
        <w:t>,(2</w:t>
      </w:r>
      <w:r>
        <w:rPr>
          <w:rFonts w:ascii="Calibri" w:hAnsi="Calibri"/>
          <w:sz w:val="20"/>
          <w:vertAlign w:val="superscript"/>
        </w:rPr>
        <w:t>nd</w:t>
      </w:r>
      <w:r>
        <w:rPr>
          <w:rFonts w:ascii="Calibri" w:hAnsi="Calibri"/>
          <w:spacing w:val="-10"/>
          <w:sz w:val="20"/>
          <w:vertAlign w:val="baseline"/>
        </w:rPr>
        <w:t> </w:t>
      </w:r>
      <w:r>
        <w:rPr>
          <w:rFonts w:ascii="Calibri" w:hAnsi="Calibri"/>
          <w:sz w:val="20"/>
          <w:vertAlign w:val="baseline"/>
        </w:rPr>
        <w:t>edition)</w:t>
      </w:r>
      <w:r>
        <w:rPr>
          <w:rFonts w:ascii="Calibri" w:hAnsi="Calibri"/>
          <w:spacing w:val="-7"/>
          <w:sz w:val="20"/>
          <w:vertAlign w:val="baseline"/>
        </w:rPr>
        <w:t> </w:t>
      </w:r>
      <w:r>
        <w:rPr>
          <w:rFonts w:ascii="Calibri" w:hAnsi="Calibri"/>
          <w:sz w:val="20"/>
          <w:vertAlign w:val="baseline"/>
        </w:rPr>
        <w:t>Dredew</w:t>
      </w:r>
      <w:r>
        <w:rPr>
          <w:rFonts w:ascii="Calibri" w:hAnsi="Calibri"/>
          <w:spacing w:val="26"/>
          <w:sz w:val="20"/>
          <w:vertAlign w:val="baseline"/>
        </w:rPr>
        <w:t> </w:t>
      </w:r>
      <w:r>
        <w:rPr>
          <w:rFonts w:ascii="Calibri" w:hAnsi="Calibri"/>
          <w:sz w:val="20"/>
          <w:vertAlign w:val="baseline"/>
        </w:rPr>
        <w:t>Publishers,</w:t>
      </w:r>
      <w:r>
        <w:rPr>
          <w:rFonts w:ascii="Calibri" w:hAnsi="Calibri"/>
          <w:spacing w:val="-9"/>
          <w:sz w:val="20"/>
          <w:vertAlign w:val="baseline"/>
        </w:rPr>
        <w:t> </w:t>
      </w:r>
      <w:r>
        <w:rPr>
          <w:rFonts w:ascii="Calibri" w:hAnsi="Calibri"/>
          <w:spacing w:val="-2"/>
          <w:sz w:val="20"/>
          <w:vertAlign w:val="baseline"/>
        </w:rPr>
        <w:t>Lagos</w:t>
      </w:r>
    </w:p>
    <w:p>
      <w:pPr>
        <w:spacing w:line="243" w:lineRule="exact" w:before="0"/>
        <w:ind w:left="360" w:right="0" w:firstLine="0"/>
        <w:jc w:val="left"/>
        <w:rPr>
          <w:rFonts w:ascii="Calibri"/>
          <w:i/>
          <w:sz w:val="20"/>
        </w:rPr>
      </w:pPr>
      <w:r>
        <w:rPr>
          <w:rFonts w:ascii="Calibri"/>
          <w:spacing w:val="-2"/>
          <w:sz w:val="20"/>
          <w:vertAlign w:val="superscript"/>
        </w:rPr>
        <w:t>11</w:t>
      </w:r>
      <w:r>
        <w:rPr>
          <w:rFonts w:ascii="Calibri"/>
          <w:i/>
          <w:spacing w:val="-2"/>
          <w:sz w:val="20"/>
          <w:vertAlign w:val="baseline"/>
        </w:rPr>
        <w:t>Op.cit.</w:t>
      </w:r>
    </w:p>
    <w:p>
      <w:pPr>
        <w:spacing w:before="1"/>
        <w:ind w:left="360" w:right="0" w:firstLine="0"/>
        <w:jc w:val="left"/>
        <w:rPr>
          <w:rFonts w:ascii="Calibri" w:hAnsi="Calibri"/>
          <w:sz w:val="20"/>
        </w:rPr>
      </w:pPr>
      <w:r>
        <w:rPr>
          <w:rFonts w:ascii="Calibri" w:hAnsi="Calibri"/>
          <w:sz w:val="20"/>
          <w:vertAlign w:val="superscript"/>
        </w:rPr>
        <w:t>12</w:t>
      </w:r>
      <w:r>
        <w:rPr>
          <w:rFonts w:ascii="Calibri" w:hAnsi="Calibri"/>
          <w:spacing w:val="-8"/>
          <w:sz w:val="20"/>
          <w:vertAlign w:val="baseline"/>
        </w:rPr>
        <w:t> </w:t>
      </w:r>
      <w:r>
        <w:rPr>
          <w:rFonts w:ascii="Calibri" w:hAnsi="Calibri"/>
          <w:sz w:val="20"/>
          <w:vertAlign w:val="baseline"/>
        </w:rPr>
        <w:t>Abdulrazaq.</w:t>
      </w:r>
      <w:r>
        <w:rPr>
          <w:rFonts w:ascii="Calibri" w:hAnsi="Calibri"/>
          <w:spacing w:val="-6"/>
          <w:sz w:val="20"/>
          <w:vertAlign w:val="baseline"/>
        </w:rPr>
        <w:t> </w:t>
      </w:r>
      <w:r>
        <w:rPr>
          <w:rFonts w:ascii="Calibri" w:hAnsi="Calibri"/>
          <w:sz w:val="20"/>
          <w:vertAlign w:val="baseline"/>
        </w:rPr>
        <w:t>M.</w:t>
      </w:r>
      <w:r>
        <w:rPr>
          <w:rFonts w:ascii="Calibri" w:hAnsi="Calibri"/>
          <w:spacing w:val="-6"/>
          <w:sz w:val="20"/>
          <w:vertAlign w:val="baseline"/>
        </w:rPr>
        <w:t> </w:t>
      </w:r>
      <w:r>
        <w:rPr>
          <w:rFonts w:ascii="Calibri" w:hAnsi="Calibri"/>
          <w:sz w:val="20"/>
          <w:vertAlign w:val="baseline"/>
        </w:rPr>
        <w:t>T.</w:t>
      </w:r>
      <w:r>
        <w:rPr>
          <w:rFonts w:ascii="Calibri" w:hAnsi="Calibri"/>
          <w:spacing w:val="-4"/>
          <w:sz w:val="20"/>
          <w:vertAlign w:val="baseline"/>
        </w:rPr>
        <w:t> </w:t>
      </w:r>
      <w:r>
        <w:rPr>
          <w:rFonts w:ascii="Calibri" w:hAnsi="Calibri"/>
          <w:sz w:val="20"/>
          <w:vertAlign w:val="baseline"/>
        </w:rPr>
        <w:t>(1993)</w:t>
      </w:r>
      <w:r>
        <w:rPr>
          <w:rFonts w:ascii="Calibri" w:hAnsi="Calibri"/>
          <w:spacing w:val="-7"/>
          <w:sz w:val="20"/>
          <w:vertAlign w:val="baseline"/>
        </w:rPr>
        <w:t> </w:t>
      </w:r>
      <w:r>
        <w:rPr>
          <w:rFonts w:ascii="Calibri" w:hAnsi="Calibri"/>
          <w:i/>
          <w:sz w:val="20"/>
          <w:vertAlign w:val="baseline"/>
        </w:rPr>
        <w:t>“Nigerian</w:t>
      </w:r>
      <w:r>
        <w:rPr>
          <w:rFonts w:ascii="Calibri" w:hAnsi="Calibri"/>
          <w:i/>
          <w:spacing w:val="-6"/>
          <w:sz w:val="20"/>
          <w:vertAlign w:val="baseline"/>
        </w:rPr>
        <w:t> </w:t>
      </w:r>
      <w:r>
        <w:rPr>
          <w:rFonts w:ascii="Calibri" w:hAnsi="Calibri"/>
          <w:i/>
          <w:sz w:val="20"/>
          <w:vertAlign w:val="baseline"/>
        </w:rPr>
        <w:t>Tax</w:t>
      </w:r>
      <w:r>
        <w:rPr>
          <w:rFonts w:ascii="Calibri" w:hAnsi="Calibri"/>
          <w:i/>
          <w:spacing w:val="-6"/>
          <w:sz w:val="20"/>
          <w:vertAlign w:val="baseline"/>
        </w:rPr>
        <w:t> </w:t>
      </w:r>
      <w:r>
        <w:rPr>
          <w:rFonts w:ascii="Calibri" w:hAnsi="Calibri"/>
          <w:i/>
          <w:sz w:val="20"/>
          <w:vertAlign w:val="baseline"/>
        </w:rPr>
        <w:t>Offences</w:t>
      </w:r>
      <w:r>
        <w:rPr>
          <w:rFonts w:ascii="Calibri" w:hAnsi="Calibri"/>
          <w:i/>
          <w:spacing w:val="-7"/>
          <w:sz w:val="20"/>
          <w:vertAlign w:val="baseline"/>
        </w:rPr>
        <w:t> </w:t>
      </w:r>
      <w:r>
        <w:rPr>
          <w:rFonts w:ascii="Calibri" w:hAnsi="Calibri"/>
          <w:i/>
          <w:sz w:val="20"/>
          <w:vertAlign w:val="baseline"/>
        </w:rPr>
        <w:t>and</w:t>
      </w:r>
      <w:r>
        <w:rPr>
          <w:rFonts w:ascii="Calibri" w:hAnsi="Calibri"/>
          <w:i/>
          <w:spacing w:val="-6"/>
          <w:sz w:val="20"/>
          <w:vertAlign w:val="baseline"/>
        </w:rPr>
        <w:t> </w:t>
      </w:r>
      <w:r>
        <w:rPr>
          <w:rFonts w:ascii="Calibri" w:hAnsi="Calibri"/>
          <w:i/>
          <w:sz w:val="20"/>
          <w:vertAlign w:val="baseline"/>
        </w:rPr>
        <w:t>Penalties”</w:t>
      </w:r>
      <w:r>
        <w:rPr>
          <w:rFonts w:ascii="Calibri" w:hAnsi="Calibri"/>
          <w:sz w:val="20"/>
          <w:vertAlign w:val="baseline"/>
        </w:rPr>
        <w:t>,</w:t>
      </w:r>
      <w:r>
        <w:rPr>
          <w:rFonts w:ascii="Calibri" w:hAnsi="Calibri"/>
          <w:spacing w:val="-6"/>
          <w:sz w:val="20"/>
          <w:vertAlign w:val="baseline"/>
        </w:rPr>
        <w:t> </w:t>
      </w:r>
      <w:r>
        <w:rPr>
          <w:rFonts w:ascii="Calibri" w:hAnsi="Calibri"/>
          <w:sz w:val="20"/>
          <w:vertAlign w:val="baseline"/>
        </w:rPr>
        <w:t>Batay</w:t>
      </w:r>
      <w:r>
        <w:rPr>
          <w:rFonts w:ascii="Calibri" w:hAnsi="Calibri"/>
          <w:spacing w:val="-7"/>
          <w:sz w:val="20"/>
          <w:vertAlign w:val="baseline"/>
        </w:rPr>
        <w:t> </w:t>
      </w:r>
      <w:r>
        <w:rPr>
          <w:rFonts w:ascii="Calibri" w:hAnsi="Calibri"/>
          <w:sz w:val="20"/>
          <w:vertAlign w:val="baseline"/>
        </w:rPr>
        <w:t>Law</w:t>
      </w:r>
      <w:r>
        <w:rPr>
          <w:rFonts w:ascii="Calibri" w:hAnsi="Calibri"/>
          <w:spacing w:val="-7"/>
          <w:sz w:val="20"/>
          <w:vertAlign w:val="baseline"/>
        </w:rPr>
        <w:t> </w:t>
      </w:r>
      <w:r>
        <w:rPr>
          <w:rFonts w:ascii="Calibri" w:hAnsi="Calibri"/>
          <w:sz w:val="20"/>
          <w:vertAlign w:val="baseline"/>
        </w:rPr>
        <w:t>Publications</w:t>
      </w:r>
      <w:r>
        <w:rPr>
          <w:rFonts w:ascii="Calibri" w:hAnsi="Calibri"/>
          <w:spacing w:val="-8"/>
          <w:sz w:val="20"/>
          <w:vertAlign w:val="baseline"/>
        </w:rPr>
        <w:t> </w:t>
      </w:r>
      <w:r>
        <w:rPr>
          <w:rFonts w:ascii="Calibri" w:hAnsi="Calibri"/>
          <w:spacing w:val="-2"/>
          <w:sz w:val="20"/>
          <w:vertAlign w:val="baseline"/>
        </w:rPr>
        <w:t>Limited,1993.</w:t>
      </w:r>
    </w:p>
    <w:p>
      <w:pPr>
        <w:spacing w:after="0"/>
        <w:jc w:val="left"/>
        <w:rPr>
          <w:rFonts w:ascii="Calibri" w:hAnsi="Calibri"/>
          <w:sz w:val="20"/>
        </w:rPr>
        <w:sectPr>
          <w:pgSz w:w="11910" w:h="16840"/>
          <w:pgMar w:header="0" w:footer="1000" w:top="1340" w:bottom="1200" w:left="1080" w:right="1280"/>
        </w:sectPr>
      </w:pPr>
    </w:p>
    <w:p>
      <w:pPr>
        <w:pStyle w:val="BodyText"/>
        <w:spacing w:line="480" w:lineRule="auto" w:before="74"/>
        <w:ind w:left="360" w:right="158"/>
        <w:jc w:val="both"/>
      </w:pPr>
      <w:r>
        <w:rPr/>
        <w:t>goods or other chattels, bonds or securities and where such power exist,recourse must be made to the courts. For instance the Act</w:t>
      </w:r>
      <w:r>
        <w:rPr>
          <w:vertAlign w:val="superscript"/>
        </w:rPr>
        <w:t>13</w:t>
      </w:r>
      <w:r>
        <w:rPr>
          <w:spacing w:val="-2"/>
          <w:vertAlign w:val="baseline"/>
        </w:rPr>
        <w:t> </w:t>
      </w:r>
      <w:r>
        <w:rPr>
          <w:vertAlign w:val="baseline"/>
        </w:rPr>
        <w:t>provides that; „‟nothing in this section shall be construed so as to authorize the sale of any immovable property without an order of a High court, made on application”</w:t>
      </w:r>
    </w:p>
    <w:p>
      <w:pPr>
        <w:pStyle w:val="BodyText"/>
        <w:spacing w:line="480" w:lineRule="auto"/>
        <w:ind w:left="360" w:right="154" w:firstLine="719"/>
        <w:jc w:val="both"/>
      </w:pPr>
      <w:r>
        <w:rPr/>
        <w:t>That is to say where the court fails to make an order the Revenue Board cannot proceed to sell any defaulting tax payer‟s property (s) that is,his premises. This provision is considered to be of very important in order to protect the defaulting tax payer from the hands of overzealous tax officials and more so where the payment of tax is being contested in court by the tax payer.</w:t>
      </w:r>
    </w:p>
    <w:p>
      <w:pPr>
        <w:pStyle w:val="BodyText"/>
        <w:spacing w:line="480" w:lineRule="auto" w:before="1"/>
        <w:ind w:left="360" w:right="156" w:firstLine="719"/>
        <w:jc w:val="both"/>
      </w:pPr>
      <w:r>
        <w:rPr/>
        <w:t>In a similar vein the Act,</w:t>
      </w:r>
      <w:r>
        <w:rPr>
          <w:vertAlign w:val="superscript"/>
        </w:rPr>
        <w:t>14</w:t>
      </w:r>
      <w:r>
        <w:rPr>
          <w:spacing w:val="-4"/>
          <w:vertAlign w:val="baseline"/>
        </w:rPr>
        <w:t> </w:t>
      </w:r>
      <w:r>
        <w:rPr>
          <w:vertAlign w:val="baseline"/>
        </w:rPr>
        <w:t>also provides that „‟for the purpose of levying any</w:t>
      </w:r>
      <w:r>
        <w:rPr>
          <w:spacing w:val="-1"/>
          <w:vertAlign w:val="baseline"/>
        </w:rPr>
        <w:t> </w:t>
      </w:r>
      <w:r>
        <w:rPr>
          <w:vertAlign w:val="baseline"/>
        </w:rPr>
        <w:t>distress under this section an officer duly</w:t>
      </w:r>
      <w:r>
        <w:rPr>
          <w:spacing w:val="-4"/>
          <w:vertAlign w:val="baseline"/>
        </w:rPr>
        <w:t> </w:t>
      </w:r>
      <w:r>
        <w:rPr>
          <w:vertAlign w:val="baseline"/>
        </w:rPr>
        <w:t>authorized by</w:t>
      </w:r>
      <w:r>
        <w:rPr>
          <w:spacing w:val="-4"/>
          <w:vertAlign w:val="baseline"/>
        </w:rPr>
        <w:t> </w:t>
      </w:r>
      <w:r>
        <w:rPr>
          <w:vertAlign w:val="baseline"/>
        </w:rPr>
        <w:t>the Executive Chairman may</w:t>
      </w:r>
      <w:r>
        <w:rPr>
          <w:spacing w:val="-2"/>
          <w:vertAlign w:val="baseline"/>
        </w:rPr>
        <w:t> </w:t>
      </w:r>
      <w:r>
        <w:rPr>
          <w:vertAlign w:val="baseline"/>
        </w:rPr>
        <w:t>apply</w:t>
      </w:r>
      <w:r>
        <w:rPr>
          <w:spacing w:val="-4"/>
          <w:vertAlign w:val="baseline"/>
        </w:rPr>
        <w:t> </w:t>
      </w:r>
      <w:r>
        <w:rPr>
          <w:vertAlign w:val="baseline"/>
        </w:rPr>
        <w:t>to a judge of the Federal High Court sitting in chambers under oath for the issue of a warrant under this section‟‟.</w:t>
      </w:r>
      <w:r>
        <w:rPr>
          <w:spacing w:val="80"/>
          <w:w w:val="150"/>
          <w:vertAlign w:val="baseline"/>
        </w:rPr>
        <w:t> </w:t>
      </w:r>
      <w:r>
        <w:rPr>
          <w:vertAlign w:val="baseline"/>
        </w:rPr>
        <w:t>That is to say where the court is of the opinion not to grant the application,the duly</w:t>
      </w:r>
      <w:r>
        <w:rPr>
          <w:spacing w:val="-2"/>
          <w:vertAlign w:val="baseline"/>
        </w:rPr>
        <w:t> </w:t>
      </w:r>
      <w:r>
        <w:rPr>
          <w:vertAlign w:val="baseline"/>
        </w:rPr>
        <w:t>authorized officer cannot proceed to levy</w:t>
      </w:r>
      <w:r>
        <w:rPr>
          <w:spacing w:val="-2"/>
          <w:vertAlign w:val="baseline"/>
        </w:rPr>
        <w:t> </w:t>
      </w:r>
      <w:r>
        <w:rPr>
          <w:vertAlign w:val="baseline"/>
        </w:rPr>
        <w:t>or distain the tax payer‟s goods,chattels bonds or other securities, not to talk of even selling them off.</w:t>
      </w:r>
    </w:p>
    <w:p>
      <w:pPr>
        <w:pStyle w:val="BodyText"/>
        <w:spacing w:line="480" w:lineRule="auto"/>
        <w:ind w:left="360" w:right="164" w:firstLine="719"/>
        <w:jc w:val="both"/>
      </w:pPr>
      <w:r>
        <w:rPr/>
        <w:t>Also Professor Ayua.I.A also touched some issues in his book entitled the „‟Nigerian Income Tax Laws‟‟</w:t>
      </w:r>
      <w:r>
        <w:rPr>
          <w:vertAlign w:val="superscript"/>
        </w:rPr>
        <w:t>15</w:t>
      </w:r>
      <w:r>
        <w:rPr>
          <w:vertAlign w:val="baseline"/>
        </w:rPr>
        <w:t>, Chapter 12 extensively discussed petroleum profit tax.</w:t>
      </w:r>
    </w:p>
    <w:p>
      <w:pPr>
        <w:pStyle w:val="BodyText"/>
        <w:spacing w:line="480" w:lineRule="auto" w:before="1"/>
        <w:ind w:left="360" w:right="155" w:firstLine="719"/>
        <w:jc w:val="both"/>
      </w:pPr>
      <w:r>
        <w:rPr/>
        <w:t>The</w:t>
      </w:r>
      <w:r>
        <w:rPr>
          <w:spacing w:val="-7"/>
        </w:rPr>
        <w:t> </w:t>
      </w:r>
      <w:r>
        <w:rPr/>
        <w:t>book</w:t>
      </w:r>
      <w:r>
        <w:rPr>
          <w:spacing w:val="-6"/>
        </w:rPr>
        <w:t> </w:t>
      </w:r>
      <w:r>
        <w:rPr/>
        <w:t>entitled</w:t>
      </w:r>
      <w:r>
        <w:rPr>
          <w:spacing w:val="-6"/>
        </w:rPr>
        <w:t> </w:t>
      </w:r>
      <w:r>
        <w:rPr/>
        <w:t>„‟Income</w:t>
      </w:r>
      <w:r>
        <w:rPr>
          <w:spacing w:val="-6"/>
        </w:rPr>
        <w:t> </w:t>
      </w:r>
      <w:r>
        <w:rPr/>
        <w:t>Tax</w:t>
      </w:r>
      <w:r>
        <w:rPr>
          <w:spacing w:val="-2"/>
        </w:rPr>
        <w:t> </w:t>
      </w:r>
      <w:r>
        <w:rPr/>
        <w:t>Law</w:t>
      </w:r>
      <w:r>
        <w:rPr>
          <w:spacing w:val="-6"/>
        </w:rPr>
        <w:t> </w:t>
      </w:r>
      <w:r>
        <w:rPr/>
        <w:t>and</w:t>
      </w:r>
      <w:r>
        <w:rPr>
          <w:spacing w:val="-6"/>
        </w:rPr>
        <w:t> </w:t>
      </w:r>
      <w:r>
        <w:rPr/>
        <w:t>Practice</w:t>
      </w:r>
      <w:r>
        <w:rPr>
          <w:spacing w:val="-7"/>
        </w:rPr>
        <w:t> </w:t>
      </w:r>
      <w:r>
        <w:rPr/>
        <w:t>in</w:t>
      </w:r>
      <w:r>
        <w:rPr>
          <w:spacing w:val="-5"/>
        </w:rPr>
        <w:t> </w:t>
      </w:r>
      <w:r>
        <w:rPr/>
        <w:t>Nigeria‟‟</w:t>
      </w:r>
      <w:r>
        <w:rPr>
          <w:vertAlign w:val="superscript"/>
        </w:rPr>
        <w:t>16</w:t>
      </w:r>
      <w:r>
        <w:rPr>
          <w:spacing w:val="-9"/>
          <w:vertAlign w:val="baseline"/>
        </w:rPr>
        <w:t> </w:t>
      </w:r>
      <w:r>
        <w:rPr>
          <w:vertAlign w:val="baseline"/>
        </w:rPr>
        <w:t>has</w:t>
      </w:r>
      <w:r>
        <w:rPr>
          <w:spacing w:val="-6"/>
          <w:vertAlign w:val="baseline"/>
        </w:rPr>
        <w:t> </w:t>
      </w:r>
      <w:r>
        <w:rPr>
          <w:vertAlign w:val="baseline"/>
        </w:rPr>
        <w:t>also</w:t>
      </w:r>
      <w:r>
        <w:rPr>
          <w:spacing w:val="-5"/>
          <w:vertAlign w:val="baseline"/>
        </w:rPr>
        <w:t> </w:t>
      </w:r>
      <w:r>
        <w:rPr>
          <w:vertAlign w:val="baseline"/>
        </w:rPr>
        <w:t>treated</w:t>
      </w:r>
      <w:r>
        <w:rPr>
          <w:spacing w:val="-6"/>
          <w:vertAlign w:val="baseline"/>
        </w:rPr>
        <w:t> </w:t>
      </w:r>
      <w:r>
        <w:rPr>
          <w:vertAlign w:val="baseline"/>
        </w:rPr>
        <w:t>some issues related to assessment of PPT. The issues like peculiarities of assessment of petroleum profits, administration of the tax,persons liable to pay tax as well as assessment of petroleum tax are all discussed.</w:t>
      </w:r>
    </w:p>
    <w:p>
      <w:pPr>
        <w:pStyle w:val="BodyText"/>
        <w:ind w:left="1080"/>
        <w:jc w:val="both"/>
      </w:pPr>
      <w:r>
        <w:rPr/>
        <w:t>According</w:t>
      </w:r>
      <w:r>
        <w:rPr>
          <w:spacing w:val="8"/>
        </w:rPr>
        <w:t> </w:t>
      </w:r>
      <w:r>
        <w:rPr/>
        <w:t>toAyodeleOdusola</w:t>
      </w:r>
      <w:r>
        <w:rPr>
          <w:spacing w:val="12"/>
        </w:rPr>
        <w:t> </w:t>
      </w:r>
      <w:r>
        <w:rPr/>
        <w:t>2006,PPT</w:t>
      </w:r>
      <w:r>
        <w:rPr>
          <w:spacing w:val="12"/>
        </w:rPr>
        <w:t> </w:t>
      </w:r>
      <w:r>
        <w:rPr/>
        <w:t>is</w:t>
      </w:r>
      <w:r>
        <w:rPr>
          <w:spacing w:val="13"/>
        </w:rPr>
        <w:t> </w:t>
      </w:r>
      <w:r>
        <w:rPr/>
        <w:t>a</w:t>
      </w:r>
      <w:r>
        <w:rPr>
          <w:spacing w:val="12"/>
        </w:rPr>
        <w:t> </w:t>
      </w:r>
      <w:r>
        <w:rPr/>
        <w:t>tax</w:t>
      </w:r>
      <w:r>
        <w:rPr>
          <w:spacing w:val="12"/>
        </w:rPr>
        <w:t> </w:t>
      </w:r>
      <w:r>
        <w:rPr/>
        <w:t>applicable</w:t>
      </w:r>
      <w:r>
        <w:rPr>
          <w:spacing w:val="12"/>
        </w:rPr>
        <w:t> </w:t>
      </w:r>
      <w:r>
        <w:rPr/>
        <w:t>to</w:t>
      </w:r>
      <w:r>
        <w:rPr>
          <w:spacing w:val="13"/>
        </w:rPr>
        <w:t> </w:t>
      </w:r>
      <w:r>
        <w:rPr/>
        <w:t>upstream</w:t>
      </w:r>
      <w:r>
        <w:rPr>
          <w:spacing w:val="13"/>
        </w:rPr>
        <w:t> </w:t>
      </w:r>
      <w:r>
        <w:rPr/>
        <w:t>operations</w:t>
      </w:r>
      <w:r>
        <w:rPr>
          <w:spacing w:val="13"/>
        </w:rPr>
        <w:t> </w:t>
      </w:r>
      <w:r>
        <w:rPr>
          <w:spacing w:val="-5"/>
        </w:rPr>
        <w:t>in</w:t>
      </w:r>
    </w:p>
    <w:p>
      <w:pPr>
        <w:pStyle w:val="BodyText"/>
      </w:pPr>
    </w:p>
    <w:p>
      <w:pPr>
        <w:pStyle w:val="BodyText"/>
        <w:ind w:left="360"/>
        <w:jc w:val="both"/>
      </w:pPr>
      <w:r>
        <w:rPr/>
        <w:t>the</w:t>
      </w:r>
      <w:r>
        <w:rPr>
          <w:spacing w:val="-3"/>
        </w:rPr>
        <w:t> </w:t>
      </w:r>
      <w:r>
        <w:rPr/>
        <w:t>oil</w:t>
      </w:r>
      <w:r>
        <w:rPr>
          <w:spacing w:val="2"/>
        </w:rPr>
        <w:t> </w:t>
      </w:r>
      <w:r>
        <w:rPr/>
        <w:t>industry.</w:t>
      </w:r>
      <w:r>
        <w:rPr>
          <w:spacing w:val="5"/>
        </w:rPr>
        <w:t> </w:t>
      </w:r>
      <w:r>
        <w:rPr/>
        <w:t>It</w:t>
      </w:r>
      <w:r>
        <w:rPr>
          <w:spacing w:val="5"/>
        </w:rPr>
        <w:t> </w:t>
      </w:r>
      <w:r>
        <w:rPr/>
        <w:t>is</w:t>
      </w:r>
      <w:r>
        <w:rPr>
          <w:spacing w:val="1"/>
        </w:rPr>
        <w:t> </w:t>
      </w:r>
      <w:r>
        <w:rPr/>
        <w:t>particularly</w:t>
      </w:r>
      <w:r>
        <w:rPr>
          <w:spacing w:val="-4"/>
        </w:rPr>
        <w:t> </w:t>
      </w:r>
      <w:r>
        <w:rPr/>
        <w:t>related</w:t>
      </w:r>
      <w:r>
        <w:rPr>
          <w:spacing w:val="1"/>
        </w:rPr>
        <w:t> </w:t>
      </w:r>
      <w:r>
        <w:rPr/>
        <w:t>to</w:t>
      </w:r>
      <w:r>
        <w:rPr>
          <w:spacing w:val="1"/>
        </w:rPr>
        <w:t> </w:t>
      </w:r>
      <w:r>
        <w:rPr/>
        <w:t>rents,royalties,margins</w:t>
      </w:r>
      <w:r>
        <w:rPr>
          <w:spacing w:val="1"/>
        </w:rPr>
        <w:t> </w:t>
      </w:r>
      <w:r>
        <w:rPr/>
        <w:t>and</w:t>
      </w:r>
      <w:r>
        <w:rPr>
          <w:spacing w:val="1"/>
        </w:rPr>
        <w:t> </w:t>
      </w:r>
      <w:r>
        <w:rPr/>
        <w:t>profit</w:t>
      </w:r>
      <w:r>
        <w:rPr>
          <w:spacing w:val="1"/>
        </w:rPr>
        <w:t> </w:t>
      </w:r>
      <w:r>
        <w:rPr/>
        <w:t>sharing</w:t>
      </w:r>
      <w:r>
        <w:rPr>
          <w:spacing w:val="1"/>
        </w:rPr>
        <w:t> </w:t>
      </w:r>
      <w:r>
        <w:rPr>
          <w:spacing w:val="-2"/>
        </w:rPr>
        <w:t>elements</w:t>
      </w:r>
    </w:p>
    <w:p>
      <w:pPr>
        <w:pStyle w:val="BodyText"/>
        <w:spacing w:before="11"/>
        <w:rPr>
          <w:sz w:val="15"/>
        </w:rPr>
      </w:pPr>
      <w:r>
        <w:rPr/>
        <mc:AlternateContent>
          <mc:Choice Requires="wps">
            <w:drawing>
              <wp:anchor distT="0" distB="0" distL="0" distR="0" allowOverlap="1" layoutInCell="1" locked="0" behindDoc="1" simplePos="0" relativeHeight="487596032">
                <wp:simplePos x="0" y="0"/>
                <wp:positionH relativeFrom="page">
                  <wp:posOffset>914704</wp:posOffset>
                </wp:positionH>
                <wp:positionV relativeFrom="paragraph">
                  <wp:posOffset>131988</wp:posOffset>
                </wp:positionV>
                <wp:extent cx="1829435" cy="9525"/>
                <wp:effectExtent l="0" t="0" r="0" b="0"/>
                <wp:wrapTopAndBottom/>
                <wp:docPr id="19" name="Graphic 19"/>
                <wp:cNvGraphicFramePr>
                  <a:graphicFrameLocks/>
                </wp:cNvGraphicFramePr>
                <a:graphic>
                  <a:graphicData uri="http://schemas.microsoft.com/office/word/2010/wordprocessingShape">
                    <wps:wsp>
                      <wps:cNvPr id="19" name="Graphic 19"/>
                      <wps:cNvSpPr/>
                      <wps:spPr>
                        <a:xfrm>
                          <a:off x="0" y="0"/>
                          <a:ext cx="1829435" cy="9525"/>
                        </a:xfrm>
                        <a:custGeom>
                          <a:avLst/>
                          <a:gdLst/>
                          <a:ahLst/>
                          <a:cxnLst/>
                          <a:rect l="l" t="t" r="r" b="b"/>
                          <a:pathLst>
                            <a:path w="1829435" h="9525">
                              <a:moveTo>
                                <a:pt x="1829054" y="0"/>
                              </a:moveTo>
                              <a:lnTo>
                                <a:pt x="0" y="0"/>
                              </a:lnTo>
                              <a:lnTo>
                                <a:pt x="0" y="9143"/>
                              </a:lnTo>
                              <a:lnTo>
                                <a:pt x="1829054" y="9143"/>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10.392764pt;width:144.020pt;height:.71997pt;mso-position-horizontal-relative:page;mso-position-vertical-relative:paragraph;z-index:-15720448;mso-wrap-distance-left:0;mso-wrap-distance-right:0" id="docshape19" filled="true" fillcolor="#000000" stroked="false">
                <v:fill type="solid"/>
                <w10:wrap type="topAndBottom"/>
              </v:rect>
            </w:pict>
          </mc:Fallback>
        </mc:AlternateContent>
      </w:r>
    </w:p>
    <w:p>
      <w:pPr>
        <w:spacing w:before="102"/>
        <w:ind w:left="360" w:right="0" w:firstLine="0"/>
        <w:jc w:val="left"/>
        <w:rPr>
          <w:rFonts w:ascii="Calibri"/>
          <w:sz w:val="20"/>
        </w:rPr>
      </w:pPr>
      <w:r>
        <w:rPr>
          <w:rFonts w:ascii="Calibri"/>
          <w:sz w:val="20"/>
          <w:vertAlign w:val="superscript"/>
        </w:rPr>
        <w:t>13</w:t>
      </w:r>
      <w:r>
        <w:rPr>
          <w:rFonts w:ascii="Calibri"/>
          <w:spacing w:val="-6"/>
          <w:sz w:val="20"/>
          <w:vertAlign w:val="baseline"/>
        </w:rPr>
        <w:t> </w:t>
      </w:r>
      <w:r>
        <w:rPr>
          <w:rFonts w:ascii="Calibri"/>
          <w:sz w:val="20"/>
          <w:vertAlign w:val="baseline"/>
        </w:rPr>
        <w:t>Section</w:t>
      </w:r>
      <w:r>
        <w:rPr>
          <w:rFonts w:ascii="Calibri"/>
          <w:spacing w:val="-5"/>
          <w:sz w:val="20"/>
          <w:vertAlign w:val="baseline"/>
        </w:rPr>
        <w:t> </w:t>
      </w:r>
      <w:r>
        <w:rPr>
          <w:rFonts w:ascii="Calibri"/>
          <w:sz w:val="20"/>
          <w:vertAlign w:val="baseline"/>
        </w:rPr>
        <w:t>33(6)</w:t>
      </w:r>
      <w:r>
        <w:rPr>
          <w:rFonts w:ascii="Calibri"/>
          <w:spacing w:val="-5"/>
          <w:sz w:val="20"/>
          <w:vertAlign w:val="baseline"/>
        </w:rPr>
        <w:t> </w:t>
      </w:r>
      <w:r>
        <w:rPr>
          <w:rFonts w:ascii="Calibri"/>
          <w:sz w:val="20"/>
          <w:vertAlign w:val="baseline"/>
        </w:rPr>
        <w:t>FIRS</w:t>
      </w:r>
      <w:r>
        <w:rPr>
          <w:rFonts w:ascii="Calibri"/>
          <w:spacing w:val="-6"/>
          <w:sz w:val="20"/>
          <w:vertAlign w:val="baseline"/>
        </w:rPr>
        <w:t> </w:t>
      </w:r>
      <w:r>
        <w:rPr>
          <w:rFonts w:ascii="Calibri"/>
          <w:sz w:val="20"/>
          <w:vertAlign w:val="baseline"/>
        </w:rPr>
        <w:t>Act</w:t>
      </w:r>
      <w:r>
        <w:rPr>
          <w:rFonts w:ascii="Calibri"/>
          <w:spacing w:val="-4"/>
          <w:sz w:val="20"/>
          <w:vertAlign w:val="baseline"/>
        </w:rPr>
        <w:t> 2007.</w:t>
      </w:r>
    </w:p>
    <w:p>
      <w:pPr>
        <w:spacing w:before="1"/>
        <w:ind w:left="360" w:right="0" w:firstLine="0"/>
        <w:jc w:val="left"/>
        <w:rPr>
          <w:rFonts w:ascii="Calibri"/>
          <w:sz w:val="20"/>
        </w:rPr>
      </w:pPr>
      <w:r>
        <w:rPr>
          <w:rFonts w:ascii="Calibri"/>
          <w:sz w:val="20"/>
          <w:vertAlign w:val="superscript"/>
        </w:rPr>
        <w:t>14</w:t>
      </w:r>
      <w:r>
        <w:rPr>
          <w:rFonts w:ascii="Calibri"/>
          <w:spacing w:val="-7"/>
          <w:sz w:val="20"/>
          <w:vertAlign w:val="baseline"/>
        </w:rPr>
        <w:t> </w:t>
      </w:r>
      <w:r>
        <w:rPr>
          <w:rFonts w:ascii="Calibri"/>
          <w:sz w:val="20"/>
          <w:vertAlign w:val="baseline"/>
        </w:rPr>
        <w:t>Ibid</w:t>
      </w:r>
      <w:r>
        <w:rPr>
          <w:rFonts w:ascii="Calibri"/>
          <w:spacing w:val="-5"/>
          <w:sz w:val="20"/>
          <w:vertAlign w:val="baseline"/>
        </w:rPr>
        <w:t> </w:t>
      </w:r>
      <w:r>
        <w:rPr>
          <w:rFonts w:ascii="Calibri"/>
          <w:sz w:val="20"/>
          <w:vertAlign w:val="baseline"/>
        </w:rPr>
        <w:t>Section</w:t>
      </w:r>
      <w:r>
        <w:rPr>
          <w:rFonts w:ascii="Calibri"/>
          <w:spacing w:val="-6"/>
          <w:sz w:val="20"/>
          <w:vertAlign w:val="baseline"/>
        </w:rPr>
        <w:t> </w:t>
      </w:r>
      <w:r>
        <w:rPr>
          <w:rFonts w:ascii="Calibri"/>
          <w:spacing w:val="-2"/>
          <w:sz w:val="20"/>
          <w:vertAlign w:val="baseline"/>
        </w:rPr>
        <w:t>33(3).</w:t>
      </w:r>
    </w:p>
    <w:p>
      <w:pPr>
        <w:spacing w:line="243" w:lineRule="exact" w:before="1"/>
        <w:ind w:left="360" w:right="0" w:firstLine="0"/>
        <w:jc w:val="left"/>
        <w:rPr>
          <w:rFonts w:ascii="Calibri"/>
          <w:sz w:val="20"/>
        </w:rPr>
      </w:pPr>
      <w:r>
        <w:rPr>
          <w:rFonts w:ascii="Calibri"/>
          <w:sz w:val="20"/>
          <w:vertAlign w:val="superscript"/>
        </w:rPr>
        <w:t>15</w:t>
      </w:r>
      <w:r>
        <w:rPr>
          <w:rFonts w:ascii="Calibri"/>
          <w:spacing w:val="-7"/>
          <w:sz w:val="20"/>
          <w:vertAlign w:val="baseline"/>
        </w:rPr>
        <w:t> </w:t>
      </w:r>
      <w:r>
        <w:rPr>
          <w:rFonts w:ascii="Calibri"/>
          <w:sz w:val="20"/>
          <w:vertAlign w:val="baseline"/>
        </w:rPr>
        <w:t>Ayua,</w:t>
      </w:r>
      <w:r>
        <w:rPr>
          <w:rFonts w:ascii="Calibri"/>
          <w:spacing w:val="-6"/>
          <w:sz w:val="20"/>
          <w:vertAlign w:val="baseline"/>
        </w:rPr>
        <w:t> </w:t>
      </w:r>
      <w:r>
        <w:rPr>
          <w:rFonts w:ascii="Calibri"/>
          <w:sz w:val="20"/>
          <w:vertAlign w:val="baseline"/>
        </w:rPr>
        <w:t>I.</w:t>
      </w:r>
      <w:r>
        <w:rPr>
          <w:rFonts w:ascii="Calibri"/>
          <w:spacing w:val="-6"/>
          <w:sz w:val="20"/>
          <w:vertAlign w:val="baseline"/>
        </w:rPr>
        <w:t> </w:t>
      </w:r>
      <w:r>
        <w:rPr>
          <w:rFonts w:ascii="Calibri"/>
          <w:sz w:val="20"/>
          <w:vertAlign w:val="baseline"/>
        </w:rPr>
        <w:t>A.</w:t>
      </w:r>
      <w:r>
        <w:rPr>
          <w:rFonts w:ascii="Calibri"/>
          <w:spacing w:val="-5"/>
          <w:sz w:val="20"/>
          <w:vertAlign w:val="baseline"/>
        </w:rPr>
        <w:t> </w:t>
      </w:r>
      <w:r>
        <w:rPr>
          <w:rFonts w:ascii="Calibri"/>
          <w:sz w:val="20"/>
          <w:vertAlign w:val="baseline"/>
        </w:rPr>
        <w:t>(1996),</w:t>
      </w:r>
      <w:r>
        <w:rPr>
          <w:rFonts w:ascii="Calibri"/>
          <w:spacing w:val="-6"/>
          <w:sz w:val="20"/>
          <w:vertAlign w:val="baseline"/>
        </w:rPr>
        <w:t> </w:t>
      </w:r>
      <w:r>
        <w:rPr>
          <w:rFonts w:ascii="Calibri"/>
          <w:sz w:val="20"/>
          <w:vertAlign w:val="baseline"/>
        </w:rPr>
        <w:t>Spectrum</w:t>
      </w:r>
      <w:r>
        <w:rPr>
          <w:rFonts w:ascii="Calibri"/>
          <w:spacing w:val="-6"/>
          <w:sz w:val="20"/>
          <w:vertAlign w:val="baseline"/>
        </w:rPr>
        <w:t> </w:t>
      </w:r>
      <w:r>
        <w:rPr>
          <w:rFonts w:ascii="Calibri"/>
          <w:sz w:val="20"/>
          <w:vertAlign w:val="baseline"/>
        </w:rPr>
        <w:t>Law</w:t>
      </w:r>
      <w:r>
        <w:rPr>
          <w:rFonts w:ascii="Calibri"/>
          <w:spacing w:val="-7"/>
          <w:sz w:val="20"/>
          <w:vertAlign w:val="baseline"/>
        </w:rPr>
        <w:t> </w:t>
      </w:r>
      <w:r>
        <w:rPr>
          <w:rFonts w:ascii="Calibri"/>
          <w:sz w:val="20"/>
          <w:vertAlign w:val="baseline"/>
        </w:rPr>
        <w:t>Publishing.</w:t>
      </w:r>
      <w:r>
        <w:rPr>
          <w:rFonts w:ascii="Calibri"/>
          <w:spacing w:val="-7"/>
          <w:sz w:val="20"/>
          <w:vertAlign w:val="baseline"/>
        </w:rPr>
        <w:t> </w:t>
      </w:r>
      <w:r>
        <w:rPr>
          <w:rFonts w:ascii="Calibri"/>
          <w:sz w:val="20"/>
          <w:vertAlign w:val="baseline"/>
        </w:rPr>
        <w:t>Ibadan</w:t>
      </w:r>
      <w:r>
        <w:rPr>
          <w:rFonts w:ascii="Calibri"/>
          <w:spacing w:val="-5"/>
          <w:sz w:val="20"/>
          <w:vertAlign w:val="baseline"/>
        </w:rPr>
        <w:t> </w:t>
      </w:r>
      <w:r>
        <w:rPr>
          <w:rFonts w:ascii="Calibri"/>
          <w:spacing w:val="-2"/>
          <w:sz w:val="20"/>
          <w:vertAlign w:val="baseline"/>
        </w:rPr>
        <w:t>Nigeria</w:t>
      </w:r>
    </w:p>
    <w:p>
      <w:pPr>
        <w:spacing w:before="0"/>
        <w:ind w:left="360" w:right="951" w:firstLine="0"/>
        <w:jc w:val="left"/>
        <w:rPr>
          <w:rFonts w:ascii="Calibri" w:hAnsi="Calibri"/>
          <w:sz w:val="20"/>
        </w:rPr>
      </w:pPr>
      <w:r>
        <w:rPr>
          <w:rFonts w:ascii="Calibri" w:hAnsi="Calibri"/>
          <w:sz w:val="20"/>
          <w:vertAlign w:val="superscript"/>
        </w:rPr>
        <w:t>16</w:t>
      </w:r>
      <w:r>
        <w:rPr>
          <w:rFonts w:ascii="Calibri" w:hAnsi="Calibri"/>
          <w:spacing w:val="-5"/>
          <w:sz w:val="20"/>
          <w:vertAlign w:val="baseline"/>
        </w:rPr>
        <w:t> </w:t>
      </w:r>
      <w:r>
        <w:rPr>
          <w:rFonts w:ascii="Calibri" w:hAnsi="Calibri"/>
          <w:sz w:val="20"/>
          <w:vertAlign w:val="baseline"/>
        </w:rPr>
        <w:t>Ola,</w:t>
      </w:r>
      <w:r>
        <w:rPr>
          <w:rFonts w:ascii="Calibri" w:hAnsi="Calibri"/>
          <w:spacing w:val="-4"/>
          <w:sz w:val="20"/>
          <w:vertAlign w:val="baseline"/>
        </w:rPr>
        <w:t> </w:t>
      </w:r>
      <w:r>
        <w:rPr>
          <w:rFonts w:ascii="Calibri" w:hAnsi="Calibri"/>
          <w:sz w:val="20"/>
          <w:vertAlign w:val="baseline"/>
        </w:rPr>
        <w:t>C.S.</w:t>
      </w:r>
      <w:r>
        <w:rPr>
          <w:rFonts w:ascii="Calibri" w:hAnsi="Calibri"/>
          <w:spacing w:val="-4"/>
          <w:sz w:val="20"/>
          <w:vertAlign w:val="baseline"/>
        </w:rPr>
        <w:t> </w:t>
      </w:r>
      <w:r>
        <w:rPr>
          <w:rFonts w:ascii="Calibri" w:hAnsi="Calibri"/>
          <w:sz w:val="20"/>
          <w:vertAlign w:val="baseline"/>
        </w:rPr>
        <w:t>(2001),</w:t>
      </w:r>
      <w:r>
        <w:rPr>
          <w:rFonts w:ascii="Calibri" w:hAnsi="Calibri"/>
          <w:i/>
          <w:sz w:val="20"/>
          <w:vertAlign w:val="baseline"/>
        </w:rPr>
        <w:t>“Income</w:t>
      </w:r>
      <w:r>
        <w:rPr>
          <w:rFonts w:ascii="Calibri" w:hAnsi="Calibri"/>
          <w:i/>
          <w:spacing w:val="-4"/>
          <w:sz w:val="20"/>
          <w:vertAlign w:val="baseline"/>
        </w:rPr>
        <w:t> </w:t>
      </w:r>
      <w:r>
        <w:rPr>
          <w:rFonts w:ascii="Calibri" w:hAnsi="Calibri"/>
          <w:i/>
          <w:sz w:val="20"/>
          <w:vertAlign w:val="baseline"/>
        </w:rPr>
        <w:t>Tax</w:t>
      </w:r>
      <w:r>
        <w:rPr>
          <w:rFonts w:ascii="Calibri" w:hAnsi="Calibri"/>
          <w:i/>
          <w:spacing w:val="-4"/>
          <w:sz w:val="20"/>
          <w:vertAlign w:val="baseline"/>
        </w:rPr>
        <w:t> </w:t>
      </w:r>
      <w:r>
        <w:rPr>
          <w:rFonts w:ascii="Calibri" w:hAnsi="Calibri"/>
          <w:i/>
          <w:sz w:val="20"/>
          <w:vertAlign w:val="baseline"/>
        </w:rPr>
        <w:t>Law</w:t>
      </w:r>
      <w:r>
        <w:rPr>
          <w:rFonts w:ascii="Calibri" w:hAnsi="Calibri"/>
          <w:i/>
          <w:spacing w:val="-3"/>
          <w:sz w:val="20"/>
          <w:vertAlign w:val="baseline"/>
        </w:rPr>
        <w:t> </w:t>
      </w:r>
      <w:r>
        <w:rPr>
          <w:rFonts w:ascii="Calibri" w:hAnsi="Calibri"/>
          <w:i/>
          <w:sz w:val="20"/>
          <w:vertAlign w:val="baseline"/>
        </w:rPr>
        <w:t>and</w:t>
      </w:r>
      <w:r>
        <w:rPr>
          <w:rFonts w:ascii="Calibri" w:hAnsi="Calibri"/>
          <w:i/>
          <w:spacing w:val="-4"/>
          <w:sz w:val="20"/>
          <w:vertAlign w:val="baseline"/>
        </w:rPr>
        <w:t> </w:t>
      </w:r>
      <w:r>
        <w:rPr>
          <w:rFonts w:ascii="Calibri" w:hAnsi="Calibri"/>
          <w:i/>
          <w:sz w:val="20"/>
          <w:vertAlign w:val="baseline"/>
        </w:rPr>
        <w:t>Practice</w:t>
      </w:r>
      <w:r>
        <w:rPr>
          <w:rFonts w:ascii="Calibri" w:hAnsi="Calibri"/>
          <w:i/>
          <w:spacing w:val="-4"/>
          <w:sz w:val="20"/>
          <w:vertAlign w:val="baseline"/>
        </w:rPr>
        <w:t> </w:t>
      </w:r>
      <w:r>
        <w:rPr>
          <w:rFonts w:ascii="Calibri" w:hAnsi="Calibri"/>
          <w:i/>
          <w:sz w:val="20"/>
          <w:vertAlign w:val="baseline"/>
        </w:rPr>
        <w:t>in</w:t>
      </w:r>
      <w:r>
        <w:rPr>
          <w:rFonts w:ascii="Calibri" w:hAnsi="Calibri"/>
          <w:i/>
          <w:spacing w:val="-4"/>
          <w:sz w:val="20"/>
          <w:vertAlign w:val="baseline"/>
        </w:rPr>
        <w:t> </w:t>
      </w:r>
      <w:r>
        <w:rPr>
          <w:rFonts w:ascii="Calibri" w:hAnsi="Calibri"/>
          <w:i/>
          <w:sz w:val="20"/>
          <w:vertAlign w:val="baseline"/>
        </w:rPr>
        <w:t>Nigeria”</w:t>
      </w:r>
      <w:r>
        <w:rPr>
          <w:rFonts w:ascii="Calibri" w:hAnsi="Calibri"/>
          <w:sz w:val="20"/>
          <w:vertAlign w:val="baseline"/>
        </w:rPr>
        <w:t>,</w:t>
      </w:r>
      <w:r>
        <w:rPr>
          <w:rFonts w:ascii="Calibri" w:hAnsi="Calibri"/>
          <w:spacing w:val="-4"/>
          <w:sz w:val="20"/>
          <w:vertAlign w:val="baseline"/>
        </w:rPr>
        <w:t> </w:t>
      </w:r>
      <w:r>
        <w:rPr>
          <w:rFonts w:ascii="Calibri" w:hAnsi="Calibri"/>
          <w:sz w:val="20"/>
          <w:vertAlign w:val="baseline"/>
        </w:rPr>
        <w:t>Heinemann</w:t>
      </w:r>
      <w:r>
        <w:rPr>
          <w:rFonts w:ascii="Calibri" w:hAnsi="Calibri"/>
          <w:spacing w:val="-4"/>
          <w:sz w:val="20"/>
          <w:vertAlign w:val="baseline"/>
        </w:rPr>
        <w:t> </w:t>
      </w:r>
      <w:r>
        <w:rPr>
          <w:rFonts w:ascii="Calibri" w:hAnsi="Calibri"/>
          <w:sz w:val="20"/>
          <w:vertAlign w:val="baseline"/>
        </w:rPr>
        <w:t>Educational</w:t>
      </w:r>
      <w:r>
        <w:rPr>
          <w:rFonts w:ascii="Calibri" w:hAnsi="Calibri"/>
          <w:spacing w:val="-4"/>
          <w:sz w:val="20"/>
          <w:vertAlign w:val="baseline"/>
        </w:rPr>
        <w:t> </w:t>
      </w:r>
      <w:r>
        <w:rPr>
          <w:rFonts w:ascii="Calibri" w:hAnsi="Calibri"/>
          <w:sz w:val="20"/>
          <w:vertAlign w:val="baseline"/>
        </w:rPr>
        <w:t>Book(Nigeria)Plc </w:t>
      </w:r>
      <w:r>
        <w:rPr>
          <w:rFonts w:ascii="Calibri" w:hAnsi="Calibri"/>
          <w:spacing w:val="-2"/>
          <w:sz w:val="20"/>
          <w:vertAlign w:val="baseline"/>
        </w:rPr>
        <w:t>Ibadan,pp.534-544.</w:t>
      </w:r>
    </w:p>
    <w:p>
      <w:pPr>
        <w:spacing w:after="0"/>
        <w:jc w:val="left"/>
        <w:rPr>
          <w:rFonts w:ascii="Calibri" w:hAnsi="Calibri"/>
          <w:sz w:val="20"/>
        </w:rPr>
        <w:sectPr>
          <w:pgSz w:w="11910" w:h="16840"/>
          <w:pgMar w:header="0" w:footer="1000" w:top="1340" w:bottom="1200" w:left="1080" w:right="1280"/>
        </w:sectPr>
      </w:pPr>
    </w:p>
    <w:p>
      <w:pPr>
        <w:pStyle w:val="BodyText"/>
        <w:spacing w:line="480" w:lineRule="auto" w:before="74"/>
        <w:ind w:left="360" w:right="155"/>
        <w:jc w:val="both"/>
      </w:pPr>
      <w:r>
        <w:rPr/>
        <w:t>associated with oil mining,prospecting and exploration leases.it is the most important tax in Nigerian in terms of its share of total revenue contributing 95 and 70 percent of foreign exchange earnings and government revenue respectively.</w:t>
      </w:r>
    </w:p>
    <w:p>
      <w:pPr>
        <w:pStyle w:val="BodyText"/>
        <w:spacing w:line="480" w:lineRule="auto"/>
        <w:ind w:left="360" w:right="156" w:firstLine="719"/>
        <w:jc w:val="both"/>
      </w:pPr>
      <w:r>
        <w:rPr/>
        <w:t>A petroleum operation as defined in the PPTA essentially involves petroleum exploration, development,production, and sale of crude oil. The Petroleum Profit Tax is regulated by the Petroleum Profit Tax Act of 2007.although the initial law was passed in</w:t>
      </w:r>
      <w:r>
        <w:rPr>
          <w:spacing w:val="40"/>
        </w:rPr>
        <w:t> </w:t>
      </w:r>
      <w:r>
        <w:rPr/>
        <w:t>1959 to capture the first oil export made in that year.</w:t>
      </w:r>
    </w:p>
    <w:p>
      <w:pPr>
        <w:pStyle w:val="BodyText"/>
        <w:spacing w:line="480" w:lineRule="auto" w:before="1"/>
        <w:ind w:left="360" w:right="160" w:firstLine="719"/>
        <w:jc w:val="both"/>
      </w:pPr>
      <w:r>
        <w:rPr/>
        <w:t>Section 8 of the Petroleum Profit Tax Act (PPTA) states that every</w:t>
      </w:r>
      <w:r>
        <w:rPr>
          <w:spacing w:val="-1"/>
        </w:rPr>
        <w:t> </w:t>
      </w:r>
      <w:r>
        <w:rPr/>
        <w:t>company</w:t>
      </w:r>
      <w:r>
        <w:rPr>
          <w:spacing w:val="-1"/>
        </w:rPr>
        <w:t> </w:t>
      </w:r>
      <w:r>
        <w:rPr/>
        <w:t>engaged in petroleum operations is under an obligation to render return, together with properly</w:t>
      </w:r>
      <w:r>
        <w:rPr>
          <w:spacing w:val="-1"/>
        </w:rPr>
        <w:t> </w:t>
      </w:r>
      <w:r>
        <w:rPr/>
        <w:t>annual audited accounts and computations, within a specified time after the end of its accounting period, Petroleum profits tax is charged, assessed and payable upon the profits of each accounting period of any company engaged in petroleum operations during any such accounting period, usually one year ( January to December).</w:t>
      </w:r>
    </w:p>
    <w:p>
      <w:pPr>
        <w:pStyle w:val="BodyText"/>
        <w:spacing w:line="480" w:lineRule="auto"/>
        <w:ind w:left="360" w:right="155" w:firstLine="719"/>
        <w:jc w:val="both"/>
      </w:pPr>
      <w:r>
        <w:rPr/>
        <w:t>Another text worthy of review is a book written by Olisa entitled Nigerian Petroleum Law and Practice</w:t>
      </w:r>
      <w:r>
        <w:rPr>
          <w:vertAlign w:val="superscript"/>
        </w:rPr>
        <w:t>17</w:t>
      </w:r>
      <w:r>
        <w:rPr>
          <w:spacing w:val="-1"/>
          <w:vertAlign w:val="baseline"/>
        </w:rPr>
        <w:t> </w:t>
      </w:r>
      <w:r>
        <w:rPr>
          <w:vertAlign w:val="baseline"/>
        </w:rPr>
        <w:t>which focuses more on the activities and services that are cantered on the petroleum industry.</w:t>
      </w:r>
    </w:p>
    <w:p>
      <w:pPr>
        <w:pStyle w:val="BodyText"/>
        <w:spacing w:line="480" w:lineRule="auto"/>
        <w:ind w:left="360" w:right="158" w:firstLine="719"/>
        <w:jc w:val="both"/>
      </w:pPr>
      <w:r>
        <w:rPr/>
        <w:t>The</w:t>
      </w:r>
      <w:r>
        <w:rPr>
          <w:spacing w:val="-4"/>
        </w:rPr>
        <w:t> </w:t>
      </w:r>
      <w:r>
        <w:rPr/>
        <w:t>books fail</w:t>
      </w:r>
      <w:r>
        <w:rPr>
          <w:spacing w:val="-1"/>
        </w:rPr>
        <w:t> </w:t>
      </w:r>
      <w:r>
        <w:rPr/>
        <w:t>to</w:t>
      </w:r>
      <w:r>
        <w:rPr>
          <w:spacing w:val="-2"/>
        </w:rPr>
        <w:t> </w:t>
      </w:r>
      <w:r>
        <w:rPr/>
        <w:t>pinpoint</w:t>
      </w:r>
      <w:r>
        <w:rPr>
          <w:spacing w:val="-2"/>
        </w:rPr>
        <w:t> </w:t>
      </w:r>
      <w:r>
        <w:rPr/>
        <w:t>the</w:t>
      </w:r>
      <w:r>
        <w:rPr>
          <w:spacing w:val="-3"/>
        </w:rPr>
        <w:t> </w:t>
      </w:r>
      <w:r>
        <w:rPr/>
        <w:t>loopholes</w:t>
      </w:r>
      <w:r>
        <w:rPr>
          <w:spacing w:val="-2"/>
        </w:rPr>
        <w:t> </w:t>
      </w:r>
      <w:r>
        <w:rPr/>
        <w:t>in</w:t>
      </w:r>
      <w:r>
        <w:rPr>
          <w:spacing w:val="-2"/>
        </w:rPr>
        <w:t> </w:t>
      </w:r>
      <w:r>
        <w:rPr/>
        <w:t>the</w:t>
      </w:r>
      <w:r>
        <w:rPr>
          <w:spacing w:val="-1"/>
        </w:rPr>
        <w:t> </w:t>
      </w:r>
      <w:r>
        <w:rPr/>
        <w:t>provisions</w:t>
      </w:r>
      <w:r>
        <w:rPr>
          <w:spacing w:val="-2"/>
        </w:rPr>
        <w:t> </w:t>
      </w:r>
      <w:r>
        <w:rPr/>
        <w:t>governing</w:t>
      </w:r>
      <w:r>
        <w:rPr>
          <w:spacing w:val="-2"/>
        </w:rPr>
        <w:t> </w:t>
      </w:r>
      <w:r>
        <w:rPr/>
        <w:t>the</w:t>
      </w:r>
      <w:r>
        <w:rPr>
          <w:spacing w:val="-2"/>
        </w:rPr>
        <w:t> </w:t>
      </w:r>
      <w:r>
        <w:rPr/>
        <w:t>taxation</w:t>
      </w:r>
      <w:r>
        <w:rPr>
          <w:spacing w:val="-2"/>
        </w:rPr>
        <w:t> </w:t>
      </w:r>
      <w:r>
        <w:rPr/>
        <w:t>of</w:t>
      </w:r>
      <w:r>
        <w:rPr>
          <w:spacing w:val="-3"/>
        </w:rPr>
        <w:t> </w:t>
      </w:r>
      <w:r>
        <w:rPr/>
        <w:t>oil producing companies. Furthermore, theproblem of tax evasion/avoidance has not been specifically pointed out. Most of the books are out-dated; they are therefore devoid of discussing contemporary problems in the oil upstream sub-sector. Most of these books reviewed have failed to address key issues and challenges in the petroleum industry arising from implementation of the regulatory laws. For these reasons there is need to make research specifically on this topic.</w:t>
      </w:r>
    </w:p>
    <w:p>
      <w:pPr>
        <w:pStyle w:val="BodyText"/>
        <w:rPr>
          <w:sz w:val="20"/>
        </w:rPr>
      </w:pPr>
    </w:p>
    <w:p>
      <w:pPr>
        <w:pStyle w:val="BodyText"/>
        <w:rPr>
          <w:sz w:val="20"/>
        </w:rPr>
      </w:pPr>
    </w:p>
    <w:p>
      <w:pPr>
        <w:pStyle w:val="BodyText"/>
        <w:spacing w:before="196"/>
        <w:rPr>
          <w:sz w:val="20"/>
        </w:rPr>
      </w:pPr>
      <w:r>
        <w:rPr/>
        <mc:AlternateContent>
          <mc:Choice Requires="wps">
            <w:drawing>
              <wp:anchor distT="0" distB="0" distL="0" distR="0" allowOverlap="1" layoutInCell="1" locked="0" behindDoc="1" simplePos="0" relativeHeight="487596544">
                <wp:simplePos x="0" y="0"/>
                <wp:positionH relativeFrom="page">
                  <wp:posOffset>914704</wp:posOffset>
                </wp:positionH>
                <wp:positionV relativeFrom="paragraph">
                  <wp:posOffset>285824</wp:posOffset>
                </wp:positionV>
                <wp:extent cx="1829435" cy="9525"/>
                <wp:effectExtent l="0" t="0" r="0" b="0"/>
                <wp:wrapTopAndBottom/>
                <wp:docPr id="20" name="Graphic 20"/>
                <wp:cNvGraphicFramePr>
                  <a:graphicFrameLocks/>
                </wp:cNvGraphicFramePr>
                <a:graphic>
                  <a:graphicData uri="http://schemas.microsoft.com/office/word/2010/wordprocessingShape">
                    <wps:wsp>
                      <wps:cNvPr id="20" name="Graphic 20"/>
                      <wps:cNvSpPr/>
                      <wps:spPr>
                        <a:xfrm>
                          <a:off x="0" y="0"/>
                          <a:ext cx="1829435" cy="9525"/>
                        </a:xfrm>
                        <a:custGeom>
                          <a:avLst/>
                          <a:gdLst/>
                          <a:ahLst/>
                          <a:cxnLst/>
                          <a:rect l="l" t="t" r="r" b="b"/>
                          <a:pathLst>
                            <a:path w="1829435" h="9525">
                              <a:moveTo>
                                <a:pt x="1829054" y="0"/>
                              </a:moveTo>
                              <a:lnTo>
                                <a:pt x="0" y="0"/>
                              </a:lnTo>
                              <a:lnTo>
                                <a:pt x="0" y="9144"/>
                              </a:lnTo>
                              <a:lnTo>
                                <a:pt x="1829054" y="9144"/>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22.505829pt;width:144.020pt;height:.72003pt;mso-position-horizontal-relative:page;mso-position-vertical-relative:paragraph;z-index:-15719936;mso-wrap-distance-left:0;mso-wrap-distance-right:0" id="docshape20" filled="true" fillcolor="#000000" stroked="false">
                <v:fill type="solid"/>
                <w10:wrap type="topAndBottom"/>
              </v:rect>
            </w:pict>
          </mc:Fallback>
        </mc:AlternateContent>
      </w:r>
    </w:p>
    <w:p>
      <w:pPr>
        <w:spacing w:before="102"/>
        <w:ind w:left="360" w:right="0" w:firstLine="0"/>
        <w:jc w:val="left"/>
        <w:rPr>
          <w:rFonts w:ascii="Calibri" w:hAnsi="Calibri"/>
          <w:sz w:val="20"/>
        </w:rPr>
      </w:pPr>
      <w:r>
        <w:rPr>
          <w:rFonts w:ascii="Calibri" w:hAnsi="Calibri"/>
          <w:sz w:val="20"/>
          <w:vertAlign w:val="superscript"/>
        </w:rPr>
        <w:t>17</w:t>
      </w:r>
      <w:r>
        <w:rPr>
          <w:rFonts w:ascii="Calibri" w:hAnsi="Calibri"/>
          <w:spacing w:val="-8"/>
          <w:sz w:val="20"/>
          <w:vertAlign w:val="baseline"/>
        </w:rPr>
        <w:t> </w:t>
      </w:r>
      <w:r>
        <w:rPr>
          <w:rFonts w:ascii="Calibri" w:hAnsi="Calibri"/>
          <w:sz w:val="20"/>
          <w:vertAlign w:val="baseline"/>
        </w:rPr>
        <w:t>OLISA,M.</w:t>
      </w:r>
      <w:r>
        <w:rPr>
          <w:rFonts w:ascii="Calibri" w:hAnsi="Calibri"/>
          <w:spacing w:val="-5"/>
          <w:sz w:val="20"/>
          <w:vertAlign w:val="baseline"/>
        </w:rPr>
        <w:t> </w:t>
      </w:r>
      <w:r>
        <w:rPr>
          <w:rFonts w:ascii="Calibri" w:hAnsi="Calibri"/>
          <w:sz w:val="20"/>
          <w:vertAlign w:val="baseline"/>
        </w:rPr>
        <w:t>M.</w:t>
      </w:r>
      <w:r>
        <w:rPr>
          <w:rFonts w:ascii="Calibri" w:hAnsi="Calibri"/>
          <w:spacing w:val="-6"/>
          <w:sz w:val="20"/>
          <w:vertAlign w:val="baseline"/>
        </w:rPr>
        <w:t> </w:t>
      </w:r>
      <w:r>
        <w:rPr>
          <w:rFonts w:ascii="Calibri" w:hAnsi="Calibri"/>
          <w:sz w:val="20"/>
          <w:vertAlign w:val="baseline"/>
        </w:rPr>
        <w:t>(1997)</w:t>
      </w:r>
      <w:r>
        <w:rPr>
          <w:rFonts w:ascii="Calibri" w:hAnsi="Calibri"/>
          <w:spacing w:val="-6"/>
          <w:sz w:val="20"/>
          <w:vertAlign w:val="baseline"/>
        </w:rPr>
        <w:t> </w:t>
      </w:r>
      <w:r>
        <w:rPr>
          <w:rFonts w:ascii="Calibri" w:hAnsi="Calibri"/>
          <w:i/>
          <w:sz w:val="20"/>
          <w:vertAlign w:val="baseline"/>
        </w:rPr>
        <w:t>“Nigerian</w:t>
      </w:r>
      <w:r>
        <w:rPr>
          <w:rFonts w:ascii="Calibri" w:hAnsi="Calibri"/>
          <w:i/>
          <w:spacing w:val="-4"/>
          <w:sz w:val="20"/>
          <w:vertAlign w:val="baseline"/>
        </w:rPr>
        <w:t> </w:t>
      </w:r>
      <w:r>
        <w:rPr>
          <w:rFonts w:ascii="Calibri" w:hAnsi="Calibri"/>
          <w:i/>
          <w:sz w:val="20"/>
          <w:vertAlign w:val="baseline"/>
        </w:rPr>
        <w:t>Petroleum</w:t>
      </w:r>
      <w:r>
        <w:rPr>
          <w:rFonts w:ascii="Calibri" w:hAnsi="Calibri"/>
          <w:i/>
          <w:spacing w:val="-6"/>
          <w:sz w:val="20"/>
          <w:vertAlign w:val="baseline"/>
        </w:rPr>
        <w:t> </w:t>
      </w:r>
      <w:r>
        <w:rPr>
          <w:rFonts w:ascii="Calibri" w:hAnsi="Calibri"/>
          <w:i/>
          <w:sz w:val="20"/>
          <w:vertAlign w:val="baseline"/>
        </w:rPr>
        <w:t>Law</w:t>
      </w:r>
      <w:r>
        <w:rPr>
          <w:rFonts w:ascii="Calibri" w:hAnsi="Calibri"/>
          <w:i/>
          <w:spacing w:val="-7"/>
          <w:sz w:val="20"/>
          <w:vertAlign w:val="baseline"/>
        </w:rPr>
        <w:t> </w:t>
      </w:r>
      <w:r>
        <w:rPr>
          <w:rFonts w:ascii="Calibri" w:hAnsi="Calibri"/>
          <w:i/>
          <w:sz w:val="20"/>
          <w:vertAlign w:val="baseline"/>
        </w:rPr>
        <w:t>and</w:t>
      </w:r>
      <w:r>
        <w:rPr>
          <w:rFonts w:ascii="Calibri" w:hAnsi="Calibri"/>
          <w:i/>
          <w:spacing w:val="-7"/>
          <w:sz w:val="20"/>
          <w:vertAlign w:val="baseline"/>
        </w:rPr>
        <w:t> </w:t>
      </w:r>
      <w:r>
        <w:rPr>
          <w:rFonts w:ascii="Calibri" w:hAnsi="Calibri"/>
          <w:i/>
          <w:sz w:val="20"/>
          <w:vertAlign w:val="baseline"/>
        </w:rPr>
        <w:t>Practice”</w:t>
      </w:r>
      <w:r>
        <w:rPr>
          <w:rFonts w:ascii="Calibri" w:hAnsi="Calibri"/>
          <w:i/>
          <w:spacing w:val="-8"/>
          <w:sz w:val="20"/>
          <w:vertAlign w:val="baseline"/>
        </w:rPr>
        <w:t> </w:t>
      </w:r>
      <w:r>
        <w:rPr>
          <w:rFonts w:ascii="Calibri" w:hAnsi="Calibri"/>
          <w:sz w:val="20"/>
          <w:vertAlign w:val="baseline"/>
        </w:rPr>
        <w:t>(2</w:t>
      </w:r>
      <w:r>
        <w:rPr>
          <w:rFonts w:ascii="Calibri" w:hAnsi="Calibri"/>
          <w:sz w:val="20"/>
          <w:vertAlign w:val="superscript"/>
        </w:rPr>
        <w:t>nd</w:t>
      </w:r>
      <w:r>
        <w:rPr>
          <w:rFonts w:ascii="Calibri" w:hAnsi="Calibri"/>
          <w:spacing w:val="-5"/>
          <w:sz w:val="20"/>
          <w:vertAlign w:val="baseline"/>
        </w:rPr>
        <w:t> </w:t>
      </w:r>
      <w:r>
        <w:rPr>
          <w:rFonts w:ascii="Calibri" w:hAnsi="Calibri"/>
          <w:sz w:val="20"/>
          <w:vertAlign w:val="baseline"/>
        </w:rPr>
        <w:t>edition)</w:t>
      </w:r>
      <w:r>
        <w:rPr>
          <w:rFonts w:ascii="Calibri" w:hAnsi="Calibri"/>
          <w:spacing w:val="-7"/>
          <w:sz w:val="20"/>
          <w:vertAlign w:val="baseline"/>
        </w:rPr>
        <w:t> </w:t>
      </w:r>
      <w:r>
        <w:rPr>
          <w:rFonts w:ascii="Calibri" w:hAnsi="Calibri"/>
          <w:sz w:val="20"/>
          <w:vertAlign w:val="baseline"/>
        </w:rPr>
        <w:t>Jonia</w:t>
      </w:r>
      <w:r>
        <w:rPr>
          <w:rFonts w:ascii="Calibri" w:hAnsi="Calibri"/>
          <w:spacing w:val="-6"/>
          <w:sz w:val="20"/>
          <w:vertAlign w:val="baseline"/>
        </w:rPr>
        <w:t> </w:t>
      </w:r>
      <w:r>
        <w:rPr>
          <w:rFonts w:ascii="Calibri" w:hAnsi="Calibri"/>
          <w:sz w:val="20"/>
          <w:vertAlign w:val="baseline"/>
        </w:rPr>
        <w:t>Ventures</w:t>
      </w:r>
      <w:r>
        <w:rPr>
          <w:rFonts w:ascii="Calibri" w:hAnsi="Calibri"/>
          <w:spacing w:val="-8"/>
          <w:sz w:val="20"/>
          <w:vertAlign w:val="baseline"/>
        </w:rPr>
        <w:t> </w:t>
      </w:r>
      <w:r>
        <w:rPr>
          <w:rFonts w:ascii="Calibri" w:hAnsi="Calibri"/>
          <w:sz w:val="20"/>
          <w:vertAlign w:val="baseline"/>
        </w:rPr>
        <w:t>Limited</w:t>
      </w:r>
      <w:r>
        <w:rPr>
          <w:rFonts w:ascii="Calibri" w:hAnsi="Calibri"/>
          <w:spacing w:val="-7"/>
          <w:sz w:val="20"/>
          <w:vertAlign w:val="baseline"/>
        </w:rPr>
        <w:t> </w:t>
      </w:r>
      <w:r>
        <w:rPr>
          <w:rFonts w:ascii="Calibri" w:hAnsi="Calibri"/>
          <w:spacing w:val="-2"/>
          <w:sz w:val="20"/>
          <w:vertAlign w:val="baseline"/>
        </w:rPr>
        <w:t>Lagos.</w:t>
      </w:r>
    </w:p>
    <w:p>
      <w:pPr>
        <w:spacing w:after="0"/>
        <w:jc w:val="left"/>
        <w:rPr>
          <w:rFonts w:ascii="Calibri" w:hAnsi="Calibri"/>
          <w:sz w:val="20"/>
        </w:rPr>
        <w:sectPr>
          <w:pgSz w:w="11910" w:h="16840"/>
          <w:pgMar w:header="0" w:footer="1000" w:top="1340" w:bottom="1200" w:left="1080" w:right="1280"/>
        </w:sectPr>
      </w:pPr>
    </w:p>
    <w:p>
      <w:pPr>
        <w:pStyle w:val="Heading2"/>
        <w:numPr>
          <w:ilvl w:val="1"/>
          <w:numId w:val="5"/>
        </w:numPr>
        <w:tabs>
          <w:tab w:pos="1079" w:val="left" w:leader="none"/>
        </w:tabs>
        <w:spacing w:line="240" w:lineRule="auto" w:before="78" w:after="0"/>
        <w:ind w:left="1079" w:right="0" w:hanging="719"/>
        <w:jc w:val="both"/>
      </w:pPr>
      <w:bookmarkStart w:name="_TOC_250016" w:id="9"/>
      <w:r>
        <w:rPr/>
        <w:t>Organizational</w:t>
      </w:r>
      <w:r>
        <w:rPr>
          <w:spacing w:val="-1"/>
        </w:rPr>
        <w:t> </w:t>
      </w:r>
      <w:bookmarkEnd w:id="9"/>
      <w:r>
        <w:rPr>
          <w:spacing w:val="-2"/>
        </w:rPr>
        <w:t>Layout</w:t>
      </w:r>
    </w:p>
    <w:p>
      <w:pPr>
        <w:pStyle w:val="BodyText"/>
        <w:spacing w:line="480" w:lineRule="auto" w:before="272"/>
        <w:ind w:left="360" w:right="158" w:firstLine="719"/>
        <w:jc w:val="both"/>
      </w:pPr>
      <w:r>
        <w:rPr/>
        <w:t>This research work is made up of five chapters with sub-headings discussed there under; This research work is made up of five chapters with sub-headings discussed there </w:t>
      </w:r>
      <w:r>
        <w:rPr>
          <w:spacing w:val="-2"/>
        </w:rPr>
        <w:t>under.</w:t>
      </w:r>
    </w:p>
    <w:p>
      <w:pPr>
        <w:pStyle w:val="BodyText"/>
        <w:spacing w:line="480" w:lineRule="auto"/>
        <w:ind w:left="360" w:right="159" w:firstLine="719"/>
        <w:jc w:val="both"/>
      </w:pPr>
      <w:r>
        <w:rPr/>
        <w:t>Chapter</w:t>
      </w:r>
      <w:r>
        <w:rPr>
          <w:spacing w:val="-3"/>
        </w:rPr>
        <w:t> </w:t>
      </w:r>
      <w:r>
        <w:rPr/>
        <w:t>One</w:t>
      </w:r>
      <w:r>
        <w:rPr>
          <w:spacing w:val="-2"/>
        </w:rPr>
        <w:t> </w:t>
      </w:r>
      <w:r>
        <w:rPr/>
        <w:t>provides</w:t>
      </w:r>
      <w:r>
        <w:rPr>
          <w:spacing w:val="-1"/>
        </w:rPr>
        <w:t> </w:t>
      </w:r>
      <w:r>
        <w:rPr/>
        <w:t>a general</w:t>
      </w:r>
      <w:r>
        <w:rPr>
          <w:spacing w:val="-1"/>
        </w:rPr>
        <w:t> </w:t>
      </w:r>
      <w:r>
        <w:rPr/>
        <w:t>introduction</w:t>
      </w:r>
      <w:r>
        <w:rPr>
          <w:spacing w:val="-1"/>
        </w:rPr>
        <w:t> </w:t>
      </w:r>
      <w:r>
        <w:rPr/>
        <w:t>and the</w:t>
      </w:r>
      <w:r>
        <w:rPr>
          <w:spacing w:val="-2"/>
        </w:rPr>
        <w:t> </w:t>
      </w:r>
      <w:r>
        <w:rPr/>
        <w:t>usefulness</w:t>
      </w:r>
      <w:r>
        <w:rPr>
          <w:spacing w:val="-1"/>
        </w:rPr>
        <w:t> </w:t>
      </w:r>
      <w:r>
        <w:rPr/>
        <w:t>of</w:t>
      </w:r>
      <w:r>
        <w:rPr>
          <w:spacing w:val="-2"/>
        </w:rPr>
        <w:t> </w:t>
      </w:r>
      <w:r>
        <w:rPr/>
        <w:t>the</w:t>
      </w:r>
      <w:r>
        <w:rPr>
          <w:spacing w:val="-2"/>
        </w:rPr>
        <w:t> </w:t>
      </w:r>
      <w:r>
        <w:rPr/>
        <w:t>research. It</w:t>
      </w:r>
      <w:r>
        <w:rPr>
          <w:spacing w:val="-1"/>
        </w:rPr>
        <w:t> </w:t>
      </w:r>
      <w:r>
        <w:rPr/>
        <w:t>also discusses a vivid literature review of some existing literatures on the subject matter.</w:t>
      </w:r>
    </w:p>
    <w:p>
      <w:pPr>
        <w:pStyle w:val="BodyText"/>
        <w:spacing w:line="480" w:lineRule="auto"/>
        <w:ind w:left="360" w:right="162" w:firstLine="719"/>
        <w:jc w:val="both"/>
      </w:pPr>
      <w:r>
        <w:rPr/>
        <w:t>Chapter Two deals with the governing legal frameworks of the Petroleum Industry in </w:t>
      </w:r>
      <w:r>
        <w:rPr>
          <w:spacing w:val="-2"/>
        </w:rPr>
        <w:t>Nigeria.</w:t>
      </w:r>
    </w:p>
    <w:p>
      <w:pPr>
        <w:pStyle w:val="BodyText"/>
        <w:spacing w:line="480" w:lineRule="auto" w:before="1"/>
        <w:ind w:left="360" w:right="159" w:firstLine="719"/>
        <w:jc w:val="both"/>
      </w:pPr>
      <w:r>
        <w:rPr/>
        <w:t>Chapter</w:t>
      </w:r>
      <w:r>
        <w:rPr>
          <w:spacing w:val="-1"/>
        </w:rPr>
        <w:t> </w:t>
      </w:r>
      <w:r>
        <w:rPr/>
        <w:t>Three examines generally</w:t>
      </w:r>
      <w:r>
        <w:rPr>
          <w:spacing w:val="-4"/>
        </w:rPr>
        <w:t> </w:t>
      </w:r>
      <w:r>
        <w:rPr/>
        <w:t>the petroleum profit under the Nigeria‟s Petroleum Profit</w:t>
      </w:r>
      <w:r>
        <w:rPr>
          <w:spacing w:val="40"/>
        </w:rPr>
        <w:t> </w:t>
      </w:r>
      <w:r>
        <w:rPr/>
        <w:t>Tax.</w:t>
      </w:r>
    </w:p>
    <w:p>
      <w:pPr>
        <w:pStyle w:val="BodyText"/>
        <w:spacing w:line="480" w:lineRule="auto"/>
        <w:ind w:left="360" w:right="158" w:firstLine="719"/>
        <w:jc w:val="both"/>
      </w:pPr>
      <w:r>
        <w:rPr/>
        <w:t>Chapter four will examine the criminal offences and penalties provided under some federal laws in Nigeria in relation to Petroleum Profit Tax in Nigeria.</w:t>
      </w:r>
    </w:p>
    <w:p>
      <w:pPr>
        <w:pStyle w:val="BodyText"/>
        <w:spacing w:line="480" w:lineRule="auto"/>
        <w:ind w:left="360" w:right="158" w:firstLine="719"/>
        <w:jc w:val="both"/>
      </w:pPr>
      <w:r>
        <w:rPr/>
        <w:t>Chapter five draws the curtain to this research work with summary/conclusion, findings/observations and the recommendations.</w:t>
      </w:r>
    </w:p>
    <w:p>
      <w:pPr>
        <w:spacing w:after="0" w:line="480" w:lineRule="auto"/>
        <w:jc w:val="both"/>
        <w:sectPr>
          <w:pgSz w:w="11910" w:h="16840"/>
          <w:pgMar w:header="0" w:footer="1000" w:top="1340" w:bottom="1200" w:left="1080" w:right="1280"/>
        </w:sectPr>
      </w:pPr>
    </w:p>
    <w:p>
      <w:pPr>
        <w:pStyle w:val="Heading1"/>
        <w:spacing w:before="78"/>
        <w:ind w:right="249"/>
      </w:pPr>
      <w:bookmarkStart w:name="_TOC_250015" w:id="10"/>
      <w:r>
        <w:rPr/>
        <w:t>CHAPTER</w:t>
      </w:r>
      <w:r>
        <w:rPr>
          <w:spacing w:val="56"/>
        </w:rPr>
        <w:t> </w:t>
      </w:r>
      <w:bookmarkEnd w:id="10"/>
      <w:r>
        <w:rPr>
          <w:spacing w:val="-5"/>
        </w:rPr>
        <w:t>TWO</w:t>
      </w:r>
    </w:p>
    <w:p>
      <w:pPr>
        <w:pStyle w:val="BodyText"/>
        <w:rPr>
          <w:b/>
        </w:rPr>
      </w:pPr>
    </w:p>
    <w:p>
      <w:pPr>
        <w:pStyle w:val="Heading1"/>
        <w:ind w:right="256"/>
      </w:pPr>
      <w:bookmarkStart w:name="_TOC_250014" w:id="11"/>
      <w:r>
        <w:rPr/>
        <w:t>LEGAL</w:t>
      </w:r>
      <w:r>
        <w:rPr>
          <w:spacing w:val="55"/>
        </w:rPr>
        <w:t> </w:t>
      </w:r>
      <w:r>
        <w:rPr/>
        <w:t>FRAMEWORKS</w:t>
      </w:r>
      <w:r>
        <w:rPr>
          <w:spacing w:val="57"/>
        </w:rPr>
        <w:t> </w:t>
      </w:r>
      <w:r>
        <w:rPr/>
        <w:t>OF</w:t>
      </w:r>
      <w:r>
        <w:rPr>
          <w:spacing w:val="53"/>
        </w:rPr>
        <w:t> </w:t>
      </w:r>
      <w:r>
        <w:rPr/>
        <w:t>THE</w:t>
      </w:r>
      <w:r>
        <w:rPr>
          <w:spacing w:val="58"/>
        </w:rPr>
        <w:t> </w:t>
      </w:r>
      <w:r>
        <w:rPr/>
        <w:t>PETROLEUM</w:t>
      </w:r>
      <w:r>
        <w:rPr>
          <w:spacing w:val="54"/>
        </w:rPr>
        <w:t> </w:t>
      </w:r>
      <w:r>
        <w:rPr/>
        <w:t>INDUSTRY</w:t>
      </w:r>
      <w:r>
        <w:rPr>
          <w:spacing w:val="49"/>
        </w:rPr>
        <w:t> </w:t>
      </w:r>
      <w:r>
        <w:rPr/>
        <w:t>IN</w:t>
      </w:r>
      <w:r>
        <w:rPr>
          <w:spacing w:val="56"/>
        </w:rPr>
        <w:t> </w:t>
      </w:r>
      <w:bookmarkEnd w:id="11"/>
      <w:r>
        <w:rPr>
          <w:spacing w:val="-2"/>
        </w:rPr>
        <w:t>NIGERIA</w:t>
      </w:r>
    </w:p>
    <w:p>
      <w:pPr>
        <w:pStyle w:val="BodyText"/>
        <w:rPr>
          <w:b/>
        </w:rPr>
      </w:pPr>
    </w:p>
    <w:p>
      <w:pPr>
        <w:pStyle w:val="Heading2"/>
        <w:numPr>
          <w:ilvl w:val="1"/>
          <w:numId w:val="7"/>
        </w:numPr>
        <w:tabs>
          <w:tab w:pos="1079" w:val="left" w:leader="none"/>
        </w:tabs>
        <w:spacing w:line="240" w:lineRule="auto" w:before="1" w:after="0"/>
        <w:ind w:left="1079" w:right="0" w:hanging="719"/>
        <w:jc w:val="both"/>
      </w:pPr>
      <w:bookmarkStart w:name="_TOC_250013" w:id="12"/>
      <w:bookmarkEnd w:id="12"/>
      <w:r>
        <w:rPr>
          <w:spacing w:val="-2"/>
        </w:rPr>
        <w:t>Introduction</w:t>
      </w:r>
    </w:p>
    <w:p>
      <w:pPr>
        <w:pStyle w:val="BodyText"/>
        <w:spacing w:line="480" w:lineRule="auto" w:before="271"/>
        <w:ind w:left="360" w:right="158" w:firstLine="719"/>
        <w:jc w:val="both"/>
      </w:pPr>
      <w:r>
        <w:rPr/>
        <w:t>The</w:t>
      </w:r>
      <w:r>
        <w:rPr>
          <w:spacing w:val="40"/>
        </w:rPr>
        <w:t> </w:t>
      </w:r>
      <w:r>
        <w:rPr/>
        <w:t>laws</w:t>
      </w:r>
      <w:r>
        <w:rPr>
          <w:spacing w:val="40"/>
        </w:rPr>
        <w:t> </w:t>
      </w:r>
      <w:r>
        <w:rPr/>
        <w:t>regulating</w:t>
      </w:r>
      <w:r>
        <w:rPr>
          <w:spacing w:val="40"/>
        </w:rPr>
        <w:t> </w:t>
      </w:r>
      <w:r>
        <w:rPr/>
        <w:t>the</w:t>
      </w:r>
      <w:r>
        <w:rPr>
          <w:spacing w:val="40"/>
        </w:rPr>
        <w:t> </w:t>
      </w:r>
      <w:r>
        <w:rPr/>
        <w:t>Petroleum</w:t>
      </w:r>
      <w:r>
        <w:rPr>
          <w:spacing w:val="40"/>
        </w:rPr>
        <w:t> </w:t>
      </w:r>
      <w:r>
        <w:rPr/>
        <w:t>Industry</w:t>
      </w:r>
      <w:r>
        <w:rPr>
          <w:spacing w:val="40"/>
        </w:rPr>
        <w:t> </w:t>
      </w:r>
      <w:r>
        <w:rPr/>
        <w:t>clearly</w:t>
      </w:r>
      <w:r>
        <w:rPr>
          <w:spacing w:val="40"/>
        </w:rPr>
        <w:t> </w:t>
      </w:r>
      <w:r>
        <w:rPr/>
        <w:t>provides</w:t>
      </w:r>
      <w:r>
        <w:rPr>
          <w:spacing w:val="40"/>
        </w:rPr>
        <w:t> </w:t>
      </w:r>
      <w:r>
        <w:rPr/>
        <w:t>a</w:t>
      </w:r>
      <w:r>
        <w:rPr>
          <w:spacing w:val="40"/>
        </w:rPr>
        <w:t> </w:t>
      </w:r>
      <w:r>
        <w:rPr/>
        <w:t>striking</w:t>
      </w:r>
      <w:r>
        <w:rPr>
          <w:spacing w:val="80"/>
        </w:rPr>
        <w:t> </w:t>
      </w:r>
      <w:r>
        <w:rPr/>
        <w:t>example</w:t>
      </w:r>
      <w:r>
        <w:rPr>
          <w:spacing w:val="80"/>
        </w:rPr>
        <w:t> </w:t>
      </w:r>
      <w:r>
        <w:rPr/>
        <w:t>of the use of statutory intervention as an instrument of regulation, administration, management and enforcement of laws relating to the Petroleum Industry, It is however instructive</w:t>
      </w:r>
      <w:r>
        <w:rPr>
          <w:spacing w:val="40"/>
        </w:rPr>
        <w:t> </w:t>
      </w:r>
      <w:r>
        <w:rPr/>
        <w:t>to</w:t>
      </w:r>
      <w:r>
        <w:rPr>
          <w:spacing w:val="40"/>
        </w:rPr>
        <w:t> </w:t>
      </w:r>
      <w:r>
        <w:rPr/>
        <w:t>note</w:t>
      </w:r>
      <w:r>
        <w:rPr>
          <w:spacing w:val="40"/>
        </w:rPr>
        <w:t> </w:t>
      </w:r>
      <w:r>
        <w:rPr/>
        <w:t>that</w:t>
      </w:r>
      <w:r>
        <w:rPr>
          <w:spacing w:val="40"/>
        </w:rPr>
        <w:t> </w:t>
      </w:r>
      <w:r>
        <w:rPr/>
        <w:t>Petroleum</w:t>
      </w:r>
      <w:r>
        <w:rPr>
          <w:spacing w:val="40"/>
        </w:rPr>
        <w:t> </w:t>
      </w:r>
      <w:r>
        <w:rPr/>
        <w:t>laws</w:t>
      </w:r>
      <w:r>
        <w:rPr>
          <w:spacing w:val="40"/>
        </w:rPr>
        <w:t> </w:t>
      </w:r>
      <w:r>
        <w:rPr/>
        <w:t>did</w:t>
      </w:r>
      <w:r>
        <w:rPr>
          <w:spacing w:val="40"/>
        </w:rPr>
        <w:t> </w:t>
      </w:r>
      <w:r>
        <w:rPr/>
        <w:t>not</w:t>
      </w:r>
      <w:r>
        <w:rPr>
          <w:spacing w:val="40"/>
        </w:rPr>
        <w:t> </w:t>
      </w:r>
      <w:r>
        <w:rPr/>
        <w:t>gain</w:t>
      </w:r>
      <w:r>
        <w:rPr>
          <w:spacing w:val="40"/>
        </w:rPr>
        <w:t> </w:t>
      </w:r>
      <w:r>
        <w:rPr/>
        <w:t>momentum</w:t>
      </w:r>
      <w:r>
        <w:rPr>
          <w:spacing w:val="40"/>
        </w:rPr>
        <w:t> </w:t>
      </w:r>
      <w:r>
        <w:rPr/>
        <w:t>until</w:t>
      </w:r>
      <w:r>
        <w:rPr>
          <w:spacing w:val="40"/>
        </w:rPr>
        <w:t> </w:t>
      </w:r>
      <w:r>
        <w:rPr/>
        <w:t>late</w:t>
      </w:r>
      <w:r>
        <w:rPr>
          <w:spacing w:val="40"/>
        </w:rPr>
        <w:t> </w:t>
      </w:r>
      <w:r>
        <w:rPr/>
        <w:t>1970's following</w:t>
      </w:r>
      <w:r>
        <w:rPr>
          <w:spacing w:val="40"/>
        </w:rPr>
        <w:t> </w:t>
      </w:r>
      <w:r>
        <w:rPr/>
        <w:t>the</w:t>
      </w:r>
      <w:r>
        <w:rPr>
          <w:spacing w:val="40"/>
        </w:rPr>
        <w:t> </w:t>
      </w:r>
      <w:r>
        <w:rPr/>
        <w:t>aftermath</w:t>
      </w:r>
      <w:r>
        <w:rPr>
          <w:spacing w:val="40"/>
        </w:rPr>
        <w:t> </w:t>
      </w:r>
      <w:r>
        <w:rPr/>
        <w:t>of</w:t>
      </w:r>
      <w:r>
        <w:rPr>
          <w:spacing w:val="40"/>
        </w:rPr>
        <w:t> </w:t>
      </w:r>
      <w:r>
        <w:rPr/>
        <w:t>oil</w:t>
      </w:r>
      <w:r>
        <w:rPr>
          <w:spacing w:val="40"/>
        </w:rPr>
        <w:t> </w:t>
      </w:r>
      <w:r>
        <w:rPr/>
        <w:t>boom</w:t>
      </w:r>
      <w:r>
        <w:rPr>
          <w:spacing w:val="40"/>
        </w:rPr>
        <w:t> </w:t>
      </w:r>
      <w:r>
        <w:rPr/>
        <w:t>in</w:t>
      </w:r>
      <w:r>
        <w:rPr>
          <w:spacing w:val="40"/>
        </w:rPr>
        <w:t> </w:t>
      </w:r>
      <w:r>
        <w:rPr/>
        <w:t>Nigeria.</w:t>
      </w:r>
      <w:r>
        <w:rPr>
          <w:spacing w:val="40"/>
        </w:rPr>
        <w:t> </w:t>
      </w:r>
      <w:r>
        <w:rPr/>
        <w:t>This</w:t>
      </w:r>
      <w:r>
        <w:rPr>
          <w:spacing w:val="40"/>
        </w:rPr>
        <w:t> </w:t>
      </w:r>
      <w:r>
        <w:rPr/>
        <w:t>chapter</w:t>
      </w:r>
      <w:r>
        <w:rPr>
          <w:spacing w:val="40"/>
        </w:rPr>
        <w:t> </w:t>
      </w:r>
      <w:r>
        <w:rPr/>
        <w:t>will therefore</w:t>
      </w:r>
      <w:r>
        <w:rPr>
          <w:spacing w:val="40"/>
        </w:rPr>
        <w:t> </w:t>
      </w:r>
      <w:r>
        <w:rPr/>
        <w:t>attempt</w:t>
      </w:r>
      <w:r>
        <w:rPr>
          <w:spacing w:val="40"/>
        </w:rPr>
        <w:t> </w:t>
      </w:r>
      <w:r>
        <w:rPr/>
        <w:t>to analyse these laws with the view of finding out whether or not they have kept their promise since their enactment.</w:t>
      </w:r>
    </w:p>
    <w:p>
      <w:pPr>
        <w:pStyle w:val="Heading2"/>
        <w:numPr>
          <w:ilvl w:val="1"/>
          <w:numId w:val="7"/>
        </w:numPr>
        <w:tabs>
          <w:tab w:pos="1079" w:val="left" w:leader="none"/>
        </w:tabs>
        <w:spacing w:line="240" w:lineRule="auto" w:before="5" w:after="0"/>
        <w:ind w:left="1079" w:right="0" w:hanging="719"/>
        <w:jc w:val="both"/>
      </w:pPr>
      <w:bookmarkStart w:name="_TOC_250012" w:id="13"/>
      <w:r>
        <w:rPr/>
        <w:t>Petroleum</w:t>
      </w:r>
      <w:r>
        <w:rPr>
          <w:spacing w:val="55"/>
        </w:rPr>
        <w:t> </w:t>
      </w:r>
      <w:bookmarkEnd w:id="13"/>
      <w:r>
        <w:rPr>
          <w:spacing w:val="-5"/>
        </w:rPr>
        <w:t>Act</w:t>
      </w:r>
    </w:p>
    <w:p>
      <w:pPr>
        <w:pStyle w:val="BodyText"/>
        <w:spacing w:line="480" w:lineRule="auto" w:before="272"/>
        <w:ind w:left="360" w:right="158" w:firstLine="712"/>
        <w:jc w:val="both"/>
      </w:pPr>
      <w:r>
        <w:rPr/>
        <w:t>The Petroleum Act (The Act) and the regulations issued pursuant to it is the main legislation governing matters relating to petroleum exploration and production in Nigeria.</w:t>
      </w:r>
      <w:r>
        <w:rPr>
          <w:spacing w:val="40"/>
        </w:rPr>
        <w:t> </w:t>
      </w:r>
      <w:r>
        <w:rPr/>
        <w:t>The</w:t>
      </w:r>
      <w:r>
        <w:rPr>
          <w:spacing w:val="74"/>
        </w:rPr>
        <w:t> </w:t>
      </w:r>
      <w:r>
        <w:rPr/>
        <w:t>statutory</w:t>
      </w:r>
      <w:r>
        <w:rPr>
          <w:spacing w:val="73"/>
        </w:rPr>
        <w:t> </w:t>
      </w:r>
      <w:r>
        <w:rPr/>
        <w:t>intent</w:t>
      </w:r>
      <w:r>
        <w:rPr>
          <w:spacing w:val="79"/>
        </w:rPr>
        <w:t> </w:t>
      </w:r>
      <w:r>
        <w:rPr/>
        <w:t>of</w:t>
      </w:r>
      <w:r>
        <w:rPr>
          <w:spacing w:val="78"/>
        </w:rPr>
        <w:t> </w:t>
      </w:r>
      <w:r>
        <w:rPr/>
        <w:t>this</w:t>
      </w:r>
      <w:r>
        <w:rPr>
          <w:spacing w:val="75"/>
        </w:rPr>
        <w:t> </w:t>
      </w:r>
      <w:r>
        <w:rPr/>
        <w:t>Act</w:t>
      </w:r>
      <w:r>
        <w:rPr>
          <w:vertAlign w:val="superscript"/>
        </w:rPr>
        <w:t>1</w:t>
      </w:r>
      <w:r>
        <w:rPr>
          <w:spacing w:val="33"/>
          <w:vertAlign w:val="baseline"/>
        </w:rPr>
        <w:t> </w:t>
      </w:r>
      <w:r>
        <w:rPr>
          <w:vertAlign w:val="baseline"/>
        </w:rPr>
        <w:t>is</w:t>
      </w:r>
      <w:r>
        <w:rPr>
          <w:spacing w:val="75"/>
          <w:vertAlign w:val="baseline"/>
        </w:rPr>
        <w:t> </w:t>
      </w:r>
      <w:r>
        <w:rPr>
          <w:vertAlign w:val="baseline"/>
        </w:rPr>
        <w:t>to</w:t>
      </w:r>
      <w:r>
        <w:rPr>
          <w:spacing w:val="75"/>
          <w:vertAlign w:val="baseline"/>
        </w:rPr>
        <w:t> </w:t>
      </w:r>
      <w:r>
        <w:rPr>
          <w:vertAlign w:val="baseline"/>
        </w:rPr>
        <w:t>provide</w:t>
      </w:r>
      <w:r>
        <w:rPr>
          <w:spacing w:val="78"/>
          <w:vertAlign w:val="baseline"/>
        </w:rPr>
        <w:t> </w:t>
      </w:r>
      <w:r>
        <w:rPr>
          <w:vertAlign w:val="baseline"/>
        </w:rPr>
        <w:t>for</w:t>
      </w:r>
      <w:r>
        <w:rPr>
          <w:spacing w:val="75"/>
          <w:vertAlign w:val="baseline"/>
        </w:rPr>
        <w:t> </w:t>
      </w:r>
      <w:r>
        <w:rPr>
          <w:vertAlign w:val="baseline"/>
        </w:rPr>
        <w:t>the</w:t>
      </w:r>
      <w:r>
        <w:rPr>
          <w:spacing w:val="78"/>
          <w:vertAlign w:val="baseline"/>
        </w:rPr>
        <w:t> </w:t>
      </w:r>
      <w:r>
        <w:rPr>
          <w:vertAlign w:val="baseline"/>
        </w:rPr>
        <w:t>exploration</w:t>
      </w:r>
      <w:r>
        <w:rPr>
          <w:spacing w:val="79"/>
          <w:vertAlign w:val="baseline"/>
        </w:rPr>
        <w:t> </w:t>
      </w:r>
      <w:r>
        <w:rPr>
          <w:vertAlign w:val="baseline"/>
        </w:rPr>
        <w:t>of</w:t>
      </w:r>
      <w:r>
        <w:rPr>
          <w:spacing w:val="80"/>
          <w:vertAlign w:val="baseline"/>
        </w:rPr>
        <w:t> </w:t>
      </w:r>
      <w:r>
        <w:rPr>
          <w:vertAlign w:val="baseline"/>
        </w:rPr>
        <w:t>petroleum</w:t>
      </w:r>
      <w:r>
        <w:rPr>
          <w:spacing w:val="40"/>
          <w:vertAlign w:val="baseline"/>
        </w:rPr>
        <w:t> </w:t>
      </w:r>
      <w:r>
        <w:rPr>
          <w:vertAlign w:val="baseline"/>
        </w:rPr>
        <w:t>from the territorial waters and continental shelf of Nigeria and to vest</w:t>
      </w:r>
      <w:r>
        <w:rPr>
          <w:spacing w:val="40"/>
          <w:vertAlign w:val="baseline"/>
        </w:rPr>
        <w:t> </w:t>
      </w:r>
      <w:r>
        <w:rPr>
          <w:vertAlign w:val="baseline"/>
        </w:rPr>
        <w:t>the ownership</w:t>
      </w:r>
      <w:r>
        <w:rPr>
          <w:spacing w:val="40"/>
          <w:vertAlign w:val="baseline"/>
        </w:rPr>
        <w:t> </w:t>
      </w:r>
      <w:r>
        <w:rPr>
          <w:vertAlign w:val="baseline"/>
        </w:rPr>
        <w:t>of</w:t>
      </w:r>
      <w:r>
        <w:rPr>
          <w:spacing w:val="40"/>
          <w:vertAlign w:val="baseline"/>
        </w:rPr>
        <w:t> </w:t>
      </w:r>
      <w:r>
        <w:rPr>
          <w:vertAlign w:val="baseline"/>
        </w:rPr>
        <w:t>all</w:t>
      </w:r>
      <w:r>
        <w:rPr>
          <w:spacing w:val="40"/>
          <w:vertAlign w:val="baseline"/>
        </w:rPr>
        <w:t> </w:t>
      </w:r>
      <w:r>
        <w:rPr>
          <w:vertAlign w:val="baseline"/>
        </w:rPr>
        <w:t>on shore</w:t>
      </w:r>
      <w:r>
        <w:rPr>
          <w:spacing w:val="40"/>
          <w:vertAlign w:val="baseline"/>
        </w:rPr>
        <w:t> </w:t>
      </w:r>
      <w:r>
        <w:rPr>
          <w:vertAlign w:val="baseline"/>
        </w:rPr>
        <w:t>and</w:t>
      </w:r>
      <w:r>
        <w:rPr>
          <w:spacing w:val="40"/>
          <w:vertAlign w:val="baseline"/>
        </w:rPr>
        <w:t> </w:t>
      </w:r>
      <w:r>
        <w:rPr>
          <w:vertAlign w:val="baseline"/>
        </w:rPr>
        <w:t>off-shore</w:t>
      </w:r>
      <w:r>
        <w:rPr>
          <w:spacing w:val="40"/>
          <w:vertAlign w:val="baseline"/>
        </w:rPr>
        <w:t> </w:t>
      </w:r>
      <w:r>
        <w:rPr>
          <w:vertAlign w:val="baseline"/>
        </w:rPr>
        <w:t>including</w:t>
      </w:r>
      <w:r>
        <w:rPr>
          <w:spacing w:val="40"/>
          <w:vertAlign w:val="baseline"/>
        </w:rPr>
        <w:t> </w:t>
      </w:r>
      <w:r>
        <w:rPr>
          <w:vertAlign w:val="baseline"/>
        </w:rPr>
        <w:t>the</w:t>
      </w:r>
      <w:r>
        <w:rPr>
          <w:spacing w:val="40"/>
          <w:vertAlign w:val="baseline"/>
        </w:rPr>
        <w:t> </w:t>
      </w:r>
      <w:r>
        <w:rPr>
          <w:vertAlign w:val="baseline"/>
        </w:rPr>
        <w:t>revenue</w:t>
      </w:r>
      <w:r>
        <w:rPr>
          <w:spacing w:val="40"/>
          <w:vertAlign w:val="baseline"/>
        </w:rPr>
        <w:t> </w:t>
      </w:r>
      <w:r>
        <w:rPr>
          <w:vertAlign w:val="baseline"/>
        </w:rPr>
        <w:t>from</w:t>
      </w:r>
      <w:r>
        <w:rPr>
          <w:spacing w:val="40"/>
          <w:vertAlign w:val="baseline"/>
        </w:rPr>
        <w:t> </w:t>
      </w:r>
      <w:r>
        <w:rPr>
          <w:vertAlign w:val="baseline"/>
        </w:rPr>
        <w:t>the</w:t>
      </w:r>
      <w:r>
        <w:rPr>
          <w:spacing w:val="40"/>
          <w:vertAlign w:val="baseline"/>
        </w:rPr>
        <w:t> </w:t>
      </w:r>
      <w:r>
        <w:rPr>
          <w:vertAlign w:val="baseline"/>
        </w:rPr>
        <w:t>petroleum resources derivable there from, in the Federal Government and for all other matters incidental thereto. Section 2 (1)</w:t>
      </w:r>
      <w:r>
        <w:rPr>
          <w:spacing w:val="80"/>
          <w:vertAlign w:val="baseline"/>
        </w:rPr>
        <w:t> </w:t>
      </w:r>
      <w:r>
        <w:rPr>
          <w:vertAlign w:val="baseline"/>
        </w:rPr>
        <w:t>(a)-(c)</w:t>
      </w:r>
      <w:r>
        <w:rPr>
          <w:spacing w:val="39"/>
          <w:vertAlign w:val="baseline"/>
        </w:rPr>
        <w:t> </w:t>
      </w:r>
      <w:r>
        <w:rPr>
          <w:vertAlign w:val="baseline"/>
        </w:rPr>
        <w:t>of</w:t>
      </w:r>
      <w:r>
        <w:rPr>
          <w:spacing w:val="39"/>
          <w:vertAlign w:val="baseline"/>
        </w:rPr>
        <w:t> </w:t>
      </w:r>
      <w:r>
        <w:rPr>
          <w:vertAlign w:val="baseline"/>
        </w:rPr>
        <w:t>the</w:t>
      </w:r>
      <w:r>
        <w:rPr>
          <w:spacing w:val="38"/>
          <w:vertAlign w:val="baseline"/>
        </w:rPr>
        <w:t> </w:t>
      </w:r>
      <w:r>
        <w:rPr>
          <w:vertAlign w:val="baseline"/>
        </w:rPr>
        <w:t>Act</w:t>
      </w:r>
      <w:r>
        <w:rPr>
          <w:vertAlign w:val="superscript"/>
        </w:rPr>
        <w:t>2</w:t>
      </w:r>
      <w:r>
        <w:rPr>
          <w:vertAlign w:val="baseline"/>
        </w:rPr>
        <w:t> provides</w:t>
      </w:r>
      <w:r>
        <w:rPr>
          <w:spacing w:val="39"/>
          <w:vertAlign w:val="baseline"/>
        </w:rPr>
        <w:t> </w:t>
      </w:r>
      <w:r>
        <w:rPr>
          <w:vertAlign w:val="baseline"/>
        </w:rPr>
        <w:t>that</w:t>
      </w:r>
      <w:r>
        <w:rPr>
          <w:spacing w:val="40"/>
          <w:vertAlign w:val="baseline"/>
        </w:rPr>
        <w:t> </w:t>
      </w:r>
      <w:r>
        <w:rPr>
          <w:vertAlign w:val="baseline"/>
        </w:rPr>
        <w:t>the</w:t>
      </w:r>
      <w:r>
        <w:rPr>
          <w:spacing w:val="40"/>
          <w:vertAlign w:val="baseline"/>
        </w:rPr>
        <w:t> </w:t>
      </w:r>
      <w:r>
        <w:rPr>
          <w:vertAlign w:val="baseline"/>
        </w:rPr>
        <w:t>Oil</w:t>
      </w:r>
      <w:r>
        <w:rPr>
          <w:spacing w:val="40"/>
          <w:vertAlign w:val="baseline"/>
        </w:rPr>
        <w:t> </w:t>
      </w:r>
      <w:r>
        <w:rPr>
          <w:vertAlign w:val="baseline"/>
        </w:rPr>
        <w:t>exploration</w:t>
      </w:r>
      <w:r>
        <w:rPr>
          <w:spacing w:val="40"/>
          <w:vertAlign w:val="baseline"/>
        </w:rPr>
        <w:t> </w:t>
      </w:r>
      <w:r>
        <w:rPr>
          <w:vertAlign w:val="baseline"/>
        </w:rPr>
        <w:t>licence,</w:t>
      </w:r>
      <w:r>
        <w:rPr>
          <w:spacing w:val="40"/>
          <w:vertAlign w:val="baseline"/>
        </w:rPr>
        <w:t> </w:t>
      </w:r>
      <w:r>
        <w:rPr>
          <w:vertAlign w:val="baseline"/>
        </w:rPr>
        <w:t>Oil</w:t>
      </w:r>
      <w:r>
        <w:rPr>
          <w:spacing w:val="40"/>
          <w:vertAlign w:val="baseline"/>
        </w:rPr>
        <w:t> </w:t>
      </w:r>
      <w:r>
        <w:rPr>
          <w:vertAlign w:val="baseline"/>
        </w:rPr>
        <w:t>prospecting</w:t>
      </w:r>
      <w:r>
        <w:rPr>
          <w:spacing w:val="40"/>
          <w:vertAlign w:val="baseline"/>
        </w:rPr>
        <w:t> </w:t>
      </w:r>
      <w:r>
        <w:rPr>
          <w:vertAlign w:val="baseline"/>
        </w:rPr>
        <w:t>licence,</w:t>
      </w:r>
      <w:r>
        <w:rPr>
          <w:spacing w:val="40"/>
          <w:vertAlign w:val="baseline"/>
        </w:rPr>
        <w:t> </w:t>
      </w:r>
      <w:r>
        <w:rPr>
          <w:vertAlign w:val="baseline"/>
        </w:rPr>
        <w:t>and Oil</w:t>
      </w:r>
      <w:r>
        <w:rPr>
          <w:spacing w:val="40"/>
          <w:vertAlign w:val="baseline"/>
        </w:rPr>
        <w:t> </w:t>
      </w:r>
      <w:r>
        <w:rPr>
          <w:vertAlign w:val="baseline"/>
        </w:rPr>
        <w:t>mining</w:t>
      </w:r>
      <w:r>
        <w:rPr>
          <w:spacing w:val="38"/>
          <w:vertAlign w:val="baseline"/>
        </w:rPr>
        <w:t> </w:t>
      </w:r>
      <w:r>
        <w:rPr>
          <w:vertAlign w:val="baseline"/>
        </w:rPr>
        <w:t>lease</w:t>
      </w:r>
      <w:r>
        <w:rPr>
          <w:spacing w:val="37"/>
          <w:vertAlign w:val="baseline"/>
        </w:rPr>
        <w:t> </w:t>
      </w:r>
      <w:r>
        <w:rPr>
          <w:vertAlign w:val="baseline"/>
        </w:rPr>
        <w:t>may</w:t>
      </w:r>
      <w:r>
        <w:rPr>
          <w:spacing w:val="35"/>
          <w:vertAlign w:val="baseline"/>
        </w:rPr>
        <w:t> </w:t>
      </w:r>
      <w:r>
        <w:rPr>
          <w:vertAlign w:val="baseline"/>
        </w:rPr>
        <w:t>be</w:t>
      </w:r>
      <w:r>
        <w:rPr>
          <w:spacing w:val="40"/>
          <w:vertAlign w:val="baseline"/>
        </w:rPr>
        <w:t> </w:t>
      </w:r>
      <w:r>
        <w:rPr>
          <w:vertAlign w:val="baseline"/>
        </w:rPr>
        <w:t>granted</w:t>
      </w:r>
      <w:r>
        <w:rPr>
          <w:spacing w:val="40"/>
          <w:vertAlign w:val="baseline"/>
        </w:rPr>
        <w:t> </w:t>
      </w:r>
      <w:r>
        <w:rPr>
          <w:vertAlign w:val="baseline"/>
        </w:rPr>
        <w:t>by</w:t>
      </w:r>
      <w:r>
        <w:rPr>
          <w:spacing w:val="35"/>
          <w:vertAlign w:val="baseline"/>
        </w:rPr>
        <w:t> </w:t>
      </w:r>
      <w:r>
        <w:rPr>
          <w:vertAlign w:val="baseline"/>
        </w:rPr>
        <w:t>the</w:t>
      </w:r>
      <w:r>
        <w:rPr>
          <w:spacing w:val="40"/>
          <w:vertAlign w:val="baseline"/>
        </w:rPr>
        <w:t> </w:t>
      </w:r>
      <w:r>
        <w:rPr>
          <w:vertAlign w:val="baseline"/>
        </w:rPr>
        <w:t>Minister</w:t>
      </w:r>
      <w:r>
        <w:rPr>
          <w:spacing w:val="40"/>
          <w:vertAlign w:val="baseline"/>
        </w:rPr>
        <w:t> </w:t>
      </w:r>
      <w:r>
        <w:rPr>
          <w:vertAlign w:val="baseline"/>
        </w:rPr>
        <w:t>subject</w:t>
      </w:r>
      <w:r>
        <w:rPr>
          <w:spacing w:val="39"/>
          <w:vertAlign w:val="baseline"/>
        </w:rPr>
        <w:t> </w:t>
      </w:r>
      <w:r>
        <w:rPr>
          <w:vertAlign w:val="baseline"/>
        </w:rPr>
        <w:t>to</w:t>
      </w:r>
      <w:r>
        <w:rPr>
          <w:spacing w:val="40"/>
          <w:vertAlign w:val="baseline"/>
        </w:rPr>
        <w:t> </w:t>
      </w:r>
      <w:r>
        <w:rPr>
          <w:vertAlign w:val="baseline"/>
        </w:rPr>
        <w:t>this</w:t>
      </w:r>
      <w:r>
        <w:rPr>
          <w:spacing w:val="40"/>
          <w:vertAlign w:val="baseline"/>
        </w:rPr>
        <w:t> </w:t>
      </w:r>
      <w:r>
        <w:rPr>
          <w:vertAlign w:val="baseline"/>
        </w:rPr>
        <w:t>Act.</w:t>
      </w:r>
      <w:r>
        <w:rPr>
          <w:spacing w:val="40"/>
          <w:vertAlign w:val="baseline"/>
        </w:rPr>
        <w:t> </w:t>
      </w:r>
      <w:r>
        <w:rPr>
          <w:vertAlign w:val="baseline"/>
        </w:rPr>
        <w:t>Sub-section</w:t>
      </w:r>
      <w:r>
        <w:rPr>
          <w:spacing w:val="38"/>
          <w:vertAlign w:val="baseline"/>
        </w:rPr>
        <w:t> </w:t>
      </w:r>
      <w:r>
        <w:rPr>
          <w:vertAlign w:val="baseline"/>
        </w:rPr>
        <w:t>(2)</w:t>
      </w:r>
      <w:r>
        <w:rPr>
          <w:vertAlign w:val="superscript"/>
        </w:rPr>
        <w:t>3</w:t>
      </w:r>
      <w:r>
        <w:rPr>
          <w:spacing w:val="25"/>
          <w:vertAlign w:val="baseline"/>
        </w:rPr>
        <w:t> </w:t>
      </w:r>
      <w:r>
        <w:rPr>
          <w:vertAlign w:val="baseline"/>
        </w:rPr>
        <w:t>of the</w:t>
      </w:r>
      <w:r>
        <w:rPr>
          <w:spacing w:val="33"/>
          <w:vertAlign w:val="baseline"/>
        </w:rPr>
        <w:t> </w:t>
      </w:r>
      <w:r>
        <w:rPr>
          <w:vertAlign w:val="baseline"/>
        </w:rPr>
        <w:t>same</w:t>
      </w:r>
      <w:r>
        <w:rPr>
          <w:spacing w:val="33"/>
          <w:vertAlign w:val="baseline"/>
        </w:rPr>
        <w:t> </w:t>
      </w:r>
      <w:r>
        <w:rPr>
          <w:vertAlign w:val="baseline"/>
        </w:rPr>
        <w:t>sectiongave</w:t>
      </w:r>
      <w:r>
        <w:rPr>
          <w:spacing w:val="29"/>
          <w:vertAlign w:val="baseline"/>
        </w:rPr>
        <w:t> </w:t>
      </w:r>
      <w:r>
        <w:rPr>
          <w:vertAlign w:val="baseline"/>
        </w:rPr>
        <w:t>a</w:t>
      </w:r>
      <w:r>
        <w:rPr>
          <w:spacing w:val="29"/>
          <w:vertAlign w:val="baseline"/>
        </w:rPr>
        <w:t> </w:t>
      </w:r>
      <w:r>
        <w:rPr>
          <w:vertAlign w:val="baseline"/>
        </w:rPr>
        <w:t>condition</w:t>
      </w:r>
      <w:r>
        <w:rPr>
          <w:spacing w:val="30"/>
          <w:vertAlign w:val="baseline"/>
        </w:rPr>
        <w:t> </w:t>
      </w:r>
      <w:r>
        <w:rPr>
          <w:vertAlign w:val="baseline"/>
        </w:rPr>
        <w:t>upon</w:t>
      </w:r>
      <w:r>
        <w:rPr>
          <w:spacing w:val="30"/>
          <w:vertAlign w:val="baseline"/>
        </w:rPr>
        <w:t> </w:t>
      </w:r>
      <w:r>
        <w:rPr>
          <w:vertAlign w:val="baseline"/>
        </w:rPr>
        <w:t>which</w:t>
      </w:r>
      <w:r>
        <w:rPr>
          <w:spacing w:val="28"/>
          <w:vertAlign w:val="baseline"/>
        </w:rPr>
        <w:t> </w:t>
      </w:r>
      <w:r>
        <w:rPr>
          <w:vertAlign w:val="baseline"/>
        </w:rPr>
        <w:t>such</w:t>
      </w:r>
      <w:r>
        <w:rPr>
          <w:spacing w:val="30"/>
          <w:vertAlign w:val="baseline"/>
        </w:rPr>
        <w:t> </w:t>
      </w:r>
      <w:r>
        <w:rPr>
          <w:vertAlign w:val="baseline"/>
        </w:rPr>
        <w:t>licences</w:t>
      </w:r>
      <w:r>
        <w:rPr>
          <w:spacing w:val="31"/>
          <w:vertAlign w:val="baseline"/>
        </w:rPr>
        <w:t> </w:t>
      </w:r>
      <w:r>
        <w:rPr>
          <w:vertAlign w:val="baseline"/>
        </w:rPr>
        <w:t>can</w:t>
      </w:r>
      <w:r>
        <w:rPr>
          <w:spacing w:val="30"/>
          <w:vertAlign w:val="baseline"/>
        </w:rPr>
        <w:t> </w:t>
      </w:r>
      <w:r>
        <w:rPr>
          <w:vertAlign w:val="baseline"/>
        </w:rPr>
        <w:t>only</w:t>
      </w:r>
      <w:r>
        <w:rPr>
          <w:spacing w:val="25"/>
          <w:vertAlign w:val="baseline"/>
        </w:rPr>
        <w:t> </w:t>
      </w:r>
      <w:r>
        <w:rPr>
          <w:vertAlign w:val="baseline"/>
        </w:rPr>
        <w:t>be</w:t>
      </w:r>
      <w:r>
        <w:rPr>
          <w:spacing w:val="33"/>
          <w:vertAlign w:val="baseline"/>
        </w:rPr>
        <w:t> </w:t>
      </w:r>
      <w:r>
        <w:rPr>
          <w:vertAlign w:val="baseline"/>
        </w:rPr>
        <w:t>granted,</w:t>
      </w:r>
      <w:r>
        <w:rPr>
          <w:spacing w:val="30"/>
          <w:vertAlign w:val="baseline"/>
        </w:rPr>
        <w:t> </w:t>
      </w:r>
      <w:r>
        <w:rPr>
          <w:vertAlign w:val="baseline"/>
        </w:rPr>
        <w:t>which</w:t>
      </w:r>
      <w:r>
        <w:rPr>
          <w:spacing w:val="30"/>
          <w:vertAlign w:val="baseline"/>
        </w:rPr>
        <w:t> </w:t>
      </w:r>
      <w:r>
        <w:rPr>
          <w:vertAlign w:val="baseline"/>
        </w:rPr>
        <w:t>is to</w:t>
      </w:r>
      <w:r>
        <w:rPr>
          <w:spacing w:val="40"/>
          <w:vertAlign w:val="baseline"/>
        </w:rPr>
        <w:t> </w:t>
      </w:r>
      <w:r>
        <w:rPr>
          <w:vertAlign w:val="baseline"/>
        </w:rPr>
        <w:t>the</w:t>
      </w:r>
      <w:r>
        <w:rPr>
          <w:spacing w:val="40"/>
          <w:vertAlign w:val="baseline"/>
        </w:rPr>
        <w:t> </w:t>
      </w:r>
      <w:r>
        <w:rPr>
          <w:vertAlign w:val="baseline"/>
        </w:rPr>
        <w:t>effect</w:t>
      </w:r>
      <w:r>
        <w:rPr>
          <w:spacing w:val="40"/>
          <w:vertAlign w:val="baseline"/>
        </w:rPr>
        <w:t> </w:t>
      </w:r>
      <w:r>
        <w:rPr>
          <w:vertAlign w:val="baseline"/>
        </w:rPr>
        <w:t>that</w:t>
      </w:r>
      <w:r>
        <w:rPr>
          <w:spacing w:val="40"/>
          <w:vertAlign w:val="baseline"/>
        </w:rPr>
        <w:t> </w:t>
      </w:r>
      <w:r>
        <w:rPr>
          <w:vertAlign w:val="baseline"/>
        </w:rPr>
        <w:t>a</w:t>
      </w:r>
      <w:r>
        <w:rPr>
          <w:spacing w:val="40"/>
          <w:vertAlign w:val="baseline"/>
        </w:rPr>
        <w:t> </w:t>
      </w:r>
      <w:r>
        <w:rPr>
          <w:vertAlign w:val="baseline"/>
        </w:rPr>
        <w:t>licence</w:t>
      </w:r>
      <w:r>
        <w:rPr>
          <w:spacing w:val="40"/>
          <w:vertAlign w:val="baseline"/>
        </w:rPr>
        <w:t> </w:t>
      </w:r>
      <w:r>
        <w:rPr>
          <w:vertAlign w:val="baseline"/>
        </w:rPr>
        <w:t>can</w:t>
      </w:r>
      <w:r>
        <w:rPr>
          <w:spacing w:val="40"/>
          <w:vertAlign w:val="baseline"/>
        </w:rPr>
        <w:t> </w:t>
      </w:r>
      <w:r>
        <w:rPr>
          <w:vertAlign w:val="baseline"/>
        </w:rPr>
        <w:t>only</w:t>
      </w:r>
      <w:r>
        <w:rPr>
          <w:spacing w:val="39"/>
          <w:vertAlign w:val="baseline"/>
        </w:rPr>
        <w:t> </w:t>
      </w:r>
      <w:r>
        <w:rPr>
          <w:vertAlign w:val="baseline"/>
        </w:rPr>
        <w:t>be</w:t>
      </w:r>
      <w:r>
        <w:rPr>
          <w:spacing w:val="40"/>
          <w:vertAlign w:val="baseline"/>
        </w:rPr>
        <w:t> </w:t>
      </w:r>
      <w:r>
        <w:rPr>
          <w:vertAlign w:val="baseline"/>
        </w:rPr>
        <w:t>given</w:t>
      </w:r>
      <w:r>
        <w:rPr>
          <w:spacing w:val="40"/>
          <w:vertAlign w:val="baseline"/>
        </w:rPr>
        <w:t> </w:t>
      </w:r>
      <w:r>
        <w:rPr>
          <w:vertAlign w:val="baseline"/>
        </w:rPr>
        <w:t>to</w:t>
      </w:r>
      <w:r>
        <w:rPr>
          <w:spacing w:val="40"/>
          <w:vertAlign w:val="baseline"/>
        </w:rPr>
        <w:t> </w:t>
      </w:r>
      <w:r>
        <w:rPr>
          <w:vertAlign w:val="baseline"/>
        </w:rPr>
        <w:t>a</w:t>
      </w:r>
      <w:r>
        <w:rPr>
          <w:spacing w:val="40"/>
          <w:vertAlign w:val="baseline"/>
        </w:rPr>
        <w:t> </w:t>
      </w:r>
      <w:r>
        <w:rPr>
          <w:vertAlign w:val="baseline"/>
        </w:rPr>
        <w:t>company</w:t>
      </w:r>
      <w:r>
        <w:rPr>
          <w:spacing w:val="39"/>
          <w:vertAlign w:val="baseline"/>
        </w:rPr>
        <w:t> </w:t>
      </w:r>
      <w:r>
        <w:rPr>
          <w:vertAlign w:val="baseline"/>
        </w:rPr>
        <w:t>registered</w:t>
      </w:r>
      <w:r>
        <w:rPr>
          <w:spacing w:val="40"/>
          <w:vertAlign w:val="baseline"/>
        </w:rPr>
        <w:t> </w:t>
      </w:r>
      <w:r>
        <w:rPr>
          <w:vertAlign w:val="baseline"/>
        </w:rPr>
        <w:t>under</w:t>
      </w:r>
      <w:r>
        <w:rPr>
          <w:spacing w:val="40"/>
          <w:vertAlign w:val="baseline"/>
        </w:rPr>
        <w:t> </w:t>
      </w:r>
      <w:r>
        <w:rPr>
          <w:vertAlign w:val="baseline"/>
        </w:rPr>
        <w:t>Companies and Allied Matters Act. What the section stated above attempted to do, is to first of all leave the</w:t>
      </w:r>
      <w:r>
        <w:rPr>
          <w:spacing w:val="21"/>
          <w:vertAlign w:val="baseline"/>
        </w:rPr>
        <w:t> </w:t>
      </w:r>
      <w:r>
        <w:rPr>
          <w:vertAlign w:val="baseline"/>
        </w:rPr>
        <w:t>power</w:t>
      </w:r>
      <w:r>
        <w:rPr>
          <w:spacing w:val="19"/>
          <w:vertAlign w:val="baseline"/>
        </w:rPr>
        <w:t> </w:t>
      </w:r>
      <w:r>
        <w:rPr>
          <w:vertAlign w:val="baseline"/>
        </w:rPr>
        <w:t>to</w:t>
      </w:r>
      <w:r>
        <w:rPr>
          <w:spacing w:val="19"/>
          <w:vertAlign w:val="baseline"/>
        </w:rPr>
        <w:t> </w:t>
      </w:r>
      <w:r>
        <w:rPr>
          <w:vertAlign w:val="baseline"/>
        </w:rPr>
        <w:t>issue</w:t>
      </w:r>
      <w:r>
        <w:rPr>
          <w:spacing w:val="19"/>
          <w:vertAlign w:val="baseline"/>
        </w:rPr>
        <w:t> </w:t>
      </w:r>
      <w:r>
        <w:rPr>
          <w:vertAlign w:val="baseline"/>
        </w:rPr>
        <w:t>licences</w:t>
      </w:r>
      <w:r>
        <w:rPr>
          <w:spacing w:val="19"/>
          <w:vertAlign w:val="baseline"/>
        </w:rPr>
        <w:t> </w:t>
      </w:r>
      <w:r>
        <w:rPr>
          <w:vertAlign w:val="baseline"/>
        </w:rPr>
        <w:t>and</w:t>
      </w:r>
      <w:r>
        <w:rPr>
          <w:spacing w:val="20"/>
          <w:vertAlign w:val="baseline"/>
        </w:rPr>
        <w:t> </w:t>
      </w:r>
      <w:r>
        <w:rPr>
          <w:vertAlign w:val="baseline"/>
        </w:rPr>
        <w:t>mining</w:t>
      </w:r>
      <w:r>
        <w:rPr>
          <w:spacing w:val="19"/>
          <w:vertAlign w:val="baseline"/>
        </w:rPr>
        <w:t> </w:t>
      </w:r>
      <w:r>
        <w:rPr>
          <w:vertAlign w:val="baseline"/>
        </w:rPr>
        <w:t>leases,</w:t>
      </w:r>
      <w:r>
        <w:rPr>
          <w:spacing w:val="22"/>
          <w:vertAlign w:val="baseline"/>
        </w:rPr>
        <w:t> </w:t>
      </w:r>
      <w:r>
        <w:rPr>
          <w:vertAlign w:val="baseline"/>
        </w:rPr>
        <w:t>a</w:t>
      </w:r>
      <w:r>
        <w:rPr>
          <w:spacing w:val="18"/>
          <w:vertAlign w:val="baseline"/>
        </w:rPr>
        <w:t> </w:t>
      </w:r>
      <w:r>
        <w:rPr>
          <w:vertAlign w:val="baseline"/>
        </w:rPr>
        <w:t>sensitive</w:t>
      </w:r>
      <w:r>
        <w:rPr>
          <w:spacing w:val="21"/>
          <w:vertAlign w:val="baseline"/>
        </w:rPr>
        <w:t> </w:t>
      </w:r>
      <w:r>
        <w:rPr>
          <w:vertAlign w:val="baseline"/>
        </w:rPr>
        <w:t>and</w:t>
      </w:r>
      <w:r>
        <w:rPr>
          <w:spacing w:val="19"/>
          <w:vertAlign w:val="baseline"/>
        </w:rPr>
        <w:t> </w:t>
      </w:r>
      <w:r>
        <w:rPr>
          <w:vertAlign w:val="baseline"/>
        </w:rPr>
        <w:t>probably</w:t>
      </w:r>
      <w:r>
        <w:rPr>
          <w:spacing w:val="15"/>
          <w:vertAlign w:val="baseline"/>
        </w:rPr>
        <w:t> </w:t>
      </w:r>
      <w:r>
        <w:rPr>
          <w:vertAlign w:val="baseline"/>
        </w:rPr>
        <w:t>the</w:t>
      </w:r>
      <w:r>
        <w:rPr>
          <w:spacing w:val="33"/>
          <w:vertAlign w:val="baseline"/>
        </w:rPr>
        <w:t> </w:t>
      </w:r>
      <w:r>
        <w:rPr>
          <w:vertAlign w:val="baseline"/>
        </w:rPr>
        <w:t>most</w:t>
      </w:r>
      <w:r>
        <w:rPr>
          <w:spacing w:val="25"/>
          <w:vertAlign w:val="baseline"/>
        </w:rPr>
        <w:t> </w:t>
      </w:r>
      <w:r>
        <w:rPr>
          <w:spacing w:val="-2"/>
          <w:vertAlign w:val="baseline"/>
        </w:rPr>
        <w:t>important</w:t>
      </w:r>
    </w:p>
    <w:p>
      <w:pPr>
        <w:pStyle w:val="BodyText"/>
        <w:spacing w:before="168"/>
        <w:rPr>
          <w:sz w:val="20"/>
        </w:rPr>
      </w:pPr>
      <w:r>
        <w:rPr/>
        <mc:AlternateContent>
          <mc:Choice Requires="wps">
            <w:drawing>
              <wp:anchor distT="0" distB="0" distL="0" distR="0" allowOverlap="1" layoutInCell="1" locked="0" behindDoc="1" simplePos="0" relativeHeight="487597056">
                <wp:simplePos x="0" y="0"/>
                <wp:positionH relativeFrom="page">
                  <wp:posOffset>914704</wp:posOffset>
                </wp:positionH>
                <wp:positionV relativeFrom="paragraph">
                  <wp:posOffset>268497</wp:posOffset>
                </wp:positionV>
                <wp:extent cx="1829435" cy="9525"/>
                <wp:effectExtent l="0" t="0" r="0" b="0"/>
                <wp:wrapTopAndBottom/>
                <wp:docPr id="21" name="Graphic 21"/>
                <wp:cNvGraphicFramePr>
                  <a:graphicFrameLocks/>
                </wp:cNvGraphicFramePr>
                <a:graphic>
                  <a:graphicData uri="http://schemas.microsoft.com/office/word/2010/wordprocessingShape">
                    <wps:wsp>
                      <wps:cNvPr id="21" name="Graphic 21"/>
                      <wps:cNvSpPr/>
                      <wps:spPr>
                        <a:xfrm>
                          <a:off x="0" y="0"/>
                          <a:ext cx="1829435" cy="9525"/>
                        </a:xfrm>
                        <a:custGeom>
                          <a:avLst/>
                          <a:gdLst/>
                          <a:ahLst/>
                          <a:cxnLst/>
                          <a:rect l="l" t="t" r="r" b="b"/>
                          <a:pathLst>
                            <a:path w="1829435" h="9525">
                              <a:moveTo>
                                <a:pt x="1829054" y="0"/>
                              </a:moveTo>
                              <a:lnTo>
                                <a:pt x="0" y="0"/>
                              </a:lnTo>
                              <a:lnTo>
                                <a:pt x="0" y="9144"/>
                              </a:lnTo>
                              <a:lnTo>
                                <a:pt x="1829054" y="9144"/>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21.141533pt;width:144.020pt;height:.72003pt;mso-position-horizontal-relative:page;mso-position-vertical-relative:paragraph;z-index:-15719424;mso-wrap-distance-left:0;mso-wrap-distance-right:0" id="docshape21" filled="true" fillcolor="#000000" stroked="false">
                <v:fill type="solid"/>
                <w10:wrap type="topAndBottom"/>
              </v:rect>
            </w:pict>
          </mc:Fallback>
        </mc:AlternateContent>
      </w:r>
    </w:p>
    <w:p>
      <w:pPr>
        <w:spacing w:line="243" w:lineRule="exact" w:before="102"/>
        <w:ind w:left="360" w:right="0" w:firstLine="0"/>
        <w:jc w:val="left"/>
        <w:rPr>
          <w:rFonts w:ascii="Calibri"/>
          <w:sz w:val="20"/>
        </w:rPr>
      </w:pPr>
      <w:r>
        <w:rPr>
          <w:rFonts w:ascii="Calibri"/>
          <w:sz w:val="20"/>
          <w:vertAlign w:val="superscript"/>
        </w:rPr>
        <w:t>1</w:t>
      </w:r>
      <w:r>
        <w:rPr>
          <w:rFonts w:ascii="Calibri"/>
          <w:spacing w:val="-5"/>
          <w:sz w:val="20"/>
          <w:vertAlign w:val="baseline"/>
        </w:rPr>
        <w:t> </w:t>
      </w:r>
      <w:r>
        <w:rPr>
          <w:rFonts w:ascii="Calibri"/>
          <w:sz w:val="20"/>
          <w:vertAlign w:val="baseline"/>
        </w:rPr>
        <w:t>Petroleum</w:t>
      </w:r>
      <w:r>
        <w:rPr>
          <w:rFonts w:ascii="Calibri"/>
          <w:spacing w:val="-4"/>
          <w:sz w:val="20"/>
          <w:vertAlign w:val="baseline"/>
        </w:rPr>
        <w:t> </w:t>
      </w:r>
      <w:r>
        <w:rPr>
          <w:rFonts w:ascii="Calibri"/>
          <w:sz w:val="20"/>
          <w:vertAlign w:val="baseline"/>
        </w:rPr>
        <w:t>Act,</w:t>
      </w:r>
      <w:r>
        <w:rPr>
          <w:rFonts w:ascii="Calibri"/>
          <w:spacing w:val="-3"/>
          <w:sz w:val="20"/>
          <w:vertAlign w:val="baseline"/>
        </w:rPr>
        <w:t> </w:t>
      </w:r>
      <w:r>
        <w:rPr>
          <w:rFonts w:ascii="Calibri"/>
          <w:sz w:val="20"/>
          <w:vertAlign w:val="baseline"/>
        </w:rPr>
        <w:t>Cap</w:t>
      </w:r>
      <w:r>
        <w:rPr>
          <w:rFonts w:ascii="Calibri"/>
          <w:spacing w:val="-3"/>
          <w:sz w:val="20"/>
          <w:vertAlign w:val="baseline"/>
        </w:rPr>
        <w:t> </w:t>
      </w:r>
      <w:r>
        <w:rPr>
          <w:rFonts w:ascii="Calibri"/>
          <w:sz w:val="20"/>
          <w:vertAlign w:val="baseline"/>
        </w:rPr>
        <w:t>P.</w:t>
      </w:r>
      <w:r>
        <w:rPr>
          <w:rFonts w:ascii="Calibri"/>
          <w:spacing w:val="-3"/>
          <w:sz w:val="20"/>
          <w:vertAlign w:val="baseline"/>
        </w:rPr>
        <w:t> </w:t>
      </w:r>
      <w:r>
        <w:rPr>
          <w:rFonts w:ascii="Calibri"/>
          <w:sz w:val="20"/>
          <w:vertAlign w:val="baseline"/>
        </w:rPr>
        <w:t>10,</w:t>
      </w:r>
      <w:r>
        <w:rPr>
          <w:rFonts w:ascii="Calibri"/>
          <w:spacing w:val="-3"/>
          <w:sz w:val="20"/>
          <w:vertAlign w:val="baseline"/>
        </w:rPr>
        <w:t> </w:t>
      </w:r>
      <w:r>
        <w:rPr>
          <w:rFonts w:ascii="Calibri"/>
          <w:sz w:val="20"/>
          <w:vertAlign w:val="baseline"/>
        </w:rPr>
        <w:t>LFN,</w:t>
      </w:r>
      <w:r>
        <w:rPr>
          <w:rFonts w:ascii="Calibri"/>
          <w:spacing w:val="-4"/>
          <w:sz w:val="20"/>
          <w:vertAlign w:val="baseline"/>
        </w:rPr>
        <w:t> 2010</w:t>
      </w:r>
    </w:p>
    <w:p>
      <w:pPr>
        <w:spacing w:line="243" w:lineRule="exact" w:before="0"/>
        <w:ind w:left="360" w:right="0" w:firstLine="0"/>
        <w:jc w:val="left"/>
        <w:rPr>
          <w:rFonts w:ascii="Calibri"/>
          <w:sz w:val="20"/>
        </w:rPr>
      </w:pPr>
      <w:r>
        <w:rPr>
          <w:rFonts w:ascii="Calibri"/>
          <w:sz w:val="20"/>
          <w:vertAlign w:val="superscript"/>
        </w:rPr>
        <w:t>2</w:t>
      </w:r>
      <w:r>
        <w:rPr>
          <w:rFonts w:ascii="Calibri"/>
          <w:spacing w:val="-6"/>
          <w:sz w:val="20"/>
          <w:vertAlign w:val="baseline"/>
        </w:rPr>
        <w:t> </w:t>
      </w:r>
      <w:r>
        <w:rPr>
          <w:rFonts w:ascii="Calibri"/>
          <w:sz w:val="20"/>
          <w:vertAlign w:val="baseline"/>
        </w:rPr>
        <w:t>Ibid</w:t>
      </w:r>
      <w:r>
        <w:rPr>
          <w:rFonts w:ascii="Calibri"/>
          <w:spacing w:val="-4"/>
          <w:sz w:val="20"/>
          <w:vertAlign w:val="baseline"/>
        </w:rPr>
        <w:t> </w:t>
      </w:r>
      <w:r>
        <w:rPr>
          <w:rFonts w:ascii="Calibri"/>
          <w:sz w:val="20"/>
          <w:vertAlign w:val="baseline"/>
        </w:rPr>
        <w:t>at</w:t>
      </w:r>
      <w:r>
        <w:rPr>
          <w:rFonts w:ascii="Calibri"/>
          <w:spacing w:val="-4"/>
          <w:sz w:val="20"/>
          <w:vertAlign w:val="baseline"/>
        </w:rPr>
        <w:t> </w:t>
      </w:r>
      <w:r>
        <w:rPr>
          <w:rFonts w:ascii="Calibri"/>
          <w:sz w:val="20"/>
          <w:vertAlign w:val="baseline"/>
        </w:rPr>
        <w:t>Section</w:t>
      </w:r>
      <w:r>
        <w:rPr>
          <w:rFonts w:ascii="Calibri"/>
          <w:spacing w:val="-4"/>
          <w:sz w:val="20"/>
          <w:vertAlign w:val="baseline"/>
        </w:rPr>
        <w:t> </w:t>
      </w:r>
      <w:r>
        <w:rPr>
          <w:rFonts w:ascii="Calibri"/>
          <w:spacing w:val="-10"/>
          <w:sz w:val="20"/>
          <w:vertAlign w:val="baseline"/>
        </w:rPr>
        <w:t>2</w:t>
      </w:r>
    </w:p>
    <w:p>
      <w:pPr>
        <w:spacing w:before="1"/>
        <w:ind w:left="360" w:right="0" w:firstLine="0"/>
        <w:jc w:val="left"/>
        <w:rPr>
          <w:rFonts w:ascii="Calibri"/>
          <w:sz w:val="20"/>
        </w:rPr>
      </w:pPr>
      <w:r>
        <w:rPr>
          <w:rFonts w:ascii="Calibri"/>
          <w:sz w:val="20"/>
          <w:vertAlign w:val="superscript"/>
        </w:rPr>
        <w:t>3</w:t>
      </w:r>
      <w:r>
        <w:rPr>
          <w:rFonts w:ascii="Calibri"/>
          <w:spacing w:val="-2"/>
          <w:sz w:val="20"/>
          <w:vertAlign w:val="baseline"/>
        </w:rPr>
        <w:t> </w:t>
      </w:r>
      <w:r>
        <w:rPr>
          <w:rFonts w:ascii="Calibri"/>
          <w:spacing w:val="-4"/>
          <w:sz w:val="20"/>
          <w:vertAlign w:val="baseline"/>
        </w:rPr>
        <w:t>Ibid</w:t>
      </w:r>
    </w:p>
    <w:p>
      <w:pPr>
        <w:spacing w:after="0"/>
        <w:jc w:val="left"/>
        <w:rPr>
          <w:rFonts w:ascii="Calibri"/>
          <w:sz w:val="20"/>
        </w:rPr>
        <w:sectPr>
          <w:pgSz w:w="11910" w:h="16840"/>
          <w:pgMar w:header="0" w:footer="1000" w:top="1340" w:bottom="1200" w:left="1080" w:right="1280"/>
        </w:sectPr>
      </w:pPr>
    </w:p>
    <w:p>
      <w:pPr>
        <w:pStyle w:val="BodyText"/>
        <w:spacing w:line="480" w:lineRule="auto" w:before="74"/>
        <w:ind w:left="360" w:right="149"/>
        <w:jc w:val="both"/>
      </w:pPr>
      <w:r>
        <w:rPr/>
        <w:t>license</w:t>
      </w:r>
      <w:r>
        <w:rPr>
          <w:spacing w:val="34"/>
        </w:rPr>
        <w:t> </w:t>
      </w:r>
      <w:r>
        <w:rPr/>
        <w:t>in</w:t>
      </w:r>
      <w:r>
        <w:rPr>
          <w:spacing w:val="39"/>
        </w:rPr>
        <w:t> </w:t>
      </w:r>
      <w:r>
        <w:rPr/>
        <w:t>an</w:t>
      </w:r>
      <w:r>
        <w:rPr>
          <w:spacing w:val="35"/>
        </w:rPr>
        <w:t> </w:t>
      </w:r>
      <w:r>
        <w:rPr/>
        <w:t>oil</w:t>
      </w:r>
      <w:r>
        <w:rPr>
          <w:spacing w:val="39"/>
        </w:rPr>
        <w:t> </w:t>
      </w:r>
      <w:r>
        <w:rPr/>
        <w:t>and</w:t>
      </w:r>
      <w:r>
        <w:rPr>
          <w:spacing w:val="39"/>
        </w:rPr>
        <w:t> </w:t>
      </w:r>
      <w:r>
        <w:rPr/>
        <w:t>gas</w:t>
      </w:r>
      <w:r>
        <w:rPr>
          <w:spacing w:val="35"/>
        </w:rPr>
        <w:t> </w:t>
      </w:r>
      <w:r>
        <w:rPr/>
        <w:t>industry</w:t>
      </w:r>
      <w:r>
        <w:rPr>
          <w:spacing w:val="30"/>
        </w:rPr>
        <w:t> </w:t>
      </w:r>
      <w:r>
        <w:rPr/>
        <w:t>to</w:t>
      </w:r>
      <w:r>
        <w:rPr>
          <w:spacing w:val="35"/>
        </w:rPr>
        <w:t> </w:t>
      </w:r>
      <w:r>
        <w:rPr/>
        <w:t>the</w:t>
      </w:r>
      <w:r>
        <w:rPr>
          <w:spacing w:val="38"/>
        </w:rPr>
        <w:t> </w:t>
      </w:r>
      <w:r>
        <w:rPr/>
        <w:t>hands</w:t>
      </w:r>
      <w:r>
        <w:rPr>
          <w:spacing w:val="40"/>
        </w:rPr>
        <w:t> </w:t>
      </w:r>
      <w:r>
        <w:rPr/>
        <w:t>of</w:t>
      </w:r>
      <w:r>
        <w:rPr>
          <w:spacing w:val="35"/>
        </w:rPr>
        <w:t> </w:t>
      </w:r>
      <w:r>
        <w:rPr/>
        <w:t>an</w:t>
      </w:r>
      <w:r>
        <w:rPr>
          <w:spacing w:val="35"/>
        </w:rPr>
        <w:t> </w:t>
      </w:r>
      <w:r>
        <w:rPr/>
        <w:t>individual</w:t>
      </w:r>
      <w:r>
        <w:rPr>
          <w:spacing w:val="40"/>
        </w:rPr>
        <w:t> </w:t>
      </w:r>
      <w:r>
        <w:rPr/>
        <w:t>without</w:t>
      </w:r>
      <w:r>
        <w:rPr>
          <w:spacing w:val="40"/>
        </w:rPr>
        <w:t> </w:t>
      </w:r>
      <w:r>
        <w:rPr/>
        <w:t>any</w:t>
      </w:r>
      <w:r>
        <w:rPr>
          <w:spacing w:val="33"/>
        </w:rPr>
        <w:t> </w:t>
      </w:r>
      <w:r>
        <w:rPr/>
        <w:t>checks</w:t>
      </w:r>
      <w:r>
        <w:rPr>
          <w:spacing w:val="40"/>
        </w:rPr>
        <w:t> </w:t>
      </w:r>
      <w:r>
        <w:rPr/>
        <w:t>from any</w:t>
      </w:r>
      <w:r>
        <w:rPr>
          <w:spacing w:val="40"/>
        </w:rPr>
        <w:t> </w:t>
      </w:r>
      <w:r>
        <w:rPr/>
        <w:t>arm</w:t>
      </w:r>
      <w:r>
        <w:rPr>
          <w:spacing w:val="40"/>
        </w:rPr>
        <w:t> </w:t>
      </w:r>
      <w:r>
        <w:rPr/>
        <w:t>of</w:t>
      </w:r>
      <w:r>
        <w:rPr>
          <w:spacing w:val="40"/>
        </w:rPr>
        <w:t> </w:t>
      </w:r>
      <w:r>
        <w:rPr/>
        <w:t>government</w:t>
      </w:r>
      <w:r>
        <w:rPr>
          <w:spacing w:val="40"/>
        </w:rPr>
        <w:t> </w:t>
      </w:r>
      <w:r>
        <w:rPr/>
        <w:t>or</w:t>
      </w:r>
      <w:r>
        <w:rPr>
          <w:spacing w:val="40"/>
        </w:rPr>
        <w:t> </w:t>
      </w:r>
      <w:r>
        <w:rPr/>
        <w:t>institution.</w:t>
      </w:r>
      <w:r>
        <w:rPr>
          <w:spacing w:val="40"/>
        </w:rPr>
        <w:t> </w:t>
      </w:r>
      <w:r>
        <w:rPr/>
        <w:t>Secondly</w:t>
      </w:r>
      <w:r>
        <w:rPr>
          <w:spacing w:val="40"/>
        </w:rPr>
        <w:t> </w:t>
      </w:r>
      <w:r>
        <w:rPr/>
        <w:t>the</w:t>
      </w:r>
      <w:r>
        <w:rPr>
          <w:spacing w:val="40"/>
        </w:rPr>
        <w:t> </w:t>
      </w:r>
      <w:r>
        <w:rPr/>
        <w:t>section</w:t>
      </w:r>
      <w:r>
        <w:rPr>
          <w:spacing w:val="40"/>
        </w:rPr>
        <w:t> </w:t>
      </w:r>
      <w:r>
        <w:rPr/>
        <w:t>did</w:t>
      </w:r>
      <w:r>
        <w:rPr>
          <w:spacing w:val="40"/>
        </w:rPr>
        <w:t> </w:t>
      </w:r>
      <w:r>
        <w:rPr/>
        <w:t>not</w:t>
      </w:r>
      <w:r>
        <w:rPr>
          <w:spacing w:val="40"/>
        </w:rPr>
        <w:t> </w:t>
      </w:r>
      <w:r>
        <w:rPr/>
        <w:t>provide</w:t>
      </w:r>
      <w:r>
        <w:rPr>
          <w:spacing w:val="40"/>
        </w:rPr>
        <w:t> </w:t>
      </w:r>
      <w:r>
        <w:rPr/>
        <w:t>any</w:t>
      </w:r>
      <w:r>
        <w:rPr>
          <w:spacing w:val="40"/>
        </w:rPr>
        <w:t> </w:t>
      </w:r>
      <w:r>
        <w:rPr/>
        <w:t>due process that might be followed by a prospective applicant of the licence to ensure transparency in the issuance of such licences. It isexpected that there should be an organization,</w:t>
      </w:r>
      <w:r>
        <w:rPr>
          <w:spacing w:val="40"/>
        </w:rPr>
        <w:t> </w:t>
      </w:r>
      <w:r>
        <w:rPr/>
        <w:t>an</w:t>
      </w:r>
      <w:r>
        <w:rPr>
          <w:spacing w:val="40"/>
        </w:rPr>
        <w:t> </w:t>
      </w:r>
      <w:r>
        <w:rPr/>
        <w:t>institution</w:t>
      </w:r>
      <w:r>
        <w:rPr>
          <w:spacing w:val="40"/>
        </w:rPr>
        <w:t> </w:t>
      </w:r>
      <w:r>
        <w:rPr/>
        <w:t>or</w:t>
      </w:r>
      <w:r>
        <w:rPr>
          <w:spacing w:val="40"/>
        </w:rPr>
        <w:t> </w:t>
      </w:r>
      <w:r>
        <w:rPr/>
        <w:t>a</w:t>
      </w:r>
      <w:r>
        <w:rPr>
          <w:spacing w:val="40"/>
        </w:rPr>
        <w:t> </w:t>
      </w:r>
      <w:r>
        <w:rPr/>
        <w:t>body</w:t>
      </w:r>
      <w:r>
        <w:rPr>
          <w:spacing w:val="40"/>
        </w:rPr>
        <w:t> </w:t>
      </w:r>
      <w:r>
        <w:rPr/>
        <w:t>separate</w:t>
      </w:r>
      <w:r>
        <w:rPr>
          <w:spacing w:val="40"/>
        </w:rPr>
        <w:t> </w:t>
      </w:r>
      <w:r>
        <w:rPr/>
        <w:t>from</w:t>
      </w:r>
      <w:r>
        <w:rPr>
          <w:spacing w:val="40"/>
        </w:rPr>
        <w:t> </w:t>
      </w:r>
      <w:r>
        <w:rPr/>
        <w:t>the</w:t>
      </w:r>
      <w:r>
        <w:rPr>
          <w:spacing w:val="40"/>
        </w:rPr>
        <w:t> </w:t>
      </w:r>
      <w:r>
        <w:rPr/>
        <w:t>office</w:t>
      </w:r>
      <w:r>
        <w:rPr>
          <w:spacing w:val="40"/>
        </w:rPr>
        <w:t> </w:t>
      </w:r>
      <w:r>
        <w:rPr/>
        <w:t>of</w:t>
      </w:r>
      <w:r>
        <w:rPr>
          <w:spacing w:val="38"/>
        </w:rPr>
        <w:t> </w:t>
      </w:r>
      <w:r>
        <w:rPr/>
        <w:t>the</w:t>
      </w:r>
      <w:r>
        <w:rPr>
          <w:spacing w:val="40"/>
        </w:rPr>
        <w:t> </w:t>
      </w:r>
      <w:r>
        <w:rPr/>
        <w:t>Minister</w:t>
      </w:r>
      <w:r>
        <w:rPr>
          <w:spacing w:val="38"/>
        </w:rPr>
        <w:t> </w:t>
      </w:r>
      <w:r>
        <w:rPr/>
        <w:t>that</w:t>
      </w:r>
      <w:r>
        <w:rPr>
          <w:spacing w:val="40"/>
        </w:rPr>
        <w:t> </w:t>
      </w:r>
      <w:r>
        <w:rPr/>
        <w:t>deals with the issue of compliance from theprospective,</w:t>
      </w:r>
      <w:r>
        <w:rPr>
          <w:spacing w:val="-4"/>
        </w:rPr>
        <w:t> </w:t>
      </w:r>
      <w:r>
        <w:rPr/>
        <w:t>applicants</w:t>
      </w:r>
      <w:r>
        <w:rPr>
          <w:spacing w:val="-4"/>
        </w:rPr>
        <w:t> </w:t>
      </w:r>
      <w:r>
        <w:rPr/>
        <w:t>of</w:t>
      </w:r>
      <w:r>
        <w:rPr>
          <w:spacing w:val="-5"/>
        </w:rPr>
        <w:t> </w:t>
      </w:r>
      <w:r>
        <w:rPr/>
        <w:t>the</w:t>
      </w:r>
      <w:r>
        <w:rPr>
          <w:spacing w:val="-3"/>
        </w:rPr>
        <w:t> </w:t>
      </w:r>
      <w:r>
        <w:rPr/>
        <w:t>licence</w:t>
      </w:r>
      <w:r>
        <w:rPr>
          <w:spacing w:val="-1"/>
        </w:rPr>
        <w:t> </w:t>
      </w:r>
      <w:r>
        <w:rPr/>
        <w:t>in</w:t>
      </w:r>
      <w:r>
        <w:rPr>
          <w:spacing w:val="-4"/>
        </w:rPr>
        <w:t> </w:t>
      </w:r>
      <w:r>
        <w:rPr/>
        <w:t>the</w:t>
      </w:r>
      <w:r>
        <w:rPr>
          <w:spacing w:val="-3"/>
        </w:rPr>
        <w:t> </w:t>
      </w:r>
      <w:r>
        <w:rPr/>
        <w:t>way</w:t>
      </w:r>
      <w:r>
        <w:rPr>
          <w:spacing w:val="-7"/>
        </w:rPr>
        <w:t> </w:t>
      </w:r>
      <w:r>
        <w:rPr/>
        <w:t>Bureau of Public Procurement BPP ensures transparency and due process in the supply chain management public sector of oil and gas industry and other public organisations. From the wordings of the section particularly the sub-section (2)</w:t>
      </w:r>
      <w:r>
        <w:rPr>
          <w:vertAlign w:val="superscript"/>
        </w:rPr>
        <w:t>4</w:t>
      </w:r>
      <w:r>
        <w:rPr>
          <w:vertAlign w:val="baseline"/>
        </w:rPr>
        <w:t> the only requirement for the qualification for such licence is that the company must be registered under Company and Allied Matters Act. So by implication, giving the section a literary meaning any company whether or not it has the manpower, financial viability, technical skills, equipment and expertise can simply</w:t>
      </w:r>
      <w:r>
        <w:rPr>
          <w:spacing w:val="-1"/>
          <w:vertAlign w:val="baseline"/>
        </w:rPr>
        <w:t> </w:t>
      </w:r>
      <w:r>
        <w:rPr>
          <w:vertAlign w:val="baseline"/>
        </w:rPr>
        <w:t>apply and probably</w:t>
      </w:r>
      <w:r>
        <w:rPr>
          <w:spacing w:val="-1"/>
          <w:vertAlign w:val="baseline"/>
        </w:rPr>
        <w:t> </w:t>
      </w:r>
      <w:r>
        <w:rPr>
          <w:vertAlign w:val="baseline"/>
        </w:rPr>
        <w:t>be granteda license So long as it is registered under the</w:t>
      </w:r>
      <w:r>
        <w:rPr>
          <w:spacing w:val="29"/>
          <w:vertAlign w:val="baseline"/>
        </w:rPr>
        <w:t> </w:t>
      </w:r>
      <w:r>
        <w:rPr>
          <w:vertAlign w:val="baseline"/>
        </w:rPr>
        <w:t>Companies</w:t>
      </w:r>
      <w:r>
        <w:rPr>
          <w:spacing w:val="33"/>
          <w:vertAlign w:val="baseline"/>
        </w:rPr>
        <w:t> </w:t>
      </w:r>
      <w:r>
        <w:rPr>
          <w:vertAlign w:val="baseline"/>
        </w:rPr>
        <w:t>and</w:t>
      </w:r>
      <w:r>
        <w:rPr>
          <w:spacing w:val="33"/>
          <w:vertAlign w:val="baseline"/>
        </w:rPr>
        <w:t> </w:t>
      </w:r>
      <w:r>
        <w:rPr>
          <w:vertAlign w:val="baseline"/>
        </w:rPr>
        <w:t>Allied</w:t>
      </w:r>
      <w:r>
        <w:rPr>
          <w:spacing w:val="30"/>
          <w:vertAlign w:val="baseline"/>
        </w:rPr>
        <w:t> </w:t>
      </w:r>
      <w:r>
        <w:rPr>
          <w:vertAlign w:val="baseline"/>
        </w:rPr>
        <w:t>Matters</w:t>
      </w:r>
      <w:r>
        <w:rPr>
          <w:spacing w:val="40"/>
          <w:vertAlign w:val="baseline"/>
        </w:rPr>
        <w:t> </w:t>
      </w:r>
      <w:r>
        <w:rPr>
          <w:vertAlign w:val="baseline"/>
        </w:rPr>
        <w:t>Act.</w:t>
      </w:r>
      <w:r>
        <w:rPr>
          <w:spacing w:val="33"/>
          <w:vertAlign w:val="baseline"/>
        </w:rPr>
        <w:t> </w:t>
      </w:r>
      <w:r>
        <w:rPr>
          <w:vertAlign w:val="baseline"/>
        </w:rPr>
        <w:t>Section</w:t>
      </w:r>
      <w:r>
        <w:rPr>
          <w:spacing w:val="33"/>
          <w:vertAlign w:val="baseline"/>
        </w:rPr>
        <w:t> </w:t>
      </w:r>
      <w:r>
        <w:rPr>
          <w:vertAlign w:val="baseline"/>
        </w:rPr>
        <w:t>4</w:t>
      </w:r>
      <w:r>
        <w:rPr>
          <w:spacing w:val="40"/>
          <w:vertAlign w:val="baseline"/>
        </w:rPr>
        <w:t> </w:t>
      </w:r>
      <w:r>
        <w:rPr>
          <w:spacing w:val="13"/>
          <w:vertAlign w:val="baseline"/>
        </w:rPr>
        <w:t>(1)</w:t>
      </w:r>
      <w:r>
        <w:rPr>
          <w:spacing w:val="13"/>
          <w:vertAlign w:val="superscript"/>
        </w:rPr>
        <w:t>5</w:t>
      </w:r>
      <w:r>
        <w:rPr>
          <w:spacing w:val="13"/>
          <w:vertAlign w:val="baseline"/>
        </w:rPr>
        <w:t> </w:t>
      </w:r>
      <w:r>
        <w:rPr>
          <w:vertAlign w:val="baseline"/>
        </w:rPr>
        <w:t>of</w:t>
      </w:r>
      <w:r>
        <w:rPr>
          <w:spacing w:val="32"/>
          <w:vertAlign w:val="baseline"/>
        </w:rPr>
        <w:t> </w:t>
      </w:r>
      <w:r>
        <w:rPr>
          <w:vertAlign w:val="baseline"/>
        </w:rPr>
        <w:t>the</w:t>
      </w:r>
      <w:r>
        <w:rPr>
          <w:spacing w:val="32"/>
          <w:vertAlign w:val="baseline"/>
        </w:rPr>
        <w:t> </w:t>
      </w:r>
      <w:r>
        <w:rPr>
          <w:vertAlign w:val="baseline"/>
        </w:rPr>
        <w:t>Act</w:t>
      </w:r>
      <w:r>
        <w:rPr>
          <w:vertAlign w:val="superscript"/>
        </w:rPr>
        <w:t>6</w:t>
      </w:r>
      <w:r>
        <w:rPr>
          <w:spacing w:val="16"/>
          <w:vertAlign w:val="baseline"/>
        </w:rPr>
        <w:t> </w:t>
      </w:r>
      <w:r>
        <w:rPr>
          <w:vertAlign w:val="baseline"/>
        </w:rPr>
        <w:t>provides</w:t>
      </w:r>
      <w:r>
        <w:rPr>
          <w:spacing w:val="36"/>
          <w:vertAlign w:val="baseline"/>
        </w:rPr>
        <w:t> </w:t>
      </w:r>
      <w:r>
        <w:rPr>
          <w:vertAlign w:val="baseline"/>
        </w:rPr>
        <w:t>that;</w:t>
      </w:r>
      <w:r>
        <w:rPr>
          <w:spacing w:val="37"/>
          <w:vertAlign w:val="baseline"/>
        </w:rPr>
        <w:t> </w:t>
      </w:r>
      <w:r>
        <w:rPr>
          <w:vertAlign w:val="baseline"/>
        </w:rPr>
        <w:t>“Subject to this section, no person shall import, store, sell or distribute any petroleum product in Nigeria without a licence granted by the Minister. Section 4 (2) went further to say that subsection</w:t>
      </w:r>
      <w:r>
        <w:rPr>
          <w:spacing w:val="38"/>
          <w:vertAlign w:val="baseline"/>
        </w:rPr>
        <w:t> </w:t>
      </w:r>
      <w:r>
        <w:rPr>
          <w:vertAlign w:val="baseline"/>
        </w:rPr>
        <w:t>(1) of</w:t>
      </w:r>
      <w:r>
        <w:rPr>
          <w:spacing w:val="37"/>
          <w:vertAlign w:val="baseline"/>
        </w:rPr>
        <w:t> </w:t>
      </w:r>
      <w:r>
        <w:rPr>
          <w:vertAlign w:val="baseline"/>
        </w:rPr>
        <w:t>this</w:t>
      </w:r>
      <w:r>
        <w:rPr>
          <w:spacing w:val="38"/>
          <w:vertAlign w:val="baseline"/>
        </w:rPr>
        <w:t> </w:t>
      </w:r>
      <w:r>
        <w:rPr>
          <w:vertAlign w:val="baseline"/>
        </w:rPr>
        <w:t>Act</w:t>
      </w:r>
      <w:r>
        <w:rPr>
          <w:spacing w:val="38"/>
          <w:vertAlign w:val="baseline"/>
        </w:rPr>
        <w:t> </w:t>
      </w:r>
      <w:r>
        <w:rPr>
          <w:vertAlign w:val="baseline"/>
        </w:rPr>
        <w:t>shall</w:t>
      </w:r>
      <w:r>
        <w:rPr>
          <w:spacing w:val="38"/>
          <w:vertAlign w:val="baseline"/>
        </w:rPr>
        <w:t> </w:t>
      </w:r>
      <w:r>
        <w:rPr>
          <w:vertAlign w:val="baseline"/>
        </w:rPr>
        <w:t>not</w:t>
      </w:r>
      <w:r>
        <w:rPr>
          <w:spacing w:val="38"/>
          <w:vertAlign w:val="baseline"/>
        </w:rPr>
        <w:t> </w:t>
      </w:r>
      <w:r>
        <w:rPr>
          <w:vertAlign w:val="baseline"/>
        </w:rPr>
        <w:t>apply in</w:t>
      </w:r>
      <w:r>
        <w:rPr>
          <w:spacing w:val="38"/>
          <w:vertAlign w:val="baseline"/>
        </w:rPr>
        <w:t> </w:t>
      </w:r>
      <w:r>
        <w:rPr>
          <w:vertAlign w:val="baseline"/>
        </w:rPr>
        <w:t>respect</w:t>
      </w:r>
      <w:r>
        <w:rPr>
          <w:spacing w:val="38"/>
          <w:vertAlign w:val="baseline"/>
        </w:rPr>
        <w:t> </w:t>
      </w:r>
      <w:r>
        <w:rPr>
          <w:vertAlign w:val="baseline"/>
        </w:rPr>
        <w:t>of:-</w:t>
      </w:r>
    </w:p>
    <w:p>
      <w:pPr>
        <w:pStyle w:val="ListParagraph"/>
        <w:numPr>
          <w:ilvl w:val="2"/>
          <w:numId w:val="7"/>
        </w:numPr>
        <w:tabs>
          <w:tab w:pos="1080" w:val="left" w:leader="none"/>
        </w:tabs>
        <w:spacing w:line="480" w:lineRule="auto" w:before="2" w:after="0"/>
        <w:ind w:left="1080" w:right="159" w:hanging="360"/>
        <w:jc w:val="both"/>
        <w:rPr>
          <w:sz w:val="24"/>
        </w:rPr>
      </w:pPr>
      <w:r>
        <w:rPr>
          <w:sz w:val="24"/>
        </w:rPr>
        <w:t>Storage, sale, or distribution of not more than</w:t>
      </w:r>
      <w:r>
        <w:rPr>
          <w:spacing w:val="25"/>
          <w:sz w:val="24"/>
        </w:rPr>
        <w:t> </w:t>
      </w:r>
      <w:r>
        <w:rPr>
          <w:b/>
          <w:sz w:val="24"/>
          <w:u w:val="single"/>
        </w:rPr>
        <w:t>500 litres</w:t>
      </w:r>
      <w:r>
        <w:rPr>
          <w:sz w:val="24"/>
        </w:rPr>
        <w:t>of and such other categories</w:t>
      </w:r>
      <w:r>
        <w:rPr>
          <w:spacing w:val="40"/>
          <w:sz w:val="24"/>
        </w:rPr>
        <w:t> </w:t>
      </w:r>
      <w:r>
        <w:rPr>
          <w:sz w:val="24"/>
        </w:rPr>
        <w:t>of</w:t>
      </w:r>
      <w:r>
        <w:rPr>
          <w:spacing w:val="80"/>
          <w:sz w:val="24"/>
        </w:rPr>
        <w:t> </w:t>
      </w:r>
      <w:r>
        <w:rPr>
          <w:sz w:val="24"/>
        </w:rPr>
        <w:t>petroleum</w:t>
      </w:r>
      <w:r>
        <w:rPr>
          <w:spacing w:val="26"/>
          <w:sz w:val="24"/>
        </w:rPr>
        <w:t> </w:t>
      </w:r>
      <w:r>
        <w:rPr>
          <w:sz w:val="24"/>
        </w:rPr>
        <w:t>products</w:t>
      </w:r>
      <w:r>
        <w:rPr>
          <w:spacing w:val="26"/>
          <w:sz w:val="24"/>
        </w:rPr>
        <w:t> </w:t>
      </w:r>
      <w:r>
        <w:rPr>
          <w:sz w:val="24"/>
        </w:rPr>
        <w:t>as</w:t>
      </w:r>
      <w:r>
        <w:rPr>
          <w:spacing w:val="23"/>
          <w:sz w:val="24"/>
        </w:rPr>
        <w:t> </w:t>
      </w:r>
      <w:r>
        <w:rPr>
          <w:sz w:val="24"/>
        </w:rPr>
        <w:t>may</w:t>
      </w:r>
      <w:r>
        <w:rPr>
          <w:spacing w:val="19"/>
          <w:sz w:val="24"/>
        </w:rPr>
        <w:t> </w:t>
      </w:r>
      <w:r>
        <w:rPr>
          <w:sz w:val="24"/>
        </w:rPr>
        <w:t>be</w:t>
      </w:r>
      <w:r>
        <w:rPr>
          <w:spacing w:val="27"/>
          <w:sz w:val="24"/>
        </w:rPr>
        <w:t> </w:t>
      </w:r>
      <w:r>
        <w:rPr>
          <w:sz w:val="24"/>
        </w:rPr>
        <w:t>exempted</w:t>
      </w:r>
      <w:r>
        <w:rPr>
          <w:spacing w:val="26"/>
          <w:sz w:val="24"/>
        </w:rPr>
        <w:t> </w:t>
      </w:r>
      <w:r>
        <w:rPr>
          <w:sz w:val="24"/>
        </w:rPr>
        <w:t>from</w:t>
      </w:r>
      <w:r>
        <w:rPr>
          <w:spacing w:val="26"/>
          <w:sz w:val="24"/>
        </w:rPr>
        <w:t> </w:t>
      </w:r>
      <w:r>
        <w:rPr>
          <w:sz w:val="24"/>
        </w:rPr>
        <w:t>the</w:t>
      </w:r>
      <w:r>
        <w:rPr>
          <w:spacing w:val="39"/>
          <w:sz w:val="24"/>
        </w:rPr>
        <w:t> </w:t>
      </w:r>
      <w:r>
        <w:rPr>
          <w:sz w:val="24"/>
        </w:rPr>
        <w:t>application</w:t>
      </w:r>
      <w:r>
        <w:rPr>
          <w:spacing w:val="40"/>
          <w:sz w:val="24"/>
        </w:rPr>
        <w:t> </w:t>
      </w:r>
      <w:r>
        <w:rPr>
          <w:sz w:val="24"/>
        </w:rPr>
        <w:t>of</w:t>
      </w:r>
      <w:r>
        <w:rPr>
          <w:spacing w:val="40"/>
          <w:sz w:val="24"/>
        </w:rPr>
        <w:t> </w:t>
      </w:r>
      <w:r>
        <w:rPr>
          <w:sz w:val="24"/>
        </w:rPr>
        <w:t>subsection</w:t>
      </w:r>
      <w:r>
        <w:rPr>
          <w:spacing w:val="40"/>
          <w:sz w:val="24"/>
        </w:rPr>
        <w:t> </w:t>
      </w:r>
      <w:r>
        <w:rPr>
          <w:sz w:val="24"/>
        </w:rPr>
        <w:t>(1) of</w:t>
      </w:r>
      <w:r>
        <w:rPr>
          <w:spacing w:val="40"/>
          <w:sz w:val="24"/>
        </w:rPr>
        <w:t> </w:t>
      </w:r>
      <w:r>
        <w:rPr>
          <w:sz w:val="24"/>
        </w:rPr>
        <w:t>this</w:t>
      </w:r>
      <w:r>
        <w:rPr>
          <w:spacing w:val="40"/>
          <w:sz w:val="24"/>
        </w:rPr>
        <w:t> </w:t>
      </w:r>
      <w:r>
        <w:rPr>
          <w:sz w:val="24"/>
        </w:rPr>
        <w:t>section</w:t>
      </w:r>
      <w:r>
        <w:rPr>
          <w:spacing w:val="40"/>
          <w:sz w:val="24"/>
        </w:rPr>
        <w:t> </w:t>
      </w:r>
      <w:r>
        <w:rPr>
          <w:sz w:val="24"/>
        </w:rPr>
        <w:t>by</w:t>
      </w:r>
      <w:r>
        <w:rPr>
          <w:spacing w:val="40"/>
          <w:sz w:val="24"/>
        </w:rPr>
        <w:t> </w:t>
      </w:r>
      <w:r>
        <w:rPr>
          <w:sz w:val="24"/>
        </w:rPr>
        <w:t>the</w:t>
      </w:r>
      <w:r>
        <w:rPr>
          <w:spacing w:val="40"/>
          <w:sz w:val="24"/>
        </w:rPr>
        <w:t> </w:t>
      </w:r>
      <w:r>
        <w:rPr>
          <w:sz w:val="24"/>
        </w:rPr>
        <w:t>Minister</w:t>
      </w:r>
      <w:r>
        <w:rPr>
          <w:spacing w:val="40"/>
          <w:sz w:val="24"/>
        </w:rPr>
        <w:t> </w:t>
      </w:r>
      <w:r>
        <w:rPr>
          <w:sz w:val="24"/>
        </w:rPr>
        <w:t>by</w:t>
      </w:r>
      <w:r>
        <w:rPr>
          <w:spacing w:val="40"/>
          <w:sz w:val="24"/>
        </w:rPr>
        <w:t> </w:t>
      </w:r>
      <w:r>
        <w:rPr>
          <w:sz w:val="24"/>
        </w:rPr>
        <w:t>order</w:t>
      </w:r>
      <w:r>
        <w:rPr>
          <w:spacing w:val="40"/>
          <w:sz w:val="24"/>
        </w:rPr>
        <w:t> </w:t>
      </w:r>
      <w:r>
        <w:rPr>
          <w:sz w:val="24"/>
        </w:rPr>
        <w:t>published</w:t>
      </w:r>
      <w:r>
        <w:rPr>
          <w:spacing w:val="31"/>
          <w:sz w:val="24"/>
        </w:rPr>
        <w:t> </w:t>
      </w:r>
      <w:r>
        <w:rPr>
          <w:sz w:val="24"/>
        </w:rPr>
        <w:t>in</w:t>
      </w:r>
      <w:r>
        <w:rPr>
          <w:spacing w:val="31"/>
          <w:sz w:val="24"/>
        </w:rPr>
        <w:t> </w:t>
      </w:r>
      <w:r>
        <w:rPr>
          <w:sz w:val="24"/>
        </w:rPr>
        <w:t>the</w:t>
      </w:r>
      <w:r>
        <w:rPr>
          <w:spacing w:val="30"/>
          <w:sz w:val="24"/>
        </w:rPr>
        <w:t> </w:t>
      </w:r>
      <w:r>
        <w:rPr>
          <w:sz w:val="24"/>
        </w:rPr>
        <w:t>Federal</w:t>
      </w:r>
      <w:r>
        <w:rPr>
          <w:spacing w:val="31"/>
          <w:sz w:val="24"/>
        </w:rPr>
        <w:t> </w:t>
      </w:r>
      <w:r>
        <w:rPr>
          <w:sz w:val="24"/>
        </w:rPr>
        <w:t>Gazette.</w:t>
      </w:r>
    </w:p>
    <w:p>
      <w:pPr>
        <w:pStyle w:val="ListParagraph"/>
        <w:numPr>
          <w:ilvl w:val="2"/>
          <w:numId w:val="7"/>
        </w:numPr>
        <w:tabs>
          <w:tab w:pos="1078" w:val="left" w:leader="none"/>
          <w:tab w:pos="1080" w:val="left" w:leader="none"/>
        </w:tabs>
        <w:spacing w:line="480" w:lineRule="auto" w:before="0" w:after="0"/>
        <w:ind w:left="1080" w:right="156" w:hanging="360"/>
        <w:jc w:val="both"/>
        <w:rPr>
          <w:sz w:val="24"/>
        </w:rPr>
      </w:pPr>
      <w:r>
        <w:rPr>
          <w:sz w:val="24"/>
        </w:rPr>
        <w:t>Storage of petroleum products undertaken otherwise than in connection with the importation, sale or distribution of petroleum products.</w:t>
      </w:r>
    </w:p>
    <w:p>
      <w:pPr>
        <w:pStyle w:val="BodyText"/>
        <w:rPr>
          <w:sz w:val="20"/>
        </w:rPr>
      </w:pPr>
    </w:p>
    <w:p>
      <w:pPr>
        <w:pStyle w:val="BodyText"/>
        <w:rPr>
          <w:sz w:val="20"/>
        </w:rPr>
      </w:pPr>
    </w:p>
    <w:p>
      <w:pPr>
        <w:pStyle w:val="BodyText"/>
        <w:rPr>
          <w:sz w:val="20"/>
        </w:rPr>
      </w:pPr>
    </w:p>
    <w:p>
      <w:pPr>
        <w:pStyle w:val="BodyText"/>
        <w:spacing w:before="29"/>
        <w:rPr>
          <w:sz w:val="20"/>
        </w:rPr>
      </w:pPr>
      <w:r>
        <w:rPr/>
        <mc:AlternateContent>
          <mc:Choice Requires="wps">
            <w:drawing>
              <wp:anchor distT="0" distB="0" distL="0" distR="0" allowOverlap="1" layoutInCell="1" locked="0" behindDoc="1" simplePos="0" relativeHeight="487597568">
                <wp:simplePos x="0" y="0"/>
                <wp:positionH relativeFrom="page">
                  <wp:posOffset>914704</wp:posOffset>
                </wp:positionH>
                <wp:positionV relativeFrom="paragraph">
                  <wp:posOffset>180269</wp:posOffset>
                </wp:positionV>
                <wp:extent cx="1829435" cy="9525"/>
                <wp:effectExtent l="0" t="0" r="0" b="0"/>
                <wp:wrapTopAndBottom/>
                <wp:docPr id="23" name="Graphic 23"/>
                <wp:cNvGraphicFramePr>
                  <a:graphicFrameLocks/>
                </wp:cNvGraphicFramePr>
                <a:graphic>
                  <a:graphicData uri="http://schemas.microsoft.com/office/word/2010/wordprocessingShape">
                    <wps:wsp>
                      <wps:cNvPr id="23" name="Graphic 23"/>
                      <wps:cNvSpPr/>
                      <wps:spPr>
                        <a:xfrm>
                          <a:off x="0" y="0"/>
                          <a:ext cx="1829435" cy="9525"/>
                        </a:xfrm>
                        <a:custGeom>
                          <a:avLst/>
                          <a:gdLst/>
                          <a:ahLst/>
                          <a:cxnLst/>
                          <a:rect l="l" t="t" r="r" b="b"/>
                          <a:pathLst>
                            <a:path w="1829435" h="9525">
                              <a:moveTo>
                                <a:pt x="1829054" y="0"/>
                              </a:moveTo>
                              <a:lnTo>
                                <a:pt x="0" y="0"/>
                              </a:lnTo>
                              <a:lnTo>
                                <a:pt x="0" y="9144"/>
                              </a:lnTo>
                              <a:lnTo>
                                <a:pt x="1829054" y="9144"/>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14.194462pt;width:144.020pt;height:.72003pt;mso-position-horizontal-relative:page;mso-position-vertical-relative:paragraph;z-index:-15718912;mso-wrap-distance-left:0;mso-wrap-distance-right:0" id="docshape23" filled="true" fillcolor="#000000" stroked="false">
                <v:fill type="solid"/>
                <w10:wrap type="topAndBottom"/>
              </v:rect>
            </w:pict>
          </mc:Fallback>
        </mc:AlternateContent>
      </w:r>
    </w:p>
    <w:p>
      <w:pPr>
        <w:spacing w:line="243" w:lineRule="exact" w:before="102"/>
        <w:ind w:left="360" w:right="0" w:firstLine="0"/>
        <w:jc w:val="left"/>
        <w:rPr>
          <w:rFonts w:ascii="Calibri"/>
          <w:sz w:val="20"/>
        </w:rPr>
      </w:pPr>
      <w:r>
        <w:rPr>
          <w:rFonts w:ascii="Calibri"/>
          <w:sz w:val="20"/>
          <w:vertAlign w:val="superscript"/>
        </w:rPr>
        <w:t>4</w:t>
      </w:r>
      <w:r>
        <w:rPr>
          <w:rFonts w:ascii="Calibri"/>
          <w:spacing w:val="-2"/>
          <w:sz w:val="20"/>
          <w:vertAlign w:val="baseline"/>
        </w:rPr>
        <w:t> </w:t>
      </w:r>
      <w:r>
        <w:rPr>
          <w:rFonts w:ascii="Calibri"/>
          <w:spacing w:val="-4"/>
          <w:sz w:val="20"/>
          <w:vertAlign w:val="baseline"/>
        </w:rPr>
        <w:t>Ibid</w:t>
      </w:r>
    </w:p>
    <w:p>
      <w:pPr>
        <w:spacing w:line="243" w:lineRule="exact" w:before="0"/>
        <w:ind w:left="360" w:right="0" w:firstLine="0"/>
        <w:jc w:val="left"/>
        <w:rPr>
          <w:rFonts w:ascii="Calibri"/>
          <w:sz w:val="20"/>
        </w:rPr>
      </w:pPr>
      <w:r>
        <w:rPr>
          <w:rFonts w:ascii="Calibri"/>
          <w:sz w:val="20"/>
          <w:vertAlign w:val="superscript"/>
        </w:rPr>
        <w:t>5</w:t>
      </w:r>
      <w:r>
        <w:rPr>
          <w:rFonts w:ascii="Calibri"/>
          <w:spacing w:val="-4"/>
          <w:sz w:val="20"/>
          <w:vertAlign w:val="baseline"/>
        </w:rPr>
        <w:t> </w:t>
      </w:r>
      <w:r>
        <w:rPr>
          <w:rFonts w:ascii="Calibri"/>
          <w:sz w:val="20"/>
          <w:vertAlign w:val="baseline"/>
        </w:rPr>
        <w:t>Petroleum</w:t>
      </w:r>
      <w:r>
        <w:rPr>
          <w:rFonts w:ascii="Calibri"/>
          <w:spacing w:val="-4"/>
          <w:sz w:val="20"/>
          <w:vertAlign w:val="baseline"/>
        </w:rPr>
        <w:t> </w:t>
      </w:r>
      <w:r>
        <w:rPr>
          <w:rFonts w:ascii="Calibri"/>
          <w:sz w:val="20"/>
          <w:vertAlign w:val="baseline"/>
        </w:rPr>
        <w:t>Act,</w:t>
      </w:r>
      <w:r>
        <w:rPr>
          <w:rFonts w:ascii="Calibri"/>
          <w:spacing w:val="-4"/>
          <w:sz w:val="20"/>
          <w:vertAlign w:val="baseline"/>
        </w:rPr>
        <w:t> </w:t>
      </w:r>
      <w:r>
        <w:rPr>
          <w:rFonts w:ascii="Calibri"/>
          <w:sz w:val="20"/>
          <w:vertAlign w:val="baseline"/>
        </w:rPr>
        <w:t>CAP,</w:t>
      </w:r>
      <w:r>
        <w:rPr>
          <w:rFonts w:ascii="Calibri"/>
          <w:spacing w:val="-3"/>
          <w:sz w:val="20"/>
          <w:vertAlign w:val="baseline"/>
        </w:rPr>
        <w:t> </w:t>
      </w:r>
      <w:r>
        <w:rPr>
          <w:rFonts w:ascii="Calibri"/>
          <w:sz w:val="20"/>
          <w:vertAlign w:val="baseline"/>
        </w:rPr>
        <w:t>P10,</w:t>
      </w:r>
      <w:r>
        <w:rPr>
          <w:rFonts w:ascii="Calibri"/>
          <w:spacing w:val="-3"/>
          <w:sz w:val="20"/>
          <w:vertAlign w:val="baseline"/>
        </w:rPr>
        <w:t> </w:t>
      </w:r>
      <w:r>
        <w:rPr>
          <w:rFonts w:ascii="Calibri"/>
          <w:sz w:val="20"/>
          <w:vertAlign w:val="baseline"/>
        </w:rPr>
        <w:t>LFN,</w:t>
      </w:r>
      <w:r>
        <w:rPr>
          <w:rFonts w:ascii="Calibri"/>
          <w:spacing w:val="-3"/>
          <w:sz w:val="20"/>
          <w:vertAlign w:val="baseline"/>
        </w:rPr>
        <w:t> </w:t>
      </w:r>
      <w:r>
        <w:rPr>
          <w:rFonts w:ascii="Calibri"/>
          <w:spacing w:val="-4"/>
          <w:sz w:val="20"/>
          <w:vertAlign w:val="baseline"/>
        </w:rPr>
        <w:t>2010</w:t>
      </w:r>
    </w:p>
    <w:p>
      <w:pPr>
        <w:spacing w:before="1"/>
        <w:ind w:left="360" w:right="0" w:firstLine="0"/>
        <w:jc w:val="left"/>
        <w:rPr>
          <w:rFonts w:ascii="Calibri"/>
          <w:sz w:val="20"/>
        </w:rPr>
      </w:pPr>
      <w:r>
        <w:rPr>
          <w:rFonts w:ascii="Calibri"/>
          <w:sz w:val="20"/>
          <w:vertAlign w:val="superscript"/>
        </w:rPr>
        <w:t>6</w:t>
      </w:r>
      <w:r>
        <w:rPr>
          <w:rFonts w:ascii="Calibri"/>
          <w:spacing w:val="-2"/>
          <w:sz w:val="20"/>
          <w:vertAlign w:val="baseline"/>
        </w:rPr>
        <w:t> </w:t>
      </w:r>
      <w:r>
        <w:rPr>
          <w:rFonts w:ascii="Calibri"/>
          <w:spacing w:val="-4"/>
          <w:sz w:val="20"/>
          <w:vertAlign w:val="baseline"/>
        </w:rPr>
        <w:t>Ibid</w:t>
      </w:r>
    </w:p>
    <w:p>
      <w:pPr>
        <w:spacing w:after="0"/>
        <w:jc w:val="left"/>
        <w:rPr>
          <w:rFonts w:ascii="Calibri"/>
          <w:sz w:val="20"/>
        </w:rPr>
        <w:sectPr>
          <w:footerReference w:type="default" r:id="rId9"/>
          <w:pgSz w:w="11910" w:h="16840"/>
          <w:pgMar w:header="0" w:footer="1000" w:top="1340" w:bottom="1200" w:left="1080" w:right="1280"/>
        </w:sectPr>
      </w:pPr>
    </w:p>
    <w:p>
      <w:pPr>
        <w:pStyle w:val="BodyText"/>
        <w:spacing w:line="480" w:lineRule="auto" w:before="74"/>
        <w:ind w:left="360" w:right="159" w:firstLine="719"/>
        <w:jc w:val="both"/>
      </w:pPr>
      <w:r>
        <w:rPr/>
        <w:t>Apart from the impracticability of enforcing this particular provision of this Act, the Act did not even provide for the mode or ways of enforcing this provision. For instance</w:t>
      </w:r>
      <w:r>
        <w:rPr>
          <w:spacing w:val="40"/>
        </w:rPr>
        <w:t> </w:t>
      </w:r>
      <w:r>
        <w:rPr/>
        <w:t>which agency, Parastatals, or institution is responsible for uncovering the offenders and bringing them to book? Essentially, the Act does not address the environmental effect of petroleum</w:t>
      </w:r>
      <w:r>
        <w:rPr>
          <w:spacing w:val="37"/>
        </w:rPr>
        <w:t> </w:t>
      </w:r>
      <w:r>
        <w:rPr/>
        <w:t>exploratory activities.</w:t>
      </w:r>
      <w:r>
        <w:rPr>
          <w:spacing w:val="37"/>
        </w:rPr>
        <w:t> </w:t>
      </w:r>
      <w:r>
        <w:rPr/>
        <w:t>Most</w:t>
      </w:r>
      <w:r>
        <w:rPr>
          <w:spacing w:val="37"/>
        </w:rPr>
        <w:t> </w:t>
      </w:r>
      <w:r>
        <w:rPr/>
        <w:t>of</w:t>
      </w:r>
      <w:r>
        <w:rPr>
          <w:spacing w:val="33"/>
        </w:rPr>
        <w:t> </w:t>
      </w:r>
      <w:r>
        <w:rPr/>
        <w:t>the</w:t>
      </w:r>
      <w:r>
        <w:rPr>
          <w:spacing w:val="35"/>
        </w:rPr>
        <w:t> </w:t>
      </w:r>
      <w:r>
        <w:rPr/>
        <w:t>regulations</w:t>
      </w:r>
      <w:r>
        <w:rPr>
          <w:spacing w:val="40"/>
        </w:rPr>
        <w:t> </w:t>
      </w:r>
      <w:r>
        <w:rPr/>
        <w:t>are</w:t>
      </w:r>
      <w:r>
        <w:rPr>
          <w:spacing w:val="35"/>
        </w:rPr>
        <w:t> </w:t>
      </w:r>
      <w:r>
        <w:rPr/>
        <w:t>concerned</w:t>
      </w:r>
      <w:r>
        <w:rPr>
          <w:spacing w:val="39"/>
        </w:rPr>
        <w:t> </w:t>
      </w:r>
      <w:r>
        <w:rPr/>
        <w:t>with</w:t>
      </w:r>
      <w:r>
        <w:rPr>
          <w:spacing w:val="37"/>
        </w:rPr>
        <w:t> </w:t>
      </w:r>
      <w:r>
        <w:rPr/>
        <w:t>the</w:t>
      </w:r>
      <w:r>
        <w:rPr>
          <w:spacing w:val="35"/>
        </w:rPr>
        <w:t> </w:t>
      </w:r>
      <w:r>
        <w:rPr/>
        <w:t>safety</w:t>
      </w:r>
      <w:r>
        <w:rPr>
          <w:spacing w:val="30"/>
        </w:rPr>
        <w:t> </w:t>
      </w:r>
      <w:r>
        <w:rPr/>
        <w:t>of the</w:t>
      </w:r>
      <w:r>
        <w:rPr>
          <w:spacing w:val="40"/>
        </w:rPr>
        <w:t> </w:t>
      </w:r>
      <w:r>
        <w:rPr/>
        <w:t>personnel</w:t>
      </w:r>
      <w:r>
        <w:rPr>
          <w:spacing w:val="40"/>
        </w:rPr>
        <w:t> </w:t>
      </w:r>
      <w:r>
        <w:rPr/>
        <w:t>working</w:t>
      </w:r>
      <w:r>
        <w:rPr>
          <w:spacing w:val="40"/>
        </w:rPr>
        <w:t> </w:t>
      </w:r>
      <w:r>
        <w:rPr/>
        <w:t>in</w:t>
      </w:r>
      <w:r>
        <w:rPr>
          <w:spacing w:val="40"/>
        </w:rPr>
        <w:t> </w:t>
      </w:r>
      <w:r>
        <w:rPr/>
        <w:t>the</w:t>
      </w:r>
      <w:r>
        <w:rPr>
          <w:spacing w:val="40"/>
        </w:rPr>
        <w:t> </w:t>
      </w:r>
      <w:r>
        <w:rPr/>
        <w:t>oil</w:t>
      </w:r>
      <w:r>
        <w:rPr>
          <w:spacing w:val="40"/>
        </w:rPr>
        <w:t> </w:t>
      </w:r>
      <w:r>
        <w:rPr/>
        <w:t>wells</w:t>
      </w:r>
      <w:r>
        <w:rPr>
          <w:spacing w:val="40"/>
        </w:rPr>
        <w:t> </w:t>
      </w:r>
      <w:r>
        <w:rPr/>
        <w:t>and</w:t>
      </w:r>
      <w:r>
        <w:rPr>
          <w:spacing w:val="40"/>
        </w:rPr>
        <w:t> </w:t>
      </w:r>
      <w:r>
        <w:rPr/>
        <w:t>the</w:t>
      </w:r>
      <w:r>
        <w:rPr>
          <w:spacing w:val="40"/>
        </w:rPr>
        <w:t> </w:t>
      </w:r>
      <w:r>
        <w:rPr/>
        <w:t>safety precautions to</w:t>
      </w:r>
      <w:r>
        <w:rPr>
          <w:spacing w:val="40"/>
        </w:rPr>
        <w:t> </w:t>
      </w:r>
      <w:r>
        <w:rPr/>
        <w:t>be</w:t>
      </w:r>
      <w:r>
        <w:rPr>
          <w:spacing w:val="40"/>
        </w:rPr>
        <w:t> </w:t>
      </w:r>
      <w:r>
        <w:rPr/>
        <w:t>observed in the course</w:t>
      </w:r>
      <w:r>
        <w:rPr>
          <w:spacing w:val="40"/>
        </w:rPr>
        <w:t> </w:t>
      </w:r>
      <w:r>
        <w:rPr/>
        <w:t>of</w:t>
      </w:r>
      <w:r>
        <w:rPr>
          <w:spacing w:val="40"/>
        </w:rPr>
        <w:t> </w:t>
      </w:r>
      <w:r>
        <w:rPr/>
        <w:t>oil</w:t>
      </w:r>
      <w:r>
        <w:rPr>
          <w:spacing w:val="40"/>
        </w:rPr>
        <w:t> </w:t>
      </w:r>
      <w:r>
        <w:rPr/>
        <w:t>exploration</w:t>
      </w:r>
      <w:r>
        <w:rPr>
          <w:spacing w:val="40"/>
        </w:rPr>
        <w:t> </w:t>
      </w:r>
      <w:r>
        <w:rPr/>
        <w:t>activities</w:t>
      </w:r>
      <w:r>
        <w:rPr>
          <w:spacing w:val="40"/>
        </w:rPr>
        <w:t> </w:t>
      </w:r>
      <w:r>
        <w:rPr/>
        <w:t>and</w:t>
      </w:r>
      <w:r>
        <w:rPr>
          <w:spacing w:val="40"/>
        </w:rPr>
        <w:t> </w:t>
      </w:r>
      <w:r>
        <w:rPr/>
        <w:t>the</w:t>
      </w:r>
      <w:r>
        <w:rPr>
          <w:spacing w:val="40"/>
        </w:rPr>
        <w:t> </w:t>
      </w:r>
      <w:r>
        <w:rPr/>
        <w:t>Department</w:t>
      </w:r>
      <w:r>
        <w:rPr>
          <w:spacing w:val="40"/>
        </w:rPr>
        <w:t> </w:t>
      </w:r>
      <w:r>
        <w:rPr/>
        <w:t>of</w:t>
      </w:r>
      <w:r>
        <w:rPr>
          <w:spacing w:val="40"/>
        </w:rPr>
        <w:t> </w:t>
      </w:r>
      <w:r>
        <w:rPr/>
        <w:t>Petroleum</w:t>
      </w:r>
      <w:r>
        <w:rPr>
          <w:spacing w:val="40"/>
        </w:rPr>
        <w:t> </w:t>
      </w:r>
      <w:r>
        <w:rPr/>
        <w:t>Resources</w:t>
      </w:r>
      <w:r>
        <w:rPr>
          <w:spacing w:val="40"/>
        </w:rPr>
        <w:t> </w:t>
      </w:r>
      <w:r>
        <w:rPr/>
        <w:t>DPR, under</w:t>
      </w:r>
      <w:r>
        <w:rPr>
          <w:spacing w:val="40"/>
        </w:rPr>
        <w:t> </w:t>
      </w:r>
      <w:r>
        <w:rPr/>
        <w:t>the</w:t>
      </w:r>
      <w:r>
        <w:rPr>
          <w:spacing w:val="40"/>
        </w:rPr>
        <w:t> </w:t>
      </w:r>
      <w:r>
        <w:rPr/>
        <w:t>Ministry</w:t>
      </w:r>
      <w:r>
        <w:rPr>
          <w:spacing w:val="40"/>
        </w:rPr>
        <w:t> </w:t>
      </w:r>
      <w:r>
        <w:rPr/>
        <w:t>of</w:t>
      </w:r>
      <w:r>
        <w:rPr>
          <w:spacing w:val="40"/>
        </w:rPr>
        <w:t> </w:t>
      </w:r>
      <w:r>
        <w:rPr/>
        <w:t>Petroleum</w:t>
      </w:r>
      <w:r>
        <w:rPr>
          <w:spacing w:val="40"/>
        </w:rPr>
        <w:t> </w:t>
      </w:r>
      <w:r>
        <w:rPr/>
        <w:t>Resources</w:t>
      </w:r>
      <w:r>
        <w:rPr>
          <w:spacing w:val="40"/>
        </w:rPr>
        <w:t> </w:t>
      </w:r>
      <w:r>
        <w:rPr/>
        <w:t>which</w:t>
      </w:r>
      <w:r>
        <w:rPr>
          <w:spacing w:val="40"/>
        </w:rPr>
        <w:t> </w:t>
      </w:r>
      <w:r>
        <w:rPr/>
        <w:t>is</w:t>
      </w:r>
      <w:r>
        <w:rPr>
          <w:spacing w:val="40"/>
        </w:rPr>
        <w:t> </w:t>
      </w:r>
      <w:r>
        <w:rPr/>
        <w:t>charged</w:t>
      </w:r>
      <w:r>
        <w:rPr>
          <w:spacing w:val="40"/>
        </w:rPr>
        <w:t> </w:t>
      </w:r>
      <w:r>
        <w:rPr/>
        <w:t>with</w:t>
      </w:r>
      <w:r>
        <w:rPr>
          <w:spacing w:val="40"/>
        </w:rPr>
        <w:t> </w:t>
      </w:r>
      <w:r>
        <w:rPr/>
        <w:t>the</w:t>
      </w:r>
      <w:r>
        <w:rPr>
          <w:spacing w:val="40"/>
        </w:rPr>
        <w:t> </w:t>
      </w:r>
      <w:r>
        <w:rPr/>
        <w:t>power</w:t>
      </w:r>
      <w:r>
        <w:rPr>
          <w:spacing w:val="40"/>
        </w:rPr>
        <w:t> </w:t>
      </w:r>
      <w:r>
        <w:rPr/>
        <w:t>to</w:t>
      </w:r>
      <w:r>
        <w:rPr>
          <w:spacing w:val="40"/>
        </w:rPr>
        <w:t> </w:t>
      </w:r>
      <w:r>
        <w:rPr/>
        <w:t>enforce the Petroleum Regulations.</w:t>
      </w:r>
    </w:p>
    <w:p>
      <w:pPr>
        <w:pStyle w:val="BodyText"/>
        <w:spacing w:line="480" w:lineRule="auto" w:before="1"/>
        <w:ind w:left="360" w:right="157" w:firstLine="719"/>
        <w:jc w:val="both"/>
      </w:pPr>
      <w:r>
        <w:rPr/>
        <w:t>The Petroleum Act and Regulations created offences and imposed penalties for non- compliance, which include short term imprisonment and payment of meager amount as fine.</w:t>
      </w:r>
      <w:r>
        <w:rPr>
          <w:spacing w:val="40"/>
        </w:rPr>
        <w:t> </w:t>
      </w:r>
      <w:r>
        <w:rPr/>
        <w:t>It is submitted that these penalties were not deterrent enough as it</w:t>
      </w:r>
      <w:r>
        <w:rPr>
          <w:spacing w:val="40"/>
        </w:rPr>
        <w:t> </w:t>
      </w:r>
      <w:r>
        <w:rPr/>
        <w:t>\$</w:t>
      </w:r>
      <w:r>
        <w:rPr>
          <w:spacing w:val="31"/>
        </w:rPr>
        <w:t> </w:t>
      </w:r>
      <w:r>
        <w:rPr/>
        <w:t>cheaper, economical</w:t>
      </w:r>
      <w:r>
        <w:rPr>
          <w:spacing w:val="40"/>
        </w:rPr>
        <w:t> </w:t>
      </w:r>
      <w:r>
        <w:rPr/>
        <w:t>and desirable for defaulting company to violate these regulations and pay the necessary the imposed fine as specified by the Act than to comply with these regulations.</w:t>
      </w:r>
      <w:r>
        <w:rPr>
          <w:vertAlign w:val="superscript"/>
        </w:rPr>
        <w:t>7</w:t>
      </w:r>
    </w:p>
    <w:p>
      <w:pPr>
        <w:pStyle w:val="Heading2"/>
        <w:numPr>
          <w:ilvl w:val="1"/>
          <w:numId w:val="7"/>
        </w:numPr>
        <w:tabs>
          <w:tab w:pos="1079" w:val="left" w:leader="none"/>
        </w:tabs>
        <w:spacing w:line="240" w:lineRule="auto" w:before="5" w:after="0"/>
        <w:ind w:left="1079" w:right="0" w:hanging="719"/>
        <w:jc w:val="both"/>
      </w:pPr>
      <w:bookmarkStart w:name="_TOC_250011" w:id="14"/>
      <w:r>
        <w:rPr/>
        <w:t>Oil</w:t>
      </w:r>
      <w:r>
        <w:rPr>
          <w:spacing w:val="12"/>
        </w:rPr>
        <w:t> </w:t>
      </w:r>
      <w:r>
        <w:rPr/>
        <w:t>Pipeline</w:t>
      </w:r>
      <w:r>
        <w:rPr>
          <w:spacing w:val="11"/>
        </w:rPr>
        <w:t> </w:t>
      </w:r>
      <w:bookmarkEnd w:id="14"/>
      <w:r>
        <w:rPr>
          <w:spacing w:val="-5"/>
        </w:rPr>
        <w:t>Act</w:t>
      </w:r>
    </w:p>
    <w:p>
      <w:pPr>
        <w:pStyle w:val="BodyText"/>
        <w:spacing w:line="480" w:lineRule="auto" w:before="271"/>
        <w:ind w:left="360" w:right="156" w:firstLine="719"/>
        <w:jc w:val="both"/>
      </w:pPr>
      <w:r>
        <w:rPr/>
        <w:t>The</w:t>
      </w:r>
      <w:r>
        <w:rPr>
          <w:spacing w:val="40"/>
        </w:rPr>
        <w:t> </w:t>
      </w:r>
      <w:r>
        <w:rPr/>
        <w:t>Oil</w:t>
      </w:r>
      <w:r>
        <w:rPr>
          <w:spacing w:val="40"/>
        </w:rPr>
        <w:t> </w:t>
      </w:r>
      <w:r>
        <w:rPr/>
        <w:t>Pipeline</w:t>
      </w:r>
      <w:r>
        <w:rPr>
          <w:spacing w:val="40"/>
        </w:rPr>
        <w:t> </w:t>
      </w:r>
      <w:r>
        <w:rPr/>
        <w:t>Act</w:t>
      </w:r>
      <w:r>
        <w:rPr>
          <w:vertAlign w:val="superscript"/>
        </w:rPr>
        <w:t>8</w:t>
      </w:r>
      <w:r>
        <w:rPr>
          <w:spacing w:val="19"/>
          <w:vertAlign w:val="baseline"/>
        </w:rPr>
        <w:t> </w:t>
      </w:r>
      <w:r>
        <w:rPr>
          <w:vertAlign w:val="baseline"/>
        </w:rPr>
        <w:t>was</w:t>
      </w:r>
      <w:r>
        <w:rPr>
          <w:spacing w:val="40"/>
          <w:vertAlign w:val="baseline"/>
        </w:rPr>
        <w:t> </w:t>
      </w:r>
      <w:r>
        <w:rPr>
          <w:vertAlign w:val="baseline"/>
        </w:rPr>
        <w:t>enacted</w:t>
      </w:r>
      <w:r>
        <w:rPr>
          <w:spacing w:val="40"/>
          <w:vertAlign w:val="baseline"/>
        </w:rPr>
        <w:t> </w:t>
      </w:r>
      <w:r>
        <w:rPr>
          <w:vertAlign w:val="baseline"/>
        </w:rPr>
        <w:t>to</w:t>
      </w:r>
      <w:r>
        <w:rPr>
          <w:spacing w:val="40"/>
          <w:vertAlign w:val="baseline"/>
        </w:rPr>
        <w:t> </w:t>
      </w:r>
      <w:r>
        <w:rPr>
          <w:vertAlign w:val="baseline"/>
        </w:rPr>
        <w:t>make</w:t>
      </w:r>
      <w:r>
        <w:rPr>
          <w:spacing w:val="40"/>
          <w:vertAlign w:val="baseline"/>
        </w:rPr>
        <w:t> </w:t>
      </w:r>
      <w:r>
        <w:rPr>
          <w:vertAlign w:val="baseline"/>
        </w:rPr>
        <w:t>provision</w:t>
      </w:r>
      <w:r>
        <w:rPr>
          <w:spacing w:val="40"/>
          <w:vertAlign w:val="baseline"/>
        </w:rPr>
        <w:t> </w:t>
      </w:r>
      <w:r>
        <w:rPr>
          <w:vertAlign w:val="baseline"/>
        </w:rPr>
        <w:t>for</w:t>
      </w:r>
      <w:r>
        <w:rPr>
          <w:spacing w:val="40"/>
          <w:vertAlign w:val="baseline"/>
        </w:rPr>
        <w:t> </w:t>
      </w:r>
      <w:r>
        <w:rPr>
          <w:vertAlign w:val="baseline"/>
        </w:rPr>
        <w:t>licenses</w:t>
      </w:r>
      <w:r>
        <w:rPr>
          <w:spacing w:val="40"/>
          <w:vertAlign w:val="baseline"/>
        </w:rPr>
        <w:t> </w:t>
      </w:r>
      <w:r>
        <w:rPr>
          <w:vertAlign w:val="baseline"/>
        </w:rPr>
        <w:t>to</w:t>
      </w:r>
      <w:r>
        <w:rPr>
          <w:spacing w:val="40"/>
          <w:vertAlign w:val="baseline"/>
        </w:rPr>
        <w:t> </w:t>
      </w:r>
      <w:r>
        <w:rPr>
          <w:vertAlign w:val="baseline"/>
        </w:rPr>
        <w:t>be</w:t>
      </w:r>
      <w:r>
        <w:rPr>
          <w:spacing w:val="71"/>
          <w:vertAlign w:val="baseline"/>
        </w:rPr>
        <w:t> </w:t>
      </w:r>
      <w:r>
        <w:rPr>
          <w:vertAlign w:val="baseline"/>
        </w:rPr>
        <w:t>granted for</w:t>
      </w:r>
      <w:r>
        <w:rPr>
          <w:spacing w:val="40"/>
          <w:vertAlign w:val="baseline"/>
        </w:rPr>
        <w:t> </w:t>
      </w:r>
      <w:r>
        <w:rPr>
          <w:vertAlign w:val="baseline"/>
        </w:rPr>
        <w:t>the</w:t>
      </w:r>
      <w:r>
        <w:rPr>
          <w:spacing w:val="40"/>
          <w:vertAlign w:val="baseline"/>
        </w:rPr>
        <w:t> </w:t>
      </w:r>
      <w:r>
        <w:rPr>
          <w:vertAlign w:val="baseline"/>
        </w:rPr>
        <w:t>establishment</w:t>
      </w:r>
      <w:r>
        <w:rPr>
          <w:spacing w:val="40"/>
          <w:vertAlign w:val="baseline"/>
        </w:rPr>
        <w:t> </w:t>
      </w:r>
      <w:r>
        <w:rPr>
          <w:vertAlign w:val="baseline"/>
        </w:rPr>
        <w:t>and</w:t>
      </w:r>
      <w:r>
        <w:rPr>
          <w:spacing w:val="40"/>
          <w:vertAlign w:val="baseline"/>
        </w:rPr>
        <w:t> </w:t>
      </w:r>
      <w:r>
        <w:rPr>
          <w:vertAlign w:val="baseline"/>
        </w:rPr>
        <w:t>maintenance</w:t>
      </w:r>
      <w:r>
        <w:rPr>
          <w:spacing w:val="40"/>
          <w:vertAlign w:val="baseline"/>
        </w:rPr>
        <w:t> </w:t>
      </w:r>
      <w:r>
        <w:rPr>
          <w:vertAlign w:val="baseline"/>
        </w:rPr>
        <w:t>of</w:t>
      </w:r>
      <w:r>
        <w:rPr>
          <w:spacing w:val="40"/>
          <w:vertAlign w:val="baseline"/>
        </w:rPr>
        <w:t> </w:t>
      </w:r>
      <w:r>
        <w:rPr>
          <w:vertAlign w:val="baseline"/>
        </w:rPr>
        <w:t>pipelines</w:t>
      </w:r>
      <w:r>
        <w:rPr>
          <w:spacing w:val="40"/>
          <w:vertAlign w:val="baseline"/>
        </w:rPr>
        <w:t> </w:t>
      </w:r>
      <w:r>
        <w:rPr>
          <w:vertAlign w:val="baseline"/>
        </w:rPr>
        <w:t>incidental</w:t>
      </w:r>
      <w:r>
        <w:rPr>
          <w:spacing w:val="40"/>
          <w:vertAlign w:val="baseline"/>
        </w:rPr>
        <w:t> </w:t>
      </w:r>
      <w:r>
        <w:rPr>
          <w:vertAlign w:val="baseline"/>
        </w:rPr>
        <w:t>and</w:t>
      </w:r>
      <w:r>
        <w:rPr>
          <w:spacing w:val="40"/>
          <w:vertAlign w:val="baseline"/>
        </w:rPr>
        <w:t> </w:t>
      </w:r>
      <w:r>
        <w:rPr>
          <w:vertAlign w:val="baseline"/>
        </w:rPr>
        <w:t>supplementary to</w:t>
      </w:r>
      <w:r>
        <w:rPr>
          <w:spacing w:val="40"/>
          <w:vertAlign w:val="baseline"/>
        </w:rPr>
        <w:t> </w:t>
      </w:r>
      <w:r>
        <w:rPr>
          <w:vertAlign w:val="baseline"/>
        </w:rPr>
        <w:t>oil fields and oil mining for purposes ancillary to such pipelines. Section 4 (1) of the Act</w:t>
      </w:r>
      <w:r>
        <w:rPr>
          <w:vertAlign w:val="superscript"/>
        </w:rPr>
        <w:t>9</w:t>
      </w:r>
      <w:r>
        <w:rPr>
          <w:vertAlign w:val="baseline"/>
        </w:rPr>
        <w:t> made provisions</w:t>
      </w:r>
      <w:r>
        <w:rPr>
          <w:spacing w:val="26"/>
          <w:vertAlign w:val="baseline"/>
        </w:rPr>
        <w:t> </w:t>
      </w:r>
      <w:r>
        <w:rPr>
          <w:vertAlign w:val="baseline"/>
        </w:rPr>
        <w:t>for</w:t>
      </w:r>
      <w:r>
        <w:rPr>
          <w:spacing w:val="23"/>
          <w:vertAlign w:val="baseline"/>
        </w:rPr>
        <w:t> </w:t>
      </w:r>
      <w:r>
        <w:rPr>
          <w:vertAlign w:val="baseline"/>
        </w:rPr>
        <w:t>the</w:t>
      </w:r>
      <w:r>
        <w:rPr>
          <w:spacing w:val="25"/>
          <w:vertAlign w:val="baseline"/>
        </w:rPr>
        <w:t> </w:t>
      </w:r>
      <w:r>
        <w:rPr>
          <w:vertAlign w:val="baseline"/>
        </w:rPr>
        <w:t>grant</w:t>
      </w:r>
      <w:r>
        <w:rPr>
          <w:spacing w:val="26"/>
          <w:vertAlign w:val="baseline"/>
        </w:rPr>
        <w:t> </w:t>
      </w:r>
      <w:r>
        <w:rPr>
          <w:vertAlign w:val="baseline"/>
        </w:rPr>
        <w:t>of</w:t>
      </w:r>
      <w:r>
        <w:rPr>
          <w:spacing w:val="23"/>
          <w:vertAlign w:val="baseline"/>
        </w:rPr>
        <w:t> </w:t>
      </w:r>
      <w:r>
        <w:rPr>
          <w:vertAlign w:val="baseline"/>
        </w:rPr>
        <w:t>a</w:t>
      </w:r>
      <w:r>
        <w:rPr>
          <w:spacing w:val="25"/>
          <w:vertAlign w:val="baseline"/>
        </w:rPr>
        <w:t> </w:t>
      </w:r>
      <w:r>
        <w:rPr>
          <w:vertAlign w:val="baseline"/>
        </w:rPr>
        <w:t>permit</w:t>
      </w:r>
      <w:r>
        <w:rPr>
          <w:spacing w:val="24"/>
          <w:vertAlign w:val="baseline"/>
        </w:rPr>
        <w:t> </w:t>
      </w:r>
      <w:r>
        <w:rPr>
          <w:vertAlign w:val="baseline"/>
        </w:rPr>
        <w:t>to</w:t>
      </w:r>
      <w:r>
        <w:rPr>
          <w:spacing w:val="23"/>
          <w:vertAlign w:val="baseline"/>
        </w:rPr>
        <w:t> </w:t>
      </w:r>
      <w:r>
        <w:rPr>
          <w:vertAlign w:val="baseline"/>
        </w:rPr>
        <w:t>survey</w:t>
      </w:r>
      <w:r>
        <w:rPr>
          <w:spacing w:val="19"/>
          <w:vertAlign w:val="baseline"/>
        </w:rPr>
        <w:t> </w:t>
      </w:r>
      <w:r>
        <w:rPr>
          <w:vertAlign w:val="baseline"/>
        </w:rPr>
        <w:t>the</w:t>
      </w:r>
      <w:r>
        <w:rPr>
          <w:spacing w:val="37"/>
          <w:vertAlign w:val="baseline"/>
        </w:rPr>
        <w:t> </w:t>
      </w:r>
      <w:r>
        <w:rPr>
          <w:vertAlign w:val="baseline"/>
        </w:rPr>
        <w:t>route</w:t>
      </w:r>
      <w:r>
        <w:rPr>
          <w:spacing w:val="20"/>
          <w:vertAlign w:val="baseline"/>
        </w:rPr>
        <w:t> </w:t>
      </w:r>
      <w:r>
        <w:rPr>
          <w:vertAlign w:val="baseline"/>
        </w:rPr>
        <w:t>for</w:t>
      </w:r>
      <w:r>
        <w:rPr>
          <w:spacing w:val="20"/>
          <w:vertAlign w:val="baseline"/>
        </w:rPr>
        <w:t> </w:t>
      </w:r>
      <w:r>
        <w:rPr>
          <w:vertAlign w:val="baseline"/>
        </w:rPr>
        <w:t>an</w:t>
      </w:r>
      <w:r>
        <w:rPr>
          <w:spacing w:val="21"/>
          <w:vertAlign w:val="baseline"/>
        </w:rPr>
        <w:t> </w:t>
      </w:r>
      <w:r>
        <w:rPr>
          <w:vertAlign w:val="baseline"/>
        </w:rPr>
        <w:t>oil</w:t>
      </w:r>
      <w:r>
        <w:rPr>
          <w:spacing w:val="22"/>
          <w:vertAlign w:val="baseline"/>
        </w:rPr>
        <w:t> </w:t>
      </w:r>
      <w:r>
        <w:rPr>
          <w:vertAlign w:val="baseline"/>
        </w:rPr>
        <w:t>pipeline</w:t>
      </w:r>
      <w:r>
        <w:rPr>
          <w:spacing w:val="20"/>
          <w:vertAlign w:val="baseline"/>
        </w:rPr>
        <w:t> </w:t>
      </w:r>
      <w:r>
        <w:rPr>
          <w:vertAlign w:val="baseline"/>
        </w:rPr>
        <w:t>for</w:t>
      </w:r>
      <w:r>
        <w:rPr>
          <w:spacing w:val="20"/>
          <w:vertAlign w:val="baseline"/>
        </w:rPr>
        <w:t> </w:t>
      </w:r>
      <w:r>
        <w:rPr>
          <w:vertAlign w:val="baseline"/>
        </w:rPr>
        <w:t>the</w:t>
      </w:r>
      <w:r>
        <w:rPr>
          <w:spacing w:val="20"/>
          <w:vertAlign w:val="baseline"/>
        </w:rPr>
        <w:t> </w:t>
      </w:r>
      <w:r>
        <w:rPr>
          <w:vertAlign w:val="baseline"/>
        </w:rPr>
        <w:t>transport of mineral oil, natural gas or such other products.</w:t>
      </w:r>
      <w:r>
        <w:rPr>
          <w:vertAlign w:val="superscript"/>
        </w:rPr>
        <w:t>10</w:t>
      </w:r>
      <w:r>
        <w:rPr>
          <w:spacing w:val="-2"/>
          <w:vertAlign w:val="baseline"/>
        </w:rPr>
        <w:t> </w:t>
      </w:r>
      <w:r>
        <w:rPr>
          <w:vertAlign w:val="baseline"/>
        </w:rPr>
        <w:t>Although not expressly stated, the Act</w:t>
      </w:r>
      <w:r>
        <w:rPr>
          <w:vertAlign w:val="superscript"/>
        </w:rPr>
        <w:t>11</w:t>
      </w:r>
      <w:r>
        <w:rPr>
          <w:vertAlign w:val="baseline"/>
        </w:rPr>
        <w:t> has</w:t>
      </w:r>
      <w:r>
        <w:rPr>
          <w:spacing w:val="28"/>
          <w:vertAlign w:val="baseline"/>
        </w:rPr>
        <w:t> </w:t>
      </w:r>
      <w:r>
        <w:rPr>
          <w:vertAlign w:val="baseline"/>
        </w:rPr>
        <w:t>as</w:t>
      </w:r>
      <w:r>
        <w:rPr>
          <w:spacing w:val="30"/>
          <w:vertAlign w:val="baseline"/>
        </w:rPr>
        <w:t> </w:t>
      </w:r>
      <w:r>
        <w:rPr>
          <w:vertAlign w:val="baseline"/>
        </w:rPr>
        <w:t>part</w:t>
      </w:r>
      <w:r>
        <w:rPr>
          <w:spacing w:val="30"/>
          <w:vertAlign w:val="baseline"/>
        </w:rPr>
        <w:t> </w:t>
      </w:r>
      <w:r>
        <w:rPr>
          <w:vertAlign w:val="baseline"/>
        </w:rPr>
        <w:t>of</w:t>
      </w:r>
      <w:r>
        <w:rPr>
          <w:spacing w:val="28"/>
          <w:vertAlign w:val="baseline"/>
        </w:rPr>
        <w:t> </w:t>
      </w:r>
      <w:r>
        <w:rPr>
          <w:vertAlign w:val="baseline"/>
        </w:rPr>
        <w:t>its</w:t>
      </w:r>
      <w:r>
        <w:rPr>
          <w:spacing w:val="32"/>
          <w:vertAlign w:val="baseline"/>
        </w:rPr>
        <w:t> </w:t>
      </w:r>
      <w:r>
        <w:rPr>
          <w:vertAlign w:val="baseline"/>
        </w:rPr>
        <w:t>set</w:t>
      </w:r>
      <w:r>
        <w:rPr>
          <w:spacing w:val="30"/>
          <w:vertAlign w:val="baseline"/>
        </w:rPr>
        <w:t> </w:t>
      </w:r>
      <w:r>
        <w:rPr>
          <w:vertAlign w:val="baseline"/>
        </w:rPr>
        <w:t>goals</w:t>
      </w:r>
      <w:r>
        <w:rPr>
          <w:spacing w:val="31"/>
          <w:vertAlign w:val="baseline"/>
        </w:rPr>
        <w:t> </w:t>
      </w:r>
      <w:r>
        <w:rPr>
          <w:vertAlign w:val="baseline"/>
        </w:rPr>
        <w:t>the</w:t>
      </w:r>
      <w:r>
        <w:rPr>
          <w:spacing w:val="34"/>
          <w:vertAlign w:val="baseline"/>
        </w:rPr>
        <w:t> </w:t>
      </w:r>
      <w:r>
        <w:rPr>
          <w:vertAlign w:val="baseline"/>
        </w:rPr>
        <w:t>protection</w:t>
      </w:r>
      <w:r>
        <w:rPr>
          <w:spacing w:val="40"/>
          <w:vertAlign w:val="baseline"/>
        </w:rPr>
        <w:t> </w:t>
      </w:r>
      <w:r>
        <w:rPr>
          <w:vertAlign w:val="baseline"/>
        </w:rPr>
        <w:t>of</w:t>
      </w:r>
      <w:r>
        <w:rPr>
          <w:spacing w:val="40"/>
          <w:vertAlign w:val="baseline"/>
        </w:rPr>
        <w:t> </w:t>
      </w:r>
      <w:r>
        <w:rPr>
          <w:vertAlign w:val="baseline"/>
        </w:rPr>
        <w:t>the</w:t>
      </w:r>
      <w:r>
        <w:rPr>
          <w:spacing w:val="39"/>
          <w:vertAlign w:val="baseline"/>
        </w:rPr>
        <w:t> </w:t>
      </w:r>
      <w:r>
        <w:rPr>
          <w:vertAlign w:val="baseline"/>
        </w:rPr>
        <w:t>environment.</w:t>
      </w:r>
      <w:r>
        <w:rPr>
          <w:spacing w:val="40"/>
          <w:vertAlign w:val="baseline"/>
        </w:rPr>
        <w:t> </w:t>
      </w:r>
      <w:r>
        <w:rPr>
          <w:vertAlign w:val="baseline"/>
        </w:rPr>
        <w:t>Principally,</w:t>
      </w:r>
      <w:r>
        <w:rPr>
          <w:spacing w:val="44"/>
          <w:vertAlign w:val="baseline"/>
        </w:rPr>
        <w:t> </w:t>
      </w:r>
      <w:r>
        <w:rPr>
          <w:vertAlign w:val="baseline"/>
        </w:rPr>
        <w:t>the</w:t>
      </w:r>
      <w:r>
        <w:rPr>
          <w:spacing w:val="38"/>
          <w:vertAlign w:val="baseline"/>
        </w:rPr>
        <w:t> </w:t>
      </w:r>
      <w:r>
        <w:rPr>
          <w:vertAlign w:val="baseline"/>
        </w:rPr>
        <w:t>holder</w:t>
      </w:r>
      <w:r>
        <w:rPr>
          <w:spacing w:val="40"/>
          <w:vertAlign w:val="baseline"/>
        </w:rPr>
        <w:t> </w:t>
      </w:r>
      <w:r>
        <w:rPr>
          <w:vertAlign w:val="baseline"/>
        </w:rPr>
        <w:t>of</w:t>
      </w:r>
      <w:r>
        <w:rPr>
          <w:spacing w:val="41"/>
          <w:vertAlign w:val="baseline"/>
        </w:rPr>
        <w:t> </w:t>
      </w:r>
      <w:r>
        <w:rPr>
          <w:spacing w:val="-10"/>
          <w:vertAlign w:val="baseline"/>
        </w:rPr>
        <w:t>a</w:t>
      </w:r>
    </w:p>
    <w:p>
      <w:pPr>
        <w:pStyle w:val="BodyText"/>
        <w:spacing w:before="1"/>
        <w:ind w:left="360"/>
        <w:jc w:val="both"/>
      </w:pPr>
      <w:r>
        <w:rPr/>
        <w:t>permit</w:t>
      </w:r>
      <w:r>
        <w:rPr>
          <w:spacing w:val="60"/>
        </w:rPr>
        <w:t> </w:t>
      </w:r>
      <w:r>
        <w:rPr/>
        <w:t>to</w:t>
      </w:r>
      <w:r>
        <w:rPr>
          <w:spacing w:val="59"/>
        </w:rPr>
        <w:t> </w:t>
      </w:r>
      <w:r>
        <w:rPr/>
        <w:t>survey</w:t>
      </w:r>
      <w:r>
        <w:rPr>
          <w:spacing w:val="56"/>
        </w:rPr>
        <w:t> </w:t>
      </w:r>
      <w:r>
        <w:rPr/>
        <w:t>is</w:t>
      </w:r>
      <w:r>
        <w:rPr>
          <w:spacing w:val="66"/>
        </w:rPr>
        <w:t> </w:t>
      </w:r>
      <w:r>
        <w:rPr/>
        <w:t>expected</w:t>
      </w:r>
      <w:r>
        <w:rPr>
          <w:spacing w:val="57"/>
        </w:rPr>
        <w:t> </w:t>
      </w:r>
      <w:r>
        <w:rPr/>
        <w:t>to</w:t>
      </w:r>
      <w:r>
        <w:rPr>
          <w:spacing w:val="57"/>
        </w:rPr>
        <w:t> </w:t>
      </w:r>
      <w:r>
        <w:rPr/>
        <w:t>take</w:t>
      </w:r>
      <w:r>
        <w:rPr>
          <w:spacing w:val="58"/>
        </w:rPr>
        <w:t> </w:t>
      </w:r>
      <w:r>
        <w:rPr/>
        <w:t>all</w:t>
      </w:r>
      <w:r>
        <w:rPr>
          <w:spacing w:val="59"/>
        </w:rPr>
        <w:t> </w:t>
      </w:r>
      <w:r>
        <w:rPr/>
        <w:t>reasonable</w:t>
      </w:r>
      <w:r>
        <w:rPr>
          <w:spacing w:val="56"/>
        </w:rPr>
        <w:t> </w:t>
      </w:r>
      <w:r>
        <w:rPr/>
        <w:t>steps</w:t>
      </w:r>
      <w:r>
        <w:rPr>
          <w:spacing w:val="55"/>
        </w:rPr>
        <w:t> </w:t>
      </w:r>
      <w:r>
        <w:rPr/>
        <w:t>to</w:t>
      </w:r>
      <w:r>
        <w:rPr>
          <w:spacing w:val="57"/>
        </w:rPr>
        <w:t> </w:t>
      </w:r>
      <w:r>
        <w:rPr/>
        <w:t>avoid</w:t>
      </w:r>
      <w:r>
        <w:rPr>
          <w:spacing w:val="55"/>
        </w:rPr>
        <w:t> </w:t>
      </w:r>
      <w:r>
        <w:rPr/>
        <w:t>damage</w:t>
      </w:r>
      <w:r>
        <w:rPr>
          <w:spacing w:val="54"/>
        </w:rPr>
        <w:t> </w:t>
      </w:r>
      <w:r>
        <w:rPr/>
        <w:t>to</w:t>
      </w:r>
      <w:r>
        <w:rPr>
          <w:spacing w:val="60"/>
        </w:rPr>
        <w:t> </w:t>
      </w:r>
      <w:r>
        <w:rPr/>
        <w:t>any</w:t>
      </w:r>
      <w:r>
        <w:rPr>
          <w:spacing w:val="52"/>
        </w:rPr>
        <w:t> </w:t>
      </w:r>
      <w:r>
        <w:rPr>
          <w:spacing w:val="-4"/>
        </w:rPr>
        <w:t>land</w:t>
      </w:r>
    </w:p>
    <w:p>
      <w:pPr>
        <w:pStyle w:val="BodyText"/>
        <w:spacing w:before="1"/>
        <w:rPr>
          <w:sz w:val="15"/>
        </w:rPr>
      </w:pPr>
      <w:r>
        <w:rPr/>
        <mc:AlternateContent>
          <mc:Choice Requires="wps">
            <w:drawing>
              <wp:anchor distT="0" distB="0" distL="0" distR="0" allowOverlap="1" layoutInCell="1" locked="0" behindDoc="1" simplePos="0" relativeHeight="487598080">
                <wp:simplePos x="0" y="0"/>
                <wp:positionH relativeFrom="page">
                  <wp:posOffset>914704</wp:posOffset>
                </wp:positionH>
                <wp:positionV relativeFrom="paragraph">
                  <wp:posOffset>125847</wp:posOffset>
                </wp:positionV>
                <wp:extent cx="1829435" cy="9525"/>
                <wp:effectExtent l="0" t="0" r="0" b="0"/>
                <wp:wrapTopAndBottom/>
                <wp:docPr id="24" name="Graphic 24"/>
                <wp:cNvGraphicFramePr>
                  <a:graphicFrameLocks/>
                </wp:cNvGraphicFramePr>
                <a:graphic>
                  <a:graphicData uri="http://schemas.microsoft.com/office/word/2010/wordprocessingShape">
                    <wps:wsp>
                      <wps:cNvPr id="24" name="Graphic 24"/>
                      <wps:cNvSpPr/>
                      <wps:spPr>
                        <a:xfrm>
                          <a:off x="0" y="0"/>
                          <a:ext cx="1829435" cy="9525"/>
                        </a:xfrm>
                        <a:custGeom>
                          <a:avLst/>
                          <a:gdLst/>
                          <a:ahLst/>
                          <a:cxnLst/>
                          <a:rect l="l" t="t" r="r" b="b"/>
                          <a:pathLst>
                            <a:path w="1829435" h="9525">
                              <a:moveTo>
                                <a:pt x="1829054" y="0"/>
                              </a:moveTo>
                              <a:lnTo>
                                <a:pt x="0" y="0"/>
                              </a:lnTo>
                              <a:lnTo>
                                <a:pt x="0" y="9143"/>
                              </a:lnTo>
                              <a:lnTo>
                                <a:pt x="1829054" y="9143"/>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9.909248pt;width:144.020pt;height:.71997pt;mso-position-horizontal-relative:page;mso-position-vertical-relative:paragraph;z-index:-15718400;mso-wrap-distance-left:0;mso-wrap-distance-right:0" id="docshape24" filled="true" fillcolor="#000000" stroked="false">
                <v:fill type="solid"/>
                <w10:wrap type="topAndBottom"/>
              </v:rect>
            </w:pict>
          </mc:Fallback>
        </mc:AlternateContent>
      </w:r>
    </w:p>
    <w:p>
      <w:pPr>
        <w:spacing w:before="102"/>
        <w:ind w:left="360" w:right="0" w:firstLine="0"/>
        <w:jc w:val="left"/>
        <w:rPr>
          <w:rFonts w:ascii="Calibri"/>
          <w:sz w:val="20"/>
        </w:rPr>
      </w:pPr>
      <w:r>
        <w:rPr>
          <w:rFonts w:ascii="Calibri"/>
          <w:sz w:val="20"/>
          <w:vertAlign w:val="superscript"/>
        </w:rPr>
        <w:t>7</w:t>
      </w:r>
      <w:r>
        <w:rPr>
          <w:rFonts w:ascii="Calibri"/>
          <w:spacing w:val="-2"/>
          <w:sz w:val="20"/>
          <w:vertAlign w:val="baseline"/>
        </w:rPr>
        <w:t> </w:t>
      </w:r>
      <w:r>
        <w:rPr>
          <w:rFonts w:ascii="Calibri"/>
          <w:spacing w:val="-4"/>
          <w:sz w:val="20"/>
          <w:vertAlign w:val="baseline"/>
        </w:rPr>
        <w:t>Ibid</w:t>
      </w:r>
    </w:p>
    <w:p>
      <w:pPr>
        <w:spacing w:before="1"/>
        <w:ind w:left="360" w:right="0" w:firstLine="0"/>
        <w:jc w:val="left"/>
        <w:rPr>
          <w:rFonts w:ascii="Calibri"/>
          <w:sz w:val="20"/>
        </w:rPr>
      </w:pPr>
      <w:r>
        <w:rPr>
          <w:rFonts w:ascii="Calibri"/>
          <w:sz w:val="20"/>
          <w:vertAlign w:val="superscript"/>
        </w:rPr>
        <w:t>8</w:t>
      </w:r>
      <w:r>
        <w:rPr>
          <w:rFonts w:ascii="Calibri"/>
          <w:spacing w:val="-5"/>
          <w:sz w:val="20"/>
          <w:vertAlign w:val="baseline"/>
        </w:rPr>
        <w:t> </w:t>
      </w:r>
      <w:r>
        <w:rPr>
          <w:rFonts w:ascii="Calibri"/>
          <w:sz w:val="20"/>
          <w:vertAlign w:val="baseline"/>
        </w:rPr>
        <w:t>Oil</w:t>
      </w:r>
      <w:r>
        <w:rPr>
          <w:rFonts w:ascii="Calibri"/>
          <w:spacing w:val="-5"/>
          <w:sz w:val="20"/>
          <w:vertAlign w:val="baseline"/>
        </w:rPr>
        <w:t> </w:t>
      </w:r>
      <w:r>
        <w:rPr>
          <w:rFonts w:ascii="Calibri"/>
          <w:sz w:val="20"/>
          <w:vertAlign w:val="baseline"/>
        </w:rPr>
        <w:t>Pipeline</w:t>
      </w:r>
      <w:r>
        <w:rPr>
          <w:rFonts w:ascii="Calibri"/>
          <w:spacing w:val="-4"/>
          <w:sz w:val="20"/>
          <w:vertAlign w:val="baseline"/>
        </w:rPr>
        <w:t> </w:t>
      </w:r>
      <w:r>
        <w:rPr>
          <w:rFonts w:ascii="Calibri"/>
          <w:sz w:val="20"/>
          <w:vertAlign w:val="baseline"/>
        </w:rPr>
        <w:t>Act,</w:t>
      </w:r>
      <w:r>
        <w:rPr>
          <w:rFonts w:ascii="Calibri"/>
          <w:spacing w:val="-4"/>
          <w:sz w:val="20"/>
          <w:vertAlign w:val="baseline"/>
        </w:rPr>
        <w:t> </w:t>
      </w:r>
      <w:r>
        <w:rPr>
          <w:rFonts w:ascii="Calibri"/>
          <w:sz w:val="20"/>
          <w:vertAlign w:val="baseline"/>
        </w:rPr>
        <w:t>Cap</w:t>
      </w:r>
      <w:r>
        <w:rPr>
          <w:rFonts w:ascii="Calibri"/>
          <w:spacing w:val="-3"/>
          <w:sz w:val="20"/>
          <w:vertAlign w:val="baseline"/>
        </w:rPr>
        <w:t> </w:t>
      </w:r>
      <w:r>
        <w:rPr>
          <w:rFonts w:ascii="Calibri"/>
          <w:sz w:val="20"/>
          <w:vertAlign w:val="baseline"/>
        </w:rPr>
        <w:t>07,</w:t>
      </w:r>
      <w:r>
        <w:rPr>
          <w:rFonts w:ascii="Calibri"/>
          <w:spacing w:val="-3"/>
          <w:sz w:val="20"/>
          <w:vertAlign w:val="baseline"/>
        </w:rPr>
        <w:t> </w:t>
      </w:r>
      <w:r>
        <w:rPr>
          <w:rFonts w:ascii="Calibri"/>
          <w:sz w:val="20"/>
          <w:vertAlign w:val="baseline"/>
        </w:rPr>
        <w:t>LFN,</w:t>
      </w:r>
      <w:r>
        <w:rPr>
          <w:rFonts w:ascii="Calibri"/>
          <w:spacing w:val="-1"/>
          <w:sz w:val="20"/>
          <w:vertAlign w:val="baseline"/>
        </w:rPr>
        <w:t> </w:t>
      </w:r>
      <w:r>
        <w:rPr>
          <w:rFonts w:ascii="Calibri"/>
          <w:spacing w:val="-4"/>
          <w:sz w:val="20"/>
          <w:vertAlign w:val="baseline"/>
        </w:rPr>
        <w:t>2010</w:t>
      </w:r>
    </w:p>
    <w:p>
      <w:pPr>
        <w:spacing w:before="1"/>
        <w:ind w:left="360" w:right="0" w:firstLine="0"/>
        <w:jc w:val="left"/>
        <w:rPr>
          <w:rFonts w:ascii="Calibri" w:hAnsi="Calibri"/>
          <w:sz w:val="20"/>
        </w:rPr>
      </w:pPr>
      <w:r>
        <w:rPr>
          <w:rFonts w:ascii="Calibri" w:hAnsi="Calibri"/>
          <w:sz w:val="20"/>
          <w:vertAlign w:val="superscript"/>
        </w:rPr>
        <w:t>9</w:t>
      </w:r>
      <w:r>
        <w:rPr>
          <w:rFonts w:ascii="Calibri" w:hAnsi="Calibri"/>
          <w:spacing w:val="-4"/>
          <w:sz w:val="20"/>
          <w:vertAlign w:val="baseline"/>
        </w:rPr>
        <w:t> </w:t>
      </w:r>
      <w:r>
        <w:rPr>
          <w:rFonts w:ascii="Calibri" w:hAnsi="Calibri"/>
          <w:sz w:val="20"/>
          <w:vertAlign w:val="baseline"/>
        </w:rPr>
        <w:t>G.</w:t>
      </w:r>
      <w:r>
        <w:rPr>
          <w:rFonts w:ascii="Calibri" w:hAnsi="Calibri"/>
          <w:spacing w:val="-3"/>
          <w:sz w:val="20"/>
          <w:vertAlign w:val="baseline"/>
        </w:rPr>
        <w:t> </w:t>
      </w:r>
      <w:r>
        <w:rPr>
          <w:rFonts w:ascii="Calibri" w:hAnsi="Calibri"/>
          <w:sz w:val="20"/>
          <w:vertAlign w:val="baseline"/>
        </w:rPr>
        <w:t>DEINDUOMO (2009)</w:t>
      </w:r>
      <w:r>
        <w:rPr>
          <w:rFonts w:ascii="Calibri" w:hAnsi="Calibri"/>
          <w:spacing w:val="-3"/>
          <w:sz w:val="20"/>
          <w:vertAlign w:val="baseline"/>
        </w:rPr>
        <w:t> </w:t>
      </w:r>
      <w:r>
        <w:rPr>
          <w:rFonts w:ascii="Calibri" w:hAnsi="Calibri"/>
          <w:sz w:val="20"/>
          <w:vertAlign w:val="baseline"/>
        </w:rPr>
        <w:t>In:</w:t>
      </w:r>
      <w:r>
        <w:rPr>
          <w:rFonts w:ascii="Calibri" w:hAnsi="Calibri"/>
          <w:spacing w:val="-4"/>
          <w:sz w:val="20"/>
          <w:vertAlign w:val="baseline"/>
        </w:rPr>
        <w:t> </w:t>
      </w:r>
      <w:r>
        <w:rPr>
          <w:rFonts w:ascii="Calibri" w:hAnsi="Calibri"/>
          <w:sz w:val="20"/>
          <w:vertAlign w:val="baseline"/>
        </w:rPr>
        <w:t>I</w:t>
      </w:r>
      <w:r>
        <w:rPr>
          <w:rFonts w:ascii="Calibri" w:hAnsi="Calibri"/>
          <w:spacing w:val="-3"/>
          <w:sz w:val="20"/>
          <w:vertAlign w:val="baseline"/>
        </w:rPr>
        <w:t> </w:t>
      </w:r>
      <w:r>
        <w:rPr>
          <w:rFonts w:ascii="Calibri" w:hAnsi="Calibri"/>
          <w:sz w:val="20"/>
          <w:vertAlign w:val="baseline"/>
        </w:rPr>
        <w:t>.EV11RI</w:t>
      </w:r>
      <w:r>
        <w:rPr>
          <w:rFonts w:ascii="Calibri" w:hAnsi="Calibri"/>
          <w:spacing w:val="-3"/>
          <w:sz w:val="20"/>
          <w:vertAlign w:val="baseline"/>
        </w:rPr>
        <w:t> </w:t>
      </w:r>
      <w:r>
        <w:rPr>
          <w:rFonts w:ascii="Calibri" w:hAnsi="Calibri"/>
          <w:sz w:val="20"/>
          <w:vertAlign w:val="baseline"/>
        </w:rPr>
        <w:t>and</w:t>
      </w:r>
      <w:r>
        <w:rPr>
          <w:rFonts w:ascii="Calibri" w:hAnsi="Calibri"/>
          <w:spacing w:val="-3"/>
          <w:sz w:val="20"/>
          <w:vertAlign w:val="baseline"/>
        </w:rPr>
        <w:t> </w:t>
      </w:r>
      <w:r>
        <w:rPr>
          <w:rFonts w:ascii="Calibri" w:hAnsi="Calibri"/>
          <w:sz w:val="20"/>
          <w:vertAlign w:val="baseline"/>
        </w:rPr>
        <w:t>G.DK1NDUOMO, </w:t>
      </w:r>
      <w:r>
        <w:rPr>
          <w:rFonts w:ascii="Calibri" w:hAnsi="Calibri"/>
          <w:i/>
          <w:sz w:val="20"/>
          <w:vertAlign w:val="baseline"/>
        </w:rPr>
        <w:t>“Law</w:t>
      </w:r>
      <w:r>
        <w:rPr>
          <w:rFonts w:ascii="Calibri" w:hAnsi="Calibri"/>
          <w:i/>
          <w:spacing w:val="-4"/>
          <w:sz w:val="20"/>
          <w:vertAlign w:val="baseline"/>
        </w:rPr>
        <w:t> </w:t>
      </w:r>
      <w:r>
        <w:rPr>
          <w:rFonts w:ascii="Calibri" w:hAnsi="Calibri"/>
          <w:i/>
          <w:sz w:val="20"/>
          <w:vertAlign w:val="baseline"/>
        </w:rPr>
        <w:t>and</w:t>
      </w:r>
      <w:r>
        <w:rPr>
          <w:rFonts w:ascii="Calibri" w:hAnsi="Calibri"/>
          <w:i/>
          <w:spacing w:val="-3"/>
          <w:sz w:val="20"/>
          <w:vertAlign w:val="baseline"/>
        </w:rPr>
        <w:t> </w:t>
      </w:r>
      <w:r>
        <w:rPr>
          <w:rFonts w:ascii="Calibri" w:hAnsi="Calibri"/>
          <w:i/>
          <w:sz w:val="20"/>
          <w:vertAlign w:val="baseline"/>
        </w:rPr>
        <w:t>Petroleum</w:t>
      </w:r>
      <w:r>
        <w:rPr>
          <w:rFonts w:ascii="Calibri" w:hAnsi="Calibri"/>
          <w:i/>
          <w:spacing w:val="-3"/>
          <w:sz w:val="20"/>
          <w:vertAlign w:val="baseline"/>
        </w:rPr>
        <w:t> </w:t>
      </w:r>
      <w:r>
        <w:rPr>
          <w:rFonts w:ascii="Calibri" w:hAnsi="Calibri"/>
          <w:i/>
          <w:sz w:val="20"/>
          <w:vertAlign w:val="baseline"/>
        </w:rPr>
        <w:t>Industry</w:t>
      </w:r>
      <w:r>
        <w:rPr>
          <w:rFonts w:ascii="Calibri" w:hAnsi="Calibri"/>
          <w:i/>
          <w:spacing w:val="-4"/>
          <w:sz w:val="20"/>
          <w:vertAlign w:val="baseline"/>
        </w:rPr>
        <w:t> </w:t>
      </w:r>
      <w:r>
        <w:rPr>
          <w:rFonts w:ascii="Calibri" w:hAnsi="Calibri"/>
          <w:i/>
          <w:sz w:val="20"/>
          <w:vertAlign w:val="baseline"/>
        </w:rPr>
        <w:t>in</w:t>
      </w:r>
      <w:r>
        <w:rPr>
          <w:rFonts w:ascii="Calibri" w:hAnsi="Calibri"/>
          <w:i/>
          <w:spacing w:val="-3"/>
          <w:sz w:val="20"/>
          <w:vertAlign w:val="baseline"/>
        </w:rPr>
        <w:t> </w:t>
      </w:r>
      <w:r>
        <w:rPr>
          <w:rFonts w:ascii="Calibri" w:hAnsi="Calibri"/>
          <w:i/>
          <w:sz w:val="20"/>
          <w:vertAlign w:val="baseline"/>
        </w:rPr>
        <w:t>Nigeria”</w:t>
      </w:r>
      <w:r>
        <w:rPr>
          <w:rFonts w:ascii="Calibri" w:hAnsi="Calibri"/>
          <w:i/>
          <w:spacing w:val="-2"/>
          <w:sz w:val="20"/>
          <w:vertAlign w:val="baseline"/>
        </w:rPr>
        <w:t> </w:t>
      </w:r>
      <w:r>
        <w:rPr>
          <w:rFonts w:ascii="Calibri" w:hAnsi="Calibri"/>
          <w:sz w:val="20"/>
          <w:vertAlign w:val="baseline"/>
        </w:rPr>
        <w:t>Malthouse Publication, Lagos,</w:t>
      </w:r>
    </w:p>
    <w:p>
      <w:pPr>
        <w:spacing w:line="243" w:lineRule="exact" w:before="0"/>
        <w:ind w:left="360" w:right="0" w:firstLine="0"/>
        <w:jc w:val="left"/>
        <w:rPr>
          <w:rFonts w:ascii="Calibri" w:hAnsi="Calibri"/>
          <w:sz w:val="20"/>
        </w:rPr>
      </w:pPr>
      <w:r>
        <w:rPr>
          <w:rFonts w:ascii="Calibri" w:hAnsi="Calibri"/>
          <w:sz w:val="20"/>
          <w:vertAlign w:val="superscript"/>
        </w:rPr>
        <w:t>10</w:t>
      </w:r>
      <w:r>
        <w:rPr>
          <w:rFonts w:ascii="Calibri" w:hAnsi="Calibri"/>
          <w:spacing w:val="-8"/>
          <w:sz w:val="20"/>
          <w:vertAlign w:val="baseline"/>
        </w:rPr>
        <w:t> </w:t>
      </w:r>
      <w:r>
        <w:rPr>
          <w:rFonts w:ascii="Calibri" w:hAnsi="Calibri"/>
          <w:sz w:val="20"/>
          <w:vertAlign w:val="baseline"/>
        </w:rPr>
        <w:t>ETIKERENTSE</w:t>
      </w:r>
      <w:r>
        <w:rPr>
          <w:rFonts w:ascii="Calibri" w:hAnsi="Calibri"/>
          <w:spacing w:val="-7"/>
          <w:sz w:val="20"/>
          <w:vertAlign w:val="baseline"/>
        </w:rPr>
        <w:t> </w:t>
      </w:r>
      <w:r>
        <w:rPr>
          <w:rFonts w:ascii="Calibri" w:hAnsi="Calibri"/>
          <w:sz w:val="20"/>
          <w:vertAlign w:val="baseline"/>
        </w:rPr>
        <w:t>G.</w:t>
      </w:r>
      <w:r>
        <w:rPr>
          <w:rFonts w:ascii="Calibri" w:hAnsi="Calibri"/>
          <w:spacing w:val="-8"/>
          <w:sz w:val="20"/>
          <w:vertAlign w:val="baseline"/>
        </w:rPr>
        <w:t> </w:t>
      </w:r>
      <w:r>
        <w:rPr>
          <w:rFonts w:ascii="Calibri" w:hAnsi="Calibri"/>
          <w:sz w:val="20"/>
          <w:vertAlign w:val="baseline"/>
        </w:rPr>
        <w:t>(2nd</w:t>
      </w:r>
      <w:r>
        <w:rPr>
          <w:rFonts w:ascii="Calibri" w:hAnsi="Calibri"/>
          <w:spacing w:val="-7"/>
          <w:sz w:val="20"/>
          <w:vertAlign w:val="baseline"/>
        </w:rPr>
        <w:t> </w:t>
      </w:r>
      <w:r>
        <w:rPr>
          <w:rFonts w:ascii="Calibri" w:hAnsi="Calibri"/>
          <w:sz w:val="20"/>
          <w:vertAlign w:val="baseline"/>
        </w:rPr>
        <w:t>Edition)</w:t>
      </w:r>
      <w:r>
        <w:rPr>
          <w:rFonts w:ascii="Calibri" w:hAnsi="Calibri"/>
          <w:spacing w:val="-5"/>
          <w:sz w:val="20"/>
          <w:vertAlign w:val="baseline"/>
        </w:rPr>
        <w:t> </w:t>
      </w:r>
      <w:r>
        <w:rPr>
          <w:rFonts w:ascii="Calibri" w:hAnsi="Calibri"/>
          <w:sz w:val="20"/>
          <w:vertAlign w:val="baseline"/>
        </w:rPr>
        <w:t>“</w:t>
      </w:r>
      <w:r>
        <w:rPr>
          <w:rFonts w:ascii="Calibri" w:hAnsi="Calibri"/>
          <w:i/>
          <w:sz w:val="20"/>
          <w:vertAlign w:val="baseline"/>
        </w:rPr>
        <w:t>Petroleum</w:t>
      </w:r>
      <w:r>
        <w:rPr>
          <w:rFonts w:ascii="Calibri" w:hAnsi="Calibri"/>
          <w:i/>
          <w:spacing w:val="-7"/>
          <w:sz w:val="20"/>
          <w:vertAlign w:val="baseline"/>
        </w:rPr>
        <w:t> </w:t>
      </w:r>
      <w:r>
        <w:rPr>
          <w:rFonts w:ascii="Calibri" w:hAnsi="Calibri"/>
          <w:i/>
          <w:sz w:val="20"/>
          <w:vertAlign w:val="baseline"/>
        </w:rPr>
        <w:t>Law</w:t>
      </w:r>
      <w:r>
        <w:rPr>
          <w:rFonts w:ascii="Calibri" w:hAnsi="Calibri"/>
          <w:i/>
          <w:spacing w:val="-7"/>
          <w:sz w:val="20"/>
          <w:vertAlign w:val="baseline"/>
        </w:rPr>
        <w:t> </w:t>
      </w:r>
      <w:r>
        <w:rPr>
          <w:rFonts w:ascii="Calibri" w:hAnsi="Calibri"/>
          <w:i/>
          <w:sz w:val="20"/>
          <w:vertAlign w:val="baseline"/>
        </w:rPr>
        <w:t>in</w:t>
      </w:r>
      <w:r>
        <w:rPr>
          <w:rFonts w:ascii="Calibri" w:hAnsi="Calibri"/>
          <w:i/>
          <w:spacing w:val="-7"/>
          <w:sz w:val="20"/>
          <w:vertAlign w:val="baseline"/>
        </w:rPr>
        <w:t> </w:t>
      </w:r>
      <w:r>
        <w:rPr>
          <w:rFonts w:ascii="Calibri" w:hAnsi="Calibri"/>
          <w:i/>
          <w:sz w:val="20"/>
          <w:vertAlign w:val="baseline"/>
        </w:rPr>
        <w:t>Nigeria</w:t>
      </w:r>
      <w:r>
        <w:rPr>
          <w:rFonts w:ascii="Calibri" w:hAnsi="Calibri"/>
          <w:sz w:val="20"/>
          <w:vertAlign w:val="baseline"/>
        </w:rPr>
        <w:t>”,</w:t>
      </w:r>
      <w:r>
        <w:rPr>
          <w:rFonts w:ascii="Calibri" w:hAnsi="Calibri"/>
          <w:spacing w:val="-7"/>
          <w:sz w:val="20"/>
          <w:vertAlign w:val="baseline"/>
        </w:rPr>
        <w:t> </w:t>
      </w:r>
      <w:r>
        <w:rPr>
          <w:rFonts w:ascii="Calibri" w:hAnsi="Calibri"/>
          <w:sz w:val="20"/>
          <w:vertAlign w:val="baseline"/>
        </w:rPr>
        <w:t>Lagos</w:t>
      </w:r>
      <w:r>
        <w:rPr>
          <w:rFonts w:ascii="Calibri" w:hAnsi="Calibri"/>
          <w:spacing w:val="-9"/>
          <w:sz w:val="20"/>
          <w:vertAlign w:val="baseline"/>
        </w:rPr>
        <w:t> </w:t>
      </w:r>
      <w:r>
        <w:rPr>
          <w:rFonts w:ascii="Calibri" w:hAnsi="Calibri"/>
          <w:spacing w:val="-2"/>
          <w:sz w:val="20"/>
          <w:vertAlign w:val="baseline"/>
        </w:rPr>
        <w:t>Nigeria</w:t>
      </w:r>
    </w:p>
    <w:p>
      <w:pPr>
        <w:spacing w:line="276" w:lineRule="auto" w:before="0"/>
        <w:ind w:left="360" w:right="0" w:firstLine="0"/>
        <w:jc w:val="left"/>
        <w:rPr>
          <w:rFonts w:ascii="Calibri"/>
          <w:sz w:val="20"/>
        </w:rPr>
      </w:pPr>
      <w:r>
        <w:rPr>
          <w:rFonts w:ascii="Calibri"/>
          <w:sz w:val="20"/>
          <w:vertAlign w:val="superscript"/>
        </w:rPr>
        <w:t>11</w:t>
      </w:r>
      <w:r>
        <w:rPr>
          <w:rFonts w:ascii="Calibri"/>
          <w:spacing w:val="-2"/>
          <w:sz w:val="20"/>
          <w:vertAlign w:val="baseline"/>
        </w:rPr>
        <w:t> </w:t>
      </w:r>
      <w:r>
        <w:rPr>
          <w:rFonts w:ascii="Calibri"/>
          <w:sz w:val="20"/>
          <w:vertAlign w:val="baseline"/>
        </w:rPr>
        <w:t>S.</w:t>
      </w:r>
      <w:r>
        <w:rPr>
          <w:rFonts w:ascii="Calibri"/>
          <w:spacing w:val="40"/>
          <w:sz w:val="20"/>
          <w:vertAlign w:val="baseline"/>
        </w:rPr>
        <w:t> </w:t>
      </w:r>
      <w:r>
        <w:rPr>
          <w:rFonts w:ascii="Calibri"/>
          <w:sz w:val="20"/>
          <w:vertAlign w:val="baseline"/>
        </w:rPr>
        <w:t>EABILA</w:t>
      </w:r>
      <w:r>
        <w:rPr>
          <w:rFonts w:ascii="Calibri"/>
          <w:spacing w:val="40"/>
          <w:sz w:val="20"/>
          <w:vertAlign w:val="baseline"/>
        </w:rPr>
        <w:t> </w:t>
      </w:r>
      <w:r>
        <w:rPr>
          <w:rFonts w:ascii="Calibri"/>
          <w:sz w:val="20"/>
          <w:vertAlign w:val="baseline"/>
        </w:rPr>
        <w:t>and</w:t>
      </w:r>
      <w:r>
        <w:rPr>
          <w:rFonts w:ascii="Calibri"/>
          <w:spacing w:val="40"/>
          <w:sz w:val="20"/>
          <w:vertAlign w:val="baseline"/>
        </w:rPr>
        <w:t> </w:t>
      </w:r>
      <w:r>
        <w:rPr>
          <w:rFonts w:ascii="Calibri"/>
          <w:sz w:val="20"/>
          <w:vertAlign w:val="baseline"/>
        </w:rPr>
        <w:t>D.</w:t>
      </w:r>
      <w:r>
        <w:rPr>
          <w:rFonts w:ascii="Calibri"/>
          <w:spacing w:val="40"/>
          <w:sz w:val="20"/>
          <w:vertAlign w:val="baseline"/>
        </w:rPr>
        <w:t> </w:t>
      </w:r>
      <w:r>
        <w:rPr>
          <w:rFonts w:ascii="Calibri"/>
          <w:sz w:val="20"/>
          <w:vertAlign w:val="baseline"/>
        </w:rPr>
        <w:t>KDERRL</w:t>
      </w:r>
      <w:r>
        <w:rPr>
          <w:rFonts w:ascii="Calibri"/>
          <w:spacing w:val="40"/>
          <w:sz w:val="20"/>
          <w:vertAlign w:val="baseline"/>
        </w:rPr>
        <w:t> </w:t>
      </w:r>
      <w:r>
        <w:rPr>
          <w:rFonts w:ascii="Calibri"/>
          <w:sz w:val="20"/>
          <w:vertAlign w:val="baseline"/>
        </w:rPr>
        <w:t>In:</w:t>
      </w:r>
      <w:r>
        <w:rPr>
          <w:rFonts w:ascii="Calibri"/>
          <w:spacing w:val="40"/>
          <w:sz w:val="20"/>
          <w:vertAlign w:val="baseline"/>
        </w:rPr>
        <w:t> </w:t>
      </w:r>
      <w:r>
        <w:rPr>
          <w:rFonts w:ascii="Calibri"/>
          <w:sz w:val="20"/>
          <w:vertAlign w:val="baseline"/>
        </w:rPr>
        <w:t>F.</w:t>
      </w:r>
      <w:r>
        <w:rPr>
          <w:rFonts w:ascii="Calibri"/>
          <w:spacing w:val="40"/>
          <w:sz w:val="20"/>
          <w:vertAlign w:val="baseline"/>
        </w:rPr>
        <w:t> </w:t>
      </w:r>
      <w:r>
        <w:rPr>
          <w:rFonts w:ascii="Calibri"/>
          <w:sz w:val="20"/>
          <w:vertAlign w:val="baseline"/>
        </w:rPr>
        <w:t>EMIRI</w:t>
      </w:r>
      <w:r>
        <w:rPr>
          <w:rFonts w:ascii="Calibri"/>
          <w:spacing w:val="40"/>
          <w:sz w:val="20"/>
          <w:vertAlign w:val="baseline"/>
        </w:rPr>
        <w:t> </w:t>
      </w:r>
      <w:r>
        <w:rPr>
          <w:rFonts w:ascii="Calibri"/>
          <w:sz w:val="20"/>
          <w:vertAlign w:val="baseline"/>
        </w:rPr>
        <w:t>and</w:t>
      </w:r>
      <w:r>
        <w:rPr>
          <w:rFonts w:ascii="Calibri"/>
          <w:spacing w:val="40"/>
          <w:sz w:val="20"/>
          <w:vertAlign w:val="baseline"/>
        </w:rPr>
        <w:t> </w:t>
      </w:r>
      <w:r>
        <w:rPr>
          <w:rFonts w:ascii="Calibri"/>
          <w:sz w:val="20"/>
          <w:vertAlign w:val="baseline"/>
        </w:rPr>
        <w:t>G.</w:t>
      </w:r>
      <w:r>
        <w:rPr>
          <w:rFonts w:ascii="Calibri"/>
          <w:spacing w:val="40"/>
          <w:sz w:val="20"/>
          <w:vertAlign w:val="baseline"/>
        </w:rPr>
        <w:t> </w:t>
      </w:r>
      <w:r>
        <w:rPr>
          <w:rFonts w:ascii="Calibri"/>
          <w:sz w:val="20"/>
          <w:vertAlign w:val="baseline"/>
        </w:rPr>
        <w:t>DHINDUOMO,</w:t>
      </w:r>
      <w:r>
        <w:rPr>
          <w:rFonts w:ascii="Calibri"/>
          <w:spacing w:val="40"/>
          <w:sz w:val="20"/>
          <w:vertAlign w:val="baseline"/>
        </w:rPr>
        <w:t> </w:t>
      </w:r>
      <w:r>
        <w:rPr>
          <w:rFonts w:ascii="Calibri"/>
          <w:sz w:val="20"/>
          <w:vertAlign w:val="baseline"/>
        </w:rPr>
        <w:t>Law</w:t>
      </w:r>
      <w:r>
        <w:rPr>
          <w:rFonts w:ascii="Calibri"/>
          <w:spacing w:val="40"/>
          <w:sz w:val="20"/>
          <w:vertAlign w:val="baseline"/>
        </w:rPr>
        <w:t> </w:t>
      </w:r>
      <w:r>
        <w:rPr>
          <w:rFonts w:ascii="Calibri"/>
          <w:sz w:val="20"/>
          <w:vertAlign w:val="baseline"/>
        </w:rPr>
        <w:t>and</w:t>
      </w:r>
      <w:r>
        <w:rPr>
          <w:rFonts w:ascii="Calibri"/>
          <w:spacing w:val="40"/>
          <w:sz w:val="20"/>
          <w:vertAlign w:val="baseline"/>
        </w:rPr>
        <w:t> </w:t>
      </w:r>
      <w:r>
        <w:rPr>
          <w:rFonts w:ascii="Calibri"/>
          <w:sz w:val="20"/>
          <w:vertAlign w:val="baseline"/>
        </w:rPr>
        <w:t>Petroleum</w:t>
      </w:r>
      <w:r>
        <w:rPr>
          <w:rFonts w:ascii="Calibri"/>
          <w:spacing w:val="40"/>
          <w:sz w:val="20"/>
          <w:vertAlign w:val="baseline"/>
        </w:rPr>
        <w:t> </w:t>
      </w:r>
      <w:r>
        <w:rPr>
          <w:rFonts w:ascii="Calibri"/>
          <w:sz w:val="20"/>
          <w:vertAlign w:val="baseline"/>
        </w:rPr>
        <w:t>Industry</w:t>
      </w:r>
      <w:r>
        <w:rPr>
          <w:rFonts w:ascii="Calibri"/>
          <w:spacing w:val="40"/>
          <w:sz w:val="20"/>
          <w:vertAlign w:val="baseline"/>
        </w:rPr>
        <w:t> </w:t>
      </w:r>
      <w:r>
        <w:rPr>
          <w:rFonts w:ascii="Calibri"/>
          <w:sz w:val="20"/>
          <w:vertAlign w:val="baseline"/>
        </w:rPr>
        <w:t>in</w:t>
      </w:r>
      <w:r>
        <w:rPr>
          <w:rFonts w:ascii="Calibri"/>
          <w:spacing w:val="40"/>
          <w:sz w:val="20"/>
          <w:vertAlign w:val="baseline"/>
        </w:rPr>
        <w:t> </w:t>
      </w:r>
      <w:r>
        <w:rPr>
          <w:rFonts w:ascii="Calibri"/>
          <w:sz w:val="20"/>
          <w:vertAlign w:val="baseline"/>
        </w:rPr>
        <w:t>Nigeria.</w:t>
      </w:r>
      <w:r>
        <w:rPr>
          <w:rFonts w:ascii="Calibri"/>
          <w:spacing w:val="40"/>
          <w:sz w:val="20"/>
          <w:vertAlign w:val="baseline"/>
        </w:rPr>
        <w:t> </w:t>
      </w:r>
      <w:r>
        <w:rPr>
          <w:rFonts w:ascii="Calibri"/>
          <w:sz w:val="20"/>
          <w:vertAlign w:val="baseline"/>
        </w:rPr>
        <w:t>Malthouse Publication, Lagos, 2009</w:t>
      </w:r>
    </w:p>
    <w:p>
      <w:pPr>
        <w:spacing w:after="0" w:line="276" w:lineRule="auto"/>
        <w:jc w:val="left"/>
        <w:rPr>
          <w:rFonts w:ascii="Calibri"/>
          <w:sz w:val="20"/>
        </w:rPr>
        <w:sectPr>
          <w:pgSz w:w="11910" w:h="16840"/>
          <w:pgMar w:header="0" w:footer="1000" w:top="1340" w:bottom="1200" w:left="1080" w:right="1280"/>
        </w:sectPr>
      </w:pPr>
    </w:p>
    <w:p>
      <w:pPr>
        <w:pStyle w:val="BodyText"/>
        <w:spacing w:line="480" w:lineRule="auto" w:before="74"/>
        <w:ind w:left="360" w:right="154"/>
        <w:jc w:val="both"/>
      </w:pPr>
      <w:r>
        <w:rPr/>
        <w:t>entered upon. Where there is any damage done, the holder is expected to compensate the owner, </w:t>
      </w:r>
      <w:r>
        <w:rPr>
          <w:spacing w:val="12"/>
        </w:rPr>
        <w:t>objection</w:t>
      </w:r>
      <w:r>
        <w:rPr>
          <w:spacing w:val="12"/>
        </w:rPr>
        <w:t> </w:t>
      </w:r>
      <w:r>
        <w:rPr/>
        <w:t>can be </w:t>
      </w:r>
      <w:r>
        <w:rPr>
          <w:spacing w:val="10"/>
        </w:rPr>
        <w:t>made</w:t>
      </w:r>
      <w:r>
        <w:rPr>
          <w:spacing w:val="10"/>
        </w:rPr>
        <w:t> </w:t>
      </w:r>
      <w:r>
        <w:rPr/>
        <w:t>by </w:t>
      </w:r>
      <w:r>
        <w:rPr>
          <w:spacing w:val="9"/>
        </w:rPr>
        <w:t>any </w:t>
      </w:r>
      <w:r>
        <w:rPr>
          <w:spacing w:val="11"/>
        </w:rPr>
        <w:t>person</w:t>
      </w:r>
      <w:r>
        <w:rPr>
          <w:spacing w:val="11"/>
        </w:rPr>
        <w:t> whose </w:t>
      </w:r>
      <w:r>
        <w:rPr>
          <w:spacing w:val="10"/>
        </w:rPr>
        <w:t>land</w:t>
      </w:r>
      <w:r>
        <w:rPr>
          <w:spacing w:val="10"/>
        </w:rPr>
        <w:t> </w:t>
      </w:r>
      <w:r>
        <w:rPr/>
        <w:t>or </w:t>
      </w:r>
      <w:r>
        <w:rPr>
          <w:spacing w:val="11"/>
        </w:rPr>
        <w:t>interest</w:t>
      </w:r>
      <w:r>
        <w:rPr>
          <w:spacing w:val="11"/>
        </w:rPr>
        <w:t> </w:t>
      </w:r>
      <w:r>
        <w:rPr/>
        <w:t>in </w:t>
      </w:r>
      <w:r>
        <w:rPr>
          <w:spacing w:val="10"/>
        </w:rPr>
        <w:t>land</w:t>
      </w:r>
      <w:r>
        <w:rPr>
          <w:spacing w:val="10"/>
        </w:rPr>
        <w:t> </w:t>
      </w:r>
      <w:r>
        <w:rPr>
          <w:spacing w:val="9"/>
        </w:rPr>
        <w:t>may </w:t>
      </w:r>
      <w:r>
        <w:rPr/>
        <w:t>be injuriously affected by the grant of a license but, where a licensee is granted, the holder is expected to pay compensation to any person whose land or interest in land has been injuriously</w:t>
      </w:r>
      <w:r>
        <w:rPr>
          <w:spacing w:val="35"/>
        </w:rPr>
        <w:t> </w:t>
      </w:r>
      <w:r>
        <w:rPr/>
        <w:t>affected</w:t>
      </w:r>
      <w:r>
        <w:rPr>
          <w:spacing w:val="39"/>
        </w:rPr>
        <w:t> </w:t>
      </w:r>
      <w:r>
        <w:rPr/>
        <w:t>or</w:t>
      </w:r>
      <w:r>
        <w:rPr>
          <w:spacing w:val="40"/>
        </w:rPr>
        <w:t> </w:t>
      </w:r>
      <w:r>
        <w:rPr/>
        <w:t>any</w:t>
      </w:r>
      <w:r>
        <w:rPr>
          <w:spacing w:val="32"/>
        </w:rPr>
        <w:t> </w:t>
      </w:r>
      <w:r>
        <w:rPr/>
        <w:t>person</w:t>
      </w:r>
      <w:r>
        <w:rPr>
          <w:spacing w:val="39"/>
        </w:rPr>
        <w:t> </w:t>
      </w:r>
      <w:r>
        <w:rPr/>
        <w:t>suffering</w:t>
      </w:r>
      <w:r>
        <w:rPr>
          <w:spacing w:val="37"/>
        </w:rPr>
        <w:t> </w:t>
      </w:r>
      <w:r>
        <w:rPr/>
        <w:t>damage</w:t>
      </w:r>
      <w:r>
        <w:rPr>
          <w:spacing w:val="36"/>
        </w:rPr>
        <w:t> </w:t>
      </w:r>
      <w:r>
        <w:rPr/>
        <w:t>by</w:t>
      </w:r>
      <w:r>
        <w:rPr>
          <w:spacing w:val="35"/>
        </w:rPr>
        <w:t> </w:t>
      </w:r>
      <w:r>
        <w:rPr/>
        <w:t>reason</w:t>
      </w:r>
      <w:r>
        <w:rPr>
          <w:spacing w:val="39"/>
        </w:rPr>
        <w:t> </w:t>
      </w:r>
      <w:r>
        <w:rPr/>
        <w:t>of</w:t>
      </w:r>
      <w:r>
        <w:rPr>
          <w:spacing w:val="39"/>
        </w:rPr>
        <w:t> </w:t>
      </w:r>
      <w:r>
        <w:rPr/>
        <w:t>or</w:t>
      </w:r>
      <w:r>
        <w:rPr>
          <w:spacing w:val="40"/>
        </w:rPr>
        <w:t> </w:t>
      </w:r>
      <w:r>
        <w:rPr/>
        <w:t>as</w:t>
      </w:r>
      <w:r>
        <w:rPr>
          <w:spacing w:val="35"/>
        </w:rPr>
        <w:t> </w:t>
      </w:r>
      <w:r>
        <w:rPr/>
        <w:t>a</w:t>
      </w:r>
      <w:r>
        <w:rPr>
          <w:spacing w:val="36"/>
        </w:rPr>
        <w:t> </w:t>
      </w:r>
      <w:r>
        <w:rPr/>
        <w:t>consequence</w:t>
      </w:r>
      <w:r>
        <w:rPr>
          <w:spacing w:val="36"/>
        </w:rPr>
        <w:t> </w:t>
      </w:r>
      <w:r>
        <w:rPr/>
        <w:t>of the holder's negligence to make good a damage. Additionally, the Act</w:t>
      </w:r>
      <w:r>
        <w:rPr>
          <w:spacing w:val="-15"/>
        </w:rPr>
        <w:t> </w:t>
      </w:r>
      <w:r>
        <w:rPr>
          <w:vertAlign w:val="superscript"/>
        </w:rPr>
        <w:t>12</w:t>
      </w:r>
      <w:r>
        <w:rPr>
          <w:vertAlign w:val="baseline"/>
        </w:rPr>
        <w:t> prohibits the alteration in the flow of water in a navigable waterway, or</w:t>
      </w:r>
      <w:r>
        <w:rPr>
          <w:spacing w:val="40"/>
          <w:vertAlign w:val="baseline"/>
        </w:rPr>
        <w:t> </w:t>
      </w:r>
      <w:r>
        <w:rPr>
          <w:vertAlign w:val="baseline"/>
        </w:rPr>
        <w:t>the construction of works, in, under</w:t>
      </w:r>
      <w:r>
        <w:rPr>
          <w:spacing w:val="40"/>
          <w:vertAlign w:val="baseline"/>
        </w:rPr>
        <w:t> </w:t>
      </w:r>
      <w:r>
        <w:rPr>
          <w:vertAlign w:val="baseline"/>
        </w:rPr>
        <w:t>or</w:t>
      </w:r>
      <w:r>
        <w:rPr>
          <w:spacing w:val="40"/>
          <w:vertAlign w:val="baseline"/>
        </w:rPr>
        <w:t> </w:t>
      </w:r>
      <w:r>
        <w:rPr>
          <w:vertAlign w:val="baseline"/>
        </w:rPr>
        <w:t>over</w:t>
      </w:r>
      <w:r>
        <w:rPr>
          <w:spacing w:val="40"/>
          <w:vertAlign w:val="baseline"/>
        </w:rPr>
        <w:t> </w:t>
      </w:r>
      <w:r>
        <w:rPr>
          <w:vertAlign w:val="baseline"/>
        </w:rPr>
        <w:t>any</w:t>
      </w:r>
      <w:r>
        <w:rPr>
          <w:spacing w:val="40"/>
          <w:vertAlign w:val="baseline"/>
        </w:rPr>
        <w:t> </w:t>
      </w:r>
      <w:r>
        <w:rPr>
          <w:vertAlign w:val="baseline"/>
        </w:rPr>
        <w:t>navigable</w:t>
      </w:r>
      <w:r>
        <w:rPr>
          <w:spacing w:val="40"/>
          <w:vertAlign w:val="baseline"/>
        </w:rPr>
        <w:t> </w:t>
      </w:r>
      <w:r>
        <w:rPr>
          <w:vertAlign w:val="baseline"/>
        </w:rPr>
        <w:t>waterway</w:t>
      </w:r>
      <w:r>
        <w:rPr>
          <w:spacing w:val="37"/>
          <w:vertAlign w:val="baseline"/>
        </w:rPr>
        <w:t> </w:t>
      </w:r>
      <w:r>
        <w:rPr>
          <w:vertAlign w:val="baseline"/>
        </w:rPr>
        <w:t>that</w:t>
      </w:r>
      <w:r>
        <w:rPr>
          <w:spacing w:val="40"/>
          <w:vertAlign w:val="baseline"/>
        </w:rPr>
        <w:t> </w:t>
      </w:r>
      <w:r>
        <w:rPr>
          <w:vertAlign w:val="baseline"/>
        </w:rPr>
        <w:t>might</w:t>
      </w:r>
      <w:r>
        <w:rPr>
          <w:spacing w:val="40"/>
          <w:vertAlign w:val="baseline"/>
        </w:rPr>
        <w:t> </w:t>
      </w:r>
      <w:r>
        <w:rPr>
          <w:vertAlign w:val="baseline"/>
        </w:rPr>
        <w:t>obstruct</w:t>
      </w:r>
      <w:r>
        <w:rPr>
          <w:spacing w:val="40"/>
          <w:vertAlign w:val="baseline"/>
        </w:rPr>
        <w:t> </w:t>
      </w:r>
      <w:r>
        <w:rPr>
          <w:vertAlign w:val="baseline"/>
        </w:rPr>
        <w:t>or</w:t>
      </w:r>
      <w:r>
        <w:rPr>
          <w:spacing w:val="40"/>
          <w:vertAlign w:val="baseline"/>
        </w:rPr>
        <w:t> </w:t>
      </w:r>
      <w:r>
        <w:rPr>
          <w:vertAlign w:val="baseline"/>
        </w:rPr>
        <w:t>interfere</w:t>
      </w:r>
      <w:r>
        <w:rPr>
          <w:spacing w:val="40"/>
          <w:vertAlign w:val="baseline"/>
        </w:rPr>
        <w:t> </w:t>
      </w:r>
      <w:r>
        <w:rPr>
          <w:vertAlign w:val="baseline"/>
        </w:rPr>
        <w:t>with</w:t>
      </w:r>
      <w:r>
        <w:rPr>
          <w:spacing w:val="40"/>
          <w:vertAlign w:val="baseline"/>
        </w:rPr>
        <w:t> </w:t>
      </w:r>
      <w:r>
        <w:rPr>
          <w:vertAlign w:val="baseline"/>
        </w:rPr>
        <w:t>the</w:t>
      </w:r>
      <w:r>
        <w:rPr>
          <w:spacing w:val="39"/>
          <w:vertAlign w:val="baseline"/>
        </w:rPr>
        <w:t> </w:t>
      </w:r>
      <w:r>
        <w:rPr>
          <w:vertAlign w:val="baseline"/>
        </w:rPr>
        <w:t>free</w:t>
      </w:r>
      <w:r>
        <w:rPr>
          <w:spacing w:val="39"/>
          <w:vertAlign w:val="baseline"/>
        </w:rPr>
        <w:t> </w:t>
      </w:r>
      <w:r>
        <w:rPr>
          <w:vertAlign w:val="baseline"/>
        </w:rPr>
        <w:t>arid safe</w:t>
      </w:r>
      <w:r>
        <w:rPr>
          <w:spacing w:val="40"/>
          <w:vertAlign w:val="baseline"/>
        </w:rPr>
        <w:t> </w:t>
      </w:r>
      <w:r>
        <w:rPr>
          <w:vertAlign w:val="baseline"/>
        </w:rPr>
        <w:t>passage</w:t>
      </w:r>
      <w:r>
        <w:rPr>
          <w:spacing w:val="40"/>
          <w:vertAlign w:val="baseline"/>
        </w:rPr>
        <w:t> </w:t>
      </w:r>
      <w:r>
        <w:rPr>
          <w:vertAlign w:val="baseline"/>
        </w:rPr>
        <w:t>of</w:t>
      </w:r>
      <w:r>
        <w:rPr>
          <w:spacing w:val="40"/>
          <w:vertAlign w:val="baseline"/>
        </w:rPr>
        <w:t> </w:t>
      </w:r>
      <w:r>
        <w:rPr>
          <w:vertAlign w:val="baseline"/>
        </w:rPr>
        <w:t>vessels,</w:t>
      </w:r>
      <w:r>
        <w:rPr>
          <w:spacing w:val="40"/>
          <w:vertAlign w:val="baseline"/>
        </w:rPr>
        <w:t> </w:t>
      </w:r>
      <w:r>
        <w:rPr>
          <w:vertAlign w:val="baseline"/>
        </w:rPr>
        <w:t>canoes</w:t>
      </w:r>
      <w:r>
        <w:rPr>
          <w:spacing w:val="40"/>
          <w:vertAlign w:val="baseline"/>
        </w:rPr>
        <w:t> </w:t>
      </w:r>
      <w:r>
        <w:rPr>
          <w:vertAlign w:val="baseline"/>
        </w:rPr>
        <w:t>or</w:t>
      </w:r>
      <w:r>
        <w:rPr>
          <w:spacing w:val="40"/>
          <w:vertAlign w:val="baseline"/>
        </w:rPr>
        <w:t> </w:t>
      </w:r>
      <w:r>
        <w:rPr>
          <w:vertAlign w:val="baseline"/>
        </w:rPr>
        <w:t>other</w:t>
      </w:r>
      <w:r>
        <w:rPr>
          <w:spacing w:val="40"/>
          <w:vertAlign w:val="baseline"/>
        </w:rPr>
        <w:t> </w:t>
      </w:r>
      <w:r>
        <w:rPr>
          <w:vertAlign w:val="baseline"/>
        </w:rPr>
        <w:t>craft,</w:t>
      </w:r>
      <w:r>
        <w:rPr>
          <w:spacing w:val="40"/>
          <w:vertAlign w:val="baseline"/>
        </w:rPr>
        <w:t> </w:t>
      </w:r>
      <w:r>
        <w:rPr>
          <w:vertAlign w:val="baseline"/>
        </w:rPr>
        <w:t>by</w:t>
      </w:r>
      <w:r>
        <w:rPr>
          <w:spacing w:val="40"/>
          <w:vertAlign w:val="baseline"/>
        </w:rPr>
        <w:t> </w:t>
      </w:r>
      <w:r>
        <w:rPr>
          <w:vertAlign w:val="baseline"/>
        </w:rPr>
        <w:t>an</w:t>
      </w:r>
      <w:r>
        <w:rPr>
          <w:spacing w:val="40"/>
          <w:vertAlign w:val="baseline"/>
        </w:rPr>
        <w:t> </w:t>
      </w:r>
      <w:r>
        <w:rPr>
          <w:vertAlign w:val="baseline"/>
        </w:rPr>
        <w:t>oil</w:t>
      </w:r>
      <w:r>
        <w:rPr>
          <w:spacing w:val="40"/>
          <w:vertAlign w:val="baseline"/>
        </w:rPr>
        <w:t> </w:t>
      </w:r>
      <w:r>
        <w:rPr>
          <w:vertAlign w:val="baseline"/>
        </w:rPr>
        <w:t>pipeline</w:t>
      </w:r>
      <w:r>
        <w:rPr>
          <w:spacing w:val="40"/>
          <w:vertAlign w:val="baseline"/>
        </w:rPr>
        <w:t> </w:t>
      </w:r>
      <w:r>
        <w:rPr>
          <w:vertAlign w:val="baseline"/>
        </w:rPr>
        <w:t>licensee.</w:t>
      </w:r>
      <w:r>
        <w:rPr>
          <w:spacing w:val="40"/>
          <w:vertAlign w:val="baseline"/>
        </w:rPr>
        <w:t> </w:t>
      </w:r>
      <w:r>
        <w:rPr>
          <w:vertAlign w:val="baseline"/>
        </w:rPr>
        <w:t>A</w:t>
      </w:r>
      <w:r>
        <w:rPr>
          <w:spacing w:val="40"/>
          <w:vertAlign w:val="baseline"/>
        </w:rPr>
        <w:t> </w:t>
      </w:r>
      <w:r>
        <w:rPr>
          <w:vertAlign w:val="baseline"/>
        </w:rPr>
        <w:t>licensee</w:t>
      </w:r>
      <w:r>
        <w:rPr>
          <w:spacing w:val="40"/>
          <w:vertAlign w:val="baseline"/>
        </w:rPr>
        <w:t> </w:t>
      </w:r>
      <w:r>
        <w:rPr>
          <w:vertAlign w:val="baseline"/>
        </w:rPr>
        <w:t>is also</w:t>
      </w:r>
      <w:r>
        <w:rPr>
          <w:spacing w:val="40"/>
          <w:vertAlign w:val="baseline"/>
        </w:rPr>
        <w:t> </w:t>
      </w:r>
      <w:r>
        <w:rPr>
          <w:vertAlign w:val="baseline"/>
        </w:rPr>
        <w:t>prohibited</w:t>
      </w:r>
      <w:r>
        <w:rPr>
          <w:spacing w:val="40"/>
          <w:vertAlign w:val="baseline"/>
        </w:rPr>
        <w:t> </w:t>
      </w:r>
      <w:r>
        <w:rPr>
          <w:vertAlign w:val="baseline"/>
        </w:rPr>
        <w:t>from</w:t>
      </w:r>
      <w:r>
        <w:rPr>
          <w:spacing w:val="40"/>
          <w:vertAlign w:val="baseline"/>
        </w:rPr>
        <w:t> </w:t>
      </w:r>
      <w:r>
        <w:rPr>
          <w:vertAlign w:val="baseline"/>
        </w:rPr>
        <w:t>making</w:t>
      </w:r>
      <w:r>
        <w:rPr>
          <w:spacing w:val="40"/>
          <w:vertAlign w:val="baseline"/>
        </w:rPr>
        <w:t> </w:t>
      </w:r>
      <w:r>
        <w:rPr>
          <w:vertAlign w:val="baseline"/>
        </w:rPr>
        <w:t>any</w:t>
      </w:r>
      <w:r>
        <w:rPr>
          <w:spacing w:val="40"/>
          <w:vertAlign w:val="baseline"/>
        </w:rPr>
        <w:t> </w:t>
      </w:r>
      <w:r>
        <w:rPr>
          <w:vertAlign w:val="baseline"/>
        </w:rPr>
        <w:t>construction</w:t>
      </w:r>
      <w:r>
        <w:rPr>
          <w:spacing w:val="40"/>
          <w:vertAlign w:val="baseline"/>
        </w:rPr>
        <w:t> </w:t>
      </w:r>
      <w:r>
        <w:rPr>
          <w:vertAlign w:val="baseline"/>
        </w:rPr>
        <w:t>in,</w:t>
      </w:r>
      <w:r>
        <w:rPr>
          <w:spacing w:val="40"/>
          <w:vertAlign w:val="baseline"/>
        </w:rPr>
        <w:t> </w:t>
      </w:r>
      <w:r>
        <w:rPr>
          <w:vertAlign w:val="baseline"/>
        </w:rPr>
        <w:t>under</w:t>
      </w:r>
      <w:r>
        <w:rPr>
          <w:spacing w:val="40"/>
          <w:vertAlign w:val="baseline"/>
        </w:rPr>
        <w:t> </w:t>
      </w:r>
      <w:r>
        <w:rPr>
          <w:vertAlign w:val="baseline"/>
        </w:rPr>
        <w:t>or</w:t>
      </w:r>
      <w:r>
        <w:rPr>
          <w:spacing w:val="40"/>
          <w:vertAlign w:val="baseline"/>
        </w:rPr>
        <w:t> </w:t>
      </w:r>
      <w:r>
        <w:rPr>
          <w:vertAlign w:val="baseline"/>
        </w:rPr>
        <w:t>over,</w:t>
      </w:r>
      <w:r>
        <w:rPr>
          <w:spacing w:val="40"/>
          <w:vertAlign w:val="baseline"/>
        </w:rPr>
        <w:t> </w:t>
      </w:r>
      <w:r>
        <w:rPr>
          <w:vertAlign w:val="baseline"/>
        </w:rPr>
        <w:t>or</w:t>
      </w:r>
      <w:r>
        <w:rPr>
          <w:spacing w:val="40"/>
          <w:vertAlign w:val="baseline"/>
        </w:rPr>
        <w:t> </w:t>
      </w:r>
      <w:r>
        <w:rPr>
          <w:vertAlign w:val="baseline"/>
        </w:rPr>
        <w:t>depositing</w:t>
      </w:r>
      <w:r>
        <w:rPr>
          <w:spacing w:val="40"/>
          <w:vertAlign w:val="baseline"/>
        </w:rPr>
        <w:t> </w:t>
      </w:r>
      <w:r>
        <w:rPr>
          <w:vertAlign w:val="baseline"/>
        </w:rPr>
        <w:t>materials in or altering the How of water required for domestic, industrial or irrigational use, thereby diminishing or restricting the quantity of water available for these purposes, or constructing works or making deposits in any</w:t>
      </w:r>
      <w:r>
        <w:rPr>
          <w:spacing w:val="-1"/>
          <w:vertAlign w:val="baseline"/>
        </w:rPr>
        <w:t> </w:t>
      </w:r>
      <w:r>
        <w:rPr>
          <w:vertAlign w:val="baseline"/>
        </w:rPr>
        <w:t>waterways that would cause flooding or erosion without the prior permission in writing of the Minister. There are restrictions on venerated land while there</w:t>
      </w:r>
      <w:r>
        <w:rPr>
          <w:spacing w:val="80"/>
          <w:vertAlign w:val="baseline"/>
        </w:rPr>
        <w:t> </w:t>
      </w:r>
      <w:r>
        <w:rPr>
          <w:vertAlign w:val="baseline"/>
        </w:rPr>
        <w:t>are</w:t>
      </w:r>
      <w:r>
        <w:rPr>
          <w:spacing w:val="80"/>
          <w:vertAlign w:val="baseline"/>
        </w:rPr>
        <w:t> </w:t>
      </w:r>
      <w:r>
        <w:rPr>
          <w:vertAlign w:val="baseline"/>
        </w:rPr>
        <w:t>also</w:t>
      </w:r>
      <w:r>
        <w:rPr>
          <w:spacing w:val="80"/>
          <w:vertAlign w:val="baseline"/>
        </w:rPr>
        <w:t> </w:t>
      </w:r>
      <w:r>
        <w:rPr>
          <w:vertAlign w:val="baseline"/>
        </w:rPr>
        <w:t>specific</w:t>
      </w:r>
      <w:r>
        <w:rPr>
          <w:spacing w:val="80"/>
          <w:vertAlign w:val="baseline"/>
        </w:rPr>
        <w:t> </w:t>
      </w:r>
      <w:r>
        <w:rPr>
          <w:vertAlign w:val="baseline"/>
        </w:rPr>
        <w:t>Provisions</w:t>
      </w:r>
      <w:r>
        <w:rPr>
          <w:spacing w:val="80"/>
          <w:vertAlign w:val="baseline"/>
        </w:rPr>
        <w:t> </w:t>
      </w:r>
      <w:r>
        <w:rPr>
          <w:vertAlign w:val="baseline"/>
        </w:rPr>
        <w:t>allowing</w:t>
      </w:r>
      <w:r>
        <w:rPr>
          <w:spacing w:val="80"/>
          <w:vertAlign w:val="baseline"/>
        </w:rPr>
        <w:t> </w:t>
      </w:r>
      <w:r>
        <w:rPr>
          <w:vertAlign w:val="baseline"/>
        </w:rPr>
        <w:t>access</w:t>
      </w:r>
      <w:r>
        <w:rPr>
          <w:spacing w:val="80"/>
          <w:vertAlign w:val="baseline"/>
        </w:rPr>
        <w:t> </w:t>
      </w:r>
      <w:r>
        <w:rPr>
          <w:vertAlign w:val="baseline"/>
        </w:rPr>
        <w:t>to</w:t>
      </w:r>
      <w:r>
        <w:rPr>
          <w:spacing w:val="80"/>
          <w:vertAlign w:val="baseline"/>
        </w:rPr>
        <w:t> </w:t>
      </w:r>
      <w:r>
        <w:rPr>
          <w:vertAlign w:val="baseline"/>
        </w:rPr>
        <w:t>government</w:t>
      </w:r>
      <w:r>
        <w:rPr>
          <w:spacing w:val="80"/>
          <w:vertAlign w:val="baseline"/>
        </w:rPr>
        <w:t> </w:t>
      </w:r>
      <w:r>
        <w:rPr>
          <w:vertAlign w:val="baseline"/>
        </w:rPr>
        <w:t>officials</w:t>
      </w:r>
      <w:r>
        <w:rPr>
          <w:spacing w:val="80"/>
          <w:vertAlign w:val="baseline"/>
        </w:rPr>
        <w:t> </w:t>
      </w:r>
      <w:r>
        <w:rPr>
          <w:vertAlign w:val="baseline"/>
        </w:rPr>
        <w:t>to</w:t>
      </w:r>
      <w:r>
        <w:rPr>
          <w:spacing w:val="80"/>
          <w:vertAlign w:val="baseline"/>
        </w:rPr>
        <w:t> </w:t>
      </w:r>
      <w:r>
        <w:rPr>
          <w:vertAlign w:val="baseline"/>
        </w:rPr>
        <w:t>inspect and</w:t>
      </w:r>
      <w:r>
        <w:rPr>
          <w:spacing w:val="40"/>
          <w:vertAlign w:val="baseline"/>
        </w:rPr>
        <w:t> </w:t>
      </w:r>
      <w:r>
        <w:rPr>
          <w:vertAlign w:val="baseline"/>
        </w:rPr>
        <w:t>be</w:t>
      </w:r>
      <w:r>
        <w:rPr>
          <w:spacing w:val="40"/>
          <w:vertAlign w:val="baseline"/>
        </w:rPr>
        <w:t> </w:t>
      </w:r>
      <w:r>
        <w:rPr>
          <w:vertAlign w:val="baseline"/>
        </w:rPr>
        <w:t>sure</w:t>
      </w:r>
      <w:r>
        <w:rPr>
          <w:spacing w:val="40"/>
          <w:vertAlign w:val="baseline"/>
        </w:rPr>
        <w:t> </w:t>
      </w:r>
      <w:r>
        <w:rPr>
          <w:vertAlign w:val="baseline"/>
        </w:rPr>
        <w:t>things</w:t>
      </w:r>
      <w:r>
        <w:rPr>
          <w:spacing w:val="40"/>
          <w:vertAlign w:val="baseline"/>
        </w:rPr>
        <w:t> </w:t>
      </w:r>
      <w:r>
        <w:rPr>
          <w:vertAlign w:val="baseline"/>
        </w:rPr>
        <w:t>are</w:t>
      </w:r>
      <w:r>
        <w:rPr>
          <w:spacing w:val="40"/>
          <w:vertAlign w:val="baseline"/>
        </w:rPr>
        <w:t> </w:t>
      </w:r>
      <w:r>
        <w:rPr>
          <w:vertAlign w:val="baseline"/>
        </w:rPr>
        <w:t>being</w:t>
      </w:r>
      <w:r>
        <w:rPr>
          <w:spacing w:val="40"/>
          <w:vertAlign w:val="baseline"/>
        </w:rPr>
        <w:t> </w:t>
      </w:r>
      <w:r>
        <w:rPr>
          <w:vertAlign w:val="baseline"/>
        </w:rPr>
        <w:t>done</w:t>
      </w:r>
      <w:r>
        <w:rPr>
          <w:spacing w:val="40"/>
          <w:vertAlign w:val="baseline"/>
        </w:rPr>
        <w:t> </w:t>
      </w:r>
      <w:r>
        <w:rPr>
          <w:vertAlign w:val="baseline"/>
        </w:rPr>
        <w:t>in</w:t>
      </w:r>
      <w:r>
        <w:rPr>
          <w:spacing w:val="40"/>
          <w:vertAlign w:val="baseline"/>
        </w:rPr>
        <w:t> </w:t>
      </w:r>
      <w:r>
        <w:rPr>
          <w:vertAlign w:val="baseline"/>
        </w:rPr>
        <w:t>accordance</w:t>
      </w:r>
      <w:r>
        <w:rPr>
          <w:spacing w:val="40"/>
          <w:vertAlign w:val="baseline"/>
        </w:rPr>
        <w:t> </w:t>
      </w:r>
      <w:r>
        <w:rPr>
          <w:vertAlign w:val="baseline"/>
        </w:rPr>
        <w:t>with</w:t>
      </w:r>
      <w:r>
        <w:rPr>
          <w:spacing w:val="40"/>
          <w:vertAlign w:val="baseline"/>
        </w:rPr>
        <w:t> </w:t>
      </w:r>
      <w:r>
        <w:rPr>
          <w:vertAlign w:val="baseline"/>
        </w:rPr>
        <w:t>the</w:t>
      </w:r>
      <w:r>
        <w:rPr>
          <w:spacing w:val="80"/>
          <w:vertAlign w:val="baseline"/>
        </w:rPr>
        <w:t> </w:t>
      </w:r>
      <w:r>
        <w:rPr>
          <w:vertAlign w:val="baseline"/>
        </w:rPr>
        <w:t>licence.</w:t>
      </w:r>
      <w:r>
        <w:rPr>
          <w:spacing w:val="40"/>
          <w:vertAlign w:val="baseline"/>
        </w:rPr>
        <w:t> </w:t>
      </w:r>
      <w:r>
        <w:rPr>
          <w:vertAlign w:val="baseline"/>
        </w:rPr>
        <w:t>In</w:t>
      </w:r>
      <w:r>
        <w:rPr>
          <w:spacing w:val="40"/>
          <w:vertAlign w:val="baseline"/>
        </w:rPr>
        <w:t> </w:t>
      </w:r>
      <w:r>
        <w:rPr>
          <w:vertAlign w:val="baseline"/>
        </w:rPr>
        <w:t>addition,</w:t>
      </w:r>
      <w:r>
        <w:rPr>
          <w:spacing w:val="40"/>
          <w:vertAlign w:val="baseline"/>
        </w:rPr>
        <w:t> </w:t>
      </w:r>
      <w:r>
        <w:rPr>
          <w:vertAlign w:val="baseline"/>
        </w:rPr>
        <w:t>subsection 4</w:t>
      </w:r>
      <w:r>
        <w:rPr>
          <w:spacing w:val="26"/>
          <w:vertAlign w:val="baseline"/>
        </w:rPr>
        <w:t> </w:t>
      </w:r>
      <w:r>
        <w:rPr>
          <w:vertAlign w:val="baseline"/>
        </w:rPr>
        <w:t>of</w:t>
      </w:r>
      <w:r>
        <w:rPr>
          <w:spacing w:val="25"/>
          <w:vertAlign w:val="baseline"/>
        </w:rPr>
        <w:t> </w:t>
      </w:r>
      <w:r>
        <w:rPr>
          <w:vertAlign w:val="baseline"/>
        </w:rPr>
        <w:t>section</w:t>
      </w:r>
      <w:r>
        <w:rPr>
          <w:spacing w:val="26"/>
          <w:vertAlign w:val="baseline"/>
        </w:rPr>
        <w:t> </w:t>
      </w:r>
      <w:r>
        <w:rPr>
          <w:vertAlign w:val="baseline"/>
        </w:rPr>
        <w:t>17 of the</w:t>
      </w:r>
      <w:r>
        <w:rPr>
          <w:spacing w:val="25"/>
          <w:vertAlign w:val="baseline"/>
        </w:rPr>
        <w:t> </w:t>
      </w:r>
      <w:r>
        <w:rPr>
          <w:vertAlign w:val="baseline"/>
        </w:rPr>
        <w:t>Act</w:t>
      </w:r>
      <w:r>
        <w:rPr>
          <w:vertAlign w:val="superscript"/>
        </w:rPr>
        <w:t>13</w:t>
      </w:r>
      <w:r>
        <w:rPr>
          <w:vertAlign w:val="baseline"/>
        </w:rPr>
        <w:t> also made</w:t>
      </w:r>
      <w:r>
        <w:rPr>
          <w:spacing w:val="25"/>
          <w:vertAlign w:val="baseline"/>
        </w:rPr>
        <w:t> </w:t>
      </w:r>
      <w:r>
        <w:rPr>
          <w:vertAlign w:val="baseline"/>
        </w:rPr>
        <w:t>every oil</w:t>
      </w:r>
      <w:r>
        <w:rPr>
          <w:spacing w:val="32"/>
          <w:vertAlign w:val="baseline"/>
        </w:rPr>
        <w:t> </w:t>
      </w:r>
      <w:r>
        <w:rPr>
          <w:vertAlign w:val="baseline"/>
        </w:rPr>
        <w:t>pipeline licenses granted under the Act subject to the provisions of the Act and any regulations in force concerning the prevention</w:t>
      </w:r>
      <w:r>
        <w:rPr>
          <w:spacing w:val="40"/>
          <w:vertAlign w:val="baseline"/>
        </w:rPr>
        <w:t> </w:t>
      </w:r>
      <w:r>
        <w:rPr>
          <w:vertAlign w:val="baseline"/>
        </w:rPr>
        <w:t>of pollution</w:t>
      </w:r>
      <w:r>
        <w:rPr>
          <w:spacing w:val="40"/>
          <w:vertAlign w:val="baseline"/>
        </w:rPr>
        <w:t> </w:t>
      </w:r>
      <w:r>
        <w:rPr>
          <w:vertAlign w:val="baseline"/>
        </w:rPr>
        <w:t>of land</w:t>
      </w:r>
      <w:r>
        <w:rPr>
          <w:spacing w:val="40"/>
          <w:vertAlign w:val="baseline"/>
        </w:rPr>
        <w:t> </w:t>
      </w:r>
      <w:r>
        <w:rPr>
          <w:vertAlign w:val="baseline"/>
        </w:rPr>
        <w:t>and</w:t>
      </w:r>
      <w:r>
        <w:rPr>
          <w:spacing w:val="40"/>
          <w:vertAlign w:val="baseline"/>
        </w:rPr>
        <w:t> </w:t>
      </w:r>
      <w:r>
        <w:rPr>
          <w:vertAlign w:val="baseline"/>
        </w:rPr>
        <w:t>waters.</w:t>
      </w:r>
      <w:r>
        <w:rPr>
          <w:spacing w:val="40"/>
          <w:vertAlign w:val="baseline"/>
        </w:rPr>
        <w:t> </w:t>
      </w:r>
      <w:r>
        <w:rPr>
          <w:vertAlign w:val="baseline"/>
        </w:rPr>
        <w:t>Much</w:t>
      </w:r>
      <w:r>
        <w:rPr>
          <w:spacing w:val="40"/>
          <w:vertAlign w:val="baseline"/>
        </w:rPr>
        <w:t> </w:t>
      </w:r>
      <w:r>
        <w:rPr>
          <w:vertAlign w:val="baseline"/>
        </w:rPr>
        <w:t>as it can be said</w:t>
      </w:r>
      <w:r>
        <w:rPr>
          <w:spacing w:val="40"/>
          <w:vertAlign w:val="baseline"/>
        </w:rPr>
        <w:t> </w:t>
      </w:r>
      <w:r>
        <w:rPr>
          <w:vertAlign w:val="baseline"/>
        </w:rPr>
        <w:t>that the Act made adequate</w:t>
      </w:r>
      <w:r>
        <w:rPr>
          <w:spacing w:val="40"/>
          <w:vertAlign w:val="baseline"/>
        </w:rPr>
        <w:t> </w:t>
      </w:r>
      <w:r>
        <w:rPr>
          <w:vertAlign w:val="baseline"/>
        </w:rPr>
        <w:t>provisions</w:t>
      </w:r>
      <w:r>
        <w:rPr>
          <w:spacing w:val="40"/>
          <w:vertAlign w:val="baseline"/>
        </w:rPr>
        <w:t> </w:t>
      </w:r>
      <w:r>
        <w:rPr>
          <w:vertAlign w:val="baseline"/>
        </w:rPr>
        <w:t>for</w:t>
      </w:r>
      <w:r>
        <w:rPr>
          <w:spacing w:val="40"/>
          <w:vertAlign w:val="baseline"/>
        </w:rPr>
        <w:t> </w:t>
      </w:r>
      <w:r>
        <w:rPr>
          <w:vertAlign w:val="baseline"/>
        </w:rPr>
        <w:t>the</w:t>
      </w:r>
      <w:r>
        <w:rPr>
          <w:spacing w:val="40"/>
          <w:vertAlign w:val="baseline"/>
        </w:rPr>
        <w:t> </w:t>
      </w:r>
      <w:r>
        <w:rPr>
          <w:vertAlign w:val="baseline"/>
        </w:rPr>
        <w:t>protection</w:t>
      </w:r>
      <w:r>
        <w:rPr>
          <w:spacing w:val="40"/>
          <w:vertAlign w:val="baseline"/>
        </w:rPr>
        <w:t> </w:t>
      </w:r>
      <w:r>
        <w:rPr>
          <w:vertAlign w:val="baseline"/>
        </w:rPr>
        <w:t>ofindividual</w:t>
      </w:r>
      <w:r>
        <w:rPr>
          <w:spacing w:val="40"/>
          <w:vertAlign w:val="baseline"/>
        </w:rPr>
        <w:t> </w:t>
      </w:r>
      <w:r>
        <w:rPr>
          <w:vertAlign w:val="baseline"/>
        </w:rPr>
        <w:t>interests</w:t>
      </w:r>
      <w:r>
        <w:rPr>
          <w:spacing w:val="40"/>
          <w:vertAlign w:val="baseline"/>
        </w:rPr>
        <w:t> </w:t>
      </w:r>
      <w:r>
        <w:rPr>
          <w:vertAlign w:val="baseline"/>
        </w:rPr>
        <w:t>and</w:t>
      </w:r>
      <w:r>
        <w:rPr>
          <w:spacing w:val="40"/>
          <w:vertAlign w:val="baseline"/>
        </w:rPr>
        <w:t> </w:t>
      </w:r>
      <w:r>
        <w:rPr>
          <w:vertAlign w:val="baseline"/>
        </w:rPr>
        <w:t>concerns,</w:t>
      </w:r>
      <w:r>
        <w:rPr>
          <w:spacing w:val="40"/>
          <w:vertAlign w:val="baseline"/>
        </w:rPr>
        <w:t> </w:t>
      </w:r>
      <w:r>
        <w:rPr>
          <w:vertAlign w:val="baseline"/>
        </w:rPr>
        <w:t>its</w:t>
      </w:r>
      <w:r>
        <w:rPr>
          <w:spacing w:val="40"/>
          <w:vertAlign w:val="baseline"/>
        </w:rPr>
        <w:t> </w:t>
      </w:r>
      <w:r>
        <w:rPr>
          <w:vertAlign w:val="baseline"/>
        </w:rPr>
        <w:t>weakness, lies in its failure to make the restoration of land upon which compensation is paid</w:t>
      </w:r>
      <w:r>
        <w:rPr>
          <w:spacing w:val="40"/>
          <w:vertAlign w:val="baseline"/>
        </w:rPr>
        <w:t> </w:t>
      </w:r>
      <w:r>
        <w:rPr>
          <w:vertAlign w:val="baseline"/>
        </w:rPr>
        <w:t>mandatory</w:t>
      </w:r>
      <w:r>
        <w:rPr>
          <w:vertAlign w:val="superscript"/>
        </w:rPr>
        <w:t>14</w:t>
      </w:r>
      <w:r>
        <w:rPr>
          <w:vertAlign w:val="baseline"/>
        </w:rPr>
        <w:t> in a way that is commendable, the Act made provision for courts to play roles that</w:t>
      </w:r>
      <w:r>
        <w:rPr>
          <w:spacing w:val="27"/>
          <w:vertAlign w:val="baseline"/>
        </w:rPr>
        <w:t> </w:t>
      </w:r>
      <w:r>
        <w:rPr>
          <w:vertAlign w:val="baseline"/>
        </w:rPr>
        <w:t>would</w:t>
      </w:r>
      <w:r>
        <w:rPr>
          <w:spacing w:val="29"/>
          <w:vertAlign w:val="baseline"/>
        </w:rPr>
        <w:t> </w:t>
      </w:r>
      <w:r>
        <w:rPr>
          <w:vertAlign w:val="baseline"/>
        </w:rPr>
        <w:t>ensure</w:t>
      </w:r>
      <w:r>
        <w:rPr>
          <w:spacing w:val="33"/>
          <w:vertAlign w:val="baseline"/>
        </w:rPr>
        <w:t> </w:t>
      </w:r>
      <w:r>
        <w:rPr>
          <w:vertAlign w:val="baseline"/>
        </w:rPr>
        <w:t>just</w:t>
      </w:r>
      <w:r>
        <w:rPr>
          <w:spacing w:val="23"/>
          <w:vertAlign w:val="baseline"/>
        </w:rPr>
        <w:t> </w:t>
      </w:r>
      <w:r>
        <w:rPr>
          <w:vertAlign w:val="baseline"/>
        </w:rPr>
        <w:t>assessment</w:t>
      </w:r>
      <w:r>
        <w:rPr>
          <w:spacing w:val="23"/>
          <w:vertAlign w:val="baseline"/>
        </w:rPr>
        <w:t> </w:t>
      </w:r>
      <w:r>
        <w:rPr>
          <w:vertAlign w:val="baseline"/>
        </w:rPr>
        <w:t>of</w:t>
      </w:r>
      <w:r>
        <w:rPr>
          <w:spacing w:val="24"/>
          <w:vertAlign w:val="baseline"/>
        </w:rPr>
        <w:t> </w:t>
      </w:r>
      <w:r>
        <w:rPr>
          <w:vertAlign w:val="baseline"/>
        </w:rPr>
        <w:t>compensation</w:t>
      </w:r>
      <w:r>
        <w:rPr>
          <w:spacing w:val="22"/>
          <w:vertAlign w:val="baseline"/>
        </w:rPr>
        <w:t> </w:t>
      </w:r>
      <w:r>
        <w:rPr>
          <w:vertAlign w:val="baseline"/>
        </w:rPr>
        <w:t>not</w:t>
      </w:r>
      <w:r>
        <w:rPr>
          <w:spacing w:val="25"/>
          <w:vertAlign w:val="baseline"/>
        </w:rPr>
        <w:t> </w:t>
      </w:r>
      <w:r>
        <w:rPr>
          <w:vertAlign w:val="baseline"/>
        </w:rPr>
        <w:t>only</w:t>
      </w:r>
      <w:r>
        <w:rPr>
          <w:spacing w:val="20"/>
          <w:vertAlign w:val="baseline"/>
        </w:rPr>
        <w:t> </w:t>
      </w:r>
      <w:r>
        <w:rPr>
          <w:vertAlign w:val="baseline"/>
        </w:rPr>
        <w:t>for</w:t>
      </w:r>
      <w:r>
        <w:rPr>
          <w:spacing w:val="21"/>
          <w:vertAlign w:val="baseline"/>
        </w:rPr>
        <w:t> </w:t>
      </w:r>
      <w:r>
        <w:rPr>
          <w:vertAlign w:val="baseline"/>
        </w:rPr>
        <w:t>damage</w:t>
      </w:r>
      <w:r>
        <w:rPr>
          <w:spacing w:val="24"/>
          <w:vertAlign w:val="baseline"/>
        </w:rPr>
        <w:t> </w:t>
      </w:r>
      <w:r>
        <w:rPr>
          <w:vertAlign w:val="baseline"/>
        </w:rPr>
        <w:t>done</w:t>
      </w:r>
      <w:r>
        <w:rPr>
          <w:spacing w:val="21"/>
          <w:vertAlign w:val="baseline"/>
        </w:rPr>
        <w:t> </w:t>
      </w:r>
      <w:r>
        <w:rPr>
          <w:vertAlign w:val="baseline"/>
        </w:rPr>
        <w:t>to</w:t>
      </w:r>
      <w:r>
        <w:rPr>
          <w:spacing w:val="22"/>
          <w:vertAlign w:val="baseline"/>
        </w:rPr>
        <w:t> </w:t>
      </w:r>
      <w:r>
        <w:rPr>
          <w:spacing w:val="-2"/>
          <w:vertAlign w:val="baseline"/>
        </w:rPr>
        <w:t>buildings,</w:t>
      </w:r>
    </w:p>
    <w:p>
      <w:pPr>
        <w:pStyle w:val="BodyText"/>
        <w:spacing w:before="5"/>
        <w:rPr>
          <w:sz w:val="13"/>
        </w:rPr>
      </w:pPr>
      <w:r>
        <w:rPr/>
        <mc:AlternateContent>
          <mc:Choice Requires="wps">
            <w:drawing>
              <wp:anchor distT="0" distB="0" distL="0" distR="0" allowOverlap="1" layoutInCell="1" locked="0" behindDoc="1" simplePos="0" relativeHeight="487598592">
                <wp:simplePos x="0" y="0"/>
                <wp:positionH relativeFrom="page">
                  <wp:posOffset>914704</wp:posOffset>
                </wp:positionH>
                <wp:positionV relativeFrom="paragraph">
                  <wp:posOffset>113714</wp:posOffset>
                </wp:positionV>
                <wp:extent cx="1829435" cy="9525"/>
                <wp:effectExtent l="0" t="0" r="0" b="0"/>
                <wp:wrapTopAndBottom/>
                <wp:docPr id="25" name="Graphic 25"/>
                <wp:cNvGraphicFramePr>
                  <a:graphicFrameLocks/>
                </wp:cNvGraphicFramePr>
                <a:graphic>
                  <a:graphicData uri="http://schemas.microsoft.com/office/word/2010/wordprocessingShape">
                    <wps:wsp>
                      <wps:cNvPr id="25" name="Graphic 25"/>
                      <wps:cNvSpPr/>
                      <wps:spPr>
                        <a:xfrm>
                          <a:off x="0" y="0"/>
                          <a:ext cx="1829435" cy="9525"/>
                        </a:xfrm>
                        <a:custGeom>
                          <a:avLst/>
                          <a:gdLst/>
                          <a:ahLst/>
                          <a:cxnLst/>
                          <a:rect l="l" t="t" r="r" b="b"/>
                          <a:pathLst>
                            <a:path w="1829435" h="9525">
                              <a:moveTo>
                                <a:pt x="1829054" y="0"/>
                              </a:moveTo>
                              <a:lnTo>
                                <a:pt x="0" y="0"/>
                              </a:lnTo>
                              <a:lnTo>
                                <a:pt x="0" y="9143"/>
                              </a:lnTo>
                              <a:lnTo>
                                <a:pt x="1829054" y="9143"/>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8.953937pt;width:144.020pt;height:.71997pt;mso-position-horizontal-relative:page;mso-position-vertical-relative:paragraph;z-index:-15717888;mso-wrap-distance-left:0;mso-wrap-distance-right:0" id="docshape25" filled="true" fillcolor="#000000" stroked="false">
                <v:fill type="solid"/>
                <w10:wrap type="topAndBottom"/>
              </v:rect>
            </w:pict>
          </mc:Fallback>
        </mc:AlternateContent>
      </w:r>
    </w:p>
    <w:p>
      <w:pPr>
        <w:spacing w:before="102"/>
        <w:ind w:left="360" w:right="0" w:firstLine="0"/>
        <w:jc w:val="left"/>
        <w:rPr>
          <w:rFonts w:ascii="Calibri"/>
          <w:sz w:val="20"/>
        </w:rPr>
      </w:pPr>
      <w:r>
        <w:rPr>
          <w:rFonts w:ascii="Calibri"/>
          <w:sz w:val="20"/>
          <w:vertAlign w:val="superscript"/>
        </w:rPr>
        <w:t>12</w:t>
      </w:r>
      <w:r>
        <w:rPr>
          <w:rFonts w:ascii="Calibri"/>
          <w:spacing w:val="-4"/>
          <w:sz w:val="20"/>
          <w:vertAlign w:val="baseline"/>
        </w:rPr>
        <w:t> Ibid</w:t>
      </w:r>
    </w:p>
    <w:p>
      <w:pPr>
        <w:spacing w:before="1"/>
        <w:ind w:left="360" w:right="0" w:firstLine="0"/>
        <w:jc w:val="left"/>
        <w:rPr>
          <w:rFonts w:ascii="Calibri"/>
          <w:sz w:val="20"/>
        </w:rPr>
      </w:pPr>
      <w:r>
        <w:rPr>
          <w:rFonts w:ascii="Calibri"/>
          <w:sz w:val="20"/>
          <w:vertAlign w:val="superscript"/>
        </w:rPr>
        <w:t>13</w:t>
      </w:r>
      <w:r>
        <w:rPr>
          <w:rFonts w:ascii="Calibri"/>
          <w:spacing w:val="-4"/>
          <w:sz w:val="20"/>
          <w:vertAlign w:val="baseline"/>
        </w:rPr>
        <w:t> </w:t>
      </w:r>
      <w:r>
        <w:rPr>
          <w:rFonts w:ascii="Calibri"/>
          <w:sz w:val="20"/>
          <w:vertAlign w:val="baseline"/>
        </w:rPr>
        <w:t>G.DE1NDUOMO</w:t>
      </w:r>
      <w:r>
        <w:rPr>
          <w:rFonts w:ascii="Calibri"/>
          <w:spacing w:val="-3"/>
          <w:sz w:val="20"/>
          <w:vertAlign w:val="baseline"/>
        </w:rPr>
        <w:t> </w:t>
      </w:r>
      <w:r>
        <w:rPr>
          <w:rFonts w:ascii="Calibri"/>
          <w:sz w:val="20"/>
          <w:vertAlign w:val="baseline"/>
        </w:rPr>
        <w:t>In:</w:t>
      </w:r>
      <w:r>
        <w:rPr>
          <w:rFonts w:ascii="Calibri"/>
          <w:spacing w:val="-4"/>
          <w:sz w:val="20"/>
          <w:vertAlign w:val="baseline"/>
        </w:rPr>
        <w:t> </w:t>
      </w:r>
      <w:r>
        <w:rPr>
          <w:rFonts w:ascii="Calibri"/>
          <w:sz w:val="20"/>
          <w:vertAlign w:val="baseline"/>
        </w:rPr>
        <w:t>F.</w:t>
      </w:r>
      <w:r>
        <w:rPr>
          <w:rFonts w:ascii="Calibri"/>
          <w:spacing w:val="-4"/>
          <w:sz w:val="20"/>
          <w:vertAlign w:val="baseline"/>
        </w:rPr>
        <w:t> </w:t>
      </w:r>
      <w:r>
        <w:rPr>
          <w:rFonts w:ascii="Calibri"/>
          <w:sz w:val="20"/>
          <w:vertAlign w:val="baseline"/>
        </w:rPr>
        <w:t>KMIRI</w:t>
      </w:r>
      <w:r>
        <w:rPr>
          <w:rFonts w:ascii="Calibri"/>
          <w:spacing w:val="-3"/>
          <w:sz w:val="20"/>
          <w:vertAlign w:val="baseline"/>
        </w:rPr>
        <w:t> </w:t>
      </w:r>
      <w:r>
        <w:rPr>
          <w:rFonts w:ascii="Calibri"/>
          <w:sz w:val="20"/>
          <w:vertAlign w:val="baseline"/>
        </w:rPr>
        <w:t>and</w:t>
      </w:r>
      <w:r>
        <w:rPr>
          <w:rFonts w:ascii="Calibri"/>
          <w:spacing w:val="-3"/>
          <w:sz w:val="20"/>
          <w:vertAlign w:val="baseline"/>
        </w:rPr>
        <w:t> </w:t>
      </w:r>
      <w:r>
        <w:rPr>
          <w:rFonts w:ascii="Calibri"/>
          <w:sz w:val="20"/>
          <w:vertAlign w:val="baseline"/>
        </w:rPr>
        <w:t>G.DE1NDUOMO, </w:t>
      </w:r>
      <w:r>
        <w:rPr>
          <w:rFonts w:ascii="Calibri"/>
          <w:i/>
          <w:sz w:val="20"/>
          <w:vertAlign w:val="baseline"/>
        </w:rPr>
        <w:t>Law</w:t>
      </w:r>
      <w:r>
        <w:rPr>
          <w:rFonts w:ascii="Calibri"/>
          <w:i/>
          <w:spacing w:val="-4"/>
          <w:sz w:val="20"/>
          <w:vertAlign w:val="baseline"/>
        </w:rPr>
        <w:t> </w:t>
      </w:r>
      <w:r>
        <w:rPr>
          <w:rFonts w:ascii="Calibri"/>
          <w:i/>
          <w:sz w:val="20"/>
          <w:vertAlign w:val="baseline"/>
        </w:rPr>
        <w:t>and</w:t>
      </w:r>
      <w:r>
        <w:rPr>
          <w:rFonts w:ascii="Calibri"/>
          <w:i/>
          <w:spacing w:val="-1"/>
          <w:sz w:val="20"/>
          <w:vertAlign w:val="baseline"/>
        </w:rPr>
        <w:t> </w:t>
      </w:r>
      <w:r>
        <w:rPr>
          <w:rFonts w:ascii="Calibri"/>
          <w:i/>
          <w:sz w:val="20"/>
          <w:vertAlign w:val="baseline"/>
        </w:rPr>
        <w:t>Petroleum</w:t>
      </w:r>
      <w:r>
        <w:rPr>
          <w:rFonts w:ascii="Calibri"/>
          <w:i/>
          <w:spacing w:val="-3"/>
          <w:sz w:val="20"/>
          <w:vertAlign w:val="baseline"/>
        </w:rPr>
        <w:t> </w:t>
      </w:r>
      <w:r>
        <w:rPr>
          <w:rFonts w:ascii="Calibri"/>
          <w:i/>
          <w:sz w:val="20"/>
          <w:vertAlign w:val="baseline"/>
        </w:rPr>
        <w:t>Industry</w:t>
      </w:r>
      <w:r>
        <w:rPr>
          <w:rFonts w:ascii="Calibri"/>
          <w:i/>
          <w:spacing w:val="-4"/>
          <w:sz w:val="20"/>
          <w:vertAlign w:val="baseline"/>
        </w:rPr>
        <w:t> </w:t>
      </w:r>
      <w:r>
        <w:rPr>
          <w:rFonts w:ascii="Calibri"/>
          <w:i/>
          <w:sz w:val="20"/>
          <w:vertAlign w:val="baseline"/>
        </w:rPr>
        <w:t>in</w:t>
      </w:r>
      <w:r>
        <w:rPr>
          <w:rFonts w:ascii="Calibri"/>
          <w:i/>
          <w:spacing w:val="-3"/>
          <w:sz w:val="20"/>
          <w:vertAlign w:val="baseline"/>
        </w:rPr>
        <w:t> </w:t>
      </w:r>
      <w:r>
        <w:rPr>
          <w:rFonts w:ascii="Calibri"/>
          <w:i/>
          <w:sz w:val="20"/>
          <w:vertAlign w:val="baseline"/>
        </w:rPr>
        <w:t>Nigeria</w:t>
      </w:r>
      <w:r>
        <w:rPr>
          <w:rFonts w:ascii="Calibri"/>
          <w:sz w:val="20"/>
          <w:vertAlign w:val="baseline"/>
        </w:rPr>
        <w:t>.</w:t>
      </w:r>
      <w:r>
        <w:rPr>
          <w:rFonts w:ascii="Calibri"/>
          <w:spacing w:val="-3"/>
          <w:sz w:val="20"/>
          <w:vertAlign w:val="baseline"/>
        </w:rPr>
        <w:t> </w:t>
      </w:r>
      <w:r>
        <w:rPr>
          <w:rFonts w:ascii="Calibri"/>
          <w:sz w:val="20"/>
          <w:vertAlign w:val="baseline"/>
        </w:rPr>
        <w:t>Malthouse Publication, Lagos, 2009</w:t>
      </w:r>
    </w:p>
    <w:p>
      <w:pPr>
        <w:spacing w:line="243" w:lineRule="exact" w:before="0"/>
        <w:ind w:left="360" w:right="0" w:firstLine="0"/>
        <w:jc w:val="left"/>
        <w:rPr>
          <w:rFonts w:ascii="Calibri"/>
          <w:sz w:val="20"/>
        </w:rPr>
      </w:pPr>
      <w:r>
        <w:rPr>
          <w:rFonts w:ascii="Calibri"/>
          <w:sz w:val="20"/>
          <w:vertAlign w:val="superscript"/>
        </w:rPr>
        <w:t>14</w:t>
      </w:r>
      <w:r>
        <w:rPr>
          <w:rFonts w:ascii="Calibri"/>
          <w:spacing w:val="-8"/>
          <w:sz w:val="20"/>
          <w:vertAlign w:val="baseline"/>
        </w:rPr>
        <w:t> </w:t>
      </w:r>
      <w:r>
        <w:rPr>
          <w:rFonts w:ascii="Calibri"/>
          <w:sz w:val="20"/>
          <w:vertAlign w:val="baseline"/>
        </w:rPr>
        <w:t>FAGBOHON</w:t>
      </w:r>
      <w:r>
        <w:rPr>
          <w:rFonts w:ascii="Calibri"/>
          <w:spacing w:val="-7"/>
          <w:sz w:val="20"/>
          <w:vertAlign w:val="baseline"/>
        </w:rPr>
        <w:t> </w:t>
      </w:r>
      <w:r>
        <w:rPr>
          <w:rFonts w:ascii="Calibri"/>
          <w:sz w:val="20"/>
          <w:vertAlign w:val="baseline"/>
        </w:rPr>
        <w:t>O</w:t>
      </w:r>
      <w:r>
        <w:rPr>
          <w:rFonts w:ascii="Calibri"/>
          <w:spacing w:val="-7"/>
          <w:sz w:val="20"/>
          <w:vertAlign w:val="baseline"/>
        </w:rPr>
        <w:t> </w:t>
      </w:r>
      <w:r>
        <w:rPr>
          <w:rFonts w:ascii="Calibri"/>
          <w:sz w:val="20"/>
          <w:vertAlign w:val="baseline"/>
        </w:rPr>
        <w:t>(2010)</w:t>
      </w:r>
      <w:r>
        <w:rPr>
          <w:rFonts w:ascii="Calibri"/>
          <w:spacing w:val="-7"/>
          <w:sz w:val="20"/>
          <w:vertAlign w:val="baseline"/>
        </w:rPr>
        <w:t> </w:t>
      </w:r>
      <w:r>
        <w:rPr>
          <w:rFonts w:ascii="Calibri"/>
          <w:sz w:val="20"/>
          <w:vertAlign w:val="baseline"/>
        </w:rPr>
        <w:t>The</w:t>
      </w:r>
      <w:r>
        <w:rPr>
          <w:rFonts w:ascii="Calibri"/>
          <w:spacing w:val="-8"/>
          <w:sz w:val="20"/>
          <w:vertAlign w:val="baseline"/>
        </w:rPr>
        <w:t> </w:t>
      </w:r>
      <w:r>
        <w:rPr>
          <w:rFonts w:ascii="Calibri"/>
          <w:sz w:val="20"/>
          <w:vertAlign w:val="baseline"/>
        </w:rPr>
        <w:t>Law</w:t>
      </w:r>
      <w:r>
        <w:rPr>
          <w:rFonts w:ascii="Calibri"/>
          <w:spacing w:val="-7"/>
          <w:sz w:val="20"/>
          <w:vertAlign w:val="baseline"/>
        </w:rPr>
        <w:t> </w:t>
      </w:r>
      <w:r>
        <w:rPr>
          <w:rFonts w:ascii="Calibri"/>
          <w:sz w:val="20"/>
          <w:vertAlign w:val="baseline"/>
        </w:rPr>
        <w:t>of</w:t>
      </w:r>
      <w:r>
        <w:rPr>
          <w:rFonts w:ascii="Calibri"/>
          <w:spacing w:val="-9"/>
          <w:sz w:val="20"/>
          <w:vertAlign w:val="baseline"/>
        </w:rPr>
        <w:t> </w:t>
      </w:r>
      <w:r>
        <w:rPr>
          <w:rFonts w:ascii="Calibri"/>
          <w:sz w:val="20"/>
          <w:vertAlign w:val="baseline"/>
        </w:rPr>
        <w:t>Oil</w:t>
      </w:r>
      <w:r>
        <w:rPr>
          <w:rFonts w:ascii="Calibri"/>
          <w:spacing w:val="-7"/>
          <w:sz w:val="20"/>
          <w:vertAlign w:val="baseline"/>
        </w:rPr>
        <w:t> </w:t>
      </w:r>
      <w:r>
        <w:rPr>
          <w:rFonts w:ascii="Calibri"/>
          <w:sz w:val="20"/>
          <w:vertAlign w:val="baseline"/>
        </w:rPr>
        <w:t>Pollution</w:t>
      </w:r>
      <w:r>
        <w:rPr>
          <w:rFonts w:ascii="Calibri"/>
          <w:spacing w:val="-7"/>
          <w:sz w:val="20"/>
          <w:vertAlign w:val="baseline"/>
        </w:rPr>
        <w:t> </w:t>
      </w:r>
      <w:r>
        <w:rPr>
          <w:rFonts w:ascii="Calibri"/>
          <w:sz w:val="20"/>
          <w:vertAlign w:val="baseline"/>
        </w:rPr>
        <w:t>and</w:t>
      </w:r>
      <w:r>
        <w:rPr>
          <w:rFonts w:ascii="Calibri"/>
          <w:spacing w:val="-7"/>
          <w:sz w:val="20"/>
          <w:vertAlign w:val="baseline"/>
        </w:rPr>
        <w:t> </w:t>
      </w:r>
      <w:r>
        <w:rPr>
          <w:rFonts w:ascii="Calibri"/>
          <w:sz w:val="20"/>
          <w:vertAlign w:val="baseline"/>
        </w:rPr>
        <w:t>Environmental</w:t>
      </w:r>
      <w:r>
        <w:rPr>
          <w:rFonts w:ascii="Calibri"/>
          <w:spacing w:val="-7"/>
          <w:sz w:val="20"/>
          <w:vertAlign w:val="baseline"/>
        </w:rPr>
        <w:t> </w:t>
      </w:r>
      <w:r>
        <w:rPr>
          <w:rFonts w:ascii="Calibri"/>
          <w:sz w:val="20"/>
          <w:vertAlign w:val="baseline"/>
        </w:rPr>
        <w:t>Restoration.</w:t>
      </w:r>
      <w:r>
        <w:rPr>
          <w:rFonts w:ascii="Calibri"/>
          <w:spacing w:val="-7"/>
          <w:sz w:val="20"/>
          <w:vertAlign w:val="baseline"/>
        </w:rPr>
        <w:t> </w:t>
      </w:r>
      <w:r>
        <w:rPr>
          <w:rFonts w:ascii="Calibri"/>
          <w:sz w:val="20"/>
          <w:vertAlign w:val="baseline"/>
        </w:rPr>
        <w:t>Odadu</w:t>
      </w:r>
      <w:r>
        <w:rPr>
          <w:rFonts w:ascii="Calibri"/>
          <w:spacing w:val="-7"/>
          <w:sz w:val="20"/>
          <w:vertAlign w:val="baseline"/>
        </w:rPr>
        <w:t> </w:t>
      </w:r>
      <w:r>
        <w:rPr>
          <w:rFonts w:ascii="Calibri"/>
          <w:sz w:val="20"/>
          <w:vertAlign w:val="baseline"/>
        </w:rPr>
        <w:t>Publishers,</w:t>
      </w:r>
      <w:r>
        <w:rPr>
          <w:rFonts w:ascii="Calibri"/>
          <w:spacing w:val="-7"/>
          <w:sz w:val="20"/>
          <w:vertAlign w:val="baseline"/>
        </w:rPr>
        <w:t> </w:t>
      </w:r>
      <w:r>
        <w:rPr>
          <w:rFonts w:ascii="Calibri"/>
          <w:spacing w:val="-2"/>
          <w:sz w:val="20"/>
          <w:vertAlign w:val="baseline"/>
        </w:rPr>
        <w:t>Lagos.</w:t>
      </w:r>
    </w:p>
    <w:p>
      <w:pPr>
        <w:spacing w:after="0" w:line="243" w:lineRule="exact"/>
        <w:jc w:val="left"/>
        <w:rPr>
          <w:rFonts w:ascii="Calibri"/>
          <w:sz w:val="20"/>
        </w:rPr>
        <w:sectPr>
          <w:pgSz w:w="11910" w:h="16840"/>
          <w:pgMar w:header="0" w:footer="1000" w:top="1340" w:bottom="1200" w:left="1080" w:right="1280"/>
        </w:sectPr>
      </w:pPr>
    </w:p>
    <w:p>
      <w:pPr>
        <w:pStyle w:val="BodyText"/>
        <w:spacing w:line="480" w:lineRule="auto" w:before="74"/>
        <w:ind w:left="360" w:right="156"/>
        <w:jc w:val="both"/>
      </w:pPr>
      <w:r>
        <w:rPr/>
        <w:t>profitable trees</w:t>
      </w:r>
      <w:r>
        <w:rPr>
          <w:spacing w:val="22"/>
        </w:rPr>
        <w:t> </w:t>
      </w:r>
      <w:r>
        <w:rPr/>
        <w:t>or</w:t>
      </w:r>
      <w:r>
        <w:rPr>
          <w:spacing w:val="21"/>
        </w:rPr>
        <w:t> </w:t>
      </w:r>
      <w:r>
        <w:rPr/>
        <w:t>crops,</w:t>
      </w:r>
      <w:r>
        <w:rPr>
          <w:spacing w:val="20"/>
        </w:rPr>
        <w:t> </w:t>
      </w:r>
      <w:r>
        <w:rPr/>
        <w:t>disturbance,</w:t>
      </w:r>
      <w:r>
        <w:rPr>
          <w:spacing w:val="22"/>
        </w:rPr>
        <w:t> </w:t>
      </w:r>
      <w:r>
        <w:rPr/>
        <w:t>or damage suffered</w:t>
      </w:r>
      <w:r>
        <w:rPr>
          <w:spacing w:val="22"/>
        </w:rPr>
        <w:t> </w:t>
      </w:r>
      <w:r>
        <w:rPr/>
        <w:t>by reason</w:t>
      </w:r>
      <w:r>
        <w:rPr>
          <w:spacing w:val="22"/>
        </w:rPr>
        <w:t> </w:t>
      </w:r>
      <w:r>
        <w:rPr/>
        <w:t>of</w:t>
      </w:r>
      <w:r>
        <w:rPr>
          <w:spacing w:val="21"/>
        </w:rPr>
        <w:t> </w:t>
      </w:r>
      <w:r>
        <w:rPr/>
        <w:t>or as</w:t>
      </w:r>
      <w:r>
        <w:rPr>
          <w:spacing w:val="22"/>
        </w:rPr>
        <w:t> </w:t>
      </w:r>
      <w:r>
        <w:rPr/>
        <w:t>a consequence of a</w:t>
      </w:r>
      <w:r>
        <w:rPr>
          <w:spacing w:val="-1"/>
        </w:rPr>
        <w:t> </w:t>
      </w:r>
      <w:r>
        <w:rPr/>
        <w:t>holder's negligence, but also for</w:t>
      </w:r>
      <w:r>
        <w:rPr>
          <w:spacing w:val="-2"/>
        </w:rPr>
        <w:t> </w:t>
      </w:r>
      <w:r>
        <w:rPr/>
        <w:t>loss</w:t>
      </w:r>
      <w:r>
        <w:rPr>
          <w:spacing w:val="-2"/>
        </w:rPr>
        <w:t> </w:t>
      </w:r>
      <w:r>
        <w:rPr/>
        <w:t>in value</w:t>
      </w:r>
      <w:r>
        <w:rPr>
          <w:spacing w:val="-2"/>
        </w:rPr>
        <w:t> </w:t>
      </w:r>
      <w:r>
        <w:rPr/>
        <w:t>of</w:t>
      </w:r>
      <w:r>
        <w:rPr>
          <w:spacing w:val="-2"/>
        </w:rPr>
        <w:t> </w:t>
      </w:r>
      <w:r>
        <w:rPr/>
        <w:t>the</w:t>
      </w:r>
      <w:r>
        <w:rPr>
          <w:spacing w:val="-1"/>
        </w:rPr>
        <w:t> </w:t>
      </w:r>
      <w:r>
        <w:rPr/>
        <w:t>land</w:t>
      </w:r>
      <w:r>
        <w:rPr>
          <w:spacing w:val="-1"/>
        </w:rPr>
        <w:t> </w:t>
      </w:r>
      <w:r>
        <w:rPr/>
        <w:t>or</w:t>
      </w:r>
      <w:r>
        <w:rPr>
          <w:spacing w:val="-1"/>
        </w:rPr>
        <w:t> </w:t>
      </w:r>
      <w:r>
        <w:rPr/>
        <w:t>interests in</w:t>
      </w:r>
      <w:r>
        <w:rPr>
          <w:spacing w:val="-2"/>
        </w:rPr>
        <w:t> </w:t>
      </w:r>
      <w:r>
        <w:rPr/>
        <w:t>land.</w:t>
      </w:r>
      <w:r>
        <w:rPr>
          <w:spacing w:val="-1"/>
        </w:rPr>
        <w:t> </w:t>
      </w:r>
      <w:r>
        <w:rPr/>
        <w:t>The grant of a licence is also deemed to include among others a condition to indemnify the Minister against any claims arising from injury to any person or damage to any public or private property as a result of any act or thing done by the holder of the</w:t>
      </w:r>
      <w:r>
        <w:rPr>
          <w:spacing w:val="40"/>
        </w:rPr>
        <w:t> </w:t>
      </w:r>
      <w:r>
        <w:rPr/>
        <w:t>licence or his agents, servants</w:t>
      </w:r>
      <w:r>
        <w:rPr>
          <w:spacing w:val="29"/>
        </w:rPr>
        <w:t> </w:t>
      </w:r>
      <w:r>
        <w:rPr/>
        <w:t>or</w:t>
      </w:r>
      <w:r>
        <w:rPr>
          <w:spacing w:val="32"/>
        </w:rPr>
        <w:t> </w:t>
      </w:r>
      <w:r>
        <w:rPr/>
        <w:t>workmen</w:t>
      </w:r>
      <w:r>
        <w:rPr>
          <w:spacing w:val="27"/>
        </w:rPr>
        <w:t> </w:t>
      </w:r>
      <w:r>
        <w:rPr/>
        <w:t>in</w:t>
      </w:r>
      <w:r>
        <w:rPr>
          <w:spacing w:val="27"/>
        </w:rPr>
        <w:t> </w:t>
      </w:r>
      <w:r>
        <w:rPr/>
        <w:t>accordance</w:t>
      </w:r>
      <w:r>
        <w:rPr>
          <w:spacing w:val="28"/>
        </w:rPr>
        <w:t> </w:t>
      </w:r>
      <w:r>
        <w:rPr/>
        <w:t>with</w:t>
      </w:r>
      <w:r>
        <w:rPr>
          <w:spacing w:val="29"/>
        </w:rPr>
        <w:t> </w:t>
      </w:r>
      <w:r>
        <w:rPr/>
        <w:t>the</w:t>
      </w:r>
      <w:r>
        <w:rPr>
          <w:spacing w:val="28"/>
        </w:rPr>
        <w:t> </w:t>
      </w:r>
      <w:r>
        <w:rPr/>
        <w:t>licence.</w:t>
      </w:r>
      <w:r>
        <w:rPr>
          <w:vertAlign w:val="superscript"/>
        </w:rPr>
        <w:t>15</w:t>
      </w:r>
      <w:r>
        <w:rPr>
          <w:spacing w:val="19"/>
          <w:vertAlign w:val="baseline"/>
        </w:rPr>
        <w:t> </w:t>
      </w:r>
      <w:r>
        <w:rPr>
          <w:vertAlign w:val="baseline"/>
        </w:rPr>
        <w:t>The</w:t>
      </w:r>
      <w:r>
        <w:rPr>
          <w:spacing w:val="29"/>
          <w:vertAlign w:val="baseline"/>
        </w:rPr>
        <w:t> </w:t>
      </w:r>
      <w:r>
        <w:rPr>
          <w:vertAlign w:val="baseline"/>
        </w:rPr>
        <w:t>problem,</w:t>
      </w:r>
      <w:r>
        <w:rPr>
          <w:spacing w:val="40"/>
          <w:vertAlign w:val="baseline"/>
        </w:rPr>
        <w:t> </w:t>
      </w:r>
      <w:r>
        <w:rPr>
          <w:vertAlign w:val="baseline"/>
        </w:rPr>
        <w:t>however,</w:t>
      </w:r>
      <w:r>
        <w:rPr>
          <w:spacing w:val="40"/>
          <w:vertAlign w:val="baseline"/>
        </w:rPr>
        <w:t> </w:t>
      </w:r>
      <w:r>
        <w:rPr>
          <w:vertAlign w:val="baseline"/>
        </w:rPr>
        <w:t>is</w:t>
      </w:r>
      <w:r>
        <w:rPr>
          <w:spacing w:val="40"/>
          <w:vertAlign w:val="baseline"/>
        </w:rPr>
        <w:t> </w:t>
      </w:r>
      <w:r>
        <w:rPr>
          <w:vertAlign w:val="baseline"/>
        </w:rPr>
        <w:t>the</w:t>
      </w:r>
      <w:r>
        <w:rPr>
          <w:spacing w:val="40"/>
          <w:vertAlign w:val="baseline"/>
        </w:rPr>
        <w:t> </w:t>
      </w:r>
      <w:r>
        <w:rPr>
          <w:vertAlign w:val="baseline"/>
        </w:rPr>
        <w:t>faith in</w:t>
      </w:r>
      <w:r>
        <w:rPr>
          <w:spacing w:val="40"/>
          <w:vertAlign w:val="baseline"/>
        </w:rPr>
        <w:t> </w:t>
      </w:r>
      <w:r>
        <w:rPr>
          <w:vertAlign w:val="baseline"/>
        </w:rPr>
        <w:t>and</w:t>
      </w:r>
      <w:r>
        <w:rPr>
          <w:spacing w:val="40"/>
          <w:vertAlign w:val="baseline"/>
        </w:rPr>
        <w:t> </w:t>
      </w:r>
      <w:r>
        <w:rPr>
          <w:vertAlign w:val="baseline"/>
        </w:rPr>
        <w:t>the</w:t>
      </w:r>
      <w:r>
        <w:rPr>
          <w:spacing w:val="40"/>
          <w:vertAlign w:val="baseline"/>
        </w:rPr>
        <w:t> </w:t>
      </w:r>
      <w:r>
        <w:rPr>
          <w:vertAlign w:val="baseline"/>
        </w:rPr>
        <w:t>assumption</w:t>
      </w:r>
      <w:r>
        <w:rPr>
          <w:spacing w:val="40"/>
          <w:vertAlign w:val="baseline"/>
        </w:rPr>
        <w:t> </w:t>
      </w:r>
      <w:r>
        <w:rPr>
          <w:vertAlign w:val="baseline"/>
        </w:rPr>
        <w:t>that</w:t>
      </w:r>
      <w:r>
        <w:rPr>
          <w:spacing w:val="40"/>
          <w:vertAlign w:val="baseline"/>
        </w:rPr>
        <w:t> </w:t>
      </w:r>
      <w:r>
        <w:rPr>
          <w:vertAlign w:val="baseline"/>
        </w:rPr>
        <w:t>man</w:t>
      </w:r>
      <w:r>
        <w:rPr>
          <w:spacing w:val="40"/>
          <w:vertAlign w:val="baseline"/>
        </w:rPr>
        <w:t> </w:t>
      </w:r>
      <w:r>
        <w:rPr>
          <w:vertAlign w:val="baseline"/>
        </w:rPr>
        <w:t>is</w:t>
      </w:r>
      <w:r>
        <w:rPr>
          <w:spacing w:val="40"/>
          <w:vertAlign w:val="baseline"/>
        </w:rPr>
        <w:t> </w:t>
      </w:r>
      <w:r>
        <w:rPr>
          <w:vertAlign w:val="baseline"/>
        </w:rPr>
        <w:t>capable</w:t>
      </w:r>
      <w:r>
        <w:rPr>
          <w:spacing w:val="40"/>
          <w:vertAlign w:val="baseline"/>
        </w:rPr>
        <w:t> </w:t>
      </w:r>
      <w:r>
        <w:rPr>
          <w:vertAlign w:val="baseline"/>
        </w:rPr>
        <w:t>of</w:t>
      </w:r>
      <w:r>
        <w:rPr>
          <w:spacing w:val="40"/>
          <w:vertAlign w:val="baseline"/>
        </w:rPr>
        <w:t> </w:t>
      </w:r>
      <w:r>
        <w:rPr>
          <w:vertAlign w:val="baseline"/>
        </w:rPr>
        <w:t>fulfilling</w:t>
      </w:r>
      <w:r>
        <w:rPr>
          <w:spacing w:val="40"/>
          <w:vertAlign w:val="baseline"/>
        </w:rPr>
        <w:t> </w:t>
      </w:r>
      <w:r>
        <w:rPr>
          <w:vertAlign w:val="baseline"/>
        </w:rPr>
        <w:t>his</w:t>
      </w:r>
      <w:r>
        <w:rPr>
          <w:spacing w:val="40"/>
          <w:vertAlign w:val="baseline"/>
        </w:rPr>
        <w:t> </w:t>
      </w:r>
      <w:r>
        <w:rPr>
          <w:vertAlign w:val="baseline"/>
        </w:rPr>
        <w:t>responsibilities</w:t>
      </w:r>
      <w:r>
        <w:rPr>
          <w:spacing w:val="40"/>
          <w:vertAlign w:val="baseline"/>
        </w:rPr>
        <w:t> </w:t>
      </w:r>
      <w:r>
        <w:rPr>
          <w:vertAlign w:val="baseline"/>
        </w:rPr>
        <w:t>towards</w:t>
      </w:r>
      <w:r>
        <w:rPr>
          <w:spacing w:val="80"/>
          <w:w w:val="150"/>
          <w:vertAlign w:val="baseline"/>
        </w:rPr>
        <w:t> </w:t>
      </w:r>
      <w:r>
        <w:rPr>
          <w:vertAlign w:val="baseline"/>
        </w:rPr>
        <w:t>nature</w:t>
      </w:r>
      <w:r>
        <w:rPr>
          <w:spacing w:val="40"/>
          <w:vertAlign w:val="baseline"/>
        </w:rPr>
        <w:t> </w:t>
      </w:r>
      <w:r>
        <w:rPr>
          <w:vertAlign w:val="baseline"/>
        </w:rPr>
        <w:t>without</w:t>
      </w:r>
      <w:r>
        <w:rPr>
          <w:spacing w:val="40"/>
          <w:vertAlign w:val="baseline"/>
        </w:rPr>
        <w:t> </w:t>
      </w:r>
      <w:r>
        <w:rPr>
          <w:vertAlign w:val="baseline"/>
        </w:rPr>
        <w:t>much</w:t>
      </w:r>
      <w:r>
        <w:rPr>
          <w:spacing w:val="40"/>
          <w:vertAlign w:val="baseline"/>
        </w:rPr>
        <w:t> </w:t>
      </w:r>
      <w:r>
        <w:rPr>
          <w:vertAlign w:val="baseline"/>
        </w:rPr>
        <w:t>prompting.</w:t>
      </w:r>
      <w:r>
        <w:rPr>
          <w:spacing w:val="40"/>
          <w:vertAlign w:val="baseline"/>
        </w:rPr>
        <w:t> </w:t>
      </w:r>
      <w:r>
        <w:rPr>
          <w:vertAlign w:val="baseline"/>
        </w:rPr>
        <w:t>Thus,</w:t>
      </w:r>
      <w:r>
        <w:rPr>
          <w:spacing w:val="40"/>
          <w:vertAlign w:val="baseline"/>
        </w:rPr>
        <w:t> </w:t>
      </w:r>
      <w:r>
        <w:rPr>
          <w:vertAlign w:val="baseline"/>
        </w:rPr>
        <w:t>aprovision</w:t>
      </w:r>
      <w:r>
        <w:rPr>
          <w:spacing w:val="40"/>
          <w:vertAlign w:val="baseline"/>
        </w:rPr>
        <w:t> </w:t>
      </w:r>
      <w:r>
        <w:rPr>
          <w:vertAlign w:val="baseline"/>
        </w:rPr>
        <w:t>like</w:t>
      </w:r>
      <w:r>
        <w:rPr>
          <w:spacing w:val="40"/>
          <w:vertAlign w:val="baseline"/>
        </w:rPr>
        <w:t> </w:t>
      </w:r>
      <w:r>
        <w:rPr>
          <w:vertAlign w:val="baseline"/>
        </w:rPr>
        <w:t>section</w:t>
      </w:r>
      <w:r>
        <w:rPr>
          <w:spacing w:val="40"/>
          <w:vertAlign w:val="baseline"/>
        </w:rPr>
        <w:t> </w:t>
      </w:r>
      <w:r>
        <w:rPr>
          <w:vertAlign w:val="baseline"/>
        </w:rPr>
        <w:t>21</w:t>
      </w:r>
      <w:r>
        <w:rPr>
          <w:spacing w:val="40"/>
          <w:vertAlign w:val="baseline"/>
        </w:rPr>
        <w:t> </w:t>
      </w:r>
      <w:r>
        <w:rPr>
          <w:vertAlign w:val="baseline"/>
        </w:rPr>
        <w:t>of</w:t>
      </w:r>
      <w:r>
        <w:rPr>
          <w:spacing w:val="40"/>
          <w:vertAlign w:val="baseline"/>
        </w:rPr>
        <w:t> </w:t>
      </w:r>
      <w:r>
        <w:rPr>
          <w:vertAlign w:val="baseline"/>
        </w:rPr>
        <w:t>the</w:t>
      </w:r>
      <w:r>
        <w:rPr>
          <w:spacing w:val="40"/>
          <w:vertAlign w:val="baseline"/>
        </w:rPr>
        <w:t> </w:t>
      </w:r>
      <w:r>
        <w:rPr>
          <w:vertAlign w:val="baseline"/>
        </w:rPr>
        <w:t>Act</w:t>
      </w:r>
      <w:r>
        <w:rPr>
          <w:vertAlign w:val="superscript"/>
        </w:rPr>
        <w:t>16</w:t>
      </w:r>
      <w:r>
        <w:rPr>
          <w:vertAlign w:val="baseline"/>
        </w:rPr>
        <w:t> which provides</w:t>
      </w:r>
      <w:r>
        <w:rPr>
          <w:spacing w:val="40"/>
          <w:vertAlign w:val="baseline"/>
        </w:rPr>
        <w:t> </w:t>
      </w:r>
      <w:r>
        <w:rPr>
          <w:vertAlign w:val="baseline"/>
        </w:rPr>
        <w:t>that</w:t>
      </w:r>
      <w:r>
        <w:rPr>
          <w:spacing w:val="40"/>
          <w:vertAlign w:val="baseline"/>
        </w:rPr>
        <w:t> </w:t>
      </w:r>
      <w:r>
        <w:rPr>
          <w:vertAlign w:val="baseline"/>
        </w:rPr>
        <w:t>where</w:t>
      </w:r>
      <w:r>
        <w:rPr>
          <w:spacing w:val="40"/>
          <w:vertAlign w:val="baseline"/>
        </w:rPr>
        <w:t> </w:t>
      </w:r>
      <w:r>
        <w:rPr>
          <w:vertAlign w:val="baseline"/>
        </w:rPr>
        <w:t>the</w:t>
      </w:r>
      <w:r>
        <w:rPr>
          <w:spacing w:val="40"/>
          <w:vertAlign w:val="baseline"/>
        </w:rPr>
        <w:t> </w:t>
      </w:r>
      <w:r>
        <w:rPr>
          <w:vertAlign w:val="baseline"/>
        </w:rPr>
        <w:t>interest</w:t>
      </w:r>
      <w:r>
        <w:rPr>
          <w:spacing w:val="40"/>
          <w:vertAlign w:val="baseline"/>
        </w:rPr>
        <w:t> </w:t>
      </w:r>
      <w:r>
        <w:rPr>
          <w:vertAlign w:val="baseline"/>
        </w:rPr>
        <w:t>injuriously affected</w:t>
      </w:r>
      <w:r>
        <w:rPr>
          <w:spacing w:val="40"/>
          <w:vertAlign w:val="baseline"/>
        </w:rPr>
        <w:t> </w:t>
      </w:r>
      <w:r>
        <w:rPr>
          <w:vertAlign w:val="baseline"/>
        </w:rPr>
        <w:t>are those of</w:t>
      </w:r>
      <w:r>
        <w:rPr>
          <w:spacing w:val="40"/>
          <w:vertAlign w:val="baseline"/>
        </w:rPr>
        <w:t> </w:t>
      </w:r>
      <w:r>
        <w:rPr>
          <w:vertAlign w:val="baseline"/>
        </w:rPr>
        <w:t>a local</w:t>
      </w:r>
      <w:r>
        <w:rPr>
          <w:spacing w:val="40"/>
          <w:vertAlign w:val="baseline"/>
        </w:rPr>
        <w:t> </w:t>
      </w:r>
      <w:r>
        <w:rPr>
          <w:vertAlign w:val="baseline"/>
        </w:rPr>
        <w:t>community,</w:t>
      </w:r>
      <w:r>
        <w:rPr>
          <w:spacing w:val="40"/>
          <w:vertAlign w:val="baseline"/>
        </w:rPr>
        <w:t> </w:t>
      </w:r>
      <w:r>
        <w:rPr>
          <w:vertAlign w:val="baseline"/>
        </w:rPr>
        <w:t>the court may order the compensation to be paid to any chief, headman or member of that community</w:t>
      </w:r>
      <w:r>
        <w:rPr>
          <w:spacing w:val="25"/>
          <w:vertAlign w:val="baseline"/>
        </w:rPr>
        <w:t> </w:t>
      </w:r>
      <w:r>
        <w:rPr>
          <w:vertAlign w:val="baseline"/>
        </w:rPr>
        <w:t>on</w:t>
      </w:r>
      <w:r>
        <w:rPr>
          <w:spacing w:val="30"/>
          <w:vertAlign w:val="baseline"/>
        </w:rPr>
        <w:t> </w:t>
      </w:r>
      <w:r>
        <w:rPr>
          <w:vertAlign w:val="baseline"/>
        </w:rPr>
        <w:t>behalf</w:t>
      </w:r>
      <w:r>
        <w:rPr>
          <w:spacing w:val="38"/>
          <w:vertAlign w:val="baseline"/>
        </w:rPr>
        <w:t> </w:t>
      </w:r>
      <w:r>
        <w:rPr>
          <w:vertAlign w:val="baseline"/>
        </w:rPr>
        <w:t>of</w:t>
      </w:r>
      <w:r>
        <w:rPr>
          <w:spacing w:val="36"/>
          <w:vertAlign w:val="baseline"/>
        </w:rPr>
        <w:t> </w:t>
      </w:r>
      <w:r>
        <w:rPr>
          <w:vertAlign w:val="baseline"/>
        </w:rPr>
        <w:t>such</w:t>
      </w:r>
      <w:r>
        <w:rPr>
          <w:spacing w:val="40"/>
          <w:vertAlign w:val="baseline"/>
        </w:rPr>
        <w:t> </w:t>
      </w:r>
      <w:r>
        <w:rPr>
          <w:vertAlign w:val="baseline"/>
        </w:rPr>
        <w:t>community</w:t>
      </w:r>
      <w:r>
        <w:rPr>
          <w:spacing w:val="34"/>
          <w:vertAlign w:val="baseline"/>
        </w:rPr>
        <w:t> </w:t>
      </w:r>
      <w:r>
        <w:rPr>
          <w:vertAlign w:val="baseline"/>
        </w:rPr>
        <w:t>or</w:t>
      </w:r>
      <w:r>
        <w:rPr>
          <w:spacing w:val="36"/>
          <w:vertAlign w:val="baseline"/>
        </w:rPr>
        <w:t> </w:t>
      </w:r>
      <w:r>
        <w:rPr>
          <w:vertAlign w:val="baseline"/>
        </w:rPr>
        <w:t>that</w:t>
      </w:r>
      <w:r>
        <w:rPr>
          <w:spacing w:val="40"/>
          <w:vertAlign w:val="baseline"/>
        </w:rPr>
        <w:t> </w:t>
      </w:r>
      <w:r>
        <w:rPr>
          <w:vertAlign w:val="baseline"/>
        </w:rPr>
        <w:t>it</w:t>
      </w:r>
      <w:r>
        <w:rPr>
          <w:spacing w:val="40"/>
          <w:vertAlign w:val="baseline"/>
        </w:rPr>
        <w:t> </w:t>
      </w:r>
      <w:r>
        <w:rPr>
          <w:vertAlign w:val="baseline"/>
        </w:rPr>
        <w:t>be</w:t>
      </w:r>
      <w:r>
        <w:rPr>
          <w:spacing w:val="38"/>
          <w:vertAlign w:val="baseline"/>
        </w:rPr>
        <w:t> </w:t>
      </w:r>
      <w:r>
        <w:rPr>
          <w:vertAlign w:val="baseline"/>
        </w:rPr>
        <w:t>paid</w:t>
      </w:r>
      <w:r>
        <w:rPr>
          <w:spacing w:val="37"/>
          <w:vertAlign w:val="baseline"/>
        </w:rPr>
        <w:t> </w:t>
      </w:r>
      <w:r>
        <w:rPr>
          <w:vertAlign w:val="baseline"/>
        </w:rPr>
        <w:t>in</w:t>
      </w:r>
      <w:r>
        <w:rPr>
          <w:spacing w:val="37"/>
          <w:vertAlign w:val="baseline"/>
        </w:rPr>
        <w:t> </w:t>
      </w:r>
      <w:r>
        <w:rPr>
          <w:vertAlign w:val="baseline"/>
        </w:rPr>
        <w:t>accordance</w:t>
      </w:r>
      <w:r>
        <w:rPr>
          <w:spacing w:val="40"/>
          <w:vertAlign w:val="baseline"/>
        </w:rPr>
        <w:t> </w:t>
      </w:r>
      <w:r>
        <w:rPr>
          <w:vertAlign w:val="baseline"/>
        </w:rPr>
        <w:t>with</w:t>
      </w:r>
      <w:r>
        <w:rPr>
          <w:spacing w:val="40"/>
          <w:vertAlign w:val="baseline"/>
        </w:rPr>
        <w:t> </w:t>
      </w:r>
      <w:r>
        <w:rPr>
          <w:vertAlign w:val="baseline"/>
        </w:rPr>
        <w:t>a</w:t>
      </w:r>
      <w:r>
        <w:rPr>
          <w:spacing w:val="36"/>
          <w:vertAlign w:val="baseline"/>
        </w:rPr>
        <w:t> </w:t>
      </w:r>
      <w:r>
        <w:rPr>
          <w:vertAlign w:val="baseline"/>
        </w:rPr>
        <w:t>scheme of distribution approved by the court or that it be paid into a fund administered by a </w:t>
      </w:r>
      <w:r>
        <w:rPr>
          <w:spacing w:val="9"/>
          <w:vertAlign w:val="baseline"/>
        </w:rPr>
        <w:t>person approved</w:t>
      </w:r>
      <w:r>
        <w:rPr>
          <w:spacing w:val="40"/>
          <w:vertAlign w:val="baseline"/>
        </w:rPr>
        <w:t> </w:t>
      </w:r>
      <w:r>
        <w:rPr>
          <w:vertAlign w:val="baseline"/>
        </w:rPr>
        <w:t>by</w:t>
      </w:r>
      <w:r>
        <w:rPr>
          <w:spacing w:val="40"/>
          <w:vertAlign w:val="baseline"/>
        </w:rPr>
        <w:t> </w:t>
      </w:r>
      <w:r>
        <w:rPr>
          <w:vertAlign w:val="baseline"/>
        </w:rPr>
        <w:t>the</w:t>
      </w:r>
      <w:r>
        <w:rPr>
          <w:spacing w:val="40"/>
          <w:vertAlign w:val="baseline"/>
        </w:rPr>
        <w:t> </w:t>
      </w:r>
      <w:r>
        <w:rPr>
          <w:vertAlign w:val="baseline"/>
        </w:rPr>
        <w:t>court</w:t>
      </w:r>
      <w:r>
        <w:rPr>
          <w:spacing w:val="40"/>
          <w:vertAlign w:val="baseline"/>
        </w:rPr>
        <w:t> </w:t>
      </w:r>
      <w:r>
        <w:rPr>
          <w:vertAlign w:val="baseline"/>
        </w:rPr>
        <w:t>on</w:t>
      </w:r>
      <w:r>
        <w:rPr>
          <w:spacing w:val="40"/>
          <w:vertAlign w:val="baseline"/>
        </w:rPr>
        <w:t> </w:t>
      </w:r>
      <w:r>
        <w:rPr>
          <w:vertAlign w:val="baseline"/>
        </w:rPr>
        <w:t>trust</w:t>
      </w:r>
      <w:r>
        <w:rPr>
          <w:spacing w:val="40"/>
          <w:vertAlign w:val="baseline"/>
        </w:rPr>
        <w:t> </w:t>
      </w:r>
      <w:r>
        <w:rPr>
          <w:vertAlign w:val="baseline"/>
        </w:rPr>
        <w:t>for</w:t>
      </w:r>
      <w:r>
        <w:rPr>
          <w:spacing w:val="40"/>
          <w:vertAlign w:val="baseline"/>
        </w:rPr>
        <w:t> </w:t>
      </w:r>
      <w:r>
        <w:rPr>
          <w:spacing w:val="9"/>
          <w:vertAlign w:val="baseline"/>
        </w:rPr>
        <w:t>application</w:t>
      </w:r>
      <w:r>
        <w:rPr>
          <w:spacing w:val="40"/>
          <w:vertAlign w:val="baseline"/>
        </w:rPr>
        <w:t> </w:t>
      </w:r>
      <w:r>
        <w:rPr>
          <w:vertAlign w:val="baseline"/>
        </w:rPr>
        <w:t>to</w:t>
      </w:r>
      <w:r>
        <w:rPr>
          <w:spacing w:val="40"/>
          <w:vertAlign w:val="baseline"/>
        </w:rPr>
        <w:t> </w:t>
      </w:r>
      <w:r>
        <w:rPr>
          <w:vertAlign w:val="baseline"/>
        </w:rPr>
        <w:t>the</w:t>
      </w:r>
      <w:r>
        <w:rPr>
          <w:spacing w:val="40"/>
          <w:vertAlign w:val="baseline"/>
        </w:rPr>
        <w:t> </w:t>
      </w:r>
      <w:r>
        <w:rPr>
          <w:vertAlign w:val="baseline"/>
        </w:rPr>
        <w:t>general,</w:t>
      </w:r>
      <w:r>
        <w:rPr>
          <w:spacing w:val="40"/>
          <w:vertAlign w:val="baseline"/>
        </w:rPr>
        <w:t> </w:t>
      </w:r>
      <w:r>
        <w:rPr>
          <w:vertAlign w:val="baseline"/>
        </w:rPr>
        <w:t>social</w:t>
      </w:r>
      <w:r>
        <w:rPr>
          <w:spacing w:val="40"/>
          <w:vertAlign w:val="baseline"/>
        </w:rPr>
        <w:t> </w:t>
      </w:r>
      <w:r>
        <w:rPr>
          <w:vertAlign w:val="baseline"/>
        </w:rPr>
        <w:t>or</w:t>
      </w:r>
      <w:r>
        <w:rPr>
          <w:spacing w:val="40"/>
          <w:vertAlign w:val="baseline"/>
        </w:rPr>
        <w:t> </w:t>
      </w:r>
      <w:r>
        <w:rPr>
          <w:vertAlign w:val="baseline"/>
        </w:rPr>
        <w:t>educational benefit and advancement of that community or any section thereof.</w:t>
      </w:r>
      <w:r>
        <w:rPr>
          <w:spacing w:val="-15"/>
          <w:vertAlign w:val="baseline"/>
        </w:rPr>
        <w:t> </w:t>
      </w:r>
      <w:r>
        <w:rPr>
          <w:vertAlign w:val="superscript"/>
        </w:rPr>
        <w:t>17</w:t>
      </w:r>
      <w:r>
        <w:rPr>
          <w:vertAlign w:val="baseline"/>
        </w:rPr>
        <w:t> The above approach,</w:t>
      </w:r>
      <w:r>
        <w:rPr>
          <w:spacing w:val="40"/>
          <w:vertAlign w:val="baseline"/>
        </w:rPr>
        <w:t> </w:t>
      </w:r>
      <w:r>
        <w:rPr>
          <w:vertAlign w:val="baseline"/>
        </w:rPr>
        <w:t>for</w:t>
      </w:r>
      <w:r>
        <w:rPr>
          <w:spacing w:val="40"/>
          <w:vertAlign w:val="baseline"/>
        </w:rPr>
        <w:t> </w:t>
      </w:r>
      <w:r>
        <w:rPr>
          <w:vertAlign w:val="baseline"/>
        </w:rPr>
        <w:t>failing</w:t>
      </w:r>
      <w:r>
        <w:rPr>
          <w:spacing w:val="39"/>
          <w:vertAlign w:val="baseline"/>
        </w:rPr>
        <w:t> </w:t>
      </w:r>
      <w:r>
        <w:rPr>
          <w:vertAlign w:val="baseline"/>
        </w:rPr>
        <w:t>to</w:t>
      </w:r>
      <w:r>
        <w:rPr>
          <w:spacing w:val="40"/>
          <w:vertAlign w:val="baseline"/>
        </w:rPr>
        <w:t> </w:t>
      </w:r>
      <w:r>
        <w:rPr>
          <w:vertAlign w:val="baseline"/>
        </w:rPr>
        <w:t>provide</w:t>
      </w:r>
      <w:r>
        <w:rPr>
          <w:spacing w:val="38"/>
          <w:vertAlign w:val="baseline"/>
        </w:rPr>
        <w:t> </w:t>
      </w:r>
      <w:r>
        <w:rPr>
          <w:vertAlign w:val="baseline"/>
        </w:rPr>
        <w:t>a</w:t>
      </w:r>
      <w:r>
        <w:rPr>
          <w:spacing w:val="40"/>
          <w:vertAlign w:val="baseline"/>
        </w:rPr>
        <w:t> </w:t>
      </w:r>
      <w:r>
        <w:rPr>
          <w:vertAlign w:val="baseline"/>
        </w:rPr>
        <w:t>clear</w:t>
      </w:r>
      <w:r>
        <w:rPr>
          <w:spacing w:val="40"/>
          <w:vertAlign w:val="baseline"/>
        </w:rPr>
        <w:t> </w:t>
      </w:r>
      <w:r>
        <w:rPr>
          <w:vertAlign w:val="baseline"/>
        </w:rPr>
        <w:t>guide</w:t>
      </w:r>
      <w:r>
        <w:rPr>
          <w:spacing w:val="40"/>
          <w:vertAlign w:val="baseline"/>
        </w:rPr>
        <w:t> </w:t>
      </w:r>
      <w:r>
        <w:rPr>
          <w:vertAlign w:val="baseline"/>
        </w:rPr>
        <w:t>as</w:t>
      </w:r>
      <w:r>
        <w:rPr>
          <w:spacing w:val="40"/>
          <w:vertAlign w:val="baseline"/>
        </w:rPr>
        <w:t> </w:t>
      </w:r>
      <w:r>
        <w:rPr>
          <w:vertAlign w:val="baseline"/>
        </w:rPr>
        <w:t>to</w:t>
      </w:r>
      <w:r>
        <w:rPr>
          <w:spacing w:val="39"/>
          <w:vertAlign w:val="baseline"/>
        </w:rPr>
        <w:t> </w:t>
      </w:r>
      <w:r>
        <w:rPr>
          <w:vertAlign w:val="baseline"/>
        </w:rPr>
        <w:t>how</w:t>
      </w:r>
      <w:r>
        <w:rPr>
          <w:spacing w:val="40"/>
          <w:vertAlign w:val="baseline"/>
        </w:rPr>
        <w:t> </w:t>
      </w:r>
      <w:r>
        <w:rPr>
          <w:vertAlign w:val="baseline"/>
        </w:rPr>
        <w:t>compensation</w:t>
      </w:r>
      <w:r>
        <w:rPr>
          <w:spacing w:val="40"/>
          <w:vertAlign w:val="baseline"/>
        </w:rPr>
        <w:t> </w:t>
      </w:r>
      <w:r>
        <w:rPr>
          <w:vertAlign w:val="baseline"/>
        </w:rPr>
        <w:t>received</w:t>
      </w:r>
      <w:r>
        <w:rPr>
          <w:spacing w:val="40"/>
          <w:vertAlign w:val="baseline"/>
        </w:rPr>
        <w:t> </w:t>
      </w:r>
      <w:r>
        <w:rPr>
          <w:vertAlign w:val="baseline"/>
        </w:rPr>
        <w:t>would</w:t>
      </w:r>
      <w:r>
        <w:rPr>
          <w:spacing w:val="40"/>
          <w:vertAlign w:val="baseline"/>
        </w:rPr>
        <w:t> </w:t>
      </w:r>
      <w:r>
        <w:rPr>
          <w:vertAlign w:val="baseline"/>
        </w:rPr>
        <w:t>mandatorily be</w:t>
      </w:r>
      <w:r>
        <w:rPr>
          <w:spacing w:val="40"/>
          <w:vertAlign w:val="baseline"/>
        </w:rPr>
        <w:t> </w:t>
      </w:r>
      <w:r>
        <w:rPr>
          <w:vertAlign w:val="baseline"/>
        </w:rPr>
        <w:t>applied</w:t>
      </w:r>
      <w:r>
        <w:rPr>
          <w:spacing w:val="40"/>
          <w:vertAlign w:val="baseline"/>
        </w:rPr>
        <w:t> </w:t>
      </w:r>
      <w:r>
        <w:rPr>
          <w:vertAlign w:val="baseline"/>
        </w:rPr>
        <w:t>to</w:t>
      </w:r>
      <w:r>
        <w:rPr>
          <w:spacing w:val="40"/>
          <w:vertAlign w:val="baseline"/>
        </w:rPr>
        <w:t> </w:t>
      </w:r>
      <w:r>
        <w:rPr>
          <w:vertAlign w:val="baseline"/>
        </w:rPr>
        <w:t>the</w:t>
      </w:r>
      <w:r>
        <w:rPr>
          <w:spacing w:val="40"/>
          <w:vertAlign w:val="baseline"/>
        </w:rPr>
        <w:t> </w:t>
      </w:r>
      <w:r>
        <w:rPr>
          <w:vertAlign w:val="baseline"/>
        </w:rPr>
        <w:t>respective</w:t>
      </w:r>
      <w:r>
        <w:rPr>
          <w:spacing w:val="40"/>
          <w:vertAlign w:val="baseline"/>
        </w:rPr>
        <w:t> </w:t>
      </w:r>
      <w:r>
        <w:rPr>
          <w:vertAlign w:val="baseline"/>
        </w:rPr>
        <w:t>heads</w:t>
      </w:r>
      <w:r>
        <w:rPr>
          <w:spacing w:val="40"/>
          <w:vertAlign w:val="baseline"/>
        </w:rPr>
        <w:t> </w:t>
      </w:r>
      <w:r>
        <w:rPr>
          <w:vertAlign w:val="baseline"/>
        </w:rPr>
        <w:t>of</w:t>
      </w:r>
      <w:r>
        <w:rPr>
          <w:spacing w:val="40"/>
          <w:vertAlign w:val="baseline"/>
        </w:rPr>
        <w:t> </w:t>
      </w:r>
      <w:r>
        <w:rPr>
          <w:vertAlign w:val="baseline"/>
        </w:rPr>
        <w:t>claim</w:t>
      </w:r>
      <w:r>
        <w:rPr>
          <w:spacing w:val="40"/>
          <w:vertAlign w:val="baseline"/>
        </w:rPr>
        <w:t> </w:t>
      </w:r>
      <w:r>
        <w:rPr>
          <w:vertAlign w:val="baseline"/>
        </w:rPr>
        <w:t>under</w:t>
      </w:r>
      <w:r>
        <w:rPr>
          <w:spacing w:val="40"/>
          <w:vertAlign w:val="baseline"/>
        </w:rPr>
        <w:t> </w:t>
      </w:r>
      <w:r>
        <w:rPr>
          <w:vertAlign w:val="baseline"/>
        </w:rPr>
        <w:t>which</w:t>
      </w:r>
      <w:r>
        <w:rPr>
          <w:spacing w:val="40"/>
          <w:vertAlign w:val="baseline"/>
        </w:rPr>
        <w:t> </w:t>
      </w:r>
      <w:r>
        <w:rPr>
          <w:vertAlign w:val="baseline"/>
        </w:rPr>
        <w:t>it</w:t>
      </w:r>
      <w:r>
        <w:rPr>
          <w:spacing w:val="40"/>
          <w:vertAlign w:val="baseline"/>
        </w:rPr>
        <w:t> </w:t>
      </w:r>
      <w:r>
        <w:rPr>
          <w:vertAlign w:val="baseline"/>
        </w:rPr>
        <w:t>is</w:t>
      </w:r>
      <w:r>
        <w:rPr>
          <w:spacing w:val="40"/>
          <w:vertAlign w:val="baseline"/>
        </w:rPr>
        <w:t> </w:t>
      </w:r>
      <w:r>
        <w:rPr>
          <w:vertAlign w:val="baseline"/>
        </w:rPr>
        <w:t>received</w:t>
      </w:r>
      <w:r>
        <w:rPr>
          <w:spacing w:val="40"/>
          <w:vertAlign w:val="baseline"/>
        </w:rPr>
        <w:t> </w:t>
      </w:r>
      <w:r>
        <w:rPr>
          <w:vertAlign w:val="baseline"/>
        </w:rPr>
        <w:t>is</w:t>
      </w:r>
      <w:r>
        <w:rPr>
          <w:spacing w:val="40"/>
          <w:vertAlign w:val="baseline"/>
        </w:rPr>
        <w:t> </w:t>
      </w:r>
      <w:r>
        <w:rPr>
          <w:vertAlign w:val="baseline"/>
        </w:rPr>
        <w:t>too</w:t>
      </w:r>
      <w:r>
        <w:rPr>
          <w:spacing w:val="40"/>
          <w:vertAlign w:val="baseline"/>
        </w:rPr>
        <w:t> </w:t>
      </w:r>
      <w:r>
        <w:rPr>
          <w:vertAlign w:val="baseline"/>
        </w:rPr>
        <w:t>simplistic an</w:t>
      </w:r>
      <w:r>
        <w:rPr>
          <w:spacing w:val="40"/>
          <w:vertAlign w:val="baseline"/>
        </w:rPr>
        <w:t> </w:t>
      </w:r>
      <w:r>
        <w:rPr>
          <w:vertAlign w:val="baseline"/>
        </w:rPr>
        <w:t>approach</w:t>
      </w:r>
      <w:r>
        <w:rPr>
          <w:spacing w:val="40"/>
          <w:vertAlign w:val="baseline"/>
        </w:rPr>
        <w:t> </w:t>
      </w:r>
      <w:r>
        <w:rPr>
          <w:vertAlign w:val="baseline"/>
        </w:rPr>
        <w:t>to</w:t>
      </w:r>
      <w:r>
        <w:rPr>
          <w:spacing w:val="40"/>
          <w:vertAlign w:val="baseline"/>
        </w:rPr>
        <w:t> </w:t>
      </w:r>
      <w:r>
        <w:rPr>
          <w:vertAlign w:val="baseline"/>
        </w:rPr>
        <w:t>tackle</w:t>
      </w:r>
      <w:r>
        <w:rPr>
          <w:spacing w:val="40"/>
          <w:vertAlign w:val="baseline"/>
        </w:rPr>
        <w:t> </w:t>
      </w:r>
      <w:r>
        <w:rPr>
          <w:vertAlign w:val="baseline"/>
        </w:rPr>
        <w:t>the</w:t>
      </w:r>
      <w:r>
        <w:rPr>
          <w:spacing w:val="40"/>
          <w:vertAlign w:val="baseline"/>
        </w:rPr>
        <w:t> </w:t>
      </w:r>
      <w:r>
        <w:rPr>
          <w:vertAlign w:val="baseline"/>
        </w:rPr>
        <w:t>challenges</w:t>
      </w:r>
      <w:r>
        <w:rPr>
          <w:spacing w:val="40"/>
          <w:vertAlign w:val="baseline"/>
        </w:rPr>
        <w:t> </w:t>
      </w:r>
      <w:r>
        <w:rPr>
          <w:vertAlign w:val="baseline"/>
        </w:rPr>
        <w:t>on</w:t>
      </w:r>
      <w:r>
        <w:rPr>
          <w:spacing w:val="80"/>
          <w:vertAlign w:val="baseline"/>
        </w:rPr>
        <w:t> </w:t>
      </w:r>
      <w:r>
        <w:rPr>
          <w:vertAlign w:val="baseline"/>
        </w:rPr>
        <w:t>ground.</w:t>
      </w:r>
      <w:r>
        <w:rPr>
          <w:spacing w:val="40"/>
          <w:vertAlign w:val="baseline"/>
        </w:rPr>
        <w:t> </w:t>
      </w:r>
      <w:r>
        <w:rPr>
          <w:vertAlign w:val="baseline"/>
        </w:rPr>
        <w:t>To</w:t>
      </w:r>
      <w:r>
        <w:rPr>
          <w:spacing w:val="40"/>
          <w:vertAlign w:val="baseline"/>
        </w:rPr>
        <w:t> </w:t>
      </w:r>
      <w:r>
        <w:rPr>
          <w:vertAlign w:val="baseline"/>
        </w:rPr>
        <w:t>start</w:t>
      </w:r>
      <w:r>
        <w:rPr>
          <w:spacing w:val="40"/>
          <w:vertAlign w:val="baseline"/>
        </w:rPr>
        <w:t> </w:t>
      </w:r>
      <w:r>
        <w:rPr>
          <w:vertAlign w:val="baseline"/>
        </w:rPr>
        <w:t>with,</w:t>
      </w:r>
      <w:r>
        <w:rPr>
          <w:spacing w:val="40"/>
          <w:vertAlign w:val="baseline"/>
        </w:rPr>
        <w:t> </w:t>
      </w:r>
      <w:r>
        <w:rPr>
          <w:vertAlign w:val="baseline"/>
        </w:rPr>
        <w:t>the</w:t>
      </w:r>
      <w:r>
        <w:rPr>
          <w:spacing w:val="80"/>
          <w:vertAlign w:val="baseline"/>
        </w:rPr>
        <w:t> </w:t>
      </w:r>
      <w:r>
        <w:rPr>
          <w:vertAlign w:val="baseline"/>
        </w:rPr>
        <w:t>low</w:t>
      </w:r>
      <w:r>
        <w:rPr>
          <w:spacing w:val="40"/>
          <w:vertAlign w:val="baseline"/>
        </w:rPr>
        <w:t> </w:t>
      </w:r>
      <w:r>
        <w:rPr>
          <w:vertAlign w:val="baseline"/>
        </w:rPr>
        <w:t>standard</w:t>
      </w:r>
      <w:r>
        <w:rPr>
          <w:spacing w:val="40"/>
          <w:vertAlign w:val="baseline"/>
        </w:rPr>
        <w:t> </w:t>
      </w:r>
      <w:r>
        <w:rPr>
          <w:vertAlign w:val="baseline"/>
        </w:rPr>
        <w:t>of living</w:t>
      </w:r>
      <w:r>
        <w:rPr>
          <w:spacing w:val="40"/>
          <w:vertAlign w:val="baseline"/>
        </w:rPr>
        <w:t> </w:t>
      </w:r>
      <w:r>
        <w:rPr>
          <w:vertAlign w:val="baseline"/>
        </w:rPr>
        <w:t>of</w:t>
      </w:r>
      <w:r>
        <w:rPr>
          <w:spacing w:val="40"/>
          <w:vertAlign w:val="baseline"/>
        </w:rPr>
        <w:t> </w:t>
      </w:r>
      <w:r>
        <w:rPr>
          <w:vertAlign w:val="baseline"/>
        </w:rPr>
        <w:t>Nigerians</w:t>
      </w:r>
      <w:r>
        <w:rPr>
          <w:spacing w:val="40"/>
          <w:vertAlign w:val="baseline"/>
        </w:rPr>
        <w:t> </w:t>
      </w:r>
      <w:r>
        <w:rPr>
          <w:vertAlign w:val="baseline"/>
        </w:rPr>
        <w:t>is</w:t>
      </w:r>
      <w:r>
        <w:rPr>
          <w:spacing w:val="40"/>
          <w:vertAlign w:val="baseline"/>
        </w:rPr>
        <w:t> </w:t>
      </w:r>
      <w:r>
        <w:rPr>
          <w:vertAlign w:val="baseline"/>
        </w:rPr>
        <w:t>such</w:t>
      </w:r>
      <w:r>
        <w:rPr>
          <w:spacing w:val="40"/>
          <w:vertAlign w:val="baseline"/>
        </w:rPr>
        <w:t> </w:t>
      </w:r>
      <w:r>
        <w:rPr>
          <w:vertAlign w:val="baseline"/>
        </w:rPr>
        <w:t>that</w:t>
      </w:r>
      <w:r>
        <w:rPr>
          <w:spacing w:val="40"/>
          <w:vertAlign w:val="baseline"/>
        </w:rPr>
        <w:t> </w:t>
      </w:r>
      <w:r>
        <w:rPr>
          <w:vertAlign w:val="baseline"/>
        </w:rPr>
        <w:t>restoration</w:t>
      </w:r>
      <w:r>
        <w:rPr>
          <w:spacing w:val="28"/>
          <w:vertAlign w:val="baseline"/>
        </w:rPr>
        <w:t> </w:t>
      </w:r>
      <w:r>
        <w:rPr>
          <w:vertAlign w:val="baseline"/>
        </w:rPr>
        <w:t>of</w:t>
      </w:r>
      <w:r>
        <w:rPr>
          <w:spacing w:val="33"/>
          <w:vertAlign w:val="baseline"/>
        </w:rPr>
        <w:t> </w:t>
      </w:r>
      <w:r>
        <w:rPr>
          <w:vertAlign w:val="baseline"/>
        </w:rPr>
        <w:t>land</w:t>
      </w:r>
      <w:r>
        <w:rPr>
          <w:spacing w:val="32"/>
          <w:vertAlign w:val="baseline"/>
        </w:rPr>
        <w:t> </w:t>
      </w:r>
      <w:r>
        <w:rPr>
          <w:vertAlign w:val="baseline"/>
        </w:rPr>
        <w:t>from</w:t>
      </w:r>
      <w:r>
        <w:rPr>
          <w:spacing w:val="31"/>
          <w:vertAlign w:val="baseline"/>
        </w:rPr>
        <w:t> </w:t>
      </w:r>
      <w:r>
        <w:rPr>
          <w:vertAlign w:val="baseline"/>
        </w:rPr>
        <w:t>harm</w:t>
      </w:r>
      <w:r>
        <w:rPr>
          <w:spacing w:val="32"/>
          <w:vertAlign w:val="baseline"/>
        </w:rPr>
        <w:t> </w:t>
      </w:r>
      <w:r>
        <w:rPr>
          <w:vertAlign w:val="baseline"/>
        </w:rPr>
        <w:t>done</w:t>
      </w:r>
      <w:r>
        <w:rPr>
          <w:spacing w:val="31"/>
          <w:vertAlign w:val="baseline"/>
        </w:rPr>
        <w:t> </w:t>
      </w:r>
      <w:r>
        <w:rPr>
          <w:vertAlign w:val="baseline"/>
        </w:rPr>
        <w:t>to</w:t>
      </w:r>
      <w:r>
        <w:rPr>
          <w:spacing w:val="32"/>
          <w:vertAlign w:val="baseline"/>
        </w:rPr>
        <w:t> </w:t>
      </w:r>
      <w:r>
        <w:rPr>
          <w:vertAlign w:val="baseline"/>
        </w:rPr>
        <w:t>it</w:t>
      </w:r>
      <w:r>
        <w:rPr>
          <w:spacing w:val="30"/>
          <w:vertAlign w:val="baseline"/>
        </w:rPr>
        <w:t> </w:t>
      </w:r>
      <w:r>
        <w:rPr>
          <w:vertAlign w:val="baseline"/>
        </w:rPr>
        <w:t>is</w:t>
      </w:r>
      <w:r>
        <w:rPr>
          <w:spacing w:val="32"/>
          <w:vertAlign w:val="baseline"/>
        </w:rPr>
        <w:t> </w:t>
      </w:r>
      <w:r>
        <w:rPr>
          <w:vertAlign w:val="baseline"/>
        </w:rPr>
        <w:t>the</w:t>
      </w:r>
      <w:r>
        <w:rPr>
          <w:spacing w:val="31"/>
          <w:vertAlign w:val="baseline"/>
        </w:rPr>
        <w:t> </w:t>
      </w:r>
      <w:r>
        <w:rPr>
          <w:vertAlign w:val="baseline"/>
        </w:rPr>
        <w:t>least</w:t>
      </w:r>
      <w:r>
        <w:rPr>
          <w:spacing w:val="32"/>
          <w:vertAlign w:val="baseline"/>
        </w:rPr>
        <w:t> </w:t>
      </w:r>
      <w:r>
        <w:rPr>
          <w:vertAlign w:val="baseline"/>
        </w:rPr>
        <w:t>of</w:t>
      </w:r>
      <w:r>
        <w:rPr>
          <w:spacing w:val="31"/>
          <w:vertAlign w:val="baseline"/>
        </w:rPr>
        <w:t> </w:t>
      </w:r>
      <w:r>
        <w:rPr>
          <w:vertAlign w:val="baseline"/>
        </w:rPr>
        <w:t>a land owners' priority when compensation is paid. Furthermore, the widespread ignorance of many land owners and communities is such that technical data and detailed evaluation of natural system (which is usually complex) cannot easily be undertaken.</w:t>
      </w:r>
      <w:r>
        <w:rPr>
          <w:vertAlign w:val="superscript"/>
        </w:rPr>
        <w:t>18</w:t>
      </w:r>
    </w:p>
    <w:p>
      <w:pPr>
        <w:pStyle w:val="BodyText"/>
        <w:rPr>
          <w:sz w:val="20"/>
        </w:rPr>
      </w:pPr>
    </w:p>
    <w:p>
      <w:pPr>
        <w:pStyle w:val="BodyText"/>
        <w:rPr>
          <w:sz w:val="20"/>
        </w:rPr>
      </w:pPr>
    </w:p>
    <w:p>
      <w:pPr>
        <w:pStyle w:val="BodyText"/>
        <w:rPr>
          <w:sz w:val="20"/>
        </w:rPr>
      </w:pPr>
    </w:p>
    <w:p>
      <w:pPr>
        <w:pStyle w:val="BodyText"/>
        <w:spacing w:before="93"/>
        <w:rPr>
          <w:sz w:val="20"/>
        </w:rPr>
      </w:pPr>
      <w:r>
        <w:rPr/>
        <mc:AlternateContent>
          <mc:Choice Requires="wps">
            <w:drawing>
              <wp:anchor distT="0" distB="0" distL="0" distR="0" allowOverlap="1" layoutInCell="1" locked="0" behindDoc="1" simplePos="0" relativeHeight="487599104">
                <wp:simplePos x="0" y="0"/>
                <wp:positionH relativeFrom="page">
                  <wp:posOffset>914704</wp:posOffset>
                </wp:positionH>
                <wp:positionV relativeFrom="paragraph">
                  <wp:posOffset>220880</wp:posOffset>
                </wp:positionV>
                <wp:extent cx="1829435" cy="9525"/>
                <wp:effectExtent l="0" t="0" r="0" b="0"/>
                <wp:wrapTopAndBottom/>
                <wp:docPr id="26" name="Graphic 26"/>
                <wp:cNvGraphicFramePr>
                  <a:graphicFrameLocks/>
                </wp:cNvGraphicFramePr>
                <a:graphic>
                  <a:graphicData uri="http://schemas.microsoft.com/office/word/2010/wordprocessingShape">
                    <wps:wsp>
                      <wps:cNvPr id="26" name="Graphic 26"/>
                      <wps:cNvSpPr/>
                      <wps:spPr>
                        <a:xfrm>
                          <a:off x="0" y="0"/>
                          <a:ext cx="1829435" cy="9525"/>
                        </a:xfrm>
                        <a:custGeom>
                          <a:avLst/>
                          <a:gdLst/>
                          <a:ahLst/>
                          <a:cxnLst/>
                          <a:rect l="l" t="t" r="r" b="b"/>
                          <a:pathLst>
                            <a:path w="1829435" h="9525">
                              <a:moveTo>
                                <a:pt x="1829054" y="0"/>
                              </a:moveTo>
                              <a:lnTo>
                                <a:pt x="0" y="0"/>
                              </a:lnTo>
                              <a:lnTo>
                                <a:pt x="0" y="9143"/>
                              </a:lnTo>
                              <a:lnTo>
                                <a:pt x="1829054" y="9143"/>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17.392178pt;width:144.020pt;height:.71997pt;mso-position-horizontal-relative:page;mso-position-vertical-relative:paragraph;z-index:-15717376;mso-wrap-distance-left:0;mso-wrap-distance-right:0" id="docshape26" filled="true" fillcolor="#000000" stroked="false">
                <v:fill type="solid"/>
                <w10:wrap type="topAndBottom"/>
              </v:rect>
            </w:pict>
          </mc:Fallback>
        </mc:AlternateContent>
      </w:r>
    </w:p>
    <w:p>
      <w:pPr>
        <w:spacing w:before="102"/>
        <w:ind w:left="360" w:right="0" w:firstLine="0"/>
        <w:jc w:val="left"/>
        <w:rPr>
          <w:rFonts w:ascii="Calibri"/>
          <w:sz w:val="20"/>
        </w:rPr>
      </w:pPr>
      <w:r>
        <w:rPr>
          <w:rFonts w:ascii="Calibri"/>
          <w:sz w:val="20"/>
          <w:vertAlign w:val="superscript"/>
        </w:rPr>
        <w:t>15</w:t>
      </w:r>
      <w:r>
        <w:rPr>
          <w:rFonts w:ascii="Calibri"/>
          <w:spacing w:val="-7"/>
          <w:sz w:val="20"/>
          <w:vertAlign w:val="baseline"/>
        </w:rPr>
        <w:t> </w:t>
      </w:r>
      <w:r>
        <w:rPr>
          <w:rFonts w:ascii="Calibri"/>
          <w:sz w:val="20"/>
          <w:vertAlign w:val="baseline"/>
        </w:rPr>
        <w:t>OMOROGBE</w:t>
      </w:r>
      <w:r>
        <w:rPr>
          <w:rFonts w:ascii="Calibri"/>
          <w:spacing w:val="-5"/>
          <w:sz w:val="20"/>
          <w:vertAlign w:val="baseline"/>
        </w:rPr>
        <w:t> </w:t>
      </w:r>
      <w:r>
        <w:rPr>
          <w:rFonts w:ascii="Calibri"/>
          <w:sz w:val="20"/>
          <w:vertAlign w:val="baseline"/>
        </w:rPr>
        <w:t>Y</w:t>
      </w:r>
      <w:r>
        <w:rPr>
          <w:rFonts w:ascii="Calibri"/>
          <w:spacing w:val="-6"/>
          <w:sz w:val="20"/>
          <w:vertAlign w:val="baseline"/>
        </w:rPr>
        <w:t> </w:t>
      </w:r>
      <w:r>
        <w:rPr>
          <w:rFonts w:ascii="Calibri"/>
          <w:sz w:val="20"/>
          <w:vertAlign w:val="baseline"/>
        </w:rPr>
        <w:t>(2001).</w:t>
      </w:r>
      <w:r>
        <w:rPr>
          <w:rFonts w:ascii="Calibri"/>
          <w:spacing w:val="-5"/>
          <w:sz w:val="20"/>
          <w:vertAlign w:val="baseline"/>
        </w:rPr>
        <w:t> </w:t>
      </w:r>
      <w:r>
        <w:rPr>
          <w:rFonts w:ascii="Calibri"/>
          <w:sz w:val="20"/>
          <w:vertAlign w:val="baseline"/>
        </w:rPr>
        <w:t>Oil</w:t>
      </w:r>
      <w:r>
        <w:rPr>
          <w:rFonts w:ascii="Calibri"/>
          <w:spacing w:val="-6"/>
          <w:sz w:val="20"/>
          <w:vertAlign w:val="baseline"/>
        </w:rPr>
        <w:t> </w:t>
      </w:r>
      <w:r>
        <w:rPr>
          <w:rFonts w:ascii="Calibri"/>
          <w:sz w:val="20"/>
          <w:vertAlign w:val="baseline"/>
        </w:rPr>
        <w:t>and</w:t>
      </w:r>
      <w:r>
        <w:rPr>
          <w:rFonts w:ascii="Calibri"/>
          <w:spacing w:val="-5"/>
          <w:sz w:val="20"/>
          <w:vertAlign w:val="baseline"/>
        </w:rPr>
        <w:t> </w:t>
      </w:r>
      <w:r>
        <w:rPr>
          <w:rFonts w:ascii="Calibri"/>
          <w:sz w:val="20"/>
          <w:vertAlign w:val="baseline"/>
        </w:rPr>
        <w:t>Gas</w:t>
      </w:r>
      <w:r>
        <w:rPr>
          <w:rFonts w:ascii="Calibri"/>
          <w:spacing w:val="-7"/>
          <w:sz w:val="20"/>
          <w:vertAlign w:val="baseline"/>
        </w:rPr>
        <w:t> </w:t>
      </w:r>
      <w:r>
        <w:rPr>
          <w:rFonts w:ascii="Calibri"/>
          <w:sz w:val="20"/>
          <w:vertAlign w:val="baseline"/>
        </w:rPr>
        <w:t>Law</w:t>
      </w:r>
      <w:r>
        <w:rPr>
          <w:rFonts w:ascii="Calibri"/>
          <w:spacing w:val="-7"/>
          <w:sz w:val="20"/>
          <w:vertAlign w:val="baseline"/>
        </w:rPr>
        <w:t> </w:t>
      </w:r>
      <w:r>
        <w:rPr>
          <w:rFonts w:ascii="Calibri"/>
          <w:sz w:val="20"/>
          <w:vertAlign w:val="baseline"/>
        </w:rPr>
        <w:t>in</w:t>
      </w:r>
      <w:r>
        <w:rPr>
          <w:rFonts w:ascii="Calibri"/>
          <w:spacing w:val="-5"/>
          <w:sz w:val="20"/>
          <w:vertAlign w:val="baseline"/>
        </w:rPr>
        <w:t> </w:t>
      </w:r>
      <w:r>
        <w:rPr>
          <w:rFonts w:ascii="Calibri"/>
          <w:sz w:val="20"/>
          <w:vertAlign w:val="baseline"/>
        </w:rPr>
        <w:t>Nigeria,</w:t>
      </w:r>
      <w:r>
        <w:rPr>
          <w:rFonts w:ascii="Calibri"/>
          <w:spacing w:val="-5"/>
          <w:sz w:val="20"/>
          <w:vertAlign w:val="baseline"/>
        </w:rPr>
        <w:t> </w:t>
      </w:r>
      <w:r>
        <w:rPr>
          <w:rFonts w:ascii="Calibri"/>
          <w:sz w:val="20"/>
          <w:vertAlign w:val="baseline"/>
        </w:rPr>
        <w:t>Malthouse</w:t>
      </w:r>
      <w:r>
        <w:rPr>
          <w:rFonts w:ascii="Calibri"/>
          <w:spacing w:val="-6"/>
          <w:sz w:val="20"/>
          <w:vertAlign w:val="baseline"/>
        </w:rPr>
        <w:t> </w:t>
      </w:r>
      <w:r>
        <w:rPr>
          <w:rFonts w:ascii="Calibri"/>
          <w:sz w:val="20"/>
          <w:vertAlign w:val="baseline"/>
        </w:rPr>
        <w:t>Publication,</w:t>
      </w:r>
      <w:r>
        <w:rPr>
          <w:rFonts w:ascii="Calibri"/>
          <w:spacing w:val="-5"/>
          <w:sz w:val="20"/>
          <w:vertAlign w:val="baseline"/>
        </w:rPr>
        <w:t> </w:t>
      </w:r>
      <w:r>
        <w:rPr>
          <w:rFonts w:ascii="Calibri"/>
          <w:spacing w:val="-2"/>
          <w:sz w:val="20"/>
          <w:vertAlign w:val="baseline"/>
        </w:rPr>
        <w:t>Lagos.</w:t>
      </w:r>
    </w:p>
    <w:p>
      <w:pPr>
        <w:spacing w:before="1"/>
        <w:ind w:left="360" w:right="0" w:firstLine="0"/>
        <w:jc w:val="left"/>
        <w:rPr>
          <w:rFonts w:ascii="Calibri"/>
          <w:sz w:val="20"/>
        </w:rPr>
      </w:pPr>
      <w:r>
        <w:rPr>
          <w:rFonts w:ascii="Calibri"/>
          <w:sz w:val="20"/>
          <w:vertAlign w:val="superscript"/>
        </w:rPr>
        <w:t>16</w:t>
      </w:r>
      <w:r>
        <w:rPr>
          <w:rFonts w:ascii="Calibri"/>
          <w:spacing w:val="-5"/>
          <w:sz w:val="20"/>
          <w:vertAlign w:val="baseline"/>
        </w:rPr>
        <w:t> </w:t>
      </w:r>
      <w:r>
        <w:rPr>
          <w:rFonts w:ascii="Calibri"/>
          <w:sz w:val="20"/>
          <w:vertAlign w:val="baseline"/>
        </w:rPr>
        <w:t>Oil</w:t>
      </w:r>
      <w:r>
        <w:rPr>
          <w:rFonts w:ascii="Calibri"/>
          <w:spacing w:val="-4"/>
          <w:sz w:val="20"/>
          <w:vertAlign w:val="baseline"/>
        </w:rPr>
        <w:t> </w:t>
      </w:r>
      <w:r>
        <w:rPr>
          <w:rFonts w:ascii="Calibri"/>
          <w:sz w:val="20"/>
          <w:vertAlign w:val="baseline"/>
        </w:rPr>
        <w:t>Pipeline</w:t>
      </w:r>
      <w:r>
        <w:rPr>
          <w:rFonts w:ascii="Calibri"/>
          <w:spacing w:val="-4"/>
          <w:sz w:val="20"/>
          <w:vertAlign w:val="baseline"/>
        </w:rPr>
        <w:t> </w:t>
      </w:r>
      <w:r>
        <w:rPr>
          <w:rFonts w:ascii="Calibri"/>
          <w:sz w:val="20"/>
          <w:vertAlign w:val="baseline"/>
        </w:rPr>
        <w:t>Act,</w:t>
      </w:r>
      <w:r>
        <w:rPr>
          <w:rFonts w:ascii="Calibri"/>
          <w:spacing w:val="-3"/>
          <w:sz w:val="20"/>
          <w:vertAlign w:val="baseline"/>
        </w:rPr>
        <w:t> </w:t>
      </w:r>
      <w:r>
        <w:rPr>
          <w:rFonts w:ascii="Calibri"/>
          <w:sz w:val="20"/>
          <w:vertAlign w:val="baseline"/>
        </w:rPr>
        <w:t>CAP</w:t>
      </w:r>
      <w:r>
        <w:rPr>
          <w:rFonts w:ascii="Calibri"/>
          <w:spacing w:val="-3"/>
          <w:sz w:val="20"/>
          <w:vertAlign w:val="baseline"/>
        </w:rPr>
        <w:t> </w:t>
      </w:r>
      <w:r>
        <w:rPr>
          <w:rFonts w:ascii="Calibri"/>
          <w:sz w:val="20"/>
          <w:vertAlign w:val="baseline"/>
        </w:rPr>
        <w:t>O23</w:t>
      </w:r>
      <w:r>
        <w:rPr>
          <w:rFonts w:ascii="Calibri"/>
          <w:spacing w:val="-5"/>
          <w:sz w:val="20"/>
          <w:vertAlign w:val="baseline"/>
        </w:rPr>
        <w:t> </w:t>
      </w:r>
      <w:r>
        <w:rPr>
          <w:rFonts w:ascii="Calibri"/>
          <w:sz w:val="20"/>
          <w:vertAlign w:val="baseline"/>
        </w:rPr>
        <w:t>LFN,</w:t>
      </w:r>
      <w:r>
        <w:rPr>
          <w:rFonts w:ascii="Calibri"/>
          <w:spacing w:val="-3"/>
          <w:sz w:val="20"/>
          <w:vertAlign w:val="baseline"/>
        </w:rPr>
        <w:t> </w:t>
      </w:r>
      <w:r>
        <w:rPr>
          <w:rFonts w:ascii="Calibri"/>
          <w:spacing w:val="-4"/>
          <w:sz w:val="20"/>
          <w:vertAlign w:val="baseline"/>
        </w:rPr>
        <w:t>2010</w:t>
      </w:r>
    </w:p>
    <w:p>
      <w:pPr>
        <w:spacing w:line="243" w:lineRule="exact" w:before="1"/>
        <w:ind w:left="360" w:right="0" w:firstLine="0"/>
        <w:jc w:val="left"/>
        <w:rPr>
          <w:rFonts w:ascii="Calibri"/>
          <w:sz w:val="20"/>
        </w:rPr>
      </w:pPr>
      <w:r>
        <w:rPr>
          <w:rFonts w:ascii="Calibri"/>
          <w:sz w:val="20"/>
          <w:vertAlign w:val="superscript"/>
        </w:rPr>
        <w:t>17</w:t>
      </w:r>
      <w:r>
        <w:rPr>
          <w:rFonts w:ascii="Calibri"/>
          <w:spacing w:val="-9"/>
          <w:sz w:val="20"/>
          <w:vertAlign w:val="baseline"/>
        </w:rPr>
        <w:t> </w:t>
      </w:r>
      <w:r>
        <w:rPr>
          <w:rFonts w:ascii="Calibri"/>
          <w:sz w:val="20"/>
          <w:vertAlign w:val="baseline"/>
        </w:rPr>
        <w:t>FAGBOHUN</w:t>
      </w:r>
      <w:r>
        <w:rPr>
          <w:rFonts w:ascii="Calibri"/>
          <w:spacing w:val="-7"/>
          <w:sz w:val="20"/>
          <w:vertAlign w:val="baseline"/>
        </w:rPr>
        <w:t> </w:t>
      </w:r>
      <w:r>
        <w:rPr>
          <w:rFonts w:ascii="Calibri"/>
          <w:sz w:val="20"/>
          <w:vertAlign w:val="baseline"/>
        </w:rPr>
        <w:t>O.</w:t>
      </w:r>
      <w:r>
        <w:rPr>
          <w:rFonts w:ascii="Calibri"/>
          <w:spacing w:val="-7"/>
          <w:sz w:val="20"/>
          <w:vertAlign w:val="baseline"/>
        </w:rPr>
        <w:t> </w:t>
      </w:r>
      <w:r>
        <w:rPr>
          <w:rFonts w:ascii="Calibri"/>
          <w:sz w:val="20"/>
          <w:vertAlign w:val="baseline"/>
        </w:rPr>
        <w:t>The</w:t>
      </w:r>
      <w:r>
        <w:rPr>
          <w:rFonts w:ascii="Calibri"/>
          <w:spacing w:val="-8"/>
          <w:sz w:val="20"/>
          <w:vertAlign w:val="baseline"/>
        </w:rPr>
        <w:t> </w:t>
      </w:r>
      <w:r>
        <w:rPr>
          <w:rFonts w:ascii="Calibri"/>
          <w:sz w:val="20"/>
          <w:vertAlign w:val="baseline"/>
        </w:rPr>
        <w:t>Law</w:t>
      </w:r>
      <w:r>
        <w:rPr>
          <w:rFonts w:ascii="Calibri"/>
          <w:spacing w:val="-8"/>
          <w:sz w:val="20"/>
          <w:vertAlign w:val="baseline"/>
        </w:rPr>
        <w:t> </w:t>
      </w:r>
      <w:r>
        <w:rPr>
          <w:rFonts w:ascii="Calibri"/>
          <w:sz w:val="20"/>
          <w:vertAlign w:val="baseline"/>
        </w:rPr>
        <w:t>of</w:t>
      </w:r>
      <w:r>
        <w:rPr>
          <w:rFonts w:ascii="Calibri"/>
          <w:spacing w:val="-9"/>
          <w:sz w:val="20"/>
          <w:vertAlign w:val="baseline"/>
        </w:rPr>
        <w:t> </w:t>
      </w:r>
      <w:r>
        <w:rPr>
          <w:rFonts w:ascii="Calibri"/>
          <w:sz w:val="20"/>
          <w:vertAlign w:val="baseline"/>
        </w:rPr>
        <w:t>Oil</w:t>
      </w:r>
      <w:r>
        <w:rPr>
          <w:rFonts w:ascii="Calibri"/>
          <w:spacing w:val="-6"/>
          <w:sz w:val="20"/>
          <w:vertAlign w:val="baseline"/>
        </w:rPr>
        <w:t> </w:t>
      </w:r>
      <w:r>
        <w:rPr>
          <w:rFonts w:ascii="Calibri"/>
          <w:sz w:val="20"/>
          <w:vertAlign w:val="baseline"/>
        </w:rPr>
        <w:t>Pollution</w:t>
      </w:r>
      <w:r>
        <w:rPr>
          <w:rFonts w:ascii="Calibri"/>
          <w:spacing w:val="-7"/>
          <w:sz w:val="20"/>
          <w:vertAlign w:val="baseline"/>
        </w:rPr>
        <w:t> </w:t>
      </w:r>
      <w:r>
        <w:rPr>
          <w:rFonts w:ascii="Calibri"/>
          <w:sz w:val="20"/>
          <w:vertAlign w:val="baseline"/>
        </w:rPr>
        <w:t>and</w:t>
      </w:r>
      <w:r>
        <w:rPr>
          <w:rFonts w:ascii="Calibri"/>
          <w:spacing w:val="-7"/>
          <w:sz w:val="20"/>
          <w:vertAlign w:val="baseline"/>
        </w:rPr>
        <w:t> </w:t>
      </w:r>
      <w:r>
        <w:rPr>
          <w:rFonts w:ascii="Calibri"/>
          <w:sz w:val="20"/>
          <w:vertAlign w:val="baseline"/>
        </w:rPr>
        <w:t>Environmental</w:t>
      </w:r>
      <w:r>
        <w:rPr>
          <w:rFonts w:ascii="Calibri"/>
          <w:spacing w:val="-8"/>
          <w:sz w:val="20"/>
          <w:vertAlign w:val="baseline"/>
        </w:rPr>
        <w:t> </w:t>
      </w:r>
      <w:r>
        <w:rPr>
          <w:rFonts w:ascii="Calibri"/>
          <w:sz w:val="20"/>
          <w:vertAlign w:val="baseline"/>
        </w:rPr>
        <w:t>Restoration,</w:t>
      </w:r>
      <w:r>
        <w:rPr>
          <w:rFonts w:ascii="Calibri"/>
          <w:spacing w:val="-8"/>
          <w:sz w:val="20"/>
          <w:vertAlign w:val="baseline"/>
        </w:rPr>
        <w:t> </w:t>
      </w:r>
      <w:r>
        <w:rPr>
          <w:rFonts w:ascii="Calibri"/>
          <w:sz w:val="20"/>
          <w:vertAlign w:val="baseline"/>
        </w:rPr>
        <w:t>Odade</w:t>
      </w:r>
      <w:r>
        <w:rPr>
          <w:rFonts w:ascii="Calibri"/>
          <w:spacing w:val="-8"/>
          <w:sz w:val="20"/>
          <w:vertAlign w:val="baseline"/>
        </w:rPr>
        <w:t> </w:t>
      </w:r>
      <w:r>
        <w:rPr>
          <w:rFonts w:ascii="Calibri"/>
          <w:sz w:val="20"/>
          <w:vertAlign w:val="baseline"/>
        </w:rPr>
        <w:t>Publishers,</w:t>
      </w:r>
      <w:r>
        <w:rPr>
          <w:rFonts w:ascii="Calibri"/>
          <w:spacing w:val="-7"/>
          <w:sz w:val="20"/>
          <w:vertAlign w:val="baseline"/>
        </w:rPr>
        <w:t> </w:t>
      </w:r>
      <w:r>
        <w:rPr>
          <w:rFonts w:ascii="Calibri"/>
          <w:sz w:val="20"/>
          <w:vertAlign w:val="baseline"/>
        </w:rPr>
        <w:t>Lagos,</w:t>
      </w:r>
      <w:r>
        <w:rPr>
          <w:rFonts w:ascii="Calibri"/>
          <w:spacing w:val="-7"/>
          <w:sz w:val="20"/>
          <w:vertAlign w:val="baseline"/>
        </w:rPr>
        <w:t> </w:t>
      </w:r>
      <w:r>
        <w:rPr>
          <w:rFonts w:ascii="Calibri"/>
          <w:spacing w:val="-4"/>
          <w:sz w:val="20"/>
          <w:vertAlign w:val="baseline"/>
        </w:rPr>
        <w:t>2010</w:t>
      </w:r>
    </w:p>
    <w:p>
      <w:pPr>
        <w:spacing w:before="0"/>
        <w:ind w:left="360" w:right="0" w:firstLine="0"/>
        <w:jc w:val="left"/>
        <w:rPr>
          <w:rFonts w:ascii="Calibri"/>
          <w:sz w:val="20"/>
        </w:rPr>
      </w:pPr>
      <w:r>
        <w:rPr>
          <w:rFonts w:ascii="Calibri"/>
          <w:sz w:val="20"/>
          <w:vertAlign w:val="superscript"/>
        </w:rPr>
        <w:t>18</w:t>
      </w:r>
      <w:r>
        <w:rPr>
          <w:rFonts w:ascii="Calibri"/>
          <w:spacing w:val="-3"/>
          <w:sz w:val="20"/>
          <w:vertAlign w:val="baseline"/>
        </w:rPr>
        <w:t> </w:t>
      </w:r>
      <w:r>
        <w:rPr>
          <w:rFonts w:ascii="Calibri"/>
          <w:sz w:val="20"/>
          <w:vertAlign w:val="baseline"/>
        </w:rPr>
        <w:t>F.</w:t>
      </w:r>
      <w:r>
        <w:rPr>
          <w:rFonts w:ascii="Calibri"/>
          <w:spacing w:val="-3"/>
          <w:sz w:val="20"/>
          <w:vertAlign w:val="baseline"/>
        </w:rPr>
        <w:t> </w:t>
      </w:r>
      <w:r>
        <w:rPr>
          <w:rFonts w:ascii="Calibri"/>
          <w:sz w:val="20"/>
          <w:vertAlign w:val="baseline"/>
        </w:rPr>
        <w:t>EMIRI,</w:t>
      </w:r>
      <w:r>
        <w:rPr>
          <w:rFonts w:ascii="Calibri"/>
          <w:spacing w:val="-3"/>
          <w:sz w:val="20"/>
          <w:vertAlign w:val="baseline"/>
        </w:rPr>
        <w:t> </w:t>
      </w:r>
      <w:r>
        <w:rPr>
          <w:rFonts w:ascii="Calibri"/>
          <w:sz w:val="20"/>
          <w:vertAlign w:val="baseline"/>
        </w:rPr>
        <w:t>O</w:t>
      </w:r>
      <w:r>
        <w:rPr>
          <w:rFonts w:ascii="Calibri"/>
          <w:spacing w:val="-3"/>
          <w:sz w:val="20"/>
          <w:vertAlign w:val="baseline"/>
        </w:rPr>
        <w:t> </w:t>
      </w:r>
      <w:r>
        <w:rPr>
          <w:rFonts w:ascii="Calibri"/>
          <w:sz w:val="20"/>
          <w:vertAlign w:val="baseline"/>
        </w:rPr>
        <w:t>In:</w:t>
      </w:r>
      <w:r>
        <w:rPr>
          <w:rFonts w:ascii="Calibri"/>
          <w:spacing w:val="-3"/>
          <w:sz w:val="20"/>
          <w:vertAlign w:val="baseline"/>
        </w:rPr>
        <w:t> </w:t>
      </w:r>
      <w:r>
        <w:rPr>
          <w:rFonts w:ascii="Calibri"/>
          <w:sz w:val="20"/>
          <w:vertAlign w:val="baseline"/>
        </w:rPr>
        <w:t>F.</w:t>
      </w:r>
      <w:r>
        <w:rPr>
          <w:rFonts w:ascii="Calibri"/>
          <w:spacing w:val="-3"/>
          <w:sz w:val="20"/>
          <w:vertAlign w:val="baseline"/>
        </w:rPr>
        <w:t> </w:t>
      </w:r>
      <w:r>
        <w:rPr>
          <w:rFonts w:ascii="Calibri"/>
          <w:sz w:val="20"/>
          <w:vertAlign w:val="baseline"/>
        </w:rPr>
        <w:t>EMIRI</w:t>
      </w:r>
      <w:r>
        <w:rPr>
          <w:rFonts w:ascii="Calibri"/>
          <w:spacing w:val="-3"/>
          <w:sz w:val="20"/>
          <w:vertAlign w:val="baseline"/>
        </w:rPr>
        <w:t> </w:t>
      </w:r>
      <w:r>
        <w:rPr>
          <w:rFonts w:ascii="Calibri"/>
          <w:sz w:val="20"/>
          <w:vertAlign w:val="baseline"/>
        </w:rPr>
        <w:t>and</w:t>
      </w:r>
      <w:r>
        <w:rPr>
          <w:rFonts w:ascii="Calibri"/>
          <w:spacing w:val="-3"/>
          <w:sz w:val="20"/>
          <w:vertAlign w:val="baseline"/>
        </w:rPr>
        <w:t> </w:t>
      </w:r>
      <w:r>
        <w:rPr>
          <w:rFonts w:ascii="Calibri"/>
          <w:sz w:val="20"/>
          <w:vertAlign w:val="baseline"/>
        </w:rPr>
        <w:t>G.</w:t>
      </w:r>
      <w:r>
        <w:rPr>
          <w:rFonts w:ascii="Calibri"/>
          <w:spacing w:val="-3"/>
          <w:sz w:val="20"/>
          <w:vertAlign w:val="baseline"/>
        </w:rPr>
        <w:t> </w:t>
      </w:r>
      <w:r>
        <w:rPr>
          <w:rFonts w:ascii="Calibri"/>
          <w:sz w:val="20"/>
          <w:vertAlign w:val="baseline"/>
        </w:rPr>
        <w:t>DEINDUOMO,</w:t>
      </w:r>
      <w:r>
        <w:rPr>
          <w:rFonts w:ascii="Calibri"/>
          <w:spacing w:val="-1"/>
          <w:sz w:val="20"/>
          <w:vertAlign w:val="baseline"/>
        </w:rPr>
        <w:t> </w:t>
      </w:r>
      <w:r>
        <w:rPr>
          <w:rFonts w:ascii="Calibri"/>
          <w:i/>
          <w:sz w:val="20"/>
          <w:vertAlign w:val="baseline"/>
        </w:rPr>
        <w:t>Law</w:t>
      </w:r>
      <w:r>
        <w:rPr>
          <w:rFonts w:ascii="Calibri"/>
          <w:i/>
          <w:spacing w:val="-3"/>
          <w:sz w:val="20"/>
          <w:vertAlign w:val="baseline"/>
        </w:rPr>
        <w:t> </w:t>
      </w:r>
      <w:r>
        <w:rPr>
          <w:rFonts w:ascii="Calibri"/>
          <w:i/>
          <w:sz w:val="20"/>
          <w:vertAlign w:val="baseline"/>
        </w:rPr>
        <w:t>and</w:t>
      </w:r>
      <w:r>
        <w:rPr>
          <w:rFonts w:ascii="Calibri"/>
          <w:i/>
          <w:spacing w:val="-3"/>
          <w:sz w:val="20"/>
          <w:vertAlign w:val="baseline"/>
        </w:rPr>
        <w:t> </w:t>
      </w:r>
      <w:r>
        <w:rPr>
          <w:rFonts w:ascii="Calibri"/>
          <w:i/>
          <w:sz w:val="20"/>
          <w:vertAlign w:val="baseline"/>
        </w:rPr>
        <w:t>Petroleum</w:t>
      </w:r>
      <w:r>
        <w:rPr>
          <w:rFonts w:ascii="Calibri"/>
          <w:i/>
          <w:spacing w:val="-3"/>
          <w:sz w:val="20"/>
          <w:vertAlign w:val="baseline"/>
        </w:rPr>
        <w:t> </w:t>
      </w:r>
      <w:r>
        <w:rPr>
          <w:rFonts w:ascii="Calibri"/>
          <w:i/>
          <w:sz w:val="20"/>
          <w:vertAlign w:val="baseline"/>
        </w:rPr>
        <w:t>Industry</w:t>
      </w:r>
      <w:r>
        <w:rPr>
          <w:rFonts w:ascii="Calibri"/>
          <w:i/>
          <w:spacing w:val="-3"/>
          <w:sz w:val="20"/>
          <w:vertAlign w:val="baseline"/>
        </w:rPr>
        <w:t> </w:t>
      </w:r>
      <w:r>
        <w:rPr>
          <w:rFonts w:ascii="Calibri"/>
          <w:i/>
          <w:sz w:val="20"/>
          <w:vertAlign w:val="baseline"/>
        </w:rPr>
        <w:t>in</w:t>
      </w:r>
      <w:r>
        <w:rPr>
          <w:rFonts w:ascii="Calibri"/>
          <w:i/>
          <w:spacing w:val="-3"/>
          <w:sz w:val="20"/>
          <w:vertAlign w:val="baseline"/>
        </w:rPr>
        <w:t> </w:t>
      </w:r>
      <w:r>
        <w:rPr>
          <w:rFonts w:ascii="Calibri"/>
          <w:i/>
          <w:sz w:val="20"/>
          <w:vertAlign w:val="baseline"/>
        </w:rPr>
        <w:t>Nigeria. </w:t>
      </w:r>
      <w:r>
        <w:rPr>
          <w:rFonts w:ascii="Calibri"/>
          <w:sz w:val="20"/>
          <w:vertAlign w:val="baseline"/>
        </w:rPr>
        <w:t>Malthouse</w:t>
      </w:r>
      <w:r>
        <w:rPr>
          <w:rFonts w:ascii="Calibri"/>
          <w:spacing w:val="-3"/>
          <w:sz w:val="20"/>
          <w:vertAlign w:val="baseline"/>
        </w:rPr>
        <w:t> </w:t>
      </w:r>
      <w:r>
        <w:rPr>
          <w:rFonts w:ascii="Calibri"/>
          <w:sz w:val="20"/>
          <w:vertAlign w:val="baseline"/>
        </w:rPr>
        <w:t>Publication</w:t>
      </w:r>
      <w:r>
        <w:rPr>
          <w:rFonts w:ascii="Calibri"/>
          <w:i/>
          <w:sz w:val="20"/>
          <w:vertAlign w:val="baseline"/>
        </w:rPr>
        <w:t>. </w:t>
      </w:r>
      <w:r>
        <w:rPr>
          <w:rFonts w:ascii="Calibri"/>
          <w:sz w:val="20"/>
          <w:vertAlign w:val="baseline"/>
        </w:rPr>
        <w:t>Lagos. 2009</w:t>
      </w:r>
    </w:p>
    <w:p>
      <w:pPr>
        <w:spacing w:after="0"/>
        <w:jc w:val="left"/>
        <w:rPr>
          <w:rFonts w:ascii="Calibri"/>
          <w:sz w:val="20"/>
        </w:rPr>
        <w:sectPr>
          <w:pgSz w:w="11910" w:h="16840"/>
          <w:pgMar w:header="0" w:footer="1000" w:top="1340" w:bottom="1200" w:left="1080" w:right="1280"/>
        </w:sectPr>
      </w:pPr>
    </w:p>
    <w:p>
      <w:pPr>
        <w:pStyle w:val="Heading2"/>
        <w:numPr>
          <w:ilvl w:val="1"/>
          <w:numId w:val="7"/>
        </w:numPr>
        <w:tabs>
          <w:tab w:pos="1079" w:val="left" w:leader="none"/>
        </w:tabs>
        <w:spacing w:line="240" w:lineRule="auto" w:before="78" w:after="0"/>
        <w:ind w:left="1079" w:right="0" w:hanging="719"/>
        <w:jc w:val="both"/>
      </w:pPr>
      <w:r>
        <w:rPr/>
        <w:t>Petroleum</w:t>
      </w:r>
      <w:r>
        <w:rPr>
          <w:spacing w:val="15"/>
        </w:rPr>
        <w:t> </w:t>
      </w:r>
      <w:r>
        <w:rPr/>
        <w:t>Profit</w:t>
      </w:r>
      <w:r>
        <w:rPr>
          <w:spacing w:val="12"/>
        </w:rPr>
        <w:t> </w:t>
      </w:r>
      <w:r>
        <w:rPr/>
        <w:t>Tax</w:t>
      </w:r>
      <w:r>
        <w:rPr>
          <w:spacing w:val="16"/>
        </w:rPr>
        <w:t> </w:t>
      </w:r>
      <w:r>
        <w:rPr/>
        <w:t>Act</w:t>
      </w:r>
      <w:r>
        <w:rPr>
          <w:spacing w:val="21"/>
        </w:rPr>
        <w:t> </w:t>
      </w:r>
      <w:r>
        <w:rPr>
          <w:spacing w:val="-2"/>
        </w:rPr>
        <w:t>(PPTA)</w:t>
      </w:r>
    </w:p>
    <w:p>
      <w:pPr>
        <w:pStyle w:val="BodyText"/>
        <w:spacing w:line="480" w:lineRule="auto" w:before="272"/>
        <w:ind w:left="360" w:right="158" w:firstLine="719"/>
        <w:jc w:val="both"/>
      </w:pPr>
      <w:r>
        <w:rPr/>
        <w:t>The PPTA is the principal legislation which governs the taxation of companies engaged in petroleum operations in Nigeria. All companies engaged in petroleum operations are</w:t>
      </w:r>
      <w:r>
        <w:rPr>
          <w:spacing w:val="-4"/>
        </w:rPr>
        <w:t> </w:t>
      </w:r>
      <w:r>
        <w:rPr/>
        <w:t>subject</w:t>
      </w:r>
      <w:r>
        <w:rPr>
          <w:spacing w:val="-2"/>
        </w:rPr>
        <w:t> </w:t>
      </w:r>
      <w:r>
        <w:rPr/>
        <w:t>to</w:t>
      </w:r>
      <w:r>
        <w:rPr>
          <w:spacing w:val="-2"/>
        </w:rPr>
        <w:t> </w:t>
      </w:r>
      <w:r>
        <w:rPr/>
        <w:t>tax</w:t>
      </w:r>
      <w:r>
        <w:rPr>
          <w:spacing w:val="-1"/>
        </w:rPr>
        <w:t> </w:t>
      </w:r>
      <w:r>
        <w:rPr/>
        <w:t>under</w:t>
      </w:r>
      <w:r>
        <w:rPr>
          <w:spacing w:val="-2"/>
        </w:rPr>
        <w:t> </w:t>
      </w:r>
      <w:r>
        <w:rPr/>
        <w:t>the</w:t>
      </w:r>
      <w:r>
        <w:rPr>
          <w:spacing w:val="-4"/>
        </w:rPr>
        <w:t> </w:t>
      </w:r>
      <w:r>
        <w:rPr/>
        <w:t>PPTA.</w:t>
      </w:r>
      <w:r>
        <w:rPr>
          <w:spacing w:val="-2"/>
        </w:rPr>
        <w:t> </w:t>
      </w:r>
      <w:r>
        <w:rPr/>
        <w:t>The</w:t>
      </w:r>
      <w:r>
        <w:rPr>
          <w:spacing w:val="-3"/>
        </w:rPr>
        <w:t> </w:t>
      </w:r>
      <w:r>
        <w:rPr/>
        <w:t>PPTA</w:t>
      </w:r>
      <w:r>
        <w:rPr>
          <w:spacing w:val="-2"/>
        </w:rPr>
        <w:t> </w:t>
      </w:r>
      <w:r>
        <w:rPr/>
        <w:t>imposes</w:t>
      </w:r>
      <w:r>
        <w:rPr>
          <w:spacing w:val="-2"/>
        </w:rPr>
        <w:t> </w:t>
      </w:r>
      <w:r>
        <w:rPr/>
        <w:t>tax upon</w:t>
      </w:r>
      <w:r>
        <w:rPr>
          <w:spacing w:val="-2"/>
        </w:rPr>
        <w:t> </w:t>
      </w:r>
      <w:r>
        <w:rPr/>
        <w:t>the</w:t>
      </w:r>
      <w:r>
        <w:rPr>
          <w:spacing w:val="-2"/>
        </w:rPr>
        <w:t> </w:t>
      </w:r>
      <w:r>
        <w:rPr/>
        <w:t>profits</w:t>
      </w:r>
      <w:r>
        <w:rPr>
          <w:spacing w:val="-2"/>
        </w:rPr>
        <w:t> </w:t>
      </w:r>
      <w:r>
        <w:rPr/>
        <w:t>from</w:t>
      </w:r>
      <w:r>
        <w:rPr>
          <w:spacing w:val="-2"/>
        </w:rPr>
        <w:t> </w:t>
      </w:r>
      <w:r>
        <w:rPr/>
        <w:t>the</w:t>
      </w:r>
      <w:r>
        <w:rPr>
          <w:spacing w:val="-3"/>
        </w:rPr>
        <w:t> </w:t>
      </w:r>
      <w:r>
        <w:rPr/>
        <w:t>wining</w:t>
      </w:r>
      <w:r>
        <w:rPr>
          <w:spacing w:val="-4"/>
        </w:rPr>
        <w:t> </w:t>
      </w:r>
      <w:r>
        <w:rPr/>
        <w:t>of petroleum in Nigeria, provides for the assessment and collection of PPT in Nigeria. The Law took effect from 1</w:t>
      </w:r>
      <w:r>
        <w:rPr>
          <w:vertAlign w:val="superscript"/>
        </w:rPr>
        <w:t>st</w:t>
      </w:r>
      <w:r>
        <w:rPr>
          <w:vertAlign w:val="baseline"/>
        </w:rPr>
        <w:t> January, 1958 and has had several amendments. Government came up with a consolidated version of the PPT as Cap P13 of the Laws of the Federation of Nigerian 2004 as amended.</w:t>
      </w:r>
    </w:p>
    <w:p>
      <w:pPr>
        <w:pStyle w:val="BodyText"/>
        <w:spacing w:line="480" w:lineRule="auto" w:before="1"/>
        <w:ind w:left="360" w:right="161" w:firstLine="719"/>
        <w:jc w:val="both"/>
      </w:pPr>
      <w:r>
        <w:rPr/>
        <w:t>Petroleum Profit Tax (Amendment) Bill 2005 (PPT Bill 2005) forms part of the government tax reforms but is yet to be passed into law.</w:t>
      </w:r>
    </w:p>
    <w:p>
      <w:pPr>
        <w:pStyle w:val="BodyText"/>
        <w:spacing w:line="480" w:lineRule="auto"/>
        <w:ind w:left="360" w:right="161" w:firstLine="719"/>
        <w:jc w:val="both"/>
      </w:pPr>
      <w:r>
        <w:rPr/>
        <w:t>Their income is liable to tax at 85% (subject to incentives contained in the MOU (as relevant), or 65.75% within the first five years of operating during which they are recovering their capitalized pre-production expenditure.</w:t>
      </w:r>
    </w:p>
    <w:p>
      <w:pPr>
        <w:pStyle w:val="BodyText"/>
        <w:spacing w:line="480" w:lineRule="auto"/>
        <w:ind w:left="360" w:right="155" w:firstLine="719"/>
        <w:jc w:val="both"/>
      </w:pPr>
      <w:r>
        <w:rPr/>
        <w:t>This Act was enacted in 1958 when the activities in the petroleum industry began to increase and the government then under the colonial administration saw the need to tax petroleum</w:t>
      </w:r>
      <w:r>
        <w:rPr>
          <w:spacing w:val="40"/>
        </w:rPr>
        <w:t> </w:t>
      </w:r>
      <w:r>
        <w:rPr/>
        <w:t>activities</w:t>
      </w:r>
      <w:r>
        <w:rPr>
          <w:spacing w:val="40"/>
        </w:rPr>
        <w:t> </w:t>
      </w:r>
      <w:r>
        <w:rPr/>
        <w:t>differently</w:t>
      </w:r>
      <w:r>
        <w:rPr>
          <w:spacing w:val="35"/>
        </w:rPr>
        <w:t> </w:t>
      </w:r>
      <w:r>
        <w:rPr/>
        <w:t>from</w:t>
      </w:r>
      <w:r>
        <w:rPr>
          <w:spacing w:val="40"/>
        </w:rPr>
        <w:t> </w:t>
      </w:r>
      <w:r>
        <w:rPr/>
        <w:t>companies</w:t>
      </w:r>
      <w:r>
        <w:rPr>
          <w:spacing w:val="40"/>
        </w:rPr>
        <w:t> </w:t>
      </w:r>
      <w:r>
        <w:rPr/>
        <w:t>engaged</w:t>
      </w:r>
      <w:r>
        <w:rPr>
          <w:spacing w:val="37"/>
        </w:rPr>
        <w:t> </w:t>
      </w:r>
      <w:r>
        <w:rPr/>
        <w:t>in</w:t>
      </w:r>
      <w:r>
        <w:rPr>
          <w:spacing w:val="40"/>
        </w:rPr>
        <w:t> </w:t>
      </w:r>
      <w:r>
        <w:rPr/>
        <w:t>other</w:t>
      </w:r>
      <w:r>
        <w:rPr>
          <w:spacing w:val="40"/>
        </w:rPr>
        <w:t> </w:t>
      </w:r>
      <w:r>
        <w:rPr/>
        <w:t>enterprises.</w:t>
      </w:r>
      <w:r>
        <w:rPr>
          <w:spacing w:val="40"/>
        </w:rPr>
        <w:t> </w:t>
      </w:r>
      <w:r>
        <w:rPr/>
        <w:t>Taxation</w:t>
      </w:r>
      <w:r>
        <w:rPr>
          <w:spacing w:val="40"/>
        </w:rPr>
        <w:t> </w:t>
      </w:r>
      <w:r>
        <w:rPr/>
        <w:t>or tax as usually understood, is the compulsory levy on a person's or a subject's property (including income) by an appropriate governmental authority.</w:t>
      </w:r>
      <w:r>
        <w:rPr>
          <w:vertAlign w:val="superscript"/>
        </w:rPr>
        <w:t>19</w:t>
      </w:r>
      <w:r>
        <w:rPr>
          <w:vertAlign w:val="baseline"/>
        </w:rPr>
        <w:t> This understanding of the nature of a tax does not differ much from its legal definition or meaning. See Black's Law Dictionary 7th Edition in which laxation is defined as "a monetary charge imposed by the government on persons, entities or property to yield public revenue". Taxation in its broader sense includes governmental impositions like duties, excises, levies and rates. The sources from which incomes are derived under the Petroleum Profit Tax Act as follows;</w:t>
      </w:r>
    </w:p>
    <w:p>
      <w:pPr>
        <w:pStyle w:val="ListParagraph"/>
        <w:numPr>
          <w:ilvl w:val="2"/>
          <w:numId w:val="7"/>
        </w:numPr>
        <w:tabs>
          <w:tab w:pos="1078" w:val="left" w:leader="none"/>
        </w:tabs>
        <w:spacing w:line="240" w:lineRule="auto" w:before="2" w:after="0"/>
        <w:ind w:left="1078" w:right="0" w:hanging="358"/>
        <w:jc w:val="both"/>
        <w:rPr>
          <w:sz w:val="24"/>
        </w:rPr>
      </w:pPr>
      <w:r>
        <w:rPr>
          <w:sz w:val="24"/>
        </w:rPr>
        <w:t>Direct</w:t>
      </w:r>
      <w:r>
        <w:rPr>
          <w:spacing w:val="40"/>
          <w:sz w:val="24"/>
        </w:rPr>
        <w:t> </w:t>
      </w:r>
      <w:r>
        <w:rPr>
          <w:sz w:val="24"/>
        </w:rPr>
        <w:t>Tax:</w:t>
      </w:r>
      <w:r>
        <w:rPr>
          <w:spacing w:val="39"/>
          <w:sz w:val="24"/>
        </w:rPr>
        <w:t> </w:t>
      </w:r>
      <w:r>
        <w:rPr>
          <w:sz w:val="24"/>
        </w:rPr>
        <w:t>on</w:t>
      </w:r>
      <w:r>
        <w:rPr>
          <w:spacing w:val="43"/>
          <w:sz w:val="24"/>
        </w:rPr>
        <w:t> </w:t>
      </w:r>
      <w:r>
        <w:rPr>
          <w:sz w:val="24"/>
        </w:rPr>
        <w:t>the</w:t>
      </w:r>
      <w:r>
        <w:rPr>
          <w:spacing w:val="36"/>
          <w:sz w:val="24"/>
        </w:rPr>
        <w:t> </w:t>
      </w:r>
      <w:r>
        <w:rPr>
          <w:sz w:val="24"/>
        </w:rPr>
        <w:t>Profits</w:t>
      </w:r>
      <w:r>
        <w:rPr>
          <w:spacing w:val="37"/>
          <w:sz w:val="24"/>
        </w:rPr>
        <w:t> </w:t>
      </w:r>
      <w:r>
        <w:rPr>
          <w:sz w:val="24"/>
        </w:rPr>
        <w:t>of</w:t>
      </w:r>
      <w:r>
        <w:rPr>
          <w:spacing w:val="38"/>
          <w:sz w:val="24"/>
        </w:rPr>
        <w:t> </w:t>
      </w:r>
      <w:r>
        <w:rPr>
          <w:sz w:val="24"/>
        </w:rPr>
        <w:t>the</w:t>
      </w:r>
      <w:r>
        <w:rPr>
          <w:spacing w:val="36"/>
          <w:sz w:val="24"/>
        </w:rPr>
        <w:t> </w:t>
      </w:r>
      <w:r>
        <w:rPr>
          <w:sz w:val="24"/>
        </w:rPr>
        <w:t>Oil</w:t>
      </w:r>
      <w:r>
        <w:rPr>
          <w:spacing w:val="39"/>
          <w:sz w:val="24"/>
        </w:rPr>
        <w:t> </w:t>
      </w:r>
      <w:r>
        <w:rPr>
          <w:sz w:val="24"/>
        </w:rPr>
        <w:t>Company,</w:t>
      </w:r>
      <w:r>
        <w:rPr>
          <w:spacing w:val="40"/>
          <w:sz w:val="24"/>
        </w:rPr>
        <w:t> </w:t>
      </w:r>
      <w:r>
        <w:rPr>
          <w:sz w:val="24"/>
        </w:rPr>
        <w:t>This</w:t>
      </w:r>
      <w:r>
        <w:rPr>
          <w:spacing w:val="38"/>
          <w:sz w:val="24"/>
        </w:rPr>
        <w:t> </w:t>
      </w:r>
      <w:r>
        <w:rPr>
          <w:sz w:val="24"/>
        </w:rPr>
        <w:t>is</w:t>
      </w:r>
      <w:r>
        <w:rPr>
          <w:spacing w:val="37"/>
          <w:sz w:val="24"/>
        </w:rPr>
        <w:t> </w:t>
      </w:r>
      <w:r>
        <w:rPr>
          <w:sz w:val="24"/>
        </w:rPr>
        <w:t>levied</w:t>
      </w:r>
      <w:r>
        <w:rPr>
          <w:spacing w:val="37"/>
          <w:sz w:val="24"/>
        </w:rPr>
        <w:t> </w:t>
      </w:r>
      <w:r>
        <w:rPr>
          <w:sz w:val="24"/>
        </w:rPr>
        <w:t>in</w:t>
      </w:r>
      <w:r>
        <w:rPr>
          <w:spacing w:val="38"/>
          <w:sz w:val="24"/>
        </w:rPr>
        <w:t> </w:t>
      </w:r>
      <w:r>
        <w:rPr>
          <w:sz w:val="24"/>
        </w:rPr>
        <w:t>accordance</w:t>
      </w:r>
      <w:r>
        <w:rPr>
          <w:spacing w:val="54"/>
          <w:sz w:val="24"/>
        </w:rPr>
        <w:t> </w:t>
      </w:r>
      <w:r>
        <w:rPr>
          <w:spacing w:val="-4"/>
          <w:sz w:val="24"/>
        </w:rPr>
        <w:t>with</w:t>
      </w:r>
    </w:p>
    <w:p>
      <w:pPr>
        <w:pStyle w:val="BodyText"/>
        <w:rPr>
          <w:sz w:val="20"/>
        </w:rPr>
      </w:pPr>
    </w:p>
    <w:p>
      <w:pPr>
        <w:pStyle w:val="BodyText"/>
        <w:spacing w:before="148"/>
        <w:rPr>
          <w:sz w:val="20"/>
        </w:rPr>
      </w:pPr>
      <w:r>
        <w:rPr/>
        <mc:AlternateContent>
          <mc:Choice Requires="wps">
            <w:drawing>
              <wp:anchor distT="0" distB="0" distL="0" distR="0" allowOverlap="1" layoutInCell="1" locked="0" behindDoc="1" simplePos="0" relativeHeight="487599616">
                <wp:simplePos x="0" y="0"/>
                <wp:positionH relativeFrom="page">
                  <wp:posOffset>914704</wp:posOffset>
                </wp:positionH>
                <wp:positionV relativeFrom="paragraph">
                  <wp:posOffset>255331</wp:posOffset>
                </wp:positionV>
                <wp:extent cx="1829435" cy="9525"/>
                <wp:effectExtent l="0" t="0" r="0" b="0"/>
                <wp:wrapTopAndBottom/>
                <wp:docPr id="27" name="Graphic 27"/>
                <wp:cNvGraphicFramePr>
                  <a:graphicFrameLocks/>
                </wp:cNvGraphicFramePr>
                <a:graphic>
                  <a:graphicData uri="http://schemas.microsoft.com/office/word/2010/wordprocessingShape">
                    <wps:wsp>
                      <wps:cNvPr id="27" name="Graphic 27"/>
                      <wps:cNvSpPr/>
                      <wps:spPr>
                        <a:xfrm>
                          <a:off x="0" y="0"/>
                          <a:ext cx="1829435" cy="9525"/>
                        </a:xfrm>
                        <a:custGeom>
                          <a:avLst/>
                          <a:gdLst/>
                          <a:ahLst/>
                          <a:cxnLst/>
                          <a:rect l="l" t="t" r="r" b="b"/>
                          <a:pathLst>
                            <a:path w="1829435" h="9525">
                              <a:moveTo>
                                <a:pt x="1829054" y="0"/>
                              </a:moveTo>
                              <a:lnTo>
                                <a:pt x="0" y="0"/>
                              </a:lnTo>
                              <a:lnTo>
                                <a:pt x="0" y="9144"/>
                              </a:lnTo>
                              <a:lnTo>
                                <a:pt x="1829054" y="9144"/>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20.104853pt;width:144.020pt;height:.72003pt;mso-position-horizontal-relative:page;mso-position-vertical-relative:paragraph;z-index:-15716864;mso-wrap-distance-left:0;mso-wrap-distance-right:0" id="docshape27" filled="true" fillcolor="#000000" stroked="false">
                <v:fill type="solid"/>
                <w10:wrap type="topAndBottom"/>
              </v:rect>
            </w:pict>
          </mc:Fallback>
        </mc:AlternateContent>
      </w:r>
    </w:p>
    <w:p>
      <w:pPr>
        <w:spacing w:before="102"/>
        <w:ind w:left="360" w:right="0" w:firstLine="0"/>
        <w:jc w:val="left"/>
        <w:rPr>
          <w:rFonts w:ascii="Calibri"/>
          <w:sz w:val="20"/>
        </w:rPr>
      </w:pPr>
      <w:r>
        <w:rPr>
          <w:rFonts w:ascii="Calibri"/>
          <w:sz w:val="20"/>
          <w:vertAlign w:val="superscript"/>
        </w:rPr>
        <w:t>19</w:t>
      </w:r>
      <w:r>
        <w:rPr>
          <w:rFonts w:ascii="Calibri"/>
          <w:spacing w:val="-7"/>
          <w:sz w:val="20"/>
          <w:vertAlign w:val="baseline"/>
        </w:rPr>
        <w:t> </w:t>
      </w:r>
      <w:r>
        <w:rPr>
          <w:rFonts w:ascii="Calibri"/>
          <w:sz w:val="20"/>
          <w:vertAlign w:val="baseline"/>
        </w:rPr>
        <w:t>OL1SA</w:t>
      </w:r>
      <w:r>
        <w:rPr>
          <w:rFonts w:ascii="Calibri"/>
          <w:spacing w:val="-6"/>
          <w:sz w:val="20"/>
          <w:vertAlign w:val="baseline"/>
        </w:rPr>
        <w:t> </w:t>
      </w:r>
      <w:r>
        <w:rPr>
          <w:rFonts w:ascii="Calibri"/>
          <w:sz w:val="20"/>
          <w:vertAlign w:val="baseline"/>
        </w:rPr>
        <w:t>M.</w:t>
      </w:r>
      <w:r>
        <w:rPr>
          <w:rFonts w:ascii="Calibri"/>
          <w:spacing w:val="-6"/>
          <w:sz w:val="20"/>
          <w:vertAlign w:val="baseline"/>
        </w:rPr>
        <w:t> </w:t>
      </w:r>
      <w:r>
        <w:rPr>
          <w:rFonts w:ascii="Calibri"/>
          <w:sz w:val="20"/>
          <w:vertAlign w:val="baseline"/>
        </w:rPr>
        <w:t>M.</w:t>
      </w:r>
      <w:r>
        <w:rPr>
          <w:rFonts w:ascii="Calibri"/>
          <w:spacing w:val="-5"/>
          <w:sz w:val="20"/>
          <w:vertAlign w:val="baseline"/>
        </w:rPr>
        <w:t> </w:t>
      </w:r>
      <w:r>
        <w:rPr>
          <w:rFonts w:ascii="Calibri"/>
          <w:sz w:val="20"/>
          <w:vertAlign w:val="baseline"/>
        </w:rPr>
        <w:t>(2003)</w:t>
      </w:r>
      <w:r>
        <w:rPr>
          <w:rFonts w:ascii="Calibri"/>
          <w:spacing w:val="-8"/>
          <w:sz w:val="20"/>
          <w:vertAlign w:val="baseline"/>
        </w:rPr>
        <w:t> </w:t>
      </w:r>
      <w:r>
        <w:rPr>
          <w:rFonts w:ascii="Calibri"/>
          <w:sz w:val="20"/>
          <w:vertAlign w:val="baseline"/>
        </w:rPr>
        <w:t>Nigerian</w:t>
      </w:r>
      <w:r>
        <w:rPr>
          <w:rFonts w:ascii="Calibri"/>
          <w:spacing w:val="-3"/>
          <w:sz w:val="20"/>
          <w:vertAlign w:val="baseline"/>
        </w:rPr>
        <w:t> </w:t>
      </w:r>
      <w:r>
        <w:rPr>
          <w:rFonts w:ascii="Calibri"/>
          <w:sz w:val="20"/>
          <w:vertAlign w:val="baseline"/>
        </w:rPr>
        <w:t>Petroleum</w:t>
      </w:r>
      <w:r>
        <w:rPr>
          <w:rFonts w:ascii="Calibri"/>
          <w:spacing w:val="-6"/>
          <w:sz w:val="20"/>
          <w:vertAlign w:val="baseline"/>
        </w:rPr>
        <w:t> </w:t>
      </w:r>
      <w:r>
        <w:rPr>
          <w:rFonts w:ascii="Calibri"/>
          <w:sz w:val="20"/>
          <w:vertAlign w:val="baseline"/>
        </w:rPr>
        <w:t>Law</w:t>
      </w:r>
      <w:r>
        <w:rPr>
          <w:rFonts w:ascii="Calibri"/>
          <w:spacing w:val="-6"/>
          <w:sz w:val="20"/>
          <w:vertAlign w:val="baseline"/>
        </w:rPr>
        <w:t> </w:t>
      </w:r>
      <w:r>
        <w:rPr>
          <w:rFonts w:ascii="Calibri"/>
          <w:sz w:val="20"/>
          <w:vertAlign w:val="baseline"/>
        </w:rPr>
        <w:t>and</w:t>
      </w:r>
      <w:r>
        <w:rPr>
          <w:rFonts w:ascii="Calibri"/>
          <w:spacing w:val="-6"/>
          <w:sz w:val="20"/>
          <w:vertAlign w:val="baseline"/>
        </w:rPr>
        <w:t> </w:t>
      </w:r>
      <w:r>
        <w:rPr>
          <w:rFonts w:ascii="Calibri"/>
          <w:sz w:val="20"/>
          <w:vertAlign w:val="baseline"/>
        </w:rPr>
        <w:t>Practice</w:t>
      </w:r>
      <w:r>
        <w:rPr>
          <w:rFonts w:ascii="Calibri"/>
          <w:spacing w:val="-7"/>
          <w:sz w:val="20"/>
          <w:vertAlign w:val="baseline"/>
        </w:rPr>
        <w:t> </w:t>
      </w:r>
      <w:r>
        <w:rPr>
          <w:rFonts w:ascii="Calibri"/>
          <w:sz w:val="20"/>
          <w:vertAlign w:val="baseline"/>
        </w:rPr>
        <w:t>(2nd</w:t>
      </w:r>
      <w:r>
        <w:rPr>
          <w:rFonts w:ascii="Calibri"/>
          <w:spacing w:val="-6"/>
          <w:sz w:val="20"/>
          <w:vertAlign w:val="baseline"/>
        </w:rPr>
        <w:t> </w:t>
      </w:r>
      <w:r>
        <w:rPr>
          <w:rFonts w:ascii="Calibri"/>
          <w:sz w:val="20"/>
          <w:vertAlign w:val="baseline"/>
        </w:rPr>
        <w:t>edition)</w:t>
      </w:r>
      <w:r>
        <w:rPr>
          <w:rFonts w:ascii="Calibri"/>
          <w:spacing w:val="-6"/>
          <w:sz w:val="20"/>
          <w:vertAlign w:val="baseline"/>
        </w:rPr>
        <w:t> </w:t>
      </w:r>
      <w:r>
        <w:rPr>
          <w:rFonts w:ascii="Calibri"/>
          <w:sz w:val="20"/>
          <w:vertAlign w:val="baseline"/>
        </w:rPr>
        <w:t>Jonia</w:t>
      </w:r>
      <w:r>
        <w:rPr>
          <w:rFonts w:ascii="Calibri"/>
          <w:spacing w:val="-6"/>
          <w:sz w:val="20"/>
          <w:vertAlign w:val="baseline"/>
        </w:rPr>
        <w:t> </w:t>
      </w:r>
      <w:r>
        <w:rPr>
          <w:rFonts w:ascii="Calibri"/>
          <w:sz w:val="20"/>
          <w:vertAlign w:val="baseline"/>
        </w:rPr>
        <w:t>Ventures</w:t>
      </w:r>
      <w:r>
        <w:rPr>
          <w:rFonts w:ascii="Calibri"/>
          <w:spacing w:val="-7"/>
          <w:sz w:val="20"/>
          <w:vertAlign w:val="baseline"/>
        </w:rPr>
        <w:t> </w:t>
      </w:r>
      <w:r>
        <w:rPr>
          <w:rFonts w:ascii="Calibri"/>
          <w:sz w:val="20"/>
          <w:vertAlign w:val="baseline"/>
        </w:rPr>
        <w:t>Limited</w:t>
      </w:r>
      <w:r>
        <w:rPr>
          <w:rFonts w:ascii="Calibri"/>
          <w:spacing w:val="-6"/>
          <w:sz w:val="20"/>
          <w:vertAlign w:val="baseline"/>
        </w:rPr>
        <w:t> </w:t>
      </w:r>
      <w:r>
        <w:rPr>
          <w:rFonts w:ascii="Calibri"/>
          <w:spacing w:val="-2"/>
          <w:sz w:val="20"/>
          <w:vertAlign w:val="baseline"/>
        </w:rPr>
        <w:t>Lagos.</w:t>
      </w:r>
    </w:p>
    <w:p>
      <w:pPr>
        <w:spacing w:after="0"/>
        <w:jc w:val="left"/>
        <w:rPr>
          <w:rFonts w:ascii="Calibri"/>
          <w:sz w:val="20"/>
        </w:rPr>
        <w:sectPr>
          <w:pgSz w:w="11910" w:h="16840"/>
          <w:pgMar w:header="0" w:footer="1000" w:top="1340" w:bottom="1200" w:left="1080" w:right="1280"/>
        </w:sectPr>
      </w:pPr>
    </w:p>
    <w:p>
      <w:pPr>
        <w:pStyle w:val="BodyText"/>
        <w:spacing w:before="74"/>
        <w:ind w:left="1080"/>
      </w:pPr>
      <w:r>
        <w:rPr/>
        <w:t>the</w:t>
      </w:r>
      <w:r>
        <w:rPr>
          <w:spacing w:val="7"/>
        </w:rPr>
        <w:t> </w:t>
      </w:r>
      <w:r>
        <w:rPr/>
        <w:t>provisions</w:t>
      </w:r>
      <w:r>
        <w:rPr>
          <w:spacing w:val="8"/>
        </w:rPr>
        <w:t> </w:t>
      </w:r>
      <w:r>
        <w:rPr/>
        <w:t>of</w:t>
      </w:r>
      <w:r>
        <w:rPr>
          <w:spacing w:val="9"/>
        </w:rPr>
        <w:t> </w:t>
      </w:r>
      <w:r>
        <w:rPr/>
        <w:t>the</w:t>
      </w:r>
      <w:r>
        <w:rPr>
          <w:spacing w:val="8"/>
        </w:rPr>
        <w:t> </w:t>
      </w:r>
      <w:r>
        <w:rPr>
          <w:spacing w:val="-4"/>
        </w:rPr>
        <w:t>PPTA</w:t>
      </w:r>
    </w:p>
    <w:p>
      <w:pPr>
        <w:pStyle w:val="ListParagraph"/>
        <w:numPr>
          <w:ilvl w:val="2"/>
          <w:numId w:val="7"/>
        </w:numPr>
        <w:tabs>
          <w:tab w:pos="1078" w:val="left" w:leader="none"/>
          <w:tab w:pos="1080" w:val="left" w:leader="none"/>
        </w:tabs>
        <w:spacing w:line="480" w:lineRule="auto" w:before="276" w:after="0"/>
        <w:ind w:left="1080" w:right="167" w:hanging="360"/>
        <w:jc w:val="left"/>
        <w:rPr>
          <w:sz w:val="24"/>
        </w:rPr>
      </w:pPr>
      <w:r>
        <w:rPr>
          <w:sz w:val="24"/>
        </w:rPr>
        <w:t>Signature</w:t>
      </w:r>
      <w:r>
        <w:rPr>
          <w:spacing w:val="80"/>
          <w:sz w:val="24"/>
        </w:rPr>
        <w:t> </w:t>
      </w:r>
      <w:r>
        <w:rPr>
          <w:sz w:val="24"/>
        </w:rPr>
        <w:t>Bonuses:</w:t>
      </w:r>
      <w:r>
        <w:rPr>
          <w:spacing w:val="80"/>
          <w:sz w:val="24"/>
        </w:rPr>
        <w:t> </w:t>
      </w:r>
      <w:r>
        <w:rPr>
          <w:sz w:val="24"/>
        </w:rPr>
        <w:t>Paid</w:t>
      </w:r>
      <w:r>
        <w:rPr>
          <w:spacing w:val="80"/>
          <w:sz w:val="24"/>
        </w:rPr>
        <w:t> </w:t>
      </w:r>
      <w:r>
        <w:rPr>
          <w:sz w:val="24"/>
        </w:rPr>
        <w:t>upon</w:t>
      </w:r>
      <w:r>
        <w:rPr>
          <w:spacing w:val="80"/>
          <w:sz w:val="24"/>
        </w:rPr>
        <w:t> </w:t>
      </w:r>
      <w:r>
        <w:rPr>
          <w:sz w:val="24"/>
        </w:rPr>
        <w:t>grants</w:t>
      </w:r>
      <w:r>
        <w:rPr>
          <w:spacing w:val="80"/>
          <w:sz w:val="24"/>
        </w:rPr>
        <w:t> </w:t>
      </w:r>
      <w:r>
        <w:rPr>
          <w:sz w:val="24"/>
        </w:rPr>
        <w:t>of</w:t>
      </w:r>
      <w:r>
        <w:rPr>
          <w:spacing w:val="80"/>
          <w:sz w:val="24"/>
        </w:rPr>
        <w:t> </w:t>
      </w:r>
      <w:r>
        <w:rPr>
          <w:sz w:val="24"/>
        </w:rPr>
        <w:t>Oil</w:t>
      </w:r>
      <w:r>
        <w:rPr>
          <w:spacing w:val="80"/>
          <w:sz w:val="24"/>
        </w:rPr>
        <w:t> </w:t>
      </w:r>
      <w:r>
        <w:rPr>
          <w:sz w:val="24"/>
        </w:rPr>
        <w:t>Prospecting</w:t>
      </w:r>
      <w:r>
        <w:rPr>
          <w:spacing w:val="80"/>
          <w:sz w:val="24"/>
        </w:rPr>
        <w:t> </w:t>
      </w:r>
      <w:r>
        <w:rPr>
          <w:sz w:val="24"/>
        </w:rPr>
        <w:t>Licences,</w:t>
      </w:r>
      <w:r>
        <w:rPr>
          <w:spacing w:val="80"/>
          <w:sz w:val="24"/>
        </w:rPr>
        <w:t> </w:t>
      </w:r>
      <w:r>
        <w:rPr>
          <w:sz w:val="24"/>
        </w:rPr>
        <w:t>Production Sharing</w:t>
      </w:r>
      <w:r>
        <w:rPr>
          <w:spacing w:val="40"/>
          <w:sz w:val="24"/>
        </w:rPr>
        <w:t> </w:t>
      </w:r>
      <w:r>
        <w:rPr>
          <w:sz w:val="24"/>
        </w:rPr>
        <w:t>and</w:t>
      </w:r>
      <w:r>
        <w:rPr>
          <w:spacing w:val="40"/>
          <w:sz w:val="24"/>
        </w:rPr>
        <w:t> </w:t>
      </w:r>
      <w:r>
        <w:rPr>
          <w:sz w:val="24"/>
        </w:rPr>
        <w:t>Service</w:t>
      </w:r>
      <w:r>
        <w:rPr>
          <w:spacing w:val="40"/>
          <w:sz w:val="24"/>
        </w:rPr>
        <w:t> </w:t>
      </w:r>
      <w:r>
        <w:rPr>
          <w:sz w:val="24"/>
        </w:rPr>
        <w:t>Agreements</w:t>
      </w:r>
      <w:r>
        <w:rPr>
          <w:spacing w:val="40"/>
          <w:sz w:val="24"/>
        </w:rPr>
        <w:t> </w:t>
      </w:r>
      <w:r>
        <w:rPr>
          <w:sz w:val="24"/>
        </w:rPr>
        <w:t>as</w:t>
      </w:r>
      <w:r>
        <w:rPr>
          <w:spacing w:val="40"/>
          <w:sz w:val="24"/>
        </w:rPr>
        <w:t> </w:t>
      </w:r>
      <w:r>
        <w:rPr>
          <w:sz w:val="24"/>
        </w:rPr>
        <w:t>well</w:t>
      </w:r>
      <w:r>
        <w:rPr>
          <w:spacing w:val="40"/>
          <w:sz w:val="24"/>
        </w:rPr>
        <w:t> </w:t>
      </w:r>
      <w:r>
        <w:rPr>
          <w:sz w:val="24"/>
        </w:rPr>
        <w:t>as</w:t>
      </w:r>
      <w:r>
        <w:rPr>
          <w:spacing w:val="40"/>
          <w:sz w:val="24"/>
        </w:rPr>
        <w:t> </w:t>
      </w:r>
      <w:r>
        <w:rPr>
          <w:sz w:val="24"/>
        </w:rPr>
        <w:t>marginal</w:t>
      </w:r>
      <w:r>
        <w:rPr>
          <w:spacing w:val="40"/>
          <w:sz w:val="24"/>
        </w:rPr>
        <w:t> </w:t>
      </w:r>
      <w:r>
        <w:rPr>
          <w:sz w:val="24"/>
        </w:rPr>
        <w:t>fields</w:t>
      </w:r>
      <w:r>
        <w:rPr>
          <w:spacing w:val="80"/>
          <w:sz w:val="24"/>
        </w:rPr>
        <w:t> </w:t>
      </w:r>
      <w:r>
        <w:rPr>
          <w:sz w:val="24"/>
        </w:rPr>
        <w:t>allocation.</w:t>
      </w:r>
    </w:p>
    <w:p>
      <w:pPr>
        <w:pStyle w:val="ListParagraph"/>
        <w:numPr>
          <w:ilvl w:val="2"/>
          <w:numId w:val="7"/>
        </w:numPr>
        <w:tabs>
          <w:tab w:pos="1080" w:val="left" w:leader="none"/>
        </w:tabs>
        <w:spacing w:line="480" w:lineRule="auto" w:before="0" w:after="0"/>
        <w:ind w:left="1080" w:right="160" w:hanging="360"/>
        <w:jc w:val="left"/>
        <w:rPr>
          <w:sz w:val="24"/>
        </w:rPr>
      </w:pPr>
      <w:r>
        <w:rPr>
          <w:sz w:val="24"/>
        </w:rPr>
        <w:t>Fees: These include those charged and paid in connection with the application, grant, assignment, etc. in respect of the following:</w:t>
      </w:r>
    </w:p>
    <w:p>
      <w:pPr>
        <w:pStyle w:val="ListParagraph"/>
        <w:numPr>
          <w:ilvl w:val="3"/>
          <w:numId w:val="7"/>
        </w:numPr>
        <w:tabs>
          <w:tab w:pos="1433" w:val="left" w:leader="none"/>
        </w:tabs>
        <w:spacing w:line="240" w:lineRule="auto" w:before="0" w:after="0"/>
        <w:ind w:left="1433" w:right="0" w:hanging="720"/>
        <w:jc w:val="left"/>
        <w:rPr>
          <w:sz w:val="24"/>
        </w:rPr>
      </w:pPr>
      <w:r>
        <w:rPr>
          <w:sz w:val="24"/>
        </w:rPr>
        <w:t>Oil</w:t>
      </w:r>
      <w:r>
        <w:rPr>
          <w:spacing w:val="4"/>
          <w:sz w:val="24"/>
        </w:rPr>
        <w:t> </w:t>
      </w:r>
      <w:r>
        <w:rPr>
          <w:sz w:val="24"/>
        </w:rPr>
        <w:t>Exploration</w:t>
      </w:r>
      <w:r>
        <w:rPr>
          <w:spacing w:val="5"/>
          <w:sz w:val="24"/>
        </w:rPr>
        <w:t> </w:t>
      </w:r>
      <w:r>
        <w:rPr>
          <w:sz w:val="24"/>
        </w:rPr>
        <w:t>and</w:t>
      </w:r>
      <w:r>
        <w:rPr>
          <w:spacing w:val="4"/>
          <w:sz w:val="24"/>
        </w:rPr>
        <w:t> </w:t>
      </w:r>
      <w:r>
        <w:rPr>
          <w:sz w:val="24"/>
        </w:rPr>
        <w:t>Oil</w:t>
      </w:r>
      <w:r>
        <w:rPr>
          <w:spacing w:val="5"/>
          <w:sz w:val="24"/>
        </w:rPr>
        <w:t> </w:t>
      </w:r>
      <w:r>
        <w:rPr>
          <w:sz w:val="24"/>
        </w:rPr>
        <w:t>Prospecting</w:t>
      </w:r>
      <w:r>
        <w:rPr>
          <w:spacing w:val="7"/>
          <w:sz w:val="24"/>
        </w:rPr>
        <w:t> </w:t>
      </w:r>
      <w:r>
        <w:rPr>
          <w:spacing w:val="-2"/>
          <w:sz w:val="24"/>
        </w:rPr>
        <w:t>Licences;</w:t>
      </w:r>
    </w:p>
    <w:p>
      <w:pPr>
        <w:pStyle w:val="BodyText"/>
      </w:pPr>
    </w:p>
    <w:p>
      <w:pPr>
        <w:pStyle w:val="ListParagraph"/>
        <w:numPr>
          <w:ilvl w:val="3"/>
          <w:numId w:val="7"/>
        </w:numPr>
        <w:tabs>
          <w:tab w:pos="1433" w:val="left" w:leader="none"/>
        </w:tabs>
        <w:spacing w:line="240" w:lineRule="auto" w:before="0" w:after="0"/>
        <w:ind w:left="1433" w:right="0" w:hanging="720"/>
        <w:jc w:val="left"/>
        <w:rPr>
          <w:sz w:val="24"/>
        </w:rPr>
      </w:pPr>
      <w:r>
        <w:rPr>
          <w:sz w:val="24"/>
        </w:rPr>
        <w:t>Oil</w:t>
      </w:r>
      <w:r>
        <w:rPr>
          <w:spacing w:val="4"/>
          <w:sz w:val="24"/>
        </w:rPr>
        <w:t> </w:t>
      </w:r>
      <w:r>
        <w:rPr>
          <w:sz w:val="24"/>
        </w:rPr>
        <w:t>Mining</w:t>
      </w:r>
      <w:r>
        <w:rPr>
          <w:spacing w:val="4"/>
          <w:sz w:val="24"/>
        </w:rPr>
        <w:t> </w:t>
      </w:r>
      <w:r>
        <w:rPr>
          <w:spacing w:val="-2"/>
          <w:sz w:val="24"/>
        </w:rPr>
        <w:t>Leases;</w:t>
      </w:r>
    </w:p>
    <w:p>
      <w:pPr>
        <w:pStyle w:val="BodyText"/>
      </w:pPr>
    </w:p>
    <w:p>
      <w:pPr>
        <w:pStyle w:val="ListParagraph"/>
        <w:numPr>
          <w:ilvl w:val="3"/>
          <w:numId w:val="7"/>
        </w:numPr>
        <w:tabs>
          <w:tab w:pos="1433" w:val="left" w:leader="none"/>
        </w:tabs>
        <w:spacing w:line="240" w:lineRule="auto" w:before="1" w:after="0"/>
        <w:ind w:left="1433" w:right="0" w:hanging="720"/>
        <w:jc w:val="left"/>
        <w:rPr>
          <w:sz w:val="24"/>
        </w:rPr>
      </w:pPr>
      <w:r>
        <w:rPr>
          <w:sz w:val="24"/>
        </w:rPr>
        <w:t>Permits</w:t>
      </w:r>
      <w:r>
        <w:rPr>
          <w:spacing w:val="-1"/>
          <w:sz w:val="24"/>
        </w:rPr>
        <w:t> </w:t>
      </w:r>
      <w:r>
        <w:rPr>
          <w:sz w:val="24"/>
        </w:rPr>
        <w:t>to Survey</w:t>
      </w:r>
      <w:r>
        <w:rPr>
          <w:spacing w:val="-5"/>
          <w:sz w:val="24"/>
        </w:rPr>
        <w:t> </w:t>
      </w:r>
      <w:r>
        <w:rPr>
          <w:sz w:val="24"/>
        </w:rPr>
        <w:t>the route of</w:t>
      </w:r>
      <w:r>
        <w:rPr>
          <w:spacing w:val="-2"/>
          <w:sz w:val="24"/>
        </w:rPr>
        <w:t> </w:t>
      </w:r>
      <w:r>
        <w:rPr>
          <w:sz w:val="24"/>
        </w:rPr>
        <w:t>proposed</w:t>
      </w:r>
      <w:r>
        <w:rPr>
          <w:spacing w:val="-1"/>
          <w:sz w:val="24"/>
        </w:rPr>
        <w:t> </w:t>
      </w:r>
      <w:r>
        <w:rPr>
          <w:sz w:val="24"/>
        </w:rPr>
        <w:t>oil </w:t>
      </w:r>
      <w:r>
        <w:rPr>
          <w:spacing w:val="-2"/>
          <w:sz w:val="24"/>
        </w:rPr>
        <w:t>pipelines;</w:t>
      </w:r>
    </w:p>
    <w:p>
      <w:pPr>
        <w:pStyle w:val="ListParagraph"/>
        <w:numPr>
          <w:ilvl w:val="3"/>
          <w:numId w:val="7"/>
        </w:numPr>
        <w:tabs>
          <w:tab w:pos="1433" w:val="left" w:leader="none"/>
        </w:tabs>
        <w:spacing w:line="240" w:lineRule="auto" w:before="276" w:after="0"/>
        <w:ind w:left="1433" w:right="0" w:hanging="720"/>
        <w:jc w:val="left"/>
        <w:rPr>
          <w:sz w:val="24"/>
        </w:rPr>
      </w:pPr>
      <w:r>
        <w:rPr>
          <w:sz w:val="24"/>
        </w:rPr>
        <w:t>Oil</w:t>
      </w:r>
      <w:r>
        <w:rPr>
          <w:spacing w:val="5"/>
          <w:sz w:val="24"/>
        </w:rPr>
        <w:t> </w:t>
      </w:r>
      <w:r>
        <w:rPr>
          <w:sz w:val="24"/>
        </w:rPr>
        <w:t>Pipeline</w:t>
      </w:r>
      <w:r>
        <w:rPr>
          <w:spacing w:val="4"/>
          <w:sz w:val="24"/>
        </w:rPr>
        <w:t> </w:t>
      </w:r>
      <w:r>
        <w:rPr>
          <w:spacing w:val="-2"/>
          <w:sz w:val="24"/>
        </w:rPr>
        <w:t>Licences;</w:t>
      </w:r>
    </w:p>
    <w:p>
      <w:pPr>
        <w:pStyle w:val="ListParagraph"/>
        <w:numPr>
          <w:ilvl w:val="3"/>
          <w:numId w:val="7"/>
        </w:numPr>
        <w:tabs>
          <w:tab w:pos="1433" w:val="left" w:leader="none"/>
        </w:tabs>
        <w:spacing w:line="240" w:lineRule="auto" w:before="276" w:after="0"/>
        <w:ind w:left="1433" w:right="0" w:hanging="720"/>
        <w:jc w:val="left"/>
        <w:rPr>
          <w:sz w:val="24"/>
        </w:rPr>
      </w:pPr>
      <w:r>
        <w:rPr>
          <w:sz w:val="24"/>
        </w:rPr>
        <w:t>Production</w:t>
      </w:r>
      <w:r>
        <w:rPr>
          <w:spacing w:val="-2"/>
          <w:sz w:val="24"/>
        </w:rPr>
        <w:t> </w:t>
      </w:r>
      <w:r>
        <w:rPr>
          <w:sz w:val="24"/>
        </w:rPr>
        <w:t>Sharing</w:t>
      </w:r>
      <w:r>
        <w:rPr>
          <w:spacing w:val="-5"/>
          <w:sz w:val="24"/>
        </w:rPr>
        <w:t> </w:t>
      </w:r>
      <w:r>
        <w:rPr>
          <w:sz w:val="24"/>
        </w:rPr>
        <w:t>and Service</w:t>
      </w:r>
      <w:r>
        <w:rPr>
          <w:spacing w:val="-2"/>
          <w:sz w:val="24"/>
        </w:rPr>
        <w:t> Agreements,</w:t>
      </w:r>
    </w:p>
    <w:p>
      <w:pPr>
        <w:pStyle w:val="ListParagraph"/>
        <w:numPr>
          <w:ilvl w:val="3"/>
          <w:numId w:val="7"/>
        </w:numPr>
        <w:tabs>
          <w:tab w:pos="1433" w:val="left" w:leader="none"/>
        </w:tabs>
        <w:spacing w:line="240" w:lineRule="auto" w:before="276" w:after="0"/>
        <w:ind w:left="1433" w:right="0" w:hanging="720"/>
        <w:jc w:val="left"/>
        <w:rPr>
          <w:sz w:val="24"/>
        </w:rPr>
      </w:pPr>
      <w:r>
        <w:rPr>
          <w:sz w:val="24"/>
        </w:rPr>
        <w:t>Marginal</w:t>
      </w:r>
      <w:r>
        <w:rPr>
          <w:spacing w:val="4"/>
          <w:sz w:val="24"/>
        </w:rPr>
        <w:t> </w:t>
      </w:r>
      <w:r>
        <w:rPr>
          <w:sz w:val="24"/>
        </w:rPr>
        <w:t>fields</w:t>
      </w:r>
      <w:r>
        <w:rPr>
          <w:spacing w:val="4"/>
          <w:sz w:val="24"/>
        </w:rPr>
        <w:t> </w:t>
      </w:r>
      <w:r>
        <w:rPr>
          <w:spacing w:val="-2"/>
          <w:sz w:val="24"/>
        </w:rPr>
        <w:t>allocations.</w:t>
      </w:r>
    </w:p>
    <w:p>
      <w:pPr>
        <w:pStyle w:val="ListParagraph"/>
        <w:numPr>
          <w:ilvl w:val="2"/>
          <w:numId w:val="7"/>
        </w:numPr>
        <w:tabs>
          <w:tab w:pos="1431" w:val="left" w:leader="none"/>
        </w:tabs>
        <w:spacing w:line="480" w:lineRule="auto" w:before="276" w:after="0"/>
        <w:ind w:left="1080" w:right="177" w:firstLine="0"/>
        <w:jc w:val="left"/>
        <w:rPr>
          <w:sz w:val="24"/>
        </w:rPr>
      </w:pPr>
      <w:r>
        <w:rPr>
          <w:sz w:val="24"/>
        </w:rPr>
        <w:t>Rents:</w:t>
      </w:r>
      <w:r>
        <w:rPr>
          <w:spacing w:val="40"/>
          <w:sz w:val="24"/>
        </w:rPr>
        <w:t> </w:t>
      </w:r>
      <w:r>
        <w:rPr>
          <w:sz w:val="24"/>
        </w:rPr>
        <w:t>In</w:t>
      </w:r>
      <w:r>
        <w:rPr>
          <w:spacing w:val="40"/>
          <w:sz w:val="24"/>
        </w:rPr>
        <w:t> </w:t>
      </w:r>
      <w:r>
        <w:rPr>
          <w:sz w:val="24"/>
        </w:rPr>
        <w:t>respect</w:t>
      </w:r>
      <w:r>
        <w:rPr>
          <w:spacing w:val="40"/>
          <w:sz w:val="24"/>
        </w:rPr>
        <w:t> </w:t>
      </w:r>
      <w:r>
        <w:rPr>
          <w:sz w:val="24"/>
        </w:rPr>
        <w:t>of</w:t>
      </w:r>
      <w:r>
        <w:rPr>
          <w:spacing w:val="40"/>
          <w:sz w:val="24"/>
        </w:rPr>
        <w:t> </w:t>
      </w:r>
      <w:r>
        <w:rPr>
          <w:sz w:val="24"/>
        </w:rPr>
        <w:t>concessions</w:t>
      </w:r>
      <w:r>
        <w:rPr>
          <w:spacing w:val="40"/>
          <w:sz w:val="24"/>
        </w:rPr>
        <w:t> </w:t>
      </w:r>
      <w:r>
        <w:rPr>
          <w:sz w:val="24"/>
        </w:rPr>
        <w:t>and</w:t>
      </w:r>
      <w:r>
        <w:rPr>
          <w:spacing w:val="40"/>
          <w:sz w:val="24"/>
        </w:rPr>
        <w:t> </w:t>
      </w:r>
      <w:r>
        <w:rPr>
          <w:sz w:val="24"/>
        </w:rPr>
        <w:t>grants</w:t>
      </w:r>
      <w:r>
        <w:rPr>
          <w:spacing w:val="40"/>
          <w:sz w:val="24"/>
        </w:rPr>
        <w:t> </w:t>
      </w:r>
      <w:r>
        <w:rPr>
          <w:sz w:val="24"/>
        </w:rPr>
        <w:t>made</w:t>
      </w:r>
      <w:r>
        <w:rPr>
          <w:spacing w:val="40"/>
          <w:sz w:val="24"/>
        </w:rPr>
        <w:t> </w:t>
      </w:r>
      <w:r>
        <w:rPr>
          <w:sz w:val="24"/>
        </w:rPr>
        <w:t>to</w:t>
      </w:r>
      <w:r>
        <w:rPr>
          <w:spacing w:val="40"/>
          <w:sz w:val="24"/>
        </w:rPr>
        <w:t> </w:t>
      </w:r>
      <w:r>
        <w:rPr>
          <w:sz w:val="24"/>
        </w:rPr>
        <w:t>oil</w:t>
      </w:r>
      <w:r>
        <w:rPr>
          <w:spacing w:val="40"/>
          <w:sz w:val="24"/>
        </w:rPr>
        <w:t> </w:t>
      </w:r>
      <w:r>
        <w:rPr>
          <w:sz w:val="24"/>
        </w:rPr>
        <w:t>companies</w:t>
      </w:r>
      <w:r>
        <w:rPr>
          <w:spacing w:val="40"/>
          <w:sz w:val="24"/>
        </w:rPr>
        <w:t> </w:t>
      </w:r>
      <w:r>
        <w:rPr>
          <w:sz w:val="24"/>
        </w:rPr>
        <w:t>under</w:t>
      </w:r>
      <w:r>
        <w:rPr>
          <w:spacing w:val="40"/>
          <w:sz w:val="24"/>
        </w:rPr>
        <w:t> </w:t>
      </w:r>
      <w:r>
        <w:rPr>
          <w:sz w:val="24"/>
        </w:rPr>
        <w:t>the Petroleum Act.</w:t>
      </w:r>
      <w:r>
        <w:rPr>
          <w:sz w:val="24"/>
          <w:vertAlign w:val="superscript"/>
        </w:rPr>
        <w:t>20</w:t>
      </w:r>
    </w:p>
    <w:p>
      <w:pPr>
        <w:pStyle w:val="ListParagraph"/>
        <w:numPr>
          <w:ilvl w:val="2"/>
          <w:numId w:val="7"/>
        </w:numPr>
        <w:tabs>
          <w:tab w:pos="1080" w:val="left" w:leader="none"/>
        </w:tabs>
        <w:spacing w:line="480" w:lineRule="auto" w:before="0" w:after="0"/>
        <w:ind w:left="1080" w:right="187" w:hanging="720"/>
        <w:jc w:val="left"/>
        <w:rPr>
          <w:sz w:val="24"/>
        </w:rPr>
      </w:pPr>
      <w:r>
        <w:rPr>
          <w:sz w:val="24"/>
        </w:rPr>
        <w:t>Premiums:</w:t>
      </w:r>
      <w:r>
        <w:rPr>
          <w:spacing w:val="80"/>
          <w:sz w:val="24"/>
        </w:rPr>
        <w:t> </w:t>
      </w:r>
      <w:r>
        <w:rPr>
          <w:sz w:val="24"/>
        </w:rPr>
        <w:t>Paid</w:t>
      </w:r>
      <w:r>
        <w:rPr>
          <w:spacing w:val="80"/>
          <w:sz w:val="24"/>
        </w:rPr>
        <w:t> </w:t>
      </w:r>
      <w:r>
        <w:rPr>
          <w:sz w:val="24"/>
        </w:rPr>
        <w:t>(if</w:t>
      </w:r>
      <w:r>
        <w:rPr>
          <w:spacing w:val="80"/>
          <w:sz w:val="24"/>
        </w:rPr>
        <w:t> </w:t>
      </w:r>
      <w:r>
        <w:rPr>
          <w:sz w:val="24"/>
        </w:rPr>
        <w:t>not</w:t>
      </w:r>
      <w:r>
        <w:rPr>
          <w:spacing w:val="80"/>
          <w:sz w:val="24"/>
        </w:rPr>
        <w:t> </w:t>
      </w:r>
      <w:r>
        <w:rPr>
          <w:sz w:val="24"/>
        </w:rPr>
        <w:t>waived)</w:t>
      </w:r>
      <w:r>
        <w:rPr>
          <w:spacing w:val="80"/>
          <w:sz w:val="24"/>
        </w:rPr>
        <w:t> </w:t>
      </w:r>
      <w:r>
        <w:rPr>
          <w:sz w:val="24"/>
        </w:rPr>
        <w:t>in</w:t>
      </w:r>
      <w:r>
        <w:rPr>
          <w:spacing w:val="80"/>
          <w:sz w:val="24"/>
        </w:rPr>
        <w:t> </w:t>
      </w:r>
      <w:r>
        <w:rPr>
          <w:sz w:val="24"/>
        </w:rPr>
        <w:t>respect</w:t>
      </w:r>
      <w:r>
        <w:rPr>
          <w:spacing w:val="80"/>
          <w:sz w:val="24"/>
        </w:rPr>
        <w:t> </w:t>
      </w:r>
      <w:r>
        <w:rPr>
          <w:sz w:val="24"/>
        </w:rPr>
        <w:t>of</w:t>
      </w:r>
      <w:r>
        <w:rPr>
          <w:spacing w:val="80"/>
          <w:sz w:val="24"/>
        </w:rPr>
        <w:t> </w:t>
      </w:r>
      <w:r>
        <w:rPr>
          <w:sz w:val="24"/>
        </w:rPr>
        <w:t>approved</w:t>
      </w:r>
      <w:r>
        <w:rPr>
          <w:spacing w:val="80"/>
          <w:w w:val="150"/>
          <w:sz w:val="24"/>
        </w:rPr>
        <w:t> </w:t>
      </w:r>
      <w:r>
        <w:rPr>
          <w:sz w:val="24"/>
        </w:rPr>
        <w:t>assignments</w:t>
      </w:r>
      <w:r>
        <w:rPr>
          <w:spacing w:val="80"/>
          <w:sz w:val="24"/>
        </w:rPr>
        <w:t> </w:t>
      </w:r>
      <w:r>
        <w:rPr>
          <w:sz w:val="24"/>
        </w:rPr>
        <w:t>of</w:t>
      </w:r>
      <w:r>
        <w:rPr>
          <w:spacing w:val="80"/>
          <w:sz w:val="24"/>
        </w:rPr>
        <w:t> </w:t>
      </w:r>
      <w:r>
        <w:rPr>
          <w:sz w:val="24"/>
        </w:rPr>
        <w:t>Oil</w:t>
      </w:r>
      <w:r>
        <w:rPr>
          <w:spacing w:val="80"/>
          <w:sz w:val="24"/>
        </w:rPr>
        <w:t> </w:t>
      </w:r>
      <w:r>
        <w:rPr>
          <w:sz w:val="24"/>
        </w:rPr>
        <w:t>Prospecting Licences and Oil Mining Leases or of interest therein.</w:t>
      </w:r>
      <w:r>
        <w:rPr>
          <w:sz w:val="24"/>
          <w:vertAlign w:val="superscript"/>
        </w:rPr>
        <w:t>21</w:t>
      </w:r>
    </w:p>
    <w:p>
      <w:pPr>
        <w:pStyle w:val="ListParagraph"/>
        <w:numPr>
          <w:ilvl w:val="2"/>
          <w:numId w:val="7"/>
        </w:numPr>
        <w:tabs>
          <w:tab w:pos="1080" w:val="left" w:leader="none"/>
        </w:tabs>
        <w:spacing w:line="480" w:lineRule="auto" w:before="0" w:after="0"/>
        <w:ind w:left="1080" w:right="179" w:hanging="720"/>
        <w:jc w:val="left"/>
        <w:rPr>
          <w:sz w:val="24"/>
        </w:rPr>
      </w:pPr>
      <w:r>
        <w:rPr>
          <w:sz w:val="24"/>
        </w:rPr>
        <w:t>Revenue</w:t>
      </w:r>
      <w:r>
        <w:rPr>
          <w:spacing w:val="40"/>
          <w:sz w:val="24"/>
        </w:rPr>
        <w:t> </w:t>
      </w:r>
      <w:r>
        <w:rPr>
          <w:sz w:val="24"/>
        </w:rPr>
        <w:t>from</w:t>
      </w:r>
      <w:r>
        <w:rPr>
          <w:spacing w:val="40"/>
          <w:sz w:val="24"/>
        </w:rPr>
        <w:t> </w:t>
      </w:r>
      <w:r>
        <w:rPr>
          <w:sz w:val="24"/>
        </w:rPr>
        <w:t>Royalties:</w:t>
      </w:r>
      <w:r>
        <w:rPr>
          <w:spacing w:val="40"/>
          <w:sz w:val="24"/>
        </w:rPr>
        <w:t> </w:t>
      </w:r>
      <w:r>
        <w:rPr>
          <w:sz w:val="24"/>
        </w:rPr>
        <w:t>Paid</w:t>
      </w:r>
      <w:r>
        <w:rPr>
          <w:spacing w:val="40"/>
          <w:sz w:val="24"/>
        </w:rPr>
        <w:t> </w:t>
      </w:r>
      <w:r>
        <w:rPr>
          <w:sz w:val="24"/>
        </w:rPr>
        <w:t>on</w:t>
      </w:r>
      <w:r>
        <w:rPr>
          <w:spacing w:val="40"/>
          <w:sz w:val="24"/>
        </w:rPr>
        <w:t> </w:t>
      </w:r>
      <w:r>
        <w:rPr>
          <w:sz w:val="24"/>
        </w:rPr>
        <w:t>crude</w:t>
      </w:r>
      <w:r>
        <w:rPr>
          <w:spacing w:val="40"/>
          <w:sz w:val="24"/>
        </w:rPr>
        <w:t> </w:t>
      </w:r>
      <w:r>
        <w:rPr>
          <w:sz w:val="24"/>
        </w:rPr>
        <w:t>oil,</w:t>
      </w:r>
      <w:r>
        <w:rPr>
          <w:spacing w:val="40"/>
          <w:sz w:val="24"/>
        </w:rPr>
        <w:t> </w:t>
      </w:r>
      <w:r>
        <w:rPr>
          <w:sz w:val="24"/>
        </w:rPr>
        <w:t>casinghead</w:t>
      </w:r>
      <w:r>
        <w:rPr>
          <w:spacing w:val="40"/>
          <w:sz w:val="24"/>
        </w:rPr>
        <w:t> </w:t>
      </w:r>
      <w:r>
        <w:rPr>
          <w:sz w:val="24"/>
        </w:rPr>
        <w:t>petroleum</w:t>
      </w:r>
      <w:r>
        <w:rPr>
          <w:spacing w:val="40"/>
          <w:sz w:val="24"/>
        </w:rPr>
        <w:t> </w:t>
      </w:r>
      <w:r>
        <w:rPr>
          <w:sz w:val="24"/>
        </w:rPr>
        <w:t>spirit</w:t>
      </w:r>
      <w:r>
        <w:rPr>
          <w:spacing w:val="40"/>
          <w:sz w:val="24"/>
        </w:rPr>
        <w:t> </w:t>
      </w:r>
      <w:r>
        <w:rPr>
          <w:sz w:val="24"/>
        </w:rPr>
        <w:t>and</w:t>
      </w:r>
      <w:r>
        <w:rPr>
          <w:spacing w:val="40"/>
          <w:sz w:val="24"/>
        </w:rPr>
        <w:t> </w:t>
      </w:r>
      <w:r>
        <w:rPr>
          <w:sz w:val="24"/>
        </w:rPr>
        <w:t>gas produced from on-shore and off-shore concessions.</w:t>
      </w:r>
    </w:p>
    <w:p>
      <w:pPr>
        <w:pStyle w:val="ListParagraph"/>
        <w:numPr>
          <w:ilvl w:val="2"/>
          <w:numId w:val="7"/>
        </w:numPr>
        <w:tabs>
          <w:tab w:pos="1080" w:val="left" w:leader="none"/>
        </w:tabs>
        <w:spacing w:line="240" w:lineRule="auto" w:before="1" w:after="0"/>
        <w:ind w:left="1080" w:right="0" w:hanging="720"/>
        <w:jc w:val="left"/>
        <w:rPr>
          <w:sz w:val="24"/>
        </w:rPr>
      </w:pPr>
      <w:r>
        <w:rPr>
          <w:sz w:val="24"/>
        </w:rPr>
        <w:t>Payments:</w:t>
      </w:r>
      <w:r>
        <w:rPr>
          <w:spacing w:val="14"/>
          <w:sz w:val="24"/>
        </w:rPr>
        <w:t> </w:t>
      </w:r>
      <w:r>
        <w:rPr>
          <w:sz w:val="24"/>
        </w:rPr>
        <w:t>made</w:t>
      </w:r>
      <w:r>
        <w:rPr>
          <w:spacing w:val="13"/>
          <w:sz w:val="24"/>
        </w:rPr>
        <w:t> </w:t>
      </w:r>
      <w:r>
        <w:rPr>
          <w:sz w:val="24"/>
        </w:rPr>
        <w:t>under</w:t>
      </w:r>
      <w:r>
        <w:rPr>
          <w:spacing w:val="13"/>
          <w:sz w:val="24"/>
        </w:rPr>
        <w:t> </w:t>
      </w:r>
      <w:r>
        <w:rPr>
          <w:sz w:val="24"/>
        </w:rPr>
        <w:t>the</w:t>
      </w:r>
      <w:r>
        <w:rPr>
          <w:spacing w:val="13"/>
          <w:sz w:val="24"/>
        </w:rPr>
        <w:t> </w:t>
      </w:r>
      <w:r>
        <w:rPr>
          <w:sz w:val="24"/>
        </w:rPr>
        <w:t>provisions</w:t>
      </w:r>
      <w:r>
        <w:rPr>
          <w:spacing w:val="16"/>
          <w:sz w:val="24"/>
        </w:rPr>
        <w:t> </w:t>
      </w:r>
      <w:r>
        <w:rPr>
          <w:sz w:val="24"/>
        </w:rPr>
        <w:t>of</w:t>
      </w:r>
      <w:r>
        <w:rPr>
          <w:spacing w:val="17"/>
          <w:sz w:val="24"/>
        </w:rPr>
        <w:t> </w:t>
      </w:r>
      <w:r>
        <w:rPr>
          <w:sz w:val="24"/>
        </w:rPr>
        <w:t>the</w:t>
      </w:r>
      <w:r>
        <w:rPr>
          <w:spacing w:val="12"/>
          <w:sz w:val="24"/>
        </w:rPr>
        <w:t> </w:t>
      </w:r>
      <w:r>
        <w:rPr>
          <w:sz w:val="24"/>
        </w:rPr>
        <w:t>Oil</w:t>
      </w:r>
      <w:r>
        <w:rPr>
          <w:spacing w:val="20"/>
          <w:sz w:val="24"/>
        </w:rPr>
        <w:t> </w:t>
      </w:r>
      <w:r>
        <w:rPr>
          <w:sz w:val="24"/>
        </w:rPr>
        <w:t>Terminal</w:t>
      </w:r>
      <w:r>
        <w:rPr>
          <w:spacing w:val="15"/>
          <w:sz w:val="24"/>
        </w:rPr>
        <w:t> </w:t>
      </w:r>
      <w:r>
        <w:rPr>
          <w:sz w:val="24"/>
        </w:rPr>
        <w:t>Dues</w:t>
      </w:r>
      <w:r>
        <w:rPr>
          <w:spacing w:val="16"/>
          <w:sz w:val="24"/>
        </w:rPr>
        <w:t> </w:t>
      </w:r>
      <w:r>
        <w:rPr>
          <w:sz w:val="24"/>
        </w:rPr>
        <w:t>Act.</w:t>
      </w:r>
      <w:r>
        <w:rPr>
          <w:spacing w:val="-34"/>
          <w:sz w:val="24"/>
        </w:rPr>
        <w:t> </w:t>
      </w:r>
      <w:r>
        <w:rPr>
          <w:spacing w:val="-5"/>
          <w:sz w:val="24"/>
          <w:vertAlign w:val="superscript"/>
        </w:rPr>
        <w:t>22</w:t>
      </w:r>
    </w:p>
    <w:p>
      <w:pPr>
        <w:pStyle w:val="BodyText"/>
      </w:pPr>
    </w:p>
    <w:p>
      <w:pPr>
        <w:pStyle w:val="ListParagraph"/>
        <w:numPr>
          <w:ilvl w:val="2"/>
          <w:numId w:val="7"/>
        </w:numPr>
        <w:tabs>
          <w:tab w:pos="1080" w:val="left" w:leader="none"/>
        </w:tabs>
        <w:spacing w:line="480" w:lineRule="auto" w:before="0" w:after="0"/>
        <w:ind w:left="1080" w:right="182" w:hanging="720"/>
        <w:jc w:val="both"/>
        <w:rPr>
          <w:sz w:val="24"/>
        </w:rPr>
      </w:pPr>
      <w:r>
        <w:rPr>
          <w:sz w:val="24"/>
        </w:rPr>
        <w:t>Bank</w:t>
      </w:r>
      <w:r>
        <w:rPr>
          <w:spacing w:val="40"/>
          <w:sz w:val="24"/>
        </w:rPr>
        <w:t> </w:t>
      </w:r>
      <w:r>
        <w:rPr>
          <w:sz w:val="24"/>
        </w:rPr>
        <w:t>Charges</w:t>
      </w:r>
      <w:r>
        <w:rPr>
          <w:spacing w:val="40"/>
          <w:sz w:val="24"/>
        </w:rPr>
        <w:t> </w:t>
      </w:r>
      <w:r>
        <w:rPr>
          <w:sz w:val="24"/>
        </w:rPr>
        <w:t>or</w:t>
      </w:r>
      <w:r>
        <w:rPr>
          <w:spacing w:val="40"/>
          <w:sz w:val="24"/>
        </w:rPr>
        <w:t> </w:t>
      </w:r>
      <w:r>
        <w:rPr>
          <w:sz w:val="24"/>
        </w:rPr>
        <w:t>Commissions:</w:t>
      </w:r>
      <w:r>
        <w:rPr>
          <w:spacing w:val="40"/>
          <w:sz w:val="24"/>
        </w:rPr>
        <w:t> </w:t>
      </w:r>
      <w:r>
        <w:rPr>
          <w:sz w:val="24"/>
        </w:rPr>
        <w:t>Paid</w:t>
      </w:r>
      <w:r>
        <w:rPr>
          <w:spacing w:val="40"/>
          <w:sz w:val="24"/>
        </w:rPr>
        <w:t> </w:t>
      </w:r>
      <w:r>
        <w:rPr>
          <w:sz w:val="24"/>
        </w:rPr>
        <w:t>to</w:t>
      </w:r>
      <w:r>
        <w:rPr>
          <w:spacing w:val="40"/>
          <w:sz w:val="24"/>
        </w:rPr>
        <w:t> </w:t>
      </w:r>
      <w:r>
        <w:rPr>
          <w:sz w:val="24"/>
        </w:rPr>
        <w:t>the</w:t>
      </w:r>
      <w:r>
        <w:rPr>
          <w:spacing w:val="40"/>
          <w:sz w:val="24"/>
        </w:rPr>
        <w:t> </w:t>
      </w:r>
      <w:r>
        <w:rPr>
          <w:sz w:val="24"/>
        </w:rPr>
        <w:t>Central</w:t>
      </w:r>
      <w:r>
        <w:rPr>
          <w:spacing w:val="40"/>
          <w:sz w:val="24"/>
        </w:rPr>
        <w:t> </w:t>
      </w:r>
      <w:r>
        <w:rPr>
          <w:sz w:val="24"/>
        </w:rPr>
        <w:t>Bank</w:t>
      </w:r>
      <w:r>
        <w:rPr>
          <w:spacing w:val="40"/>
          <w:sz w:val="24"/>
        </w:rPr>
        <w:t> </w:t>
      </w:r>
      <w:r>
        <w:rPr>
          <w:sz w:val="24"/>
        </w:rPr>
        <w:t>of</w:t>
      </w:r>
      <w:r>
        <w:rPr>
          <w:spacing w:val="40"/>
          <w:sz w:val="24"/>
        </w:rPr>
        <w:t> </w:t>
      </w:r>
      <w:r>
        <w:rPr>
          <w:sz w:val="24"/>
        </w:rPr>
        <w:t>Nigeria</w:t>
      </w:r>
      <w:r>
        <w:rPr>
          <w:spacing w:val="40"/>
          <w:sz w:val="24"/>
        </w:rPr>
        <w:t> </w:t>
      </w:r>
      <w:r>
        <w:rPr>
          <w:sz w:val="24"/>
        </w:rPr>
        <w:t>in</w:t>
      </w:r>
      <w:r>
        <w:rPr>
          <w:spacing w:val="40"/>
          <w:sz w:val="24"/>
        </w:rPr>
        <w:t> </w:t>
      </w:r>
      <w:r>
        <w:rPr>
          <w:sz w:val="24"/>
        </w:rPr>
        <w:t>connection with petroleum profits tax, royalties and concession rentals.</w:t>
      </w:r>
    </w:p>
    <w:p>
      <w:pPr>
        <w:pStyle w:val="BodyText"/>
        <w:spacing w:line="480" w:lineRule="auto"/>
        <w:ind w:left="360" w:right="154" w:firstLine="719"/>
        <w:jc w:val="both"/>
      </w:pPr>
      <w:r>
        <w:rPr/>
        <w:t>In </w:t>
      </w:r>
      <w:r>
        <w:rPr>
          <w:spacing w:val="11"/>
        </w:rPr>
        <w:t>ascertaining</w:t>
      </w:r>
      <w:r>
        <w:rPr>
          <w:spacing w:val="11"/>
        </w:rPr>
        <w:t> </w:t>
      </w:r>
      <w:r>
        <w:rPr/>
        <w:t>a </w:t>
      </w:r>
      <w:r>
        <w:rPr>
          <w:spacing w:val="10"/>
        </w:rPr>
        <w:t>company's</w:t>
      </w:r>
      <w:r>
        <w:rPr>
          <w:spacing w:val="10"/>
        </w:rPr>
        <w:t> profit</w:t>
      </w:r>
      <w:r>
        <w:rPr>
          <w:spacing w:val="10"/>
        </w:rPr>
        <w:t> </w:t>
      </w:r>
      <w:r>
        <w:rPr/>
        <w:t>in a </w:t>
      </w:r>
      <w:r>
        <w:rPr>
          <w:spacing w:val="10"/>
        </w:rPr>
        <w:t>fiscal</w:t>
      </w:r>
      <w:r>
        <w:rPr>
          <w:spacing w:val="10"/>
        </w:rPr>
        <w:t> </w:t>
      </w:r>
      <w:r>
        <w:rPr/>
        <w:t>year </w:t>
      </w:r>
      <w:r>
        <w:rPr>
          <w:spacing w:val="9"/>
        </w:rPr>
        <w:t>under</w:t>
      </w:r>
      <w:r>
        <w:rPr>
          <w:spacing w:val="9"/>
        </w:rPr>
        <w:t> </w:t>
      </w:r>
      <w:r>
        <w:rPr/>
        <w:t>the </w:t>
      </w:r>
      <w:r>
        <w:rPr>
          <w:spacing w:val="9"/>
        </w:rPr>
        <w:t>PPTA,</w:t>
      </w:r>
      <w:r>
        <w:rPr>
          <w:spacing w:val="9"/>
        </w:rPr>
        <w:t> </w:t>
      </w:r>
      <w:r>
        <w:rPr/>
        <w:t>the computation must be done within 12 calendar months beginning on 1</w:t>
      </w:r>
      <w:r>
        <w:rPr>
          <w:vertAlign w:val="superscript"/>
        </w:rPr>
        <w:t>s1</w:t>
      </w:r>
      <w:r>
        <w:rPr>
          <w:vertAlign w:val="baseline"/>
        </w:rPr>
        <w:t> January and terminating</w:t>
      </w:r>
      <w:r>
        <w:rPr>
          <w:spacing w:val="-9"/>
          <w:vertAlign w:val="baseline"/>
        </w:rPr>
        <w:t> </w:t>
      </w:r>
      <w:r>
        <w:rPr>
          <w:vertAlign w:val="baseline"/>
        </w:rPr>
        <w:t>on</w:t>
      </w:r>
      <w:r>
        <w:rPr>
          <w:spacing w:val="-4"/>
          <w:vertAlign w:val="baseline"/>
        </w:rPr>
        <w:t> </w:t>
      </w:r>
      <w:r>
        <w:rPr>
          <w:vertAlign w:val="baseline"/>
        </w:rPr>
        <w:t>3</w:t>
      </w:r>
      <w:r>
        <w:rPr>
          <w:spacing w:val="-6"/>
          <w:vertAlign w:val="baseline"/>
        </w:rPr>
        <w:t> </w:t>
      </w:r>
      <w:r>
        <w:rPr>
          <w:vertAlign w:val="baseline"/>
        </w:rPr>
        <w:t>P</w:t>
      </w:r>
      <w:r>
        <w:rPr>
          <w:vertAlign w:val="superscript"/>
        </w:rPr>
        <w:t>l</w:t>
      </w:r>
      <w:r>
        <w:rPr>
          <w:spacing w:val="-6"/>
          <w:vertAlign w:val="baseline"/>
        </w:rPr>
        <w:t> </w:t>
      </w:r>
      <w:r>
        <w:rPr>
          <w:vertAlign w:val="baseline"/>
        </w:rPr>
        <w:t>December</w:t>
      </w:r>
      <w:r>
        <w:rPr>
          <w:spacing w:val="-7"/>
          <w:vertAlign w:val="baseline"/>
        </w:rPr>
        <w:t> </w:t>
      </w:r>
      <w:r>
        <w:rPr>
          <w:vertAlign w:val="baseline"/>
        </w:rPr>
        <w:t>of</w:t>
      </w:r>
      <w:r>
        <w:rPr>
          <w:spacing w:val="-6"/>
          <w:vertAlign w:val="baseline"/>
        </w:rPr>
        <w:t> </w:t>
      </w:r>
      <w:r>
        <w:rPr>
          <w:vertAlign w:val="baseline"/>
        </w:rPr>
        <w:t>the</w:t>
      </w:r>
      <w:r>
        <w:rPr>
          <w:spacing w:val="-8"/>
          <w:vertAlign w:val="baseline"/>
        </w:rPr>
        <w:t> </w:t>
      </w:r>
      <w:r>
        <w:rPr>
          <w:vertAlign w:val="baseline"/>
        </w:rPr>
        <w:t>same</w:t>
      </w:r>
      <w:r>
        <w:rPr>
          <w:spacing w:val="-2"/>
          <w:vertAlign w:val="baseline"/>
        </w:rPr>
        <w:t> </w:t>
      </w:r>
      <w:r>
        <w:rPr>
          <w:vertAlign w:val="baseline"/>
        </w:rPr>
        <w:t>year.</w:t>
      </w:r>
      <w:r>
        <w:rPr>
          <w:vertAlign w:val="superscript"/>
        </w:rPr>
        <w:t>23</w:t>
      </w:r>
      <w:r>
        <w:rPr>
          <w:spacing w:val="-8"/>
          <w:vertAlign w:val="baseline"/>
        </w:rPr>
        <w:t> </w:t>
      </w:r>
      <w:r>
        <w:rPr>
          <w:vertAlign w:val="baseline"/>
        </w:rPr>
        <w:t>Be</w:t>
      </w:r>
      <w:r>
        <w:rPr>
          <w:spacing w:val="-7"/>
          <w:vertAlign w:val="baseline"/>
        </w:rPr>
        <w:t> </w:t>
      </w:r>
      <w:r>
        <w:rPr>
          <w:vertAlign w:val="baseline"/>
        </w:rPr>
        <w:t>this</w:t>
      </w:r>
      <w:r>
        <w:rPr>
          <w:spacing w:val="-4"/>
          <w:vertAlign w:val="baseline"/>
        </w:rPr>
        <w:t> </w:t>
      </w:r>
      <w:r>
        <w:rPr>
          <w:vertAlign w:val="baseline"/>
        </w:rPr>
        <w:t>as</w:t>
      </w:r>
      <w:r>
        <w:rPr>
          <w:spacing w:val="-6"/>
          <w:vertAlign w:val="baseline"/>
        </w:rPr>
        <w:t> </w:t>
      </w:r>
      <w:r>
        <w:rPr>
          <w:vertAlign w:val="baseline"/>
        </w:rPr>
        <w:t>it</w:t>
      </w:r>
      <w:r>
        <w:rPr>
          <w:spacing w:val="-5"/>
          <w:vertAlign w:val="baseline"/>
        </w:rPr>
        <w:t> </w:t>
      </w:r>
      <w:r>
        <w:rPr>
          <w:vertAlign w:val="baseline"/>
        </w:rPr>
        <w:t>may,</w:t>
      </w:r>
      <w:r>
        <w:rPr>
          <w:spacing w:val="-4"/>
          <w:vertAlign w:val="baseline"/>
        </w:rPr>
        <w:t> </w:t>
      </w:r>
      <w:r>
        <w:rPr>
          <w:vertAlign w:val="baseline"/>
        </w:rPr>
        <w:t>the</w:t>
      </w:r>
      <w:r>
        <w:rPr>
          <w:spacing w:val="-5"/>
          <w:vertAlign w:val="baseline"/>
        </w:rPr>
        <w:t> </w:t>
      </w:r>
      <w:r>
        <w:rPr>
          <w:vertAlign w:val="baseline"/>
        </w:rPr>
        <w:t>first</w:t>
      </w:r>
      <w:r>
        <w:rPr>
          <w:spacing w:val="-4"/>
          <w:vertAlign w:val="baseline"/>
        </w:rPr>
        <w:t> </w:t>
      </w:r>
      <w:r>
        <w:rPr>
          <w:vertAlign w:val="baseline"/>
        </w:rPr>
        <w:t>taxable</w:t>
      </w:r>
      <w:r>
        <w:rPr>
          <w:spacing w:val="-4"/>
          <w:vertAlign w:val="baseline"/>
        </w:rPr>
        <w:t> </w:t>
      </w:r>
      <w:r>
        <w:rPr>
          <w:vertAlign w:val="baseline"/>
        </w:rPr>
        <w:t>period</w:t>
      </w:r>
      <w:r>
        <w:rPr>
          <w:spacing w:val="-2"/>
          <w:vertAlign w:val="baseline"/>
        </w:rPr>
        <w:t> </w:t>
      </w:r>
      <w:r>
        <w:rPr>
          <w:vertAlign w:val="baseline"/>
        </w:rPr>
        <w:t>of </w:t>
      </w:r>
      <w:r>
        <w:rPr>
          <w:spacing w:val="-10"/>
          <w:vertAlign w:val="baseline"/>
        </w:rPr>
        <w:t>a</w:t>
      </w:r>
    </w:p>
    <w:p>
      <w:pPr>
        <w:pStyle w:val="BodyText"/>
        <w:spacing w:before="3"/>
        <w:rPr>
          <w:sz w:val="13"/>
        </w:rPr>
      </w:pPr>
      <w:r>
        <w:rPr/>
        <mc:AlternateContent>
          <mc:Choice Requires="wps">
            <w:drawing>
              <wp:anchor distT="0" distB="0" distL="0" distR="0" allowOverlap="1" layoutInCell="1" locked="0" behindDoc="1" simplePos="0" relativeHeight="487600128">
                <wp:simplePos x="0" y="0"/>
                <wp:positionH relativeFrom="page">
                  <wp:posOffset>914704</wp:posOffset>
                </wp:positionH>
                <wp:positionV relativeFrom="paragraph">
                  <wp:posOffset>112370</wp:posOffset>
                </wp:positionV>
                <wp:extent cx="1829435" cy="9525"/>
                <wp:effectExtent l="0" t="0" r="0" b="0"/>
                <wp:wrapTopAndBottom/>
                <wp:docPr id="28" name="Graphic 28"/>
                <wp:cNvGraphicFramePr>
                  <a:graphicFrameLocks/>
                </wp:cNvGraphicFramePr>
                <a:graphic>
                  <a:graphicData uri="http://schemas.microsoft.com/office/word/2010/wordprocessingShape">
                    <wps:wsp>
                      <wps:cNvPr id="28" name="Graphic 28"/>
                      <wps:cNvSpPr/>
                      <wps:spPr>
                        <a:xfrm>
                          <a:off x="0" y="0"/>
                          <a:ext cx="1829435" cy="9525"/>
                        </a:xfrm>
                        <a:custGeom>
                          <a:avLst/>
                          <a:gdLst/>
                          <a:ahLst/>
                          <a:cxnLst/>
                          <a:rect l="l" t="t" r="r" b="b"/>
                          <a:pathLst>
                            <a:path w="1829435" h="9525">
                              <a:moveTo>
                                <a:pt x="1829054" y="0"/>
                              </a:moveTo>
                              <a:lnTo>
                                <a:pt x="0" y="0"/>
                              </a:lnTo>
                              <a:lnTo>
                                <a:pt x="0" y="9143"/>
                              </a:lnTo>
                              <a:lnTo>
                                <a:pt x="1829054" y="9143"/>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8.848077pt;width:144.020pt;height:.71997pt;mso-position-horizontal-relative:page;mso-position-vertical-relative:paragraph;z-index:-15716352;mso-wrap-distance-left:0;mso-wrap-distance-right:0" id="docshape28" filled="true" fillcolor="#000000" stroked="false">
                <v:fill type="solid"/>
                <w10:wrap type="topAndBottom"/>
              </v:rect>
            </w:pict>
          </mc:Fallback>
        </mc:AlternateContent>
      </w:r>
    </w:p>
    <w:p>
      <w:pPr>
        <w:spacing w:before="102"/>
        <w:ind w:left="360" w:right="0" w:firstLine="0"/>
        <w:jc w:val="left"/>
        <w:rPr>
          <w:rFonts w:ascii="Calibri"/>
          <w:sz w:val="20"/>
        </w:rPr>
      </w:pPr>
      <w:r>
        <w:rPr>
          <w:rFonts w:ascii="Calibri"/>
          <w:sz w:val="20"/>
          <w:vertAlign w:val="superscript"/>
        </w:rPr>
        <w:t>20</w:t>
      </w:r>
      <w:r>
        <w:rPr>
          <w:rFonts w:ascii="Calibri"/>
          <w:spacing w:val="-5"/>
          <w:sz w:val="20"/>
          <w:vertAlign w:val="baseline"/>
        </w:rPr>
        <w:t> </w:t>
      </w:r>
      <w:r>
        <w:rPr>
          <w:rFonts w:ascii="Calibri"/>
          <w:sz w:val="20"/>
          <w:vertAlign w:val="baseline"/>
        </w:rPr>
        <w:t>CAP</w:t>
      </w:r>
      <w:r>
        <w:rPr>
          <w:rFonts w:ascii="Calibri"/>
          <w:spacing w:val="-3"/>
          <w:sz w:val="20"/>
          <w:vertAlign w:val="baseline"/>
        </w:rPr>
        <w:t> </w:t>
      </w:r>
      <w:r>
        <w:rPr>
          <w:rFonts w:ascii="Calibri"/>
          <w:sz w:val="20"/>
          <w:vertAlign w:val="baseline"/>
        </w:rPr>
        <w:t>PI0</w:t>
      </w:r>
      <w:r>
        <w:rPr>
          <w:rFonts w:ascii="Calibri"/>
          <w:spacing w:val="-3"/>
          <w:sz w:val="20"/>
          <w:vertAlign w:val="baseline"/>
        </w:rPr>
        <w:t> </w:t>
      </w:r>
      <w:r>
        <w:rPr>
          <w:rFonts w:ascii="Calibri"/>
          <w:sz w:val="20"/>
          <w:vertAlign w:val="baseline"/>
        </w:rPr>
        <w:t>LFN,</w:t>
      </w:r>
      <w:r>
        <w:rPr>
          <w:rFonts w:ascii="Calibri"/>
          <w:spacing w:val="-3"/>
          <w:sz w:val="20"/>
          <w:vertAlign w:val="baseline"/>
        </w:rPr>
        <w:t> </w:t>
      </w:r>
      <w:r>
        <w:rPr>
          <w:rFonts w:ascii="Calibri"/>
          <w:spacing w:val="-4"/>
          <w:sz w:val="20"/>
          <w:vertAlign w:val="baseline"/>
        </w:rPr>
        <w:t>2010</w:t>
      </w:r>
    </w:p>
    <w:p>
      <w:pPr>
        <w:spacing w:line="243" w:lineRule="exact" w:before="1"/>
        <w:ind w:left="360" w:right="0" w:firstLine="0"/>
        <w:jc w:val="left"/>
        <w:rPr>
          <w:rFonts w:ascii="Calibri"/>
          <w:sz w:val="20"/>
        </w:rPr>
      </w:pPr>
      <w:r>
        <w:rPr>
          <w:rFonts w:ascii="Calibri"/>
          <w:sz w:val="20"/>
          <w:vertAlign w:val="superscript"/>
        </w:rPr>
        <w:t>21</w:t>
      </w:r>
      <w:r>
        <w:rPr>
          <w:rFonts w:ascii="Calibri"/>
          <w:spacing w:val="-6"/>
          <w:sz w:val="20"/>
          <w:vertAlign w:val="baseline"/>
        </w:rPr>
        <w:t> </w:t>
      </w:r>
      <w:r>
        <w:rPr>
          <w:rFonts w:ascii="Calibri"/>
          <w:sz w:val="20"/>
          <w:vertAlign w:val="baseline"/>
        </w:rPr>
        <w:t>Paragraph</w:t>
      </w:r>
      <w:r>
        <w:rPr>
          <w:rFonts w:ascii="Calibri"/>
          <w:spacing w:val="-5"/>
          <w:sz w:val="20"/>
          <w:vertAlign w:val="baseline"/>
        </w:rPr>
        <w:t> </w:t>
      </w:r>
      <w:r>
        <w:rPr>
          <w:rFonts w:ascii="Calibri"/>
          <w:sz w:val="20"/>
          <w:vertAlign w:val="baseline"/>
        </w:rPr>
        <w:t>15</w:t>
      </w:r>
      <w:r>
        <w:rPr>
          <w:rFonts w:ascii="Calibri"/>
          <w:spacing w:val="-4"/>
          <w:sz w:val="20"/>
          <w:vertAlign w:val="baseline"/>
        </w:rPr>
        <w:t> </w:t>
      </w:r>
      <w:r>
        <w:rPr>
          <w:rFonts w:ascii="Calibri"/>
          <w:sz w:val="20"/>
          <w:vertAlign w:val="baseline"/>
        </w:rPr>
        <w:t>of</w:t>
      </w:r>
      <w:r>
        <w:rPr>
          <w:rFonts w:ascii="Calibri"/>
          <w:spacing w:val="-6"/>
          <w:sz w:val="20"/>
          <w:vertAlign w:val="baseline"/>
        </w:rPr>
        <w:t> </w:t>
      </w:r>
      <w:r>
        <w:rPr>
          <w:rFonts w:ascii="Calibri"/>
          <w:sz w:val="20"/>
          <w:vertAlign w:val="baseline"/>
        </w:rPr>
        <w:t>the</w:t>
      </w:r>
      <w:r>
        <w:rPr>
          <w:rFonts w:ascii="Calibri"/>
          <w:spacing w:val="-6"/>
          <w:sz w:val="20"/>
          <w:vertAlign w:val="baseline"/>
        </w:rPr>
        <w:t> </w:t>
      </w:r>
      <w:r>
        <w:rPr>
          <w:rFonts w:ascii="Calibri"/>
          <w:sz w:val="20"/>
          <w:vertAlign w:val="baseline"/>
        </w:rPr>
        <w:t>1st</w:t>
      </w:r>
      <w:r>
        <w:rPr>
          <w:rFonts w:ascii="Calibri"/>
          <w:spacing w:val="-5"/>
          <w:sz w:val="20"/>
          <w:vertAlign w:val="baseline"/>
        </w:rPr>
        <w:t> </w:t>
      </w:r>
      <w:r>
        <w:rPr>
          <w:rFonts w:ascii="Calibri"/>
          <w:sz w:val="20"/>
          <w:vertAlign w:val="baseline"/>
        </w:rPr>
        <w:t>Schedule</w:t>
      </w:r>
      <w:r>
        <w:rPr>
          <w:rFonts w:ascii="Calibri"/>
          <w:spacing w:val="-6"/>
          <w:sz w:val="20"/>
          <w:vertAlign w:val="baseline"/>
        </w:rPr>
        <w:t> </w:t>
      </w:r>
      <w:r>
        <w:rPr>
          <w:rFonts w:ascii="Calibri"/>
          <w:sz w:val="20"/>
          <w:vertAlign w:val="baseline"/>
        </w:rPr>
        <w:t>to</w:t>
      </w:r>
      <w:r>
        <w:rPr>
          <w:rFonts w:ascii="Calibri"/>
          <w:spacing w:val="-4"/>
          <w:sz w:val="20"/>
          <w:vertAlign w:val="baseline"/>
        </w:rPr>
        <w:t> </w:t>
      </w:r>
      <w:r>
        <w:rPr>
          <w:rFonts w:ascii="Calibri"/>
          <w:sz w:val="20"/>
          <w:vertAlign w:val="baseline"/>
        </w:rPr>
        <w:t>the</w:t>
      </w:r>
      <w:r>
        <w:rPr>
          <w:rFonts w:ascii="Calibri"/>
          <w:spacing w:val="-6"/>
          <w:sz w:val="20"/>
          <w:vertAlign w:val="baseline"/>
        </w:rPr>
        <w:t> </w:t>
      </w:r>
      <w:r>
        <w:rPr>
          <w:rFonts w:ascii="Calibri"/>
          <w:sz w:val="20"/>
          <w:vertAlign w:val="baseline"/>
        </w:rPr>
        <w:t>petroleum</w:t>
      </w:r>
      <w:r>
        <w:rPr>
          <w:rFonts w:ascii="Calibri"/>
          <w:spacing w:val="-5"/>
          <w:sz w:val="20"/>
          <w:vertAlign w:val="baseline"/>
        </w:rPr>
        <w:t> Act</w:t>
      </w:r>
    </w:p>
    <w:p>
      <w:pPr>
        <w:spacing w:line="243" w:lineRule="exact" w:before="0"/>
        <w:ind w:left="360" w:right="0" w:firstLine="0"/>
        <w:jc w:val="left"/>
        <w:rPr>
          <w:rFonts w:ascii="Calibri"/>
          <w:sz w:val="20"/>
        </w:rPr>
      </w:pPr>
      <w:r>
        <w:rPr>
          <w:rFonts w:ascii="Calibri"/>
          <w:sz w:val="20"/>
          <w:vertAlign w:val="superscript"/>
        </w:rPr>
        <w:t>22</w:t>
      </w:r>
      <w:r>
        <w:rPr>
          <w:rFonts w:ascii="Calibri"/>
          <w:spacing w:val="-5"/>
          <w:sz w:val="20"/>
          <w:vertAlign w:val="baseline"/>
        </w:rPr>
        <w:t> </w:t>
      </w:r>
      <w:r>
        <w:rPr>
          <w:rFonts w:ascii="Calibri"/>
          <w:sz w:val="20"/>
          <w:vertAlign w:val="baseline"/>
        </w:rPr>
        <w:t>Cap</w:t>
      </w:r>
      <w:r>
        <w:rPr>
          <w:rFonts w:ascii="Calibri"/>
          <w:spacing w:val="-4"/>
          <w:sz w:val="20"/>
          <w:vertAlign w:val="baseline"/>
        </w:rPr>
        <w:t> </w:t>
      </w:r>
      <w:r>
        <w:rPr>
          <w:rFonts w:ascii="Calibri"/>
          <w:sz w:val="20"/>
          <w:vertAlign w:val="baseline"/>
        </w:rPr>
        <w:t>T16,</w:t>
      </w:r>
      <w:r>
        <w:rPr>
          <w:rFonts w:ascii="Calibri"/>
          <w:spacing w:val="-4"/>
          <w:sz w:val="20"/>
          <w:vertAlign w:val="baseline"/>
        </w:rPr>
        <w:t> </w:t>
      </w:r>
      <w:r>
        <w:rPr>
          <w:rFonts w:ascii="Calibri"/>
          <w:sz w:val="20"/>
          <w:vertAlign w:val="baseline"/>
        </w:rPr>
        <w:t>LFN,</w:t>
      </w:r>
      <w:r>
        <w:rPr>
          <w:rFonts w:ascii="Calibri"/>
          <w:spacing w:val="-4"/>
          <w:sz w:val="20"/>
          <w:vertAlign w:val="baseline"/>
        </w:rPr>
        <w:t> 2010</w:t>
      </w:r>
    </w:p>
    <w:p>
      <w:pPr>
        <w:spacing w:before="0"/>
        <w:ind w:left="360" w:right="0" w:firstLine="0"/>
        <w:jc w:val="left"/>
        <w:rPr>
          <w:rFonts w:ascii="Calibri"/>
          <w:sz w:val="20"/>
        </w:rPr>
      </w:pPr>
      <w:r>
        <w:rPr>
          <w:rFonts w:ascii="Calibri"/>
          <w:sz w:val="20"/>
          <w:vertAlign w:val="superscript"/>
        </w:rPr>
        <w:t>23</w:t>
      </w:r>
      <w:r>
        <w:rPr>
          <w:rFonts w:ascii="Calibri"/>
          <w:spacing w:val="-8"/>
          <w:sz w:val="20"/>
          <w:vertAlign w:val="baseline"/>
        </w:rPr>
        <w:t> </w:t>
      </w:r>
      <w:r>
        <w:rPr>
          <w:rFonts w:ascii="Calibri"/>
          <w:sz w:val="20"/>
          <w:vertAlign w:val="baseline"/>
        </w:rPr>
        <w:t>ETIKERENTSE</w:t>
      </w:r>
      <w:r>
        <w:rPr>
          <w:rFonts w:ascii="Calibri"/>
          <w:spacing w:val="-6"/>
          <w:sz w:val="20"/>
          <w:vertAlign w:val="baseline"/>
        </w:rPr>
        <w:t> </w:t>
      </w:r>
      <w:r>
        <w:rPr>
          <w:rFonts w:ascii="Calibri"/>
          <w:sz w:val="20"/>
          <w:vertAlign w:val="baseline"/>
        </w:rPr>
        <w:t>G.</w:t>
      </w:r>
      <w:r>
        <w:rPr>
          <w:rFonts w:ascii="Calibri"/>
          <w:spacing w:val="-8"/>
          <w:sz w:val="20"/>
          <w:vertAlign w:val="baseline"/>
        </w:rPr>
        <w:t> </w:t>
      </w:r>
      <w:r>
        <w:rPr>
          <w:rFonts w:ascii="Calibri"/>
          <w:sz w:val="20"/>
          <w:vertAlign w:val="baseline"/>
        </w:rPr>
        <w:t>Petroleum</w:t>
      </w:r>
      <w:r>
        <w:rPr>
          <w:rFonts w:ascii="Calibri"/>
          <w:spacing w:val="-7"/>
          <w:sz w:val="20"/>
          <w:vertAlign w:val="baseline"/>
        </w:rPr>
        <w:t> </w:t>
      </w:r>
      <w:r>
        <w:rPr>
          <w:rFonts w:ascii="Calibri"/>
          <w:sz w:val="20"/>
          <w:vertAlign w:val="baseline"/>
        </w:rPr>
        <w:t>Law</w:t>
      </w:r>
      <w:r>
        <w:rPr>
          <w:rFonts w:ascii="Calibri"/>
          <w:spacing w:val="-7"/>
          <w:sz w:val="20"/>
          <w:vertAlign w:val="baseline"/>
        </w:rPr>
        <w:t> </w:t>
      </w:r>
      <w:r>
        <w:rPr>
          <w:rFonts w:ascii="Calibri"/>
          <w:sz w:val="20"/>
          <w:vertAlign w:val="baseline"/>
        </w:rPr>
        <w:t>in</w:t>
      </w:r>
      <w:r>
        <w:rPr>
          <w:rFonts w:ascii="Calibri"/>
          <w:spacing w:val="-7"/>
          <w:sz w:val="20"/>
          <w:vertAlign w:val="baseline"/>
        </w:rPr>
        <w:t> </w:t>
      </w:r>
      <w:r>
        <w:rPr>
          <w:rFonts w:ascii="Calibri"/>
          <w:sz w:val="20"/>
          <w:vertAlign w:val="baseline"/>
        </w:rPr>
        <w:t>Nigeria,</w:t>
      </w:r>
      <w:r>
        <w:rPr>
          <w:rFonts w:ascii="Calibri"/>
          <w:spacing w:val="-6"/>
          <w:sz w:val="20"/>
          <w:vertAlign w:val="baseline"/>
        </w:rPr>
        <w:t> </w:t>
      </w:r>
      <w:r>
        <w:rPr>
          <w:rFonts w:ascii="Calibri"/>
          <w:sz w:val="20"/>
          <w:vertAlign w:val="baseline"/>
        </w:rPr>
        <w:t>Lagos</w:t>
      </w:r>
      <w:r>
        <w:rPr>
          <w:rFonts w:ascii="Calibri"/>
          <w:spacing w:val="-8"/>
          <w:sz w:val="20"/>
          <w:vertAlign w:val="baseline"/>
        </w:rPr>
        <w:t> </w:t>
      </w:r>
      <w:r>
        <w:rPr>
          <w:rFonts w:ascii="Calibri"/>
          <w:spacing w:val="-4"/>
          <w:sz w:val="20"/>
          <w:vertAlign w:val="baseline"/>
        </w:rPr>
        <w:t>2005</w:t>
      </w:r>
    </w:p>
    <w:p>
      <w:pPr>
        <w:spacing w:after="0"/>
        <w:jc w:val="left"/>
        <w:rPr>
          <w:rFonts w:ascii="Calibri"/>
          <w:sz w:val="20"/>
        </w:rPr>
        <w:sectPr>
          <w:pgSz w:w="11910" w:h="16840"/>
          <w:pgMar w:header="0" w:footer="1000" w:top="1340" w:bottom="1200" w:left="1080" w:right="1280"/>
        </w:sectPr>
      </w:pPr>
    </w:p>
    <w:p>
      <w:pPr>
        <w:pStyle w:val="BodyText"/>
        <w:spacing w:line="480" w:lineRule="auto" w:before="74"/>
        <w:ind w:left="360" w:right="154"/>
        <w:jc w:val="both"/>
      </w:pPr>
      <w:r>
        <w:rPr/>
        <w:t>company could be shorter than one year, commencing from the date it</w:t>
      </w:r>
      <w:r>
        <w:rPr>
          <w:spacing w:val="34"/>
        </w:rPr>
        <w:t> </w:t>
      </w:r>
      <w:r>
        <w:rPr/>
        <w:t>makes its first bulk sale of chargeable oil or liquefied natural gas.</w:t>
      </w:r>
      <w:r>
        <w:rPr>
          <w:vertAlign w:val="superscript"/>
        </w:rPr>
        <w:t>24</w:t>
      </w:r>
      <w:r>
        <w:rPr>
          <w:vertAlign w:val="baseline"/>
        </w:rPr>
        <w:t> It means therefore, that a company whose</w:t>
      </w:r>
      <w:r>
        <w:rPr>
          <w:spacing w:val="40"/>
          <w:vertAlign w:val="baseline"/>
        </w:rPr>
        <w:t> </w:t>
      </w:r>
      <w:r>
        <w:rPr>
          <w:vertAlign w:val="baseline"/>
        </w:rPr>
        <w:t>first</w:t>
      </w:r>
      <w:r>
        <w:rPr>
          <w:spacing w:val="30"/>
          <w:vertAlign w:val="baseline"/>
        </w:rPr>
        <w:t> </w:t>
      </w:r>
      <w:r>
        <w:rPr>
          <w:vertAlign w:val="baseline"/>
        </w:rPr>
        <w:t>bulk</w:t>
      </w:r>
      <w:r>
        <w:rPr>
          <w:spacing w:val="30"/>
          <w:vertAlign w:val="baseline"/>
        </w:rPr>
        <w:t> </w:t>
      </w:r>
      <w:r>
        <w:rPr>
          <w:vertAlign w:val="baseline"/>
        </w:rPr>
        <w:t>sale</w:t>
      </w:r>
      <w:r>
        <w:rPr>
          <w:spacing w:val="29"/>
          <w:vertAlign w:val="baseline"/>
        </w:rPr>
        <w:t> </w:t>
      </w:r>
      <w:r>
        <w:rPr>
          <w:vertAlign w:val="baseline"/>
        </w:rPr>
        <w:t>was</w:t>
      </w:r>
      <w:r>
        <w:rPr>
          <w:spacing w:val="30"/>
          <w:vertAlign w:val="baseline"/>
        </w:rPr>
        <w:t> </w:t>
      </w:r>
      <w:r>
        <w:rPr>
          <w:vertAlign w:val="baseline"/>
        </w:rPr>
        <w:t>effected</w:t>
      </w:r>
      <w:r>
        <w:rPr>
          <w:spacing w:val="30"/>
          <w:vertAlign w:val="baseline"/>
        </w:rPr>
        <w:t> </w:t>
      </w:r>
      <w:r>
        <w:rPr>
          <w:vertAlign w:val="baseline"/>
        </w:rPr>
        <w:t>after 1</w:t>
      </w:r>
      <w:r>
        <w:rPr>
          <w:vertAlign w:val="superscript"/>
        </w:rPr>
        <w:t>st</w:t>
      </w:r>
      <w:r>
        <w:rPr>
          <w:spacing w:val="28"/>
          <w:vertAlign w:val="baseline"/>
        </w:rPr>
        <w:t> </w:t>
      </w:r>
      <w:r>
        <w:rPr>
          <w:vertAlign w:val="baseline"/>
        </w:rPr>
        <w:t>January,</w:t>
      </w:r>
      <w:r>
        <w:rPr>
          <w:spacing w:val="30"/>
          <w:vertAlign w:val="baseline"/>
        </w:rPr>
        <w:t> </w:t>
      </w:r>
      <w:r>
        <w:rPr>
          <w:vertAlign w:val="baseline"/>
        </w:rPr>
        <w:t>its</w:t>
      </w:r>
      <w:r>
        <w:rPr>
          <w:spacing w:val="31"/>
          <w:vertAlign w:val="baseline"/>
        </w:rPr>
        <w:t> </w:t>
      </w:r>
      <w:r>
        <w:rPr>
          <w:vertAlign w:val="baseline"/>
        </w:rPr>
        <w:t>accounting</w:t>
      </w:r>
      <w:r>
        <w:rPr>
          <w:spacing w:val="34"/>
          <w:vertAlign w:val="baseline"/>
        </w:rPr>
        <w:t> </w:t>
      </w:r>
      <w:r>
        <w:rPr>
          <w:vertAlign w:val="baseline"/>
        </w:rPr>
        <w:t>period</w:t>
      </w:r>
      <w:r>
        <w:rPr>
          <w:spacing w:val="37"/>
          <w:vertAlign w:val="baseline"/>
        </w:rPr>
        <w:t> </w:t>
      </w:r>
      <w:r>
        <w:rPr>
          <w:vertAlign w:val="baseline"/>
        </w:rPr>
        <w:t>would</w:t>
      </w:r>
      <w:r>
        <w:rPr>
          <w:spacing w:val="34"/>
          <w:vertAlign w:val="baseline"/>
        </w:rPr>
        <w:t> </w:t>
      </w:r>
      <w:r>
        <w:rPr>
          <w:vertAlign w:val="baseline"/>
        </w:rPr>
        <w:t>commence</w:t>
      </w:r>
      <w:r>
        <w:rPr>
          <w:spacing w:val="36"/>
          <w:vertAlign w:val="baseline"/>
        </w:rPr>
        <w:t> </w:t>
      </w:r>
      <w:r>
        <w:rPr>
          <w:vertAlign w:val="baseline"/>
        </w:rPr>
        <w:t>from the date of such first bulk sale and end on 3L</w:t>
      </w:r>
      <w:r>
        <w:rPr>
          <w:vertAlign w:val="superscript"/>
        </w:rPr>
        <w:t>S</w:t>
      </w:r>
      <w:r>
        <w:rPr>
          <w:vertAlign w:val="baseline"/>
        </w:rPr>
        <w:t> December of the same year of such first bulk sale. In the illustrative case where the accounting period covered is less than twelve months, such</w:t>
      </w:r>
      <w:r>
        <w:rPr>
          <w:spacing w:val="40"/>
          <w:vertAlign w:val="baseline"/>
        </w:rPr>
        <w:t> </w:t>
      </w:r>
      <w:r>
        <w:rPr>
          <w:vertAlign w:val="baseline"/>
        </w:rPr>
        <w:t>period</w:t>
      </w:r>
      <w:r>
        <w:rPr>
          <w:spacing w:val="40"/>
          <w:vertAlign w:val="baseline"/>
        </w:rPr>
        <w:t> </w:t>
      </w:r>
      <w:r>
        <w:rPr>
          <w:vertAlign w:val="baseline"/>
        </w:rPr>
        <w:t>would</w:t>
      </w:r>
      <w:r>
        <w:rPr>
          <w:spacing w:val="40"/>
          <w:vertAlign w:val="baseline"/>
        </w:rPr>
        <w:t> </w:t>
      </w:r>
      <w:r>
        <w:rPr>
          <w:vertAlign w:val="baseline"/>
        </w:rPr>
        <w:t>1</w:t>
      </w:r>
      <w:r>
        <w:rPr>
          <w:spacing w:val="40"/>
          <w:vertAlign w:val="baseline"/>
        </w:rPr>
        <w:t> </w:t>
      </w:r>
      <w:r>
        <w:rPr>
          <w:vertAlign w:val="baseline"/>
        </w:rPr>
        <w:t>be</w:t>
      </w:r>
      <w:r>
        <w:rPr>
          <w:spacing w:val="40"/>
          <w:vertAlign w:val="baseline"/>
        </w:rPr>
        <w:t> </w:t>
      </w:r>
      <w:r>
        <w:rPr>
          <w:vertAlign w:val="baseline"/>
        </w:rPr>
        <w:t>regarded</w:t>
      </w:r>
      <w:r>
        <w:rPr>
          <w:spacing w:val="40"/>
          <w:vertAlign w:val="baseline"/>
        </w:rPr>
        <w:t> </w:t>
      </w:r>
      <w:r>
        <w:rPr>
          <w:vertAlign w:val="baseline"/>
        </w:rPr>
        <w:t>under</w:t>
      </w:r>
      <w:r>
        <w:rPr>
          <w:spacing w:val="40"/>
          <w:vertAlign w:val="baseline"/>
        </w:rPr>
        <w:t> </w:t>
      </w:r>
      <w:r>
        <w:rPr>
          <w:vertAlign w:val="baseline"/>
        </w:rPr>
        <w:t>the</w:t>
      </w:r>
      <w:r>
        <w:rPr>
          <w:spacing w:val="40"/>
          <w:vertAlign w:val="baseline"/>
        </w:rPr>
        <w:t> </w:t>
      </w:r>
      <w:r>
        <w:rPr>
          <w:vertAlign w:val="baseline"/>
        </w:rPr>
        <w:t>law</w:t>
      </w:r>
      <w:r>
        <w:rPr>
          <w:spacing w:val="40"/>
          <w:vertAlign w:val="baseline"/>
        </w:rPr>
        <w:t> </w:t>
      </w:r>
      <w:r>
        <w:rPr>
          <w:vertAlign w:val="baseline"/>
        </w:rPr>
        <w:t>as</w:t>
      </w:r>
      <w:r>
        <w:rPr>
          <w:spacing w:val="40"/>
          <w:vertAlign w:val="baseline"/>
        </w:rPr>
        <w:t> </w:t>
      </w:r>
      <w:r>
        <w:rPr>
          <w:vertAlign w:val="baseline"/>
        </w:rPr>
        <w:t>the</w:t>
      </w:r>
      <w:r>
        <w:rPr>
          <w:spacing w:val="40"/>
          <w:vertAlign w:val="baseline"/>
        </w:rPr>
        <w:t> </w:t>
      </w:r>
      <w:r>
        <w:rPr>
          <w:vertAlign w:val="baseline"/>
        </w:rPr>
        <w:t>accounting</w:t>
      </w:r>
      <w:r>
        <w:rPr>
          <w:spacing w:val="40"/>
          <w:vertAlign w:val="baseline"/>
        </w:rPr>
        <w:t> </w:t>
      </w:r>
      <w:r>
        <w:rPr>
          <w:vertAlign w:val="baseline"/>
        </w:rPr>
        <w:t>period</w:t>
      </w:r>
      <w:r>
        <w:rPr>
          <w:spacing w:val="40"/>
          <w:vertAlign w:val="baseline"/>
        </w:rPr>
        <w:t> </w:t>
      </w:r>
      <w:r>
        <w:rPr>
          <w:vertAlign w:val="baseline"/>
        </w:rPr>
        <w:t>of</w:t>
      </w:r>
      <w:r>
        <w:rPr>
          <w:spacing w:val="40"/>
          <w:vertAlign w:val="baseline"/>
        </w:rPr>
        <w:t> </w:t>
      </w:r>
      <w:r>
        <w:rPr>
          <w:vertAlign w:val="baseline"/>
        </w:rPr>
        <w:t>such</w:t>
      </w:r>
      <w:r>
        <w:rPr>
          <w:spacing w:val="40"/>
          <w:vertAlign w:val="baseline"/>
        </w:rPr>
        <w:t> </w:t>
      </w:r>
      <w:r>
        <w:rPr>
          <w:vertAlign w:val="baseline"/>
        </w:rPr>
        <w:t>a company. However, such a company's accounting period thereafter must match the statutorytwelve months' period of 1</w:t>
      </w:r>
      <w:r>
        <w:rPr>
          <w:vertAlign w:val="superscript"/>
        </w:rPr>
        <w:t>st</w:t>
      </w:r>
      <w:r>
        <w:rPr>
          <w:vertAlign w:val="baseline"/>
        </w:rPr>
        <w:t> January to 31</w:t>
      </w:r>
      <w:r>
        <w:rPr>
          <w:vertAlign w:val="superscript"/>
        </w:rPr>
        <w:t>st</w:t>
      </w:r>
      <w:r>
        <w:rPr>
          <w:vertAlign w:val="baseline"/>
        </w:rPr>
        <w:t> December.</w:t>
      </w:r>
      <w:r>
        <w:rPr>
          <w:vertAlign w:val="superscript"/>
        </w:rPr>
        <w:t>25</w:t>
      </w:r>
    </w:p>
    <w:p>
      <w:pPr>
        <w:pStyle w:val="BodyText"/>
        <w:spacing w:line="480" w:lineRule="auto" w:before="1"/>
        <w:ind w:left="360" w:right="159"/>
        <w:jc w:val="both"/>
      </w:pPr>
      <w:r>
        <w:rPr/>
        <w:t>For a company that ceases</w:t>
      </w:r>
      <w:r>
        <w:rPr>
          <w:spacing w:val="21"/>
        </w:rPr>
        <w:t> </w:t>
      </w:r>
      <w:r>
        <w:rPr/>
        <w:t>its</w:t>
      </w:r>
      <w:r>
        <w:rPr>
          <w:spacing w:val="29"/>
        </w:rPr>
        <w:t> </w:t>
      </w:r>
      <w:r>
        <w:rPr/>
        <w:t>petroleum</w:t>
      </w:r>
      <w:r>
        <w:rPr>
          <w:spacing w:val="30"/>
        </w:rPr>
        <w:t> </w:t>
      </w:r>
      <w:r>
        <w:rPr/>
        <w:t>operations</w:t>
      </w:r>
      <w:r>
        <w:rPr>
          <w:spacing w:val="29"/>
        </w:rPr>
        <w:t> </w:t>
      </w:r>
      <w:r>
        <w:rPr/>
        <w:t>before</w:t>
      </w:r>
      <w:r>
        <w:rPr>
          <w:spacing w:val="28"/>
        </w:rPr>
        <w:t> </w:t>
      </w:r>
      <w:r>
        <w:rPr/>
        <w:t>the</w:t>
      </w:r>
      <w:r>
        <w:rPr>
          <w:spacing w:val="30"/>
        </w:rPr>
        <w:t> </w:t>
      </w:r>
      <w:r>
        <w:rPr/>
        <w:t>end</w:t>
      </w:r>
      <w:r>
        <w:rPr>
          <w:spacing w:val="29"/>
        </w:rPr>
        <w:t> </w:t>
      </w:r>
      <w:r>
        <w:rPr/>
        <w:t>of</w:t>
      </w:r>
      <w:r>
        <w:rPr>
          <w:spacing w:val="25"/>
        </w:rPr>
        <w:t> </w:t>
      </w:r>
      <w:r>
        <w:rPr/>
        <w:t>the</w:t>
      </w:r>
      <w:r>
        <w:rPr>
          <w:spacing w:val="30"/>
        </w:rPr>
        <w:t> </w:t>
      </w:r>
      <w:r>
        <w:rPr/>
        <w:t>year</w:t>
      </w:r>
      <w:r>
        <w:rPr>
          <w:spacing w:val="31"/>
        </w:rPr>
        <w:t> </w:t>
      </w:r>
      <w:r>
        <w:rPr/>
        <w:t>(December) its accounting period is adjudged to terminate on the date of such cessation. It should be</w:t>
      </w:r>
      <w:r>
        <w:rPr>
          <w:spacing w:val="40"/>
        </w:rPr>
        <w:t> </w:t>
      </w:r>
      <w:r>
        <w:rPr/>
        <w:t>noted</w:t>
      </w:r>
      <w:r>
        <w:rPr>
          <w:spacing w:val="40"/>
        </w:rPr>
        <w:t> </w:t>
      </w:r>
      <w:r>
        <w:rPr/>
        <w:t>here</w:t>
      </w:r>
      <w:r>
        <w:rPr>
          <w:spacing w:val="40"/>
        </w:rPr>
        <w:t> </w:t>
      </w:r>
      <w:r>
        <w:rPr/>
        <w:t>that</w:t>
      </w:r>
      <w:r>
        <w:rPr>
          <w:spacing w:val="40"/>
        </w:rPr>
        <w:t> </w:t>
      </w:r>
      <w:r>
        <w:rPr/>
        <w:t>such</w:t>
      </w:r>
      <w:r>
        <w:rPr>
          <w:spacing w:val="40"/>
        </w:rPr>
        <w:t> </w:t>
      </w:r>
      <w:r>
        <w:rPr/>
        <w:t>operative</w:t>
      </w:r>
      <w:r>
        <w:rPr>
          <w:spacing w:val="40"/>
        </w:rPr>
        <w:t> </w:t>
      </w:r>
      <w:r>
        <w:rPr/>
        <w:t>date</w:t>
      </w:r>
      <w:r>
        <w:rPr>
          <w:spacing w:val="40"/>
        </w:rPr>
        <w:t> </w:t>
      </w:r>
      <w:r>
        <w:rPr/>
        <w:t>is</w:t>
      </w:r>
      <w:r>
        <w:rPr>
          <w:spacing w:val="40"/>
        </w:rPr>
        <w:t> </w:t>
      </w:r>
      <w:r>
        <w:rPr/>
        <w:t>the</w:t>
      </w:r>
      <w:r>
        <w:rPr>
          <w:spacing w:val="40"/>
        </w:rPr>
        <w:t> </w:t>
      </w:r>
      <w:r>
        <w:rPr/>
        <w:t>date</w:t>
      </w:r>
      <w:r>
        <w:rPr>
          <w:spacing w:val="40"/>
        </w:rPr>
        <w:t> </w:t>
      </w:r>
      <w:r>
        <w:rPr/>
        <w:t>of</w:t>
      </w:r>
      <w:r>
        <w:rPr>
          <w:spacing w:val="40"/>
        </w:rPr>
        <w:t> </w:t>
      </w:r>
      <w:r>
        <w:rPr/>
        <w:t>the</w:t>
      </w:r>
      <w:r>
        <w:rPr>
          <w:spacing w:val="40"/>
        </w:rPr>
        <w:t> </w:t>
      </w:r>
      <w:r>
        <w:rPr/>
        <w:t>cessation</w:t>
      </w:r>
      <w:r>
        <w:rPr>
          <w:spacing w:val="40"/>
        </w:rPr>
        <w:t> </w:t>
      </w:r>
      <w:r>
        <w:rPr/>
        <w:t>of</w:t>
      </w:r>
      <w:r>
        <w:rPr>
          <w:spacing w:val="40"/>
        </w:rPr>
        <w:t> </w:t>
      </w:r>
      <w:r>
        <w:rPr/>
        <w:t>its</w:t>
      </w:r>
      <w:r>
        <w:rPr>
          <w:spacing w:val="40"/>
        </w:rPr>
        <w:t> </w:t>
      </w:r>
      <w:r>
        <w:rPr/>
        <w:t>operations</w:t>
      </w:r>
      <w:r>
        <w:rPr>
          <w:spacing w:val="40"/>
        </w:rPr>
        <w:t> </w:t>
      </w:r>
      <w:r>
        <w:rPr/>
        <w:t>and</w:t>
      </w:r>
      <w:r>
        <w:rPr>
          <w:spacing w:val="40"/>
        </w:rPr>
        <w:t> </w:t>
      </w:r>
      <w:r>
        <w:rPr/>
        <w:t>not the date of its last bulk sale of chargeable oil or gas.</w:t>
      </w:r>
      <w:r>
        <w:rPr>
          <w:spacing w:val="-15"/>
        </w:rPr>
        <w:t> </w:t>
      </w:r>
      <w:r>
        <w:rPr>
          <w:vertAlign w:val="superscript"/>
        </w:rPr>
        <w:t>26</w:t>
      </w:r>
      <w:r>
        <w:rPr>
          <w:vertAlign w:val="baseline"/>
        </w:rPr>
        <w:t> Should the effective date of the cessation of petroleum operations as regards the determination of an accounting period be in dispute,</w:t>
      </w:r>
      <w:r>
        <w:rPr>
          <w:spacing w:val="40"/>
          <w:vertAlign w:val="baseline"/>
        </w:rPr>
        <w:t> </w:t>
      </w:r>
      <w:r>
        <w:rPr>
          <w:vertAlign w:val="baseline"/>
        </w:rPr>
        <w:t>the</w:t>
      </w:r>
      <w:r>
        <w:rPr>
          <w:spacing w:val="40"/>
          <w:vertAlign w:val="baseline"/>
        </w:rPr>
        <w:t> </w:t>
      </w:r>
      <w:r>
        <w:rPr>
          <w:vertAlign w:val="baseline"/>
        </w:rPr>
        <w:t>decision</w:t>
      </w:r>
      <w:r>
        <w:rPr>
          <w:spacing w:val="40"/>
          <w:vertAlign w:val="baseline"/>
        </w:rPr>
        <w:t> </w:t>
      </w:r>
      <w:r>
        <w:rPr>
          <w:vertAlign w:val="baseline"/>
        </w:rPr>
        <w:t>of</w:t>
      </w:r>
      <w:r>
        <w:rPr>
          <w:spacing w:val="40"/>
          <w:vertAlign w:val="baseline"/>
        </w:rPr>
        <w:t> </w:t>
      </w:r>
      <w:r>
        <w:rPr>
          <w:vertAlign w:val="baseline"/>
        </w:rPr>
        <w:t>the</w:t>
      </w:r>
      <w:r>
        <w:rPr>
          <w:spacing w:val="40"/>
          <w:vertAlign w:val="baseline"/>
        </w:rPr>
        <w:t> </w:t>
      </w:r>
      <w:r>
        <w:rPr>
          <w:vertAlign w:val="baseline"/>
        </w:rPr>
        <w:t>Director</w:t>
      </w:r>
      <w:r>
        <w:rPr>
          <w:spacing w:val="40"/>
          <w:vertAlign w:val="baseline"/>
        </w:rPr>
        <w:t> </w:t>
      </w:r>
      <w:r>
        <w:rPr>
          <w:vertAlign w:val="baseline"/>
        </w:rPr>
        <w:t>of</w:t>
      </w:r>
      <w:r>
        <w:rPr>
          <w:spacing w:val="40"/>
          <w:vertAlign w:val="baseline"/>
        </w:rPr>
        <w:t> </w:t>
      </w:r>
      <w:r>
        <w:rPr>
          <w:vertAlign w:val="baseline"/>
        </w:rPr>
        <w:t>the</w:t>
      </w:r>
      <w:r>
        <w:rPr>
          <w:spacing w:val="40"/>
          <w:vertAlign w:val="baseline"/>
        </w:rPr>
        <w:t> </w:t>
      </w:r>
      <w:r>
        <w:rPr>
          <w:vertAlign w:val="baseline"/>
        </w:rPr>
        <w:t>Department</w:t>
      </w:r>
      <w:r>
        <w:rPr>
          <w:spacing w:val="40"/>
          <w:vertAlign w:val="baseline"/>
        </w:rPr>
        <w:t> </w:t>
      </w:r>
      <w:r>
        <w:rPr>
          <w:vertAlign w:val="baseline"/>
        </w:rPr>
        <w:t>of</w:t>
      </w:r>
      <w:r>
        <w:rPr>
          <w:spacing w:val="40"/>
          <w:vertAlign w:val="baseline"/>
        </w:rPr>
        <w:t> </w:t>
      </w:r>
      <w:r>
        <w:rPr>
          <w:vertAlign w:val="baseline"/>
        </w:rPr>
        <w:t>Petroleum</w:t>
      </w:r>
      <w:r>
        <w:rPr>
          <w:spacing w:val="40"/>
          <w:vertAlign w:val="baseline"/>
        </w:rPr>
        <w:t> </w:t>
      </w:r>
      <w:r>
        <w:rPr>
          <w:vertAlign w:val="baseline"/>
        </w:rPr>
        <w:t>Resources</w:t>
      </w:r>
      <w:r>
        <w:rPr>
          <w:spacing w:val="40"/>
          <w:vertAlign w:val="baseline"/>
        </w:rPr>
        <w:t> </w:t>
      </w:r>
      <w:r>
        <w:rPr>
          <w:vertAlign w:val="baseline"/>
        </w:rPr>
        <w:t>in</w:t>
      </w:r>
      <w:r>
        <w:rPr>
          <w:spacing w:val="40"/>
          <w:vertAlign w:val="baseline"/>
        </w:rPr>
        <w:t> </w:t>
      </w:r>
      <w:r>
        <w:rPr>
          <w:vertAlign w:val="baseline"/>
        </w:rPr>
        <w:t>the matter</w:t>
      </w:r>
      <w:r>
        <w:rPr>
          <w:spacing w:val="40"/>
          <w:vertAlign w:val="baseline"/>
        </w:rPr>
        <w:t> </w:t>
      </w:r>
      <w:r>
        <w:rPr>
          <w:vertAlign w:val="baseline"/>
        </w:rPr>
        <w:t>would</w:t>
      </w:r>
      <w:r>
        <w:rPr>
          <w:spacing w:val="40"/>
          <w:vertAlign w:val="baseline"/>
        </w:rPr>
        <w:t> </w:t>
      </w:r>
      <w:r>
        <w:rPr>
          <w:vertAlign w:val="baseline"/>
        </w:rPr>
        <w:t>be</w:t>
      </w:r>
      <w:r>
        <w:rPr>
          <w:spacing w:val="40"/>
          <w:vertAlign w:val="baseline"/>
        </w:rPr>
        <w:t> </w:t>
      </w:r>
      <w:r>
        <w:rPr>
          <w:vertAlign w:val="baseline"/>
        </w:rPr>
        <w:t>final.</w:t>
      </w:r>
      <w:r>
        <w:rPr>
          <w:spacing w:val="-15"/>
          <w:vertAlign w:val="baseline"/>
        </w:rPr>
        <w:t> </w:t>
      </w:r>
      <w:r>
        <w:rPr>
          <w:vertAlign w:val="superscript"/>
        </w:rPr>
        <w:t>27</w:t>
      </w:r>
      <w:r>
        <w:rPr>
          <w:vertAlign w:val="baseline"/>
        </w:rPr>
        <w:t> In</w:t>
      </w:r>
      <w:r>
        <w:rPr>
          <w:spacing w:val="40"/>
          <w:vertAlign w:val="baseline"/>
        </w:rPr>
        <w:t> </w:t>
      </w:r>
      <w:r>
        <w:rPr>
          <w:vertAlign w:val="baseline"/>
        </w:rPr>
        <w:t>this</w:t>
      </w:r>
      <w:r>
        <w:rPr>
          <w:spacing w:val="40"/>
          <w:vertAlign w:val="baseline"/>
        </w:rPr>
        <w:t> </w:t>
      </w:r>
      <w:r>
        <w:rPr>
          <w:vertAlign w:val="baseline"/>
        </w:rPr>
        <w:t>connection,</w:t>
      </w:r>
      <w:r>
        <w:rPr>
          <w:spacing w:val="40"/>
          <w:vertAlign w:val="baseline"/>
        </w:rPr>
        <w:t> </w:t>
      </w:r>
      <w:r>
        <w:rPr>
          <w:vertAlign w:val="baseline"/>
        </w:rPr>
        <w:t>the</w:t>
      </w:r>
      <w:r>
        <w:rPr>
          <w:spacing w:val="40"/>
          <w:vertAlign w:val="baseline"/>
        </w:rPr>
        <w:t> </w:t>
      </w:r>
      <w:r>
        <w:rPr>
          <w:vertAlign w:val="baseline"/>
        </w:rPr>
        <w:t>submission</w:t>
      </w:r>
      <w:r>
        <w:rPr>
          <w:spacing w:val="40"/>
          <w:vertAlign w:val="baseline"/>
        </w:rPr>
        <w:t> </w:t>
      </w:r>
      <w:r>
        <w:rPr>
          <w:vertAlign w:val="baseline"/>
        </w:rPr>
        <w:t>is</w:t>
      </w:r>
      <w:r>
        <w:rPr>
          <w:spacing w:val="40"/>
          <w:vertAlign w:val="baseline"/>
        </w:rPr>
        <w:t> </w:t>
      </w:r>
      <w:r>
        <w:rPr>
          <w:vertAlign w:val="baseline"/>
        </w:rPr>
        <w:t>made</w:t>
      </w:r>
      <w:r>
        <w:rPr>
          <w:spacing w:val="40"/>
          <w:vertAlign w:val="baseline"/>
        </w:rPr>
        <w:t> </w:t>
      </w:r>
      <w:r>
        <w:rPr>
          <w:vertAlign w:val="baseline"/>
        </w:rPr>
        <w:t>that</w:t>
      </w:r>
      <w:r>
        <w:rPr>
          <w:spacing w:val="40"/>
          <w:vertAlign w:val="baseline"/>
        </w:rPr>
        <w:t> </w:t>
      </w:r>
      <w:r>
        <w:rPr>
          <w:vertAlign w:val="baseline"/>
        </w:rPr>
        <w:t>the</w:t>
      </w:r>
      <w:r>
        <w:rPr>
          <w:spacing w:val="40"/>
          <w:vertAlign w:val="baseline"/>
        </w:rPr>
        <w:t> </w:t>
      </w:r>
      <w:r>
        <w:rPr>
          <w:vertAlign w:val="baseline"/>
        </w:rPr>
        <w:t>issues involved are those of fact and that not much difficulty would be encountered in leading evidence</w:t>
      </w:r>
      <w:r>
        <w:rPr>
          <w:spacing w:val="19"/>
          <w:vertAlign w:val="baseline"/>
        </w:rPr>
        <w:t> </w:t>
      </w:r>
      <w:r>
        <w:rPr>
          <w:vertAlign w:val="baseline"/>
        </w:rPr>
        <w:t>that</w:t>
      </w:r>
      <w:r>
        <w:rPr>
          <w:spacing w:val="20"/>
          <w:vertAlign w:val="baseline"/>
        </w:rPr>
        <w:t> </w:t>
      </w:r>
      <w:r>
        <w:rPr>
          <w:vertAlign w:val="baseline"/>
        </w:rPr>
        <w:t>would</w:t>
      </w:r>
      <w:r>
        <w:rPr>
          <w:spacing w:val="20"/>
          <w:vertAlign w:val="baseline"/>
        </w:rPr>
        <w:t> </w:t>
      </w:r>
      <w:r>
        <w:rPr>
          <w:vertAlign w:val="baseline"/>
        </w:rPr>
        <w:t>satisfactorily</w:t>
      </w:r>
      <w:r>
        <w:rPr>
          <w:spacing w:val="17"/>
          <w:vertAlign w:val="baseline"/>
        </w:rPr>
        <w:t> </w:t>
      </w:r>
      <w:r>
        <w:rPr>
          <w:vertAlign w:val="baseline"/>
        </w:rPr>
        <w:t>establish</w:t>
      </w:r>
      <w:r>
        <w:rPr>
          <w:spacing w:val="20"/>
          <w:vertAlign w:val="baseline"/>
        </w:rPr>
        <w:t> </w:t>
      </w:r>
      <w:r>
        <w:rPr>
          <w:vertAlign w:val="baseline"/>
        </w:rPr>
        <w:t>such</w:t>
      </w:r>
      <w:r>
        <w:rPr>
          <w:spacing w:val="22"/>
          <w:vertAlign w:val="baseline"/>
        </w:rPr>
        <w:t> </w:t>
      </w:r>
      <w:r>
        <w:rPr>
          <w:vertAlign w:val="baseline"/>
        </w:rPr>
        <w:t>dates.</w:t>
      </w:r>
      <w:r>
        <w:rPr>
          <w:spacing w:val="38"/>
          <w:vertAlign w:val="baseline"/>
        </w:rPr>
        <w:t> </w:t>
      </w:r>
      <w:r>
        <w:rPr>
          <w:vertAlign w:val="baseline"/>
        </w:rPr>
        <w:t>As</w:t>
      </w:r>
      <w:r>
        <w:rPr>
          <w:spacing w:val="20"/>
          <w:vertAlign w:val="baseline"/>
        </w:rPr>
        <w:t> </w:t>
      </w:r>
      <w:r>
        <w:rPr>
          <w:vertAlign w:val="baseline"/>
        </w:rPr>
        <w:t>regards</w:t>
      </w:r>
      <w:r>
        <w:rPr>
          <w:spacing w:val="20"/>
          <w:vertAlign w:val="baseline"/>
        </w:rPr>
        <w:t> </w:t>
      </w:r>
      <w:r>
        <w:rPr>
          <w:vertAlign w:val="baseline"/>
        </w:rPr>
        <w:t>the</w:t>
      </w:r>
      <w:r>
        <w:rPr>
          <w:spacing w:val="19"/>
          <w:vertAlign w:val="baseline"/>
        </w:rPr>
        <w:t> </w:t>
      </w:r>
      <w:r>
        <w:rPr>
          <w:vertAlign w:val="baseline"/>
        </w:rPr>
        <w:t>accounting</w:t>
      </w:r>
      <w:r>
        <w:rPr>
          <w:spacing w:val="17"/>
          <w:vertAlign w:val="baseline"/>
        </w:rPr>
        <w:t> </w:t>
      </w:r>
      <w:r>
        <w:rPr>
          <w:vertAlign w:val="baseline"/>
        </w:rPr>
        <w:t>period</w:t>
      </w:r>
      <w:r>
        <w:rPr>
          <w:spacing w:val="17"/>
          <w:vertAlign w:val="baseline"/>
        </w:rPr>
        <w:t> </w:t>
      </w:r>
      <w:r>
        <w:rPr>
          <w:vertAlign w:val="baseline"/>
        </w:rPr>
        <w:t>of a "reconstituted company" that is to say, a company, which</w:t>
      </w:r>
      <w:r>
        <w:rPr>
          <w:spacing w:val="37"/>
          <w:vertAlign w:val="baseline"/>
        </w:rPr>
        <w:t> </w:t>
      </w:r>
      <w:r>
        <w:rPr>
          <w:vertAlign w:val="baseline"/>
        </w:rPr>
        <w:t>is incorporated locally to carry</w:t>
      </w:r>
      <w:r>
        <w:rPr>
          <w:spacing w:val="80"/>
          <w:vertAlign w:val="baseline"/>
        </w:rPr>
        <w:t> </w:t>
      </w:r>
      <w:r>
        <w:rPr>
          <w:vertAlign w:val="baseline"/>
        </w:rPr>
        <w:t>on the petroleum operation of a foreign company, which had such business in Nigeria, the provisions of section</w:t>
      </w:r>
      <w:r>
        <w:rPr>
          <w:spacing w:val="40"/>
          <w:vertAlign w:val="baseline"/>
        </w:rPr>
        <w:t> </w:t>
      </w:r>
      <w:r>
        <w:rPr>
          <w:vertAlign w:val="baseline"/>
        </w:rPr>
        <w:t>16(2)(a)</w:t>
      </w:r>
      <w:r>
        <w:rPr>
          <w:spacing w:val="-15"/>
          <w:vertAlign w:val="baseline"/>
        </w:rPr>
        <w:t> </w:t>
      </w:r>
      <w:r>
        <w:rPr>
          <w:vertAlign w:val="superscript"/>
        </w:rPr>
        <w:t>28</w:t>
      </w:r>
      <w:r>
        <w:rPr>
          <w:vertAlign w:val="baseline"/>
        </w:rPr>
        <w:t> would apply to it. As earlier pointed out, the principle applied</w:t>
      </w:r>
      <w:r>
        <w:rPr>
          <w:spacing w:val="40"/>
          <w:vertAlign w:val="baseline"/>
        </w:rPr>
        <w:t> </w:t>
      </w:r>
      <w:r>
        <w:rPr>
          <w:vertAlign w:val="baseline"/>
        </w:rPr>
        <w:t>in</w:t>
      </w:r>
      <w:r>
        <w:rPr>
          <w:spacing w:val="40"/>
          <w:vertAlign w:val="baseline"/>
        </w:rPr>
        <w:t> </w:t>
      </w:r>
      <w:r>
        <w:rPr>
          <w:vertAlign w:val="baseline"/>
        </w:rPr>
        <w:t>the</w:t>
      </w:r>
      <w:r>
        <w:rPr>
          <w:spacing w:val="40"/>
          <w:vertAlign w:val="baseline"/>
        </w:rPr>
        <w:t> </w:t>
      </w:r>
      <w:r>
        <w:rPr>
          <w:vertAlign w:val="baseline"/>
        </w:rPr>
        <w:t>determination</w:t>
      </w:r>
      <w:r>
        <w:rPr>
          <w:spacing w:val="40"/>
          <w:vertAlign w:val="baseline"/>
        </w:rPr>
        <w:t> </w:t>
      </w:r>
      <w:r>
        <w:rPr>
          <w:vertAlign w:val="baseline"/>
        </w:rPr>
        <w:t>of</w:t>
      </w:r>
      <w:r>
        <w:rPr>
          <w:spacing w:val="40"/>
          <w:vertAlign w:val="baseline"/>
        </w:rPr>
        <w:t> </w:t>
      </w:r>
      <w:r>
        <w:rPr>
          <w:vertAlign w:val="baseline"/>
        </w:rPr>
        <w:t>the</w:t>
      </w:r>
      <w:r>
        <w:rPr>
          <w:spacing w:val="40"/>
          <w:vertAlign w:val="baseline"/>
        </w:rPr>
        <w:t> </w:t>
      </w:r>
      <w:r>
        <w:rPr>
          <w:vertAlign w:val="baseline"/>
        </w:rPr>
        <w:t>actual</w:t>
      </w:r>
      <w:r>
        <w:rPr>
          <w:spacing w:val="40"/>
          <w:vertAlign w:val="baseline"/>
        </w:rPr>
        <w:t> </w:t>
      </w:r>
      <w:r>
        <w:rPr>
          <w:vertAlign w:val="baseline"/>
        </w:rPr>
        <w:t>taxable</w:t>
      </w:r>
      <w:r>
        <w:rPr>
          <w:spacing w:val="40"/>
          <w:vertAlign w:val="baseline"/>
        </w:rPr>
        <w:t> </w:t>
      </w:r>
      <w:r>
        <w:rPr>
          <w:vertAlign w:val="baseline"/>
        </w:rPr>
        <w:t>profits</w:t>
      </w:r>
      <w:r>
        <w:rPr>
          <w:spacing w:val="40"/>
          <w:vertAlign w:val="baseline"/>
        </w:rPr>
        <w:t> </w:t>
      </w:r>
      <w:r>
        <w:rPr>
          <w:vertAlign w:val="baseline"/>
        </w:rPr>
        <w:t>of</w:t>
      </w:r>
      <w:r>
        <w:rPr>
          <w:spacing w:val="40"/>
          <w:vertAlign w:val="baseline"/>
        </w:rPr>
        <w:t> </w:t>
      </w:r>
      <w:r>
        <w:rPr>
          <w:vertAlign w:val="baseline"/>
        </w:rPr>
        <w:t>a</w:t>
      </w:r>
      <w:r>
        <w:rPr>
          <w:spacing w:val="40"/>
          <w:vertAlign w:val="baseline"/>
        </w:rPr>
        <w:t> </w:t>
      </w:r>
      <w:r>
        <w:rPr>
          <w:vertAlign w:val="baseline"/>
        </w:rPr>
        <w:t>company</w:t>
      </w:r>
      <w:r>
        <w:rPr>
          <w:spacing w:val="40"/>
          <w:vertAlign w:val="baseline"/>
        </w:rPr>
        <w:t> </w:t>
      </w:r>
      <w:r>
        <w:rPr>
          <w:vertAlign w:val="baseline"/>
        </w:rPr>
        <w:t>engaged</w:t>
      </w:r>
      <w:r>
        <w:rPr>
          <w:spacing w:val="40"/>
          <w:vertAlign w:val="baseline"/>
        </w:rPr>
        <w:t> </w:t>
      </w:r>
      <w:r>
        <w:rPr>
          <w:vertAlign w:val="baseline"/>
        </w:rPr>
        <w:t>in petroleum</w:t>
      </w:r>
      <w:r>
        <w:rPr>
          <w:spacing w:val="43"/>
          <w:vertAlign w:val="baseline"/>
        </w:rPr>
        <w:t> </w:t>
      </w:r>
      <w:r>
        <w:rPr>
          <w:vertAlign w:val="baseline"/>
        </w:rPr>
        <w:t>operations</w:t>
      </w:r>
      <w:r>
        <w:rPr>
          <w:spacing w:val="46"/>
          <w:vertAlign w:val="baseline"/>
        </w:rPr>
        <w:t> </w:t>
      </w:r>
      <w:r>
        <w:rPr>
          <w:vertAlign w:val="baseline"/>
        </w:rPr>
        <w:t>is</w:t>
      </w:r>
      <w:r>
        <w:rPr>
          <w:spacing w:val="46"/>
          <w:vertAlign w:val="baseline"/>
        </w:rPr>
        <w:t> </w:t>
      </w:r>
      <w:r>
        <w:rPr>
          <w:vertAlign w:val="baseline"/>
        </w:rPr>
        <w:t>the</w:t>
      </w:r>
      <w:r>
        <w:rPr>
          <w:spacing w:val="48"/>
          <w:vertAlign w:val="baseline"/>
        </w:rPr>
        <w:t> </w:t>
      </w:r>
      <w:r>
        <w:rPr>
          <w:vertAlign w:val="baseline"/>
        </w:rPr>
        <w:t>same</w:t>
      </w:r>
      <w:r>
        <w:rPr>
          <w:spacing w:val="47"/>
          <w:vertAlign w:val="baseline"/>
        </w:rPr>
        <w:t> </w:t>
      </w:r>
      <w:r>
        <w:rPr>
          <w:vertAlign w:val="baseline"/>
        </w:rPr>
        <w:t>as</w:t>
      </w:r>
      <w:r>
        <w:rPr>
          <w:spacing w:val="49"/>
          <w:vertAlign w:val="baseline"/>
        </w:rPr>
        <w:t> </w:t>
      </w:r>
      <w:r>
        <w:rPr>
          <w:vertAlign w:val="baseline"/>
        </w:rPr>
        <w:t>with</w:t>
      </w:r>
      <w:r>
        <w:rPr>
          <w:spacing w:val="49"/>
          <w:vertAlign w:val="baseline"/>
        </w:rPr>
        <w:t> </w:t>
      </w:r>
      <w:r>
        <w:rPr>
          <w:vertAlign w:val="baseline"/>
        </w:rPr>
        <w:t>other</w:t>
      </w:r>
      <w:r>
        <w:rPr>
          <w:spacing w:val="47"/>
          <w:vertAlign w:val="baseline"/>
        </w:rPr>
        <w:t> </w:t>
      </w:r>
      <w:r>
        <w:rPr>
          <w:vertAlign w:val="baseline"/>
        </w:rPr>
        <w:t>companies</w:t>
      </w:r>
      <w:r>
        <w:rPr>
          <w:spacing w:val="49"/>
          <w:vertAlign w:val="baseline"/>
        </w:rPr>
        <w:t> </w:t>
      </w:r>
      <w:r>
        <w:rPr>
          <w:vertAlign w:val="baseline"/>
        </w:rPr>
        <w:t>namely,</w:t>
      </w:r>
      <w:r>
        <w:rPr>
          <w:spacing w:val="49"/>
          <w:vertAlign w:val="baseline"/>
        </w:rPr>
        <w:t> </w:t>
      </w:r>
      <w:r>
        <w:rPr>
          <w:vertAlign w:val="baseline"/>
        </w:rPr>
        <w:t>that</w:t>
      </w:r>
      <w:r>
        <w:rPr>
          <w:spacing w:val="50"/>
          <w:vertAlign w:val="baseline"/>
        </w:rPr>
        <w:t> </w:t>
      </w:r>
      <w:r>
        <w:rPr>
          <w:vertAlign w:val="baseline"/>
        </w:rPr>
        <w:t>certain</w:t>
      </w:r>
      <w:r>
        <w:rPr>
          <w:spacing w:val="49"/>
          <w:vertAlign w:val="baseline"/>
        </w:rPr>
        <w:t> </w:t>
      </w:r>
      <w:r>
        <w:rPr>
          <w:vertAlign w:val="baseline"/>
        </w:rPr>
        <w:t>items</w:t>
      </w:r>
      <w:r>
        <w:rPr>
          <w:spacing w:val="49"/>
          <w:vertAlign w:val="baseline"/>
        </w:rPr>
        <w:t> </w:t>
      </w:r>
      <w:r>
        <w:rPr>
          <w:spacing w:val="-5"/>
          <w:vertAlign w:val="baseline"/>
        </w:rPr>
        <w:t>of</w:t>
      </w:r>
    </w:p>
    <w:p>
      <w:pPr>
        <w:pStyle w:val="BodyText"/>
        <w:spacing w:before="1"/>
        <w:ind w:left="360"/>
        <w:jc w:val="both"/>
      </w:pPr>
      <w:r>
        <w:rPr/>
        <w:t>expenditure</w:t>
      </w:r>
      <w:r>
        <w:rPr>
          <w:spacing w:val="40"/>
        </w:rPr>
        <w:t> </w:t>
      </w:r>
      <w:r>
        <w:rPr/>
        <w:t>are</w:t>
      </w:r>
      <w:r>
        <w:rPr>
          <w:spacing w:val="42"/>
        </w:rPr>
        <w:t> </w:t>
      </w:r>
      <w:r>
        <w:rPr/>
        <w:t>permitted</w:t>
      </w:r>
      <w:r>
        <w:rPr>
          <w:spacing w:val="43"/>
        </w:rPr>
        <w:t> </w:t>
      </w:r>
      <w:r>
        <w:rPr/>
        <w:t>to</w:t>
      </w:r>
      <w:r>
        <w:rPr>
          <w:spacing w:val="43"/>
        </w:rPr>
        <w:t> </w:t>
      </w:r>
      <w:r>
        <w:rPr/>
        <w:t>be</w:t>
      </w:r>
      <w:r>
        <w:rPr>
          <w:spacing w:val="43"/>
        </w:rPr>
        <w:t> </w:t>
      </w:r>
      <w:r>
        <w:rPr/>
        <w:t>deducted</w:t>
      </w:r>
      <w:r>
        <w:rPr>
          <w:spacing w:val="43"/>
        </w:rPr>
        <w:t> </w:t>
      </w:r>
      <w:r>
        <w:rPr/>
        <w:t>from</w:t>
      </w:r>
      <w:r>
        <w:rPr>
          <w:spacing w:val="42"/>
        </w:rPr>
        <w:t> </w:t>
      </w:r>
      <w:r>
        <w:rPr/>
        <w:t>the</w:t>
      </w:r>
      <w:r>
        <w:rPr>
          <w:spacing w:val="42"/>
        </w:rPr>
        <w:t> </w:t>
      </w:r>
      <w:r>
        <w:rPr/>
        <w:t>company's</w:t>
      </w:r>
      <w:r>
        <w:rPr>
          <w:spacing w:val="44"/>
        </w:rPr>
        <w:t> </w:t>
      </w:r>
      <w:r>
        <w:rPr/>
        <w:t>gross</w:t>
      </w:r>
      <w:r>
        <w:rPr>
          <w:spacing w:val="45"/>
        </w:rPr>
        <w:t> </w:t>
      </w:r>
      <w:r>
        <w:rPr/>
        <w:t>profits.</w:t>
      </w:r>
      <w:r>
        <w:rPr>
          <w:spacing w:val="43"/>
        </w:rPr>
        <w:t> </w:t>
      </w:r>
      <w:r>
        <w:rPr/>
        <w:t>The</w:t>
      </w:r>
      <w:r>
        <w:rPr>
          <w:spacing w:val="64"/>
        </w:rPr>
        <w:t> </w:t>
      </w:r>
      <w:r>
        <w:rPr>
          <w:spacing w:val="-2"/>
        </w:rPr>
        <w:t>general</w:t>
      </w:r>
    </w:p>
    <w:p>
      <w:pPr>
        <w:pStyle w:val="BodyText"/>
        <w:spacing w:before="11"/>
        <w:rPr>
          <w:sz w:val="15"/>
        </w:rPr>
      </w:pPr>
      <w:r>
        <w:rPr/>
        <mc:AlternateContent>
          <mc:Choice Requires="wps">
            <w:drawing>
              <wp:anchor distT="0" distB="0" distL="0" distR="0" allowOverlap="1" layoutInCell="1" locked="0" behindDoc="1" simplePos="0" relativeHeight="487600640">
                <wp:simplePos x="0" y="0"/>
                <wp:positionH relativeFrom="page">
                  <wp:posOffset>914704</wp:posOffset>
                </wp:positionH>
                <wp:positionV relativeFrom="paragraph">
                  <wp:posOffset>131988</wp:posOffset>
                </wp:positionV>
                <wp:extent cx="1829435" cy="9525"/>
                <wp:effectExtent l="0" t="0" r="0" b="0"/>
                <wp:wrapTopAndBottom/>
                <wp:docPr id="29" name="Graphic 29"/>
                <wp:cNvGraphicFramePr>
                  <a:graphicFrameLocks/>
                </wp:cNvGraphicFramePr>
                <a:graphic>
                  <a:graphicData uri="http://schemas.microsoft.com/office/word/2010/wordprocessingShape">
                    <wps:wsp>
                      <wps:cNvPr id="29" name="Graphic 29"/>
                      <wps:cNvSpPr/>
                      <wps:spPr>
                        <a:xfrm>
                          <a:off x="0" y="0"/>
                          <a:ext cx="1829435" cy="9525"/>
                        </a:xfrm>
                        <a:custGeom>
                          <a:avLst/>
                          <a:gdLst/>
                          <a:ahLst/>
                          <a:cxnLst/>
                          <a:rect l="l" t="t" r="r" b="b"/>
                          <a:pathLst>
                            <a:path w="1829435" h="9525">
                              <a:moveTo>
                                <a:pt x="1829054" y="0"/>
                              </a:moveTo>
                              <a:lnTo>
                                <a:pt x="0" y="0"/>
                              </a:lnTo>
                              <a:lnTo>
                                <a:pt x="0" y="9143"/>
                              </a:lnTo>
                              <a:lnTo>
                                <a:pt x="1829054" y="9143"/>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10.392764pt;width:144.020pt;height:.71997pt;mso-position-horizontal-relative:page;mso-position-vertical-relative:paragraph;z-index:-15715840;mso-wrap-distance-left:0;mso-wrap-distance-right:0" id="docshape29" filled="true" fillcolor="#000000" stroked="false">
                <v:fill type="solid"/>
                <w10:wrap type="topAndBottom"/>
              </v:rect>
            </w:pict>
          </mc:Fallback>
        </mc:AlternateContent>
      </w:r>
    </w:p>
    <w:p>
      <w:pPr>
        <w:spacing w:before="102"/>
        <w:ind w:left="360" w:right="0" w:firstLine="0"/>
        <w:jc w:val="left"/>
        <w:rPr>
          <w:rFonts w:ascii="Calibri"/>
          <w:sz w:val="20"/>
        </w:rPr>
      </w:pPr>
      <w:r>
        <w:rPr>
          <w:rFonts w:ascii="Calibri"/>
          <w:sz w:val="20"/>
          <w:vertAlign w:val="superscript"/>
        </w:rPr>
        <w:t>24</w:t>
      </w:r>
      <w:r>
        <w:rPr>
          <w:rFonts w:ascii="Calibri"/>
          <w:spacing w:val="-4"/>
          <w:sz w:val="20"/>
          <w:vertAlign w:val="baseline"/>
        </w:rPr>
        <w:t> Ibid</w:t>
      </w:r>
    </w:p>
    <w:p>
      <w:pPr>
        <w:spacing w:before="1"/>
        <w:ind w:left="360" w:right="0" w:firstLine="0"/>
        <w:jc w:val="left"/>
        <w:rPr>
          <w:rFonts w:ascii="Calibri"/>
          <w:sz w:val="20"/>
        </w:rPr>
      </w:pPr>
      <w:r>
        <w:rPr>
          <w:rFonts w:ascii="Calibri"/>
          <w:sz w:val="20"/>
          <w:vertAlign w:val="superscript"/>
        </w:rPr>
        <w:t>25</w:t>
      </w:r>
      <w:r>
        <w:rPr>
          <w:rFonts w:ascii="Calibri"/>
          <w:spacing w:val="-6"/>
          <w:sz w:val="20"/>
          <w:vertAlign w:val="baseline"/>
        </w:rPr>
        <w:t> </w:t>
      </w:r>
      <w:r>
        <w:rPr>
          <w:rFonts w:ascii="Calibri"/>
          <w:sz w:val="20"/>
          <w:vertAlign w:val="baseline"/>
        </w:rPr>
        <w:t>OMOROGBE</w:t>
      </w:r>
      <w:r>
        <w:rPr>
          <w:rFonts w:ascii="Calibri"/>
          <w:spacing w:val="-5"/>
          <w:sz w:val="20"/>
          <w:vertAlign w:val="baseline"/>
        </w:rPr>
        <w:t> </w:t>
      </w:r>
      <w:r>
        <w:rPr>
          <w:rFonts w:ascii="Calibri"/>
          <w:sz w:val="20"/>
          <w:vertAlign w:val="baseline"/>
        </w:rPr>
        <w:t>Y.</w:t>
      </w:r>
      <w:r>
        <w:rPr>
          <w:rFonts w:ascii="Calibri"/>
          <w:spacing w:val="-5"/>
          <w:sz w:val="20"/>
          <w:vertAlign w:val="baseline"/>
        </w:rPr>
        <w:t> </w:t>
      </w:r>
      <w:r>
        <w:rPr>
          <w:rFonts w:ascii="Calibri"/>
          <w:sz w:val="20"/>
          <w:vertAlign w:val="baseline"/>
        </w:rPr>
        <w:t>(2001)</w:t>
      </w:r>
      <w:r>
        <w:rPr>
          <w:rFonts w:ascii="Calibri"/>
          <w:spacing w:val="-7"/>
          <w:sz w:val="20"/>
          <w:vertAlign w:val="baseline"/>
        </w:rPr>
        <w:t> </w:t>
      </w:r>
      <w:r>
        <w:rPr>
          <w:rFonts w:ascii="Calibri"/>
          <w:sz w:val="20"/>
          <w:vertAlign w:val="baseline"/>
        </w:rPr>
        <w:t>Oil</w:t>
      </w:r>
      <w:r>
        <w:rPr>
          <w:rFonts w:ascii="Calibri"/>
          <w:spacing w:val="-5"/>
          <w:sz w:val="20"/>
          <w:vertAlign w:val="baseline"/>
        </w:rPr>
        <w:t> </w:t>
      </w:r>
      <w:r>
        <w:rPr>
          <w:rFonts w:ascii="Calibri"/>
          <w:sz w:val="20"/>
          <w:vertAlign w:val="baseline"/>
        </w:rPr>
        <w:t>and</w:t>
      </w:r>
      <w:r>
        <w:rPr>
          <w:rFonts w:ascii="Calibri"/>
          <w:spacing w:val="-5"/>
          <w:sz w:val="20"/>
          <w:vertAlign w:val="baseline"/>
        </w:rPr>
        <w:t> </w:t>
      </w:r>
      <w:r>
        <w:rPr>
          <w:rFonts w:ascii="Calibri"/>
          <w:sz w:val="20"/>
          <w:vertAlign w:val="baseline"/>
        </w:rPr>
        <w:t>Gas</w:t>
      </w:r>
      <w:r>
        <w:rPr>
          <w:rFonts w:ascii="Calibri"/>
          <w:spacing w:val="-7"/>
          <w:sz w:val="20"/>
          <w:vertAlign w:val="baseline"/>
        </w:rPr>
        <w:t> </w:t>
      </w:r>
      <w:r>
        <w:rPr>
          <w:rFonts w:ascii="Calibri"/>
          <w:sz w:val="20"/>
          <w:vertAlign w:val="baseline"/>
        </w:rPr>
        <w:t>law</w:t>
      </w:r>
      <w:r>
        <w:rPr>
          <w:rFonts w:ascii="Calibri"/>
          <w:spacing w:val="-5"/>
          <w:sz w:val="20"/>
          <w:vertAlign w:val="baseline"/>
        </w:rPr>
        <w:t> </w:t>
      </w:r>
      <w:r>
        <w:rPr>
          <w:rFonts w:ascii="Calibri"/>
          <w:sz w:val="20"/>
          <w:vertAlign w:val="baseline"/>
        </w:rPr>
        <w:t>in</w:t>
      </w:r>
      <w:r>
        <w:rPr>
          <w:rFonts w:ascii="Calibri"/>
          <w:spacing w:val="-5"/>
          <w:sz w:val="20"/>
          <w:vertAlign w:val="baseline"/>
        </w:rPr>
        <w:t> </w:t>
      </w:r>
      <w:r>
        <w:rPr>
          <w:rFonts w:ascii="Calibri"/>
          <w:sz w:val="20"/>
          <w:vertAlign w:val="baseline"/>
        </w:rPr>
        <w:t>Nigeria,</w:t>
      </w:r>
      <w:r>
        <w:rPr>
          <w:rFonts w:ascii="Calibri"/>
          <w:spacing w:val="-5"/>
          <w:sz w:val="20"/>
          <w:vertAlign w:val="baseline"/>
        </w:rPr>
        <w:t> </w:t>
      </w:r>
      <w:r>
        <w:rPr>
          <w:rFonts w:ascii="Calibri"/>
          <w:sz w:val="20"/>
          <w:vertAlign w:val="baseline"/>
        </w:rPr>
        <w:t>Malthouse</w:t>
      </w:r>
      <w:r>
        <w:rPr>
          <w:rFonts w:ascii="Calibri"/>
          <w:spacing w:val="-5"/>
          <w:sz w:val="20"/>
          <w:vertAlign w:val="baseline"/>
        </w:rPr>
        <w:t> </w:t>
      </w:r>
      <w:r>
        <w:rPr>
          <w:rFonts w:ascii="Calibri"/>
          <w:sz w:val="20"/>
          <w:vertAlign w:val="baseline"/>
        </w:rPr>
        <w:t>Publication,</w:t>
      </w:r>
      <w:r>
        <w:rPr>
          <w:rFonts w:ascii="Calibri"/>
          <w:spacing w:val="-5"/>
          <w:sz w:val="20"/>
          <w:vertAlign w:val="baseline"/>
        </w:rPr>
        <w:t> </w:t>
      </w:r>
      <w:r>
        <w:rPr>
          <w:rFonts w:ascii="Calibri"/>
          <w:spacing w:val="-2"/>
          <w:sz w:val="20"/>
          <w:vertAlign w:val="baseline"/>
        </w:rPr>
        <w:t>Lagos.</w:t>
      </w:r>
    </w:p>
    <w:p>
      <w:pPr>
        <w:spacing w:line="243" w:lineRule="exact" w:before="1"/>
        <w:ind w:left="360" w:right="0" w:firstLine="0"/>
        <w:jc w:val="left"/>
        <w:rPr>
          <w:rFonts w:ascii="Calibri"/>
          <w:sz w:val="20"/>
        </w:rPr>
      </w:pPr>
      <w:r>
        <w:rPr>
          <w:rFonts w:ascii="Calibri"/>
          <w:sz w:val="20"/>
          <w:vertAlign w:val="superscript"/>
        </w:rPr>
        <w:t>26</w:t>
      </w:r>
      <w:r>
        <w:rPr>
          <w:rFonts w:ascii="Calibri"/>
          <w:spacing w:val="-7"/>
          <w:sz w:val="20"/>
          <w:vertAlign w:val="baseline"/>
        </w:rPr>
        <w:t> </w:t>
      </w:r>
      <w:r>
        <w:rPr>
          <w:rFonts w:ascii="Calibri"/>
          <w:sz w:val="20"/>
          <w:vertAlign w:val="baseline"/>
        </w:rPr>
        <w:t>OLISA</w:t>
      </w:r>
      <w:r>
        <w:rPr>
          <w:rFonts w:ascii="Calibri"/>
          <w:spacing w:val="-7"/>
          <w:sz w:val="20"/>
          <w:vertAlign w:val="baseline"/>
        </w:rPr>
        <w:t> </w:t>
      </w:r>
      <w:r>
        <w:rPr>
          <w:rFonts w:ascii="Calibri"/>
          <w:sz w:val="20"/>
          <w:vertAlign w:val="baseline"/>
        </w:rPr>
        <w:t>M.M</w:t>
      </w:r>
      <w:r>
        <w:rPr>
          <w:rFonts w:ascii="Calibri"/>
          <w:spacing w:val="-6"/>
          <w:sz w:val="20"/>
          <w:vertAlign w:val="baseline"/>
        </w:rPr>
        <w:t> </w:t>
      </w:r>
      <w:r>
        <w:rPr>
          <w:rFonts w:ascii="Calibri"/>
          <w:sz w:val="20"/>
          <w:vertAlign w:val="baseline"/>
        </w:rPr>
        <w:t>(2003)</w:t>
      </w:r>
      <w:r>
        <w:rPr>
          <w:rFonts w:ascii="Calibri"/>
          <w:spacing w:val="-7"/>
          <w:sz w:val="20"/>
          <w:vertAlign w:val="baseline"/>
        </w:rPr>
        <w:t> </w:t>
      </w:r>
      <w:r>
        <w:rPr>
          <w:rFonts w:ascii="Calibri"/>
          <w:sz w:val="20"/>
          <w:vertAlign w:val="baseline"/>
        </w:rPr>
        <w:t>Nigerian</w:t>
      </w:r>
      <w:r>
        <w:rPr>
          <w:rFonts w:ascii="Calibri"/>
          <w:spacing w:val="-6"/>
          <w:sz w:val="20"/>
          <w:vertAlign w:val="baseline"/>
        </w:rPr>
        <w:t> </w:t>
      </w:r>
      <w:r>
        <w:rPr>
          <w:rFonts w:ascii="Calibri"/>
          <w:sz w:val="20"/>
          <w:vertAlign w:val="baseline"/>
        </w:rPr>
        <w:t>Petroleum</w:t>
      </w:r>
      <w:r>
        <w:rPr>
          <w:rFonts w:ascii="Calibri"/>
          <w:spacing w:val="-7"/>
          <w:sz w:val="20"/>
          <w:vertAlign w:val="baseline"/>
        </w:rPr>
        <w:t> </w:t>
      </w:r>
      <w:r>
        <w:rPr>
          <w:rFonts w:ascii="Calibri"/>
          <w:sz w:val="20"/>
          <w:vertAlign w:val="baseline"/>
        </w:rPr>
        <w:t>Law</w:t>
      </w:r>
      <w:r>
        <w:rPr>
          <w:rFonts w:ascii="Calibri"/>
          <w:spacing w:val="-6"/>
          <w:sz w:val="20"/>
          <w:vertAlign w:val="baseline"/>
        </w:rPr>
        <w:t> </w:t>
      </w:r>
      <w:r>
        <w:rPr>
          <w:rFonts w:ascii="Calibri"/>
          <w:sz w:val="20"/>
          <w:vertAlign w:val="baseline"/>
        </w:rPr>
        <w:t>and</w:t>
      </w:r>
      <w:r>
        <w:rPr>
          <w:rFonts w:ascii="Calibri"/>
          <w:spacing w:val="-6"/>
          <w:sz w:val="20"/>
          <w:vertAlign w:val="baseline"/>
        </w:rPr>
        <w:t> </w:t>
      </w:r>
      <w:r>
        <w:rPr>
          <w:rFonts w:ascii="Calibri"/>
          <w:sz w:val="20"/>
          <w:vertAlign w:val="baseline"/>
        </w:rPr>
        <w:t>Practice,</w:t>
      </w:r>
      <w:r>
        <w:rPr>
          <w:rFonts w:ascii="Calibri"/>
          <w:spacing w:val="-6"/>
          <w:sz w:val="20"/>
          <w:vertAlign w:val="baseline"/>
        </w:rPr>
        <w:t> </w:t>
      </w:r>
      <w:r>
        <w:rPr>
          <w:rFonts w:ascii="Calibri"/>
          <w:sz w:val="20"/>
          <w:vertAlign w:val="baseline"/>
        </w:rPr>
        <w:t>Jonia</w:t>
      </w:r>
      <w:r>
        <w:rPr>
          <w:rFonts w:ascii="Calibri"/>
          <w:spacing w:val="-6"/>
          <w:sz w:val="20"/>
          <w:vertAlign w:val="baseline"/>
        </w:rPr>
        <w:t> </w:t>
      </w:r>
      <w:r>
        <w:rPr>
          <w:rFonts w:ascii="Calibri"/>
          <w:sz w:val="20"/>
          <w:vertAlign w:val="baseline"/>
        </w:rPr>
        <w:t>Ventures</w:t>
      </w:r>
      <w:r>
        <w:rPr>
          <w:rFonts w:ascii="Calibri"/>
          <w:spacing w:val="-7"/>
          <w:sz w:val="20"/>
          <w:vertAlign w:val="baseline"/>
        </w:rPr>
        <w:t> </w:t>
      </w:r>
      <w:r>
        <w:rPr>
          <w:rFonts w:ascii="Calibri"/>
          <w:sz w:val="20"/>
          <w:vertAlign w:val="baseline"/>
        </w:rPr>
        <w:t>Limited</w:t>
      </w:r>
      <w:r>
        <w:rPr>
          <w:rFonts w:ascii="Calibri"/>
          <w:spacing w:val="-6"/>
          <w:sz w:val="20"/>
          <w:vertAlign w:val="baseline"/>
        </w:rPr>
        <w:t> </w:t>
      </w:r>
      <w:r>
        <w:rPr>
          <w:rFonts w:ascii="Calibri"/>
          <w:spacing w:val="-2"/>
          <w:sz w:val="20"/>
          <w:vertAlign w:val="baseline"/>
        </w:rPr>
        <w:t>Lagos.</w:t>
      </w:r>
    </w:p>
    <w:p>
      <w:pPr>
        <w:spacing w:line="243" w:lineRule="exact" w:before="0"/>
        <w:ind w:left="360" w:right="0" w:firstLine="0"/>
        <w:jc w:val="left"/>
        <w:rPr>
          <w:rFonts w:ascii="Calibri"/>
          <w:sz w:val="20"/>
        </w:rPr>
      </w:pPr>
      <w:r>
        <w:rPr>
          <w:rFonts w:ascii="Calibri"/>
          <w:sz w:val="20"/>
          <w:vertAlign w:val="superscript"/>
        </w:rPr>
        <w:t>27</w:t>
      </w:r>
      <w:r>
        <w:rPr>
          <w:rFonts w:ascii="Calibri"/>
          <w:spacing w:val="-8"/>
          <w:sz w:val="20"/>
          <w:vertAlign w:val="baseline"/>
        </w:rPr>
        <w:t> </w:t>
      </w:r>
      <w:r>
        <w:rPr>
          <w:rFonts w:ascii="Calibri"/>
          <w:sz w:val="20"/>
          <w:vertAlign w:val="baseline"/>
        </w:rPr>
        <w:t>ETIKERENTSE</w:t>
      </w:r>
      <w:r>
        <w:rPr>
          <w:rFonts w:ascii="Calibri"/>
          <w:spacing w:val="-6"/>
          <w:sz w:val="20"/>
          <w:vertAlign w:val="baseline"/>
        </w:rPr>
        <w:t> </w:t>
      </w:r>
      <w:r>
        <w:rPr>
          <w:rFonts w:ascii="Calibri"/>
          <w:sz w:val="20"/>
          <w:vertAlign w:val="baseline"/>
        </w:rPr>
        <w:t>G.</w:t>
      </w:r>
      <w:r>
        <w:rPr>
          <w:rFonts w:ascii="Calibri"/>
          <w:spacing w:val="-8"/>
          <w:sz w:val="20"/>
          <w:vertAlign w:val="baseline"/>
        </w:rPr>
        <w:t> </w:t>
      </w:r>
      <w:r>
        <w:rPr>
          <w:rFonts w:ascii="Calibri"/>
          <w:sz w:val="20"/>
          <w:vertAlign w:val="baseline"/>
        </w:rPr>
        <w:t>Petroleum</w:t>
      </w:r>
      <w:r>
        <w:rPr>
          <w:rFonts w:ascii="Calibri"/>
          <w:spacing w:val="-7"/>
          <w:sz w:val="20"/>
          <w:vertAlign w:val="baseline"/>
        </w:rPr>
        <w:t> </w:t>
      </w:r>
      <w:r>
        <w:rPr>
          <w:rFonts w:ascii="Calibri"/>
          <w:sz w:val="20"/>
          <w:vertAlign w:val="baseline"/>
        </w:rPr>
        <w:t>Law</w:t>
      </w:r>
      <w:r>
        <w:rPr>
          <w:rFonts w:ascii="Calibri"/>
          <w:spacing w:val="-7"/>
          <w:sz w:val="20"/>
          <w:vertAlign w:val="baseline"/>
        </w:rPr>
        <w:t> </w:t>
      </w:r>
      <w:r>
        <w:rPr>
          <w:rFonts w:ascii="Calibri"/>
          <w:sz w:val="20"/>
          <w:vertAlign w:val="baseline"/>
        </w:rPr>
        <w:t>in</w:t>
      </w:r>
      <w:r>
        <w:rPr>
          <w:rFonts w:ascii="Calibri"/>
          <w:spacing w:val="-7"/>
          <w:sz w:val="20"/>
          <w:vertAlign w:val="baseline"/>
        </w:rPr>
        <w:t> </w:t>
      </w:r>
      <w:r>
        <w:rPr>
          <w:rFonts w:ascii="Calibri"/>
          <w:sz w:val="20"/>
          <w:vertAlign w:val="baseline"/>
        </w:rPr>
        <w:t>Nigeria,</w:t>
      </w:r>
      <w:r>
        <w:rPr>
          <w:rFonts w:ascii="Calibri"/>
          <w:spacing w:val="-6"/>
          <w:sz w:val="20"/>
          <w:vertAlign w:val="baseline"/>
        </w:rPr>
        <w:t> </w:t>
      </w:r>
      <w:r>
        <w:rPr>
          <w:rFonts w:ascii="Calibri"/>
          <w:sz w:val="20"/>
          <w:vertAlign w:val="baseline"/>
        </w:rPr>
        <w:t>Lagos</w:t>
      </w:r>
      <w:r>
        <w:rPr>
          <w:rFonts w:ascii="Calibri"/>
          <w:spacing w:val="-8"/>
          <w:sz w:val="20"/>
          <w:vertAlign w:val="baseline"/>
        </w:rPr>
        <w:t> </w:t>
      </w:r>
      <w:r>
        <w:rPr>
          <w:rFonts w:ascii="Calibri"/>
          <w:spacing w:val="-4"/>
          <w:sz w:val="20"/>
          <w:vertAlign w:val="baseline"/>
        </w:rPr>
        <w:t>2005</w:t>
      </w:r>
    </w:p>
    <w:p>
      <w:pPr>
        <w:spacing w:before="0"/>
        <w:ind w:left="360" w:right="0" w:firstLine="0"/>
        <w:jc w:val="left"/>
        <w:rPr>
          <w:rFonts w:ascii="Calibri"/>
          <w:sz w:val="20"/>
        </w:rPr>
      </w:pPr>
      <w:r>
        <w:rPr>
          <w:rFonts w:ascii="Calibri"/>
          <w:sz w:val="20"/>
          <w:vertAlign w:val="superscript"/>
        </w:rPr>
        <w:t>28</w:t>
      </w:r>
      <w:r>
        <w:rPr>
          <w:rFonts w:ascii="Calibri"/>
          <w:spacing w:val="-5"/>
          <w:sz w:val="20"/>
          <w:vertAlign w:val="baseline"/>
        </w:rPr>
        <w:t> </w:t>
      </w:r>
      <w:r>
        <w:rPr>
          <w:rFonts w:ascii="Calibri"/>
          <w:sz w:val="20"/>
          <w:vertAlign w:val="baseline"/>
        </w:rPr>
        <w:t>Petroleum</w:t>
      </w:r>
      <w:r>
        <w:rPr>
          <w:rFonts w:ascii="Calibri"/>
          <w:spacing w:val="-5"/>
          <w:sz w:val="20"/>
          <w:vertAlign w:val="baseline"/>
        </w:rPr>
        <w:t> </w:t>
      </w:r>
      <w:r>
        <w:rPr>
          <w:rFonts w:ascii="Calibri"/>
          <w:sz w:val="20"/>
          <w:vertAlign w:val="baseline"/>
        </w:rPr>
        <w:t>Profit</w:t>
      </w:r>
      <w:r>
        <w:rPr>
          <w:rFonts w:ascii="Calibri"/>
          <w:spacing w:val="-4"/>
          <w:sz w:val="20"/>
          <w:vertAlign w:val="baseline"/>
        </w:rPr>
        <w:t> </w:t>
      </w:r>
      <w:r>
        <w:rPr>
          <w:rFonts w:ascii="Calibri"/>
          <w:sz w:val="20"/>
          <w:vertAlign w:val="baseline"/>
        </w:rPr>
        <w:t>Tax</w:t>
      </w:r>
      <w:r>
        <w:rPr>
          <w:rFonts w:ascii="Calibri"/>
          <w:spacing w:val="-4"/>
          <w:sz w:val="20"/>
          <w:vertAlign w:val="baseline"/>
        </w:rPr>
        <w:t> </w:t>
      </w:r>
      <w:r>
        <w:rPr>
          <w:rFonts w:ascii="Calibri"/>
          <w:sz w:val="20"/>
          <w:vertAlign w:val="baseline"/>
        </w:rPr>
        <w:t>Act,</w:t>
      </w:r>
      <w:r>
        <w:rPr>
          <w:rFonts w:ascii="Calibri"/>
          <w:spacing w:val="-4"/>
          <w:sz w:val="20"/>
          <w:vertAlign w:val="baseline"/>
        </w:rPr>
        <w:t> </w:t>
      </w:r>
      <w:r>
        <w:rPr>
          <w:rFonts w:ascii="Calibri"/>
          <w:sz w:val="20"/>
          <w:vertAlign w:val="baseline"/>
        </w:rPr>
        <w:t>CAP</w:t>
      </w:r>
      <w:r>
        <w:rPr>
          <w:rFonts w:ascii="Calibri"/>
          <w:spacing w:val="-3"/>
          <w:sz w:val="20"/>
          <w:vertAlign w:val="baseline"/>
        </w:rPr>
        <w:t> </w:t>
      </w:r>
      <w:r>
        <w:rPr>
          <w:rFonts w:ascii="Calibri"/>
          <w:sz w:val="20"/>
          <w:vertAlign w:val="baseline"/>
        </w:rPr>
        <w:t>P13,</w:t>
      </w:r>
      <w:r>
        <w:rPr>
          <w:rFonts w:ascii="Calibri"/>
          <w:spacing w:val="-4"/>
          <w:sz w:val="20"/>
          <w:vertAlign w:val="baseline"/>
        </w:rPr>
        <w:t> </w:t>
      </w:r>
      <w:r>
        <w:rPr>
          <w:rFonts w:ascii="Calibri"/>
          <w:sz w:val="20"/>
          <w:vertAlign w:val="baseline"/>
        </w:rPr>
        <w:t>LFN,</w:t>
      </w:r>
      <w:r>
        <w:rPr>
          <w:rFonts w:ascii="Calibri"/>
          <w:spacing w:val="-4"/>
          <w:sz w:val="20"/>
          <w:vertAlign w:val="baseline"/>
        </w:rPr>
        <w:t> 2010</w:t>
      </w:r>
    </w:p>
    <w:p>
      <w:pPr>
        <w:spacing w:after="0"/>
        <w:jc w:val="left"/>
        <w:rPr>
          <w:rFonts w:ascii="Calibri"/>
          <w:sz w:val="20"/>
        </w:rPr>
        <w:sectPr>
          <w:pgSz w:w="11910" w:h="16840"/>
          <w:pgMar w:header="0" w:footer="1000" w:top="1340" w:bottom="1200" w:left="1080" w:right="1280"/>
        </w:sectPr>
      </w:pPr>
    </w:p>
    <w:p>
      <w:pPr>
        <w:pStyle w:val="BodyText"/>
        <w:spacing w:line="480" w:lineRule="auto" w:before="74"/>
        <w:ind w:left="360" w:right="157"/>
        <w:jc w:val="both"/>
      </w:pPr>
      <w:r>
        <w:rPr/>
        <w:t>guide</w:t>
      </w:r>
      <w:r>
        <w:rPr>
          <w:spacing w:val="40"/>
        </w:rPr>
        <w:t> </w:t>
      </w:r>
      <w:r>
        <w:rPr/>
        <w:t>for</w:t>
      </w:r>
      <w:r>
        <w:rPr>
          <w:spacing w:val="40"/>
        </w:rPr>
        <w:t> </w:t>
      </w:r>
      <w:r>
        <w:rPr/>
        <w:t>identifying</w:t>
      </w:r>
      <w:r>
        <w:rPr>
          <w:spacing w:val="40"/>
        </w:rPr>
        <w:t> </w:t>
      </w:r>
      <w:r>
        <w:rPr/>
        <w:t>an</w:t>
      </w:r>
      <w:r>
        <w:rPr>
          <w:spacing w:val="40"/>
        </w:rPr>
        <w:t> </w:t>
      </w:r>
      <w:r>
        <w:rPr/>
        <w:t>expense</w:t>
      </w:r>
      <w:r>
        <w:rPr>
          <w:spacing w:val="40"/>
        </w:rPr>
        <w:t> </w:t>
      </w:r>
      <w:r>
        <w:rPr/>
        <w:t>or</w:t>
      </w:r>
      <w:r>
        <w:rPr>
          <w:spacing w:val="40"/>
        </w:rPr>
        <w:t> </w:t>
      </w:r>
      <w:r>
        <w:rPr>
          <w:spacing w:val="9"/>
        </w:rPr>
        <w:t>outgoing</w:t>
      </w:r>
      <w:r>
        <w:rPr>
          <w:spacing w:val="40"/>
        </w:rPr>
        <w:t> </w:t>
      </w:r>
      <w:r>
        <w:rPr/>
        <w:t>which</w:t>
      </w:r>
      <w:r>
        <w:rPr>
          <w:spacing w:val="40"/>
        </w:rPr>
        <w:t> </w:t>
      </w:r>
      <w:r>
        <w:rPr/>
        <w:t>qualifies</w:t>
      </w:r>
      <w:r>
        <w:rPr>
          <w:spacing w:val="40"/>
        </w:rPr>
        <w:t> </w:t>
      </w:r>
      <w:r>
        <w:rPr/>
        <w:t>for</w:t>
      </w:r>
      <w:r>
        <w:rPr>
          <w:spacing w:val="40"/>
        </w:rPr>
        <w:t> </w:t>
      </w:r>
      <w:r>
        <w:rPr/>
        <w:t>such</w:t>
      </w:r>
      <w:r>
        <w:rPr>
          <w:spacing w:val="40"/>
        </w:rPr>
        <w:t> </w:t>
      </w:r>
      <w:r>
        <w:rPr/>
        <w:t>allowable deduction is to ascertain if it meets the criteria that it is wholly and</w:t>
      </w:r>
      <w:r>
        <w:rPr>
          <w:spacing w:val="40"/>
        </w:rPr>
        <w:t> </w:t>
      </w:r>
      <w:r>
        <w:rPr/>
        <w:t>exclusively incurred during</w:t>
      </w:r>
      <w:r>
        <w:rPr>
          <w:spacing w:val="39"/>
        </w:rPr>
        <w:t> </w:t>
      </w:r>
      <w:r>
        <w:rPr/>
        <w:t>the</w:t>
      </w:r>
      <w:r>
        <w:rPr>
          <w:spacing w:val="38"/>
        </w:rPr>
        <w:t> </w:t>
      </w:r>
      <w:r>
        <w:rPr/>
        <w:t>subject</w:t>
      </w:r>
      <w:r>
        <w:rPr>
          <w:spacing w:val="40"/>
        </w:rPr>
        <w:t> </w:t>
      </w:r>
      <w:r>
        <w:rPr/>
        <w:t>accounting</w:t>
      </w:r>
      <w:r>
        <w:rPr>
          <w:spacing w:val="39"/>
        </w:rPr>
        <w:t> </w:t>
      </w:r>
      <w:r>
        <w:rPr/>
        <w:t>period</w:t>
      </w:r>
      <w:r>
        <w:rPr>
          <w:spacing w:val="40"/>
        </w:rPr>
        <w:t> </w:t>
      </w:r>
      <w:r>
        <w:rPr/>
        <w:t>for</w:t>
      </w:r>
      <w:r>
        <w:rPr>
          <w:spacing w:val="39"/>
        </w:rPr>
        <w:t> </w:t>
      </w:r>
      <w:r>
        <w:rPr/>
        <w:t>the</w:t>
      </w:r>
      <w:r>
        <w:rPr>
          <w:spacing w:val="40"/>
        </w:rPr>
        <w:t> </w:t>
      </w:r>
      <w:r>
        <w:rPr/>
        <w:t>direct</w:t>
      </w:r>
      <w:r>
        <w:rPr>
          <w:spacing w:val="40"/>
        </w:rPr>
        <w:t> </w:t>
      </w:r>
      <w:r>
        <w:rPr/>
        <w:t>purposes</w:t>
      </w:r>
      <w:r>
        <w:rPr>
          <w:spacing w:val="39"/>
        </w:rPr>
        <w:t> </w:t>
      </w:r>
      <w:r>
        <w:rPr/>
        <w:t>of</w:t>
      </w:r>
      <w:r>
        <w:rPr>
          <w:spacing w:val="40"/>
        </w:rPr>
        <w:t> </w:t>
      </w:r>
      <w:r>
        <w:rPr/>
        <w:t>the</w:t>
      </w:r>
      <w:r>
        <w:rPr>
          <w:spacing w:val="40"/>
        </w:rPr>
        <w:t> </w:t>
      </w:r>
      <w:r>
        <w:rPr/>
        <w:t>petroleum</w:t>
      </w:r>
      <w:r>
        <w:rPr>
          <w:spacing w:val="40"/>
        </w:rPr>
        <w:t> </w:t>
      </w:r>
      <w:r>
        <w:rPr/>
        <w:t>operations, that</w:t>
      </w:r>
      <w:r>
        <w:rPr>
          <w:spacing w:val="40"/>
        </w:rPr>
        <w:t> </w:t>
      </w:r>
      <w:r>
        <w:rPr/>
        <w:t>is</w:t>
      </w:r>
      <w:r>
        <w:rPr>
          <w:spacing w:val="40"/>
        </w:rPr>
        <w:t> </w:t>
      </w:r>
      <w:r>
        <w:rPr/>
        <w:t>to</w:t>
      </w:r>
      <w:r>
        <w:rPr>
          <w:spacing w:val="40"/>
        </w:rPr>
        <w:t> </w:t>
      </w:r>
      <w:r>
        <w:rPr/>
        <w:t>say,</w:t>
      </w:r>
      <w:r>
        <w:rPr>
          <w:spacing w:val="40"/>
        </w:rPr>
        <w:t> </w:t>
      </w:r>
      <w:r>
        <w:rPr/>
        <w:t>in</w:t>
      </w:r>
      <w:r>
        <w:rPr>
          <w:spacing w:val="40"/>
        </w:rPr>
        <w:t> </w:t>
      </w:r>
      <w:r>
        <w:rPr/>
        <w:t>directly</w:t>
      </w:r>
      <w:r>
        <w:rPr>
          <w:spacing w:val="39"/>
        </w:rPr>
        <w:t> </w:t>
      </w:r>
      <w:r>
        <w:rPr/>
        <w:t>generating</w:t>
      </w:r>
      <w:r>
        <w:rPr>
          <w:spacing w:val="40"/>
        </w:rPr>
        <w:t> </w:t>
      </w:r>
      <w:r>
        <w:rPr/>
        <w:t>the</w:t>
      </w:r>
      <w:r>
        <w:rPr>
          <w:spacing w:val="40"/>
        </w:rPr>
        <w:t> </w:t>
      </w:r>
      <w:r>
        <w:rPr/>
        <w:t>income</w:t>
      </w:r>
      <w:r>
        <w:rPr>
          <w:spacing w:val="40"/>
        </w:rPr>
        <w:t> </w:t>
      </w:r>
      <w:r>
        <w:rPr/>
        <w:t>to</w:t>
      </w:r>
      <w:r>
        <w:rPr>
          <w:spacing w:val="40"/>
        </w:rPr>
        <w:t> </w:t>
      </w:r>
      <w:r>
        <w:rPr/>
        <w:t>be</w:t>
      </w:r>
      <w:r>
        <w:rPr>
          <w:spacing w:val="40"/>
        </w:rPr>
        <w:t> </w:t>
      </w:r>
      <w:r>
        <w:rPr/>
        <w:t>taxed.</w:t>
      </w:r>
      <w:r>
        <w:rPr>
          <w:spacing w:val="38"/>
        </w:rPr>
        <w:t> </w:t>
      </w:r>
      <w:r>
        <w:rPr/>
        <w:t>Such</w:t>
      </w:r>
      <w:r>
        <w:rPr>
          <w:spacing w:val="38"/>
        </w:rPr>
        <w:t> </w:t>
      </w:r>
      <w:r>
        <w:rPr/>
        <w:t>expenditure</w:t>
      </w:r>
      <w:r>
        <w:rPr>
          <w:spacing w:val="37"/>
        </w:rPr>
        <w:t> </w:t>
      </w:r>
      <w:r>
        <w:rPr/>
        <w:t>must</w:t>
      </w:r>
      <w:r>
        <w:rPr>
          <w:spacing w:val="39"/>
        </w:rPr>
        <w:t> </w:t>
      </w:r>
      <w:r>
        <w:rPr/>
        <w:t>also have been a necessary one. It is immaterial that the expenditure was incurred outside Nigeria</w:t>
      </w:r>
      <w:r>
        <w:rPr>
          <w:vertAlign w:val="superscript"/>
        </w:rPr>
        <w:t>29</w:t>
      </w:r>
      <w:r>
        <w:rPr>
          <w:vertAlign w:val="baseline"/>
        </w:rPr>
        <w:t>. The deductable expenses arc enumerated under section 10 (1) (a)-(e) of the Petroleum Profit Tax Act. Every company engaged in petroleum operations is required by section 28</w:t>
      </w:r>
      <w:r>
        <w:rPr>
          <w:spacing w:val="-15"/>
          <w:vertAlign w:val="baseline"/>
        </w:rPr>
        <w:t> </w:t>
      </w:r>
      <w:r>
        <w:rPr>
          <w:vertAlign w:val="superscript"/>
        </w:rPr>
        <w:t>30</w:t>
      </w:r>
      <w:r>
        <w:rPr>
          <w:vertAlign w:val="baseline"/>
        </w:rPr>
        <w:t> to "make up </w:t>
      </w:r>
      <w:r>
        <w:rPr>
          <w:spacing w:val="11"/>
          <w:vertAlign w:val="baseline"/>
        </w:rPr>
        <w:t>accounts</w:t>
      </w:r>
      <w:r>
        <w:rPr>
          <w:spacing w:val="11"/>
          <w:vertAlign w:val="baseline"/>
        </w:rPr>
        <w:t> </w:t>
      </w:r>
      <w:r>
        <w:rPr>
          <w:vertAlign w:val="baseline"/>
        </w:rPr>
        <w:t>of </w:t>
      </w:r>
      <w:r>
        <w:rPr>
          <w:spacing w:val="9"/>
          <w:vertAlign w:val="baseline"/>
        </w:rPr>
        <w:t>its</w:t>
      </w:r>
      <w:r>
        <w:rPr>
          <w:spacing w:val="9"/>
          <w:vertAlign w:val="baseline"/>
        </w:rPr>
        <w:t> </w:t>
      </w:r>
      <w:r>
        <w:rPr>
          <w:spacing w:val="11"/>
          <w:vertAlign w:val="baseline"/>
        </w:rPr>
        <w:t>profits</w:t>
      </w:r>
      <w:r>
        <w:rPr>
          <w:spacing w:val="11"/>
          <w:vertAlign w:val="baseline"/>
        </w:rPr>
        <w:t> </w:t>
      </w:r>
      <w:r>
        <w:rPr>
          <w:vertAlign w:val="baseline"/>
        </w:rPr>
        <w:t>and </w:t>
      </w:r>
      <w:r>
        <w:rPr>
          <w:spacing w:val="11"/>
          <w:vertAlign w:val="baseline"/>
        </w:rPr>
        <w:t>losses</w:t>
      </w:r>
      <w:r>
        <w:rPr>
          <w:spacing w:val="11"/>
          <w:vertAlign w:val="baseline"/>
        </w:rPr>
        <w:t> arising</w:t>
      </w:r>
      <w:r>
        <w:rPr>
          <w:spacing w:val="11"/>
          <w:vertAlign w:val="baseline"/>
        </w:rPr>
        <w:t> </w:t>
      </w:r>
      <w:r>
        <w:rPr>
          <w:spacing w:val="10"/>
          <w:vertAlign w:val="baseline"/>
        </w:rPr>
        <w:t>from</w:t>
      </w:r>
      <w:r>
        <w:rPr>
          <w:spacing w:val="10"/>
          <w:vertAlign w:val="baseline"/>
        </w:rPr>
        <w:t> </w:t>
      </w:r>
      <w:r>
        <w:rPr>
          <w:spacing w:val="11"/>
          <w:vertAlign w:val="baseline"/>
        </w:rPr>
        <w:t>those </w:t>
      </w:r>
      <w:r>
        <w:rPr>
          <w:spacing w:val="12"/>
          <w:vertAlign w:val="baseline"/>
        </w:rPr>
        <w:t>operations," </w:t>
      </w:r>
      <w:r>
        <w:rPr>
          <w:vertAlign w:val="baseline"/>
        </w:rPr>
        <w:t>for</w:t>
      </w:r>
      <w:r>
        <w:rPr>
          <w:spacing w:val="9"/>
          <w:vertAlign w:val="baseline"/>
        </w:rPr>
        <w:t> each</w:t>
      </w:r>
      <w:r>
        <w:rPr>
          <w:spacing w:val="40"/>
          <w:vertAlign w:val="baseline"/>
        </w:rPr>
        <w:t> </w:t>
      </w:r>
      <w:r>
        <w:rPr>
          <w:vertAlign w:val="baseline"/>
        </w:rPr>
        <w:t>accounting period. Under section</w:t>
      </w:r>
      <w:r>
        <w:rPr>
          <w:spacing w:val="11"/>
          <w:vertAlign w:val="baseline"/>
        </w:rPr>
        <w:t> 31(1),</w:t>
      </w:r>
      <w:r>
        <w:rPr>
          <w:spacing w:val="11"/>
          <w:vertAlign w:val="superscript"/>
        </w:rPr>
        <w:t>31</w:t>
      </w:r>
      <w:r>
        <w:rPr>
          <w:spacing w:val="11"/>
          <w:vertAlign w:val="baseline"/>
        </w:rPr>
        <w:t> </w:t>
      </w:r>
      <w:r>
        <w:rPr>
          <w:vertAlign w:val="baseline"/>
        </w:rPr>
        <w:t>it is stipulated that not</w:t>
      </w:r>
      <w:r>
        <w:rPr>
          <w:spacing w:val="40"/>
          <w:vertAlign w:val="baseline"/>
        </w:rPr>
        <w:t> </w:t>
      </w:r>
      <w:r>
        <w:rPr>
          <w:vertAlign w:val="baseline"/>
        </w:rPr>
        <w:t>later</w:t>
      </w:r>
      <w:r>
        <w:rPr>
          <w:spacing w:val="40"/>
          <w:vertAlign w:val="baseline"/>
        </w:rPr>
        <w:t> </w:t>
      </w:r>
      <w:r>
        <w:rPr>
          <w:vertAlign w:val="baseline"/>
        </w:rPr>
        <w:t>than</w:t>
      </w:r>
      <w:r>
        <w:rPr>
          <w:spacing w:val="40"/>
          <w:vertAlign w:val="baseline"/>
        </w:rPr>
        <w:t> </w:t>
      </w:r>
      <w:r>
        <w:rPr>
          <w:vertAlign w:val="baseline"/>
        </w:rPr>
        <w:t>two</w:t>
      </w:r>
      <w:r>
        <w:rPr>
          <w:spacing w:val="40"/>
          <w:vertAlign w:val="baseline"/>
        </w:rPr>
        <w:t> </w:t>
      </w:r>
      <w:r>
        <w:rPr>
          <w:vertAlign w:val="baseline"/>
        </w:rPr>
        <w:t>months</w:t>
      </w:r>
      <w:r>
        <w:rPr>
          <w:spacing w:val="80"/>
          <w:vertAlign w:val="baseline"/>
        </w:rPr>
        <w:t> </w:t>
      </w:r>
      <w:r>
        <w:rPr>
          <w:vertAlign w:val="baseline"/>
        </w:rPr>
        <w:t>after</w:t>
      </w:r>
      <w:r>
        <w:rPr>
          <w:spacing w:val="80"/>
          <w:vertAlign w:val="baseline"/>
        </w:rPr>
        <w:t> </w:t>
      </w:r>
      <w:r>
        <w:rPr>
          <w:vertAlign w:val="baseline"/>
        </w:rPr>
        <w:t>the</w:t>
      </w:r>
      <w:r>
        <w:rPr>
          <w:spacing w:val="80"/>
          <w:vertAlign w:val="baseline"/>
        </w:rPr>
        <w:t> </w:t>
      </w:r>
      <w:r>
        <w:rPr>
          <w:vertAlign w:val="baseline"/>
        </w:rPr>
        <w:t>commencement</w:t>
      </w:r>
      <w:r>
        <w:rPr>
          <w:spacing w:val="80"/>
          <w:vertAlign w:val="baseline"/>
        </w:rPr>
        <w:t> </w:t>
      </w:r>
      <w:r>
        <w:rPr>
          <w:vertAlign w:val="baseline"/>
        </w:rPr>
        <w:t>of</w:t>
      </w:r>
      <w:r>
        <w:rPr>
          <w:spacing w:val="40"/>
          <w:vertAlign w:val="baseline"/>
        </w:rPr>
        <w:t> </w:t>
      </w:r>
      <w:r>
        <w:rPr>
          <w:vertAlign w:val="baseline"/>
        </w:rPr>
        <w:t>each</w:t>
      </w:r>
      <w:r>
        <w:rPr>
          <w:spacing w:val="80"/>
          <w:vertAlign w:val="baseline"/>
        </w:rPr>
        <w:t> </w:t>
      </w:r>
      <w:r>
        <w:rPr>
          <w:vertAlign w:val="baseline"/>
        </w:rPr>
        <w:t>accounting</w:t>
      </w:r>
      <w:r>
        <w:rPr>
          <w:spacing w:val="80"/>
          <w:vertAlign w:val="baseline"/>
        </w:rPr>
        <w:t> </w:t>
      </w:r>
      <w:r>
        <w:rPr>
          <w:vertAlign w:val="baseline"/>
        </w:rPr>
        <w:t>period</w:t>
      </w:r>
      <w:r>
        <w:rPr>
          <w:spacing w:val="80"/>
          <w:vertAlign w:val="baseline"/>
        </w:rPr>
        <w:t> </w:t>
      </w:r>
      <w:r>
        <w:rPr>
          <w:vertAlign w:val="baseline"/>
        </w:rPr>
        <w:t>of</w:t>
      </w:r>
      <w:r>
        <w:rPr>
          <w:spacing w:val="80"/>
          <w:vertAlign w:val="baseline"/>
        </w:rPr>
        <w:t> </w:t>
      </w:r>
      <w:r>
        <w:rPr>
          <w:vertAlign w:val="baseline"/>
        </w:rPr>
        <w:t>a company, the company shall deliver to the Federal Inland Revenue</w:t>
      </w:r>
      <w:r>
        <w:rPr>
          <w:spacing w:val="80"/>
          <w:vertAlign w:val="baseline"/>
        </w:rPr>
        <w:t> </w:t>
      </w:r>
      <w:r>
        <w:rPr>
          <w:vertAlign w:val="baseline"/>
        </w:rPr>
        <w:t>Service (in the form prescribed</w:t>
      </w:r>
      <w:r>
        <w:rPr>
          <w:spacing w:val="80"/>
          <w:w w:val="150"/>
          <w:vertAlign w:val="baseline"/>
        </w:rPr>
        <w:t> </w:t>
      </w:r>
      <w:r>
        <w:rPr>
          <w:vertAlign w:val="baseline"/>
        </w:rPr>
        <w:t>by</w:t>
      </w:r>
      <w:r>
        <w:rPr>
          <w:spacing w:val="80"/>
          <w:w w:val="150"/>
          <w:vertAlign w:val="baseline"/>
        </w:rPr>
        <w:t> </w:t>
      </w:r>
      <w:r>
        <w:rPr>
          <w:vertAlign w:val="baseline"/>
        </w:rPr>
        <w:t>the</w:t>
      </w:r>
      <w:r>
        <w:rPr>
          <w:spacing w:val="80"/>
          <w:w w:val="150"/>
          <w:vertAlign w:val="baseline"/>
        </w:rPr>
        <w:t> </w:t>
      </w:r>
      <w:r>
        <w:rPr>
          <w:vertAlign w:val="baseline"/>
        </w:rPr>
        <w:t>FIRS)</w:t>
      </w:r>
      <w:r>
        <w:rPr>
          <w:spacing w:val="80"/>
          <w:w w:val="150"/>
          <w:vertAlign w:val="baseline"/>
        </w:rPr>
        <w:t> </w:t>
      </w:r>
      <w:r>
        <w:rPr>
          <w:vertAlign w:val="baseline"/>
        </w:rPr>
        <w:t>the</w:t>
      </w:r>
      <w:r>
        <w:rPr>
          <w:spacing w:val="80"/>
          <w:w w:val="150"/>
          <w:vertAlign w:val="baseline"/>
        </w:rPr>
        <w:t> </w:t>
      </w:r>
      <w:r>
        <w:rPr>
          <w:vertAlign w:val="baseline"/>
        </w:rPr>
        <w:t>company's</w:t>
      </w:r>
      <w:r>
        <w:rPr>
          <w:spacing w:val="80"/>
          <w:w w:val="150"/>
          <w:vertAlign w:val="baseline"/>
        </w:rPr>
        <w:t> </w:t>
      </w:r>
      <w:r>
        <w:rPr>
          <w:vertAlign w:val="baseline"/>
        </w:rPr>
        <w:t>estimated</w:t>
      </w:r>
      <w:r>
        <w:rPr>
          <w:spacing w:val="80"/>
          <w:w w:val="150"/>
          <w:vertAlign w:val="baseline"/>
        </w:rPr>
        <w:t> </w:t>
      </w:r>
      <w:r>
        <w:rPr>
          <w:vertAlign w:val="baseline"/>
        </w:rPr>
        <w:t>tax</w:t>
      </w:r>
      <w:r>
        <w:rPr>
          <w:spacing w:val="80"/>
          <w:w w:val="150"/>
          <w:vertAlign w:val="baseline"/>
        </w:rPr>
        <w:t> </w:t>
      </w:r>
      <w:r>
        <w:rPr>
          <w:vertAlign w:val="baseline"/>
        </w:rPr>
        <w:t>for</w:t>
      </w:r>
      <w:r>
        <w:rPr>
          <w:spacing w:val="80"/>
          <w:w w:val="150"/>
          <w:vertAlign w:val="baseline"/>
        </w:rPr>
        <w:t> </w:t>
      </w:r>
      <w:r>
        <w:rPr>
          <w:vertAlign w:val="baseline"/>
        </w:rPr>
        <w:t>the</w:t>
      </w:r>
      <w:r>
        <w:rPr>
          <w:spacing w:val="80"/>
          <w:w w:val="150"/>
          <w:vertAlign w:val="baseline"/>
        </w:rPr>
        <w:t> </w:t>
      </w:r>
      <w:r>
        <w:rPr>
          <w:vertAlign w:val="baseline"/>
        </w:rPr>
        <w:t>period.</w:t>
      </w:r>
      <w:r>
        <w:rPr>
          <w:spacing w:val="80"/>
          <w:w w:val="150"/>
          <w:vertAlign w:val="baseline"/>
        </w:rPr>
        <w:t> </w:t>
      </w:r>
      <w:r>
        <w:rPr>
          <w:vertAlign w:val="baseline"/>
        </w:rPr>
        <w:t>Section</w:t>
      </w:r>
      <w:r>
        <w:rPr>
          <w:spacing w:val="80"/>
          <w:w w:val="150"/>
          <w:vertAlign w:val="baseline"/>
        </w:rPr>
        <w:t> </w:t>
      </w:r>
      <w:r>
        <w:rPr>
          <w:vertAlign w:val="baseline"/>
        </w:rPr>
        <w:t>35</w:t>
      </w:r>
    </w:p>
    <w:p>
      <w:pPr>
        <w:pStyle w:val="BodyText"/>
        <w:spacing w:line="480" w:lineRule="auto" w:before="1"/>
        <w:ind w:left="360" w:right="153"/>
        <w:jc w:val="both"/>
      </w:pPr>
      <w:r>
        <w:rPr/>
        <w:t>(1) </w:t>
      </w:r>
      <w:r>
        <w:rPr>
          <w:vertAlign w:val="superscript"/>
        </w:rPr>
        <w:t>32</w:t>
      </w:r>
      <w:r>
        <w:rPr>
          <w:vertAlign w:val="baseline"/>
        </w:rPr>
        <w:t> authorizes</w:t>
      </w:r>
      <w:r>
        <w:rPr>
          <w:spacing w:val="40"/>
          <w:vertAlign w:val="baseline"/>
        </w:rPr>
        <w:t> </w:t>
      </w:r>
      <w:r>
        <w:rPr>
          <w:vertAlign w:val="baseline"/>
        </w:rPr>
        <w:t>the</w:t>
      </w:r>
      <w:r>
        <w:rPr>
          <w:spacing w:val="40"/>
          <w:vertAlign w:val="baseline"/>
        </w:rPr>
        <w:t> </w:t>
      </w:r>
      <w:r>
        <w:rPr>
          <w:vertAlign w:val="baseline"/>
        </w:rPr>
        <w:t>FIRS</w:t>
      </w:r>
      <w:r>
        <w:rPr>
          <w:spacing w:val="40"/>
          <w:vertAlign w:val="baseline"/>
        </w:rPr>
        <w:t> </w:t>
      </w:r>
      <w:r>
        <w:rPr>
          <w:vertAlign w:val="baseline"/>
        </w:rPr>
        <w:t>to</w:t>
      </w:r>
      <w:r>
        <w:rPr>
          <w:spacing w:val="40"/>
          <w:vertAlign w:val="baseline"/>
        </w:rPr>
        <w:t> </w:t>
      </w:r>
      <w:r>
        <w:rPr>
          <w:vertAlign w:val="baseline"/>
        </w:rPr>
        <w:t>make</w:t>
      </w:r>
      <w:r>
        <w:rPr>
          <w:spacing w:val="40"/>
          <w:vertAlign w:val="baseline"/>
        </w:rPr>
        <w:t> </w:t>
      </w:r>
      <w:r>
        <w:rPr>
          <w:vertAlign w:val="baseline"/>
        </w:rPr>
        <w:t>assessments</w:t>
      </w:r>
      <w:r>
        <w:rPr>
          <w:spacing w:val="40"/>
          <w:vertAlign w:val="baseline"/>
        </w:rPr>
        <w:t> </w:t>
      </w:r>
      <w:r>
        <w:rPr>
          <w:vertAlign w:val="baseline"/>
        </w:rPr>
        <w:t>of</w:t>
      </w:r>
      <w:r>
        <w:rPr>
          <w:spacing w:val="40"/>
          <w:vertAlign w:val="baseline"/>
        </w:rPr>
        <w:t> </w:t>
      </w:r>
      <w:r>
        <w:rPr>
          <w:vertAlign w:val="baseline"/>
        </w:rPr>
        <w:t>the</w:t>
      </w:r>
      <w:r>
        <w:rPr>
          <w:spacing w:val="40"/>
          <w:vertAlign w:val="baseline"/>
        </w:rPr>
        <w:t> </w:t>
      </w:r>
      <w:r>
        <w:rPr>
          <w:vertAlign w:val="baseline"/>
        </w:rPr>
        <w:t>tax</w:t>
      </w:r>
      <w:r>
        <w:rPr>
          <w:spacing w:val="40"/>
          <w:vertAlign w:val="baseline"/>
        </w:rPr>
        <w:t> </w:t>
      </w:r>
      <w:r>
        <w:rPr>
          <w:vertAlign w:val="baseline"/>
        </w:rPr>
        <w:t>(in</w:t>
      </w:r>
      <w:r>
        <w:rPr>
          <w:spacing w:val="40"/>
          <w:vertAlign w:val="baseline"/>
        </w:rPr>
        <w:t> </w:t>
      </w:r>
      <w:r>
        <w:rPr>
          <w:vertAlign w:val="baseline"/>
        </w:rPr>
        <w:t>the</w:t>
      </w:r>
      <w:r>
        <w:rPr>
          <w:spacing w:val="40"/>
          <w:vertAlign w:val="baseline"/>
        </w:rPr>
        <w:t> </w:t>
      </w:r>
      <w:r>
        <w:rPr>
          <w:vertAlign w:val="baseline"/>
        </w:rPr>
        <w:t>form</w:t>
      </w:r>
      <w:r>
        <w:rPr>
          <w:spacing w:val="40"/>
          <w:vertAlign w:val="baseline"/>
        </w:rPr>
        <w:t> </w:t>
      </w:r>
      <w:r>
        <w:rPr>
          <w:vertAlign w:val="baseline"/>
        </w:rPr>
        <w:t>and mannerprovided by it) of a company for its accounting period based on the amount of chargeable</w:t>
      </w:r>
      <w:r>
        <w:rPr>
          <w:spacing w:val="80"/>
          <w:vertAlign w:val="baseline"/>
        </w:rPr>
        <w:t> </w:t>
      </w:r>
      <w:r>
        <w:rPr>
          <w:vertAlign w:val="baseline"/>
        </w:rPr>
        <w:t>profits,</w:t>
      </w:r>
      <w:r>
        <w:rPr>
          <w:spacing w:val="80"/>
          <w:vertAlign w:val="baseline"/>
        </w:rPr>
        <w:t> </w:t>
      </w:r>
      <w:r>
        <w:rPr>
          <w:vertAlign w:val="baseline"/>
        </w:rPr>
        <w:t>assessable</w:t>
      </w:r>
      <w:r>
        <w:rPr>
          <w:spacing w:val="80"/>
          <w:vertAlign w:val="baseline"/>
        </w:rPr>
        <w:t> </w:t>
      </w:r>
      <w:r>
        <w:rPr>
          <w:vertAlign w:val="baseline"/>
        </w:rPr>
        <w:t>tax</w:t>
      </w:r>
      <w:r>
        <w:rPr>
          <w:spacing w:val="80"/>
          <w:vertAlign w:val="baseline"/>
        </w:rPr>
        <w:t> </w:t>
      </w:r>
      <w:r>
        <w:rPr>
          <w:vertAlign w:val="baseline"/>
        </w:rPr>
        <w:t>and</w:t>
      </w:r>
      <w:r>
        <w:rPr>
          <w:spacing w:val="80"/>
          <w:vertAlign w:val="baseline"/>
        </w:rPr>
        <w:t> </w:t>
      </w:r>
      <w:r>
        <w:rPr>
          <w:vertAlign w:val="baseline"/>
        </w:rPr>
        <w:t>chargeable</w:t>
      </w:r>
      <w:r>
        <w:rPr>
          <w:spacing w:val="80"/>
          <w:vertAlign w:val="baseline"/>
        </w:rPr>
        <w:t> </w:t>
      </w:r>
      <w:r>
        <w:rPr>
          <w:vertAlign w:val="baseline"/>
        </w:rPr>
        <w:t>tax.</w:t>
      </w:r>
      <w:r>
        <w:rPr>
          <w:spacing w:val="80"/>
          <w:vertAlign w:val="baseline"/>
        </w:rPr>
        <w:t> </w:t>
      </w:r>
      <w:r>
        <w:rPr>
          <w:vertAlign w:val="baseline"/>
        </w:rPr>
        <w:t>None</w:t>
      </w:r>
      <w:r>
        <w:rPr>
          <w:spacing w:val="80"/>
          <w:vertAlign w:val="baseline"/>
        </w:rPr>
        <w:t> </w:t>
      </w:r>
      <w:r>
        <w:rPr>
          <w:vertAlign w:val="baseline"/>
        </w:rPr>
        <w:t>of</w:t>
      </w:r>
      <w:r>
        <w:rPr>
          <w:spacing w:val="80"/>
          <w:vertAlign w:val="baseline"/>
        </w:rPr>
        <w:t> </w:t>
      </w:r>
      <w:r>
        <w:rPr>
          <w:vertAlign w:val="baseline"/>
        </w:rPr>
        <w:t>the</w:t>
      </w:r>
      <w:r>
        <w:rPr>
          <w:spacing w:val="80"/>
          <w:vertAlign w:val="baseline"/>
        </w:rPr>
        <w:t> </w:t>
      </w:r>
      <w:r>
        <w:rPr>
          <w:vertAlign w:val="baseline"/>
        </w:rPr>
        <w:t>foregoing provisions or in any other provisions of the PPTA </w:t>
      </w:r>
      <w:r>
        <w:rPr>
          <w:spacing w:val="11"/>
          <w:vertAlign w:val="baseline"/>
        </w:rPr>
        <w:t>is</w:t>
      </w:r>
      <w:r>
        <w:rPr>
          <w:spacing w:val="11"/>
          <w:vertAlign w:val="baseline"/>
        </w:rPr>
        <w:t> </w:t>
      </w:r>
      <w:r>
        <w:rPr>
          <w:vertAlign w:val="baseline"/>
        </w:rPr>
        <w:t>the currency in which the accountestimates, returns or computations are to be made, stipulated.</w:t>
      </w:r>
      <w:r>
        <w:rPr>
          <w:spacing w:val="-15"/>
          <w:vertAlign w:val="baseline"/>
        </w:rPr>
        <w:t> </w:t>
      </w:r>
      <w:r>
        <w:rPr>
          <w:vertAlign w:val="superscript"/>
        </w:rPr>
        <w:t>33</w:t>
      </w:r>
      <w:r>
        <w:rPr>
          <w:vertAlign w:val="baseline"/>
        </w:rPr>
        <w:t> However, arising</w:t>
      </w:r>
      <w:r>
        <w:rPr>
          <w:spacing w:val="40"/>
          <w:vertAlign w:val="baseline"/>
        </w:rPr>
        <w:t> </w:t>
      </w:r>
      <w:r>
        <w:rPr>
          <w:vertAlign w:val="baseline"/>
        </w:rPr>
        <w:t>from</w:t>
      </w:r>
      <w:r>
        <w:rPr>
          <w:spacing w:val="40"/>
          <w:vertAlign w:val="baseline"/>
        </w:rPr>
        <w:t> </w:t>
      </w:r>
      <w:r>
        <w:rPr>
          <w:vertAlign w:val="baseline"/>
        </w:rPr>
        <w:t>certain</w:t>
      </w:r>
      <w:r>
        <w:rPr>
          <w:spacing w:val="40"/>
          <w:vertAlign w:val="baseline"/>
        </w:rPr>
        <w:t> </w:t>
      </w:r>
      <w:r>
        <w:rPr>
          <w:vertAlign w:val="baseline"/>
        </w:rPr>
        <w:t>problems</w:t>
      </w:r>
      <w:r>
        <w:rPr>
          <w:spacing w:val="40"/>
          <w:vertAlign w:val="baseline"/>
        </w:rPr>
        <w:t> </w:t>
      </w:r>
      <w:r>
        <w:rPr>
          <w:vertAlign w:val="baseline"/>
        </w:rPr>
        <w:t>associated</w:t>
      </w:r>
      <w:r>
        <w:rPr>
          <w:spacing w:val="80"/>
          <w:vertAlign w:val="baseline"/>
        </w:rPr>
        <w:t>  </w:t>
      </w:r>
      <w:r>
        <w:rPr>
          <w:vertAlign w:val="baseline"/>
        </w:rPr>
        <w:t>with</w:t>
      </w:r>
      <w:r>
        <w:rPr>
          <w:spacing w:val="40"/>
          <w:vertAlign w:val="baseline"/>
        </w:rPr>
        <w:t> </w:t>
      </w:r>
      <w:r>
        <w:rPr>
          <w:vertAlign w:val="baseline"/>
        </w:rPr>
        <w:t>currency</w:t>
      </w:r>
      <w:r>
        <w:rPr>
          <w:spacing w:val="40"/>
          <w:vertAlign w:val="baseline"/>
        </w:rPr>
        <w:t> </w:t>
      </w:r>
      <w:r>
        <w:rPr>
          <w:vertAlign w:val="baseline"/>
        </w:rPr>
        <w:t>gains</w:t>
      </w:r>
      <w:r>
        <w:rPr>
          <w:spacing w:val="40"/>
          <w:vertAlign w:val="baseline"/>
        </w:rPr>
        <w:t> </w:t>
      </w:r>
      <w:r>
        <w:rPr>
          <w:vertAlign w:val="baseline"/>
        </w:rPr>
        <w:t>and</w:t>
      </w:r>
      <w:r>
        <w:rPr>
          <w:spacing w:val="40"/>
          <w:vertAlign w:val="baseline"/>
        </w:rPr>
        <w:t> </w:t>
      </w:r>
      <w:r>
        <w:rPr>
          <w:vertAlign w:val="baseline"/>
        </w:rPr>
        <w:t>lossesexperienced</w:t>
      </w:r>
      <w:r>
        <w:rPr>
          <w:spacing w:val="40"/>
          <w:vertAlign w:val="baseline"/>
        </w:rPr>
        <w:t> </w:t>
      </w:r>
      <w:r>
        <w:rPr>
          <w:vertAlign w:val="baseline"/>
        </w:rPr>
        <w:t>by</w:t>
      </w:r>
      <w:r>
        <w:rPr>
          <w:spacing w:val="40"/>
          <w:vertAlign w:val="baseline"/>
        </w:rPr>
        <w:t> </w:t>
      </w:r>
      <w:r>
        <w:rPr>
          <w:vertAlign w:val="baseline"/>
        </w:rPr>
        <w:t>the Federal Government and the oil companies in the fulfillment of the oil companies financial obligation, an agreement was finally executed in 1992</w:t>
      </w:r>
      <w:r>
        <w:rPr>
          <w:vertAlign w:val="superscript"/>
        </w:rPr>
        <w:t>34</w:t>
      </w:r>
      <w:r>
        <w:rPr>
          <w:vertAlign w:val="baseline"/>
        </w:rPr>
        <w:t> that these computations, estimates and returns be made in U. S. dollar currency, since this currency features prominently and generally in</w:t>
      </w:r>
      <w:r>
        <w:rPr>
          <w:spacing w:val="40"/>
          <w:vertAlign w:val="baseline"/>
        </w:rPr>
        <w:t> </w:t>
      </w:r>
      <w:r>
        <w:rPr>
          <w:vertAlign w:val="baseline"/>
        </w:rPr>
        <w:t>most</w:t>
      </w:r>
      <w:r>
        <w:rPr>
          <w:spacing w:val="40"/>
          <w:vertAlign w:val="baseline"/>
        </w:rPr>
        <w:t> </w:t>
      </w:r>
      <w:r>
        <w:rPr>
          <w:vertAlign w:val="baseline"/>
        </w:rPr>
        <w:t>transactions</w:t>
      </w:r>
      <w:r>
        <w:rPr>
          <w:spacing w:val="40"/>
          <w:vertAlign w:val="baseline"/>
        </w:rPr>
        <w:t> </w:t>
      </w:r>
      <w:r>
        <w:rPr>
          <w:vertAlign w:val="baseline"/>
        </w:rPr>
        <w:t>in</w:t>
      </w:r>
      <w:r>
        <w:rPr>
          <w:spacing w:val="40"/>
          <w:vertAlign w:val="baseline"/>
        </w:rPr>
        <w:t> </w:t>
      </w:r>
      <w:r>
        <w:rPr>
          <w:vertAlign w:val="baseline"/>
        </w:rPr>
        <w:t>the</w:t>
      </w:r>
      <w:r>
        <w:rPr>
          <w:spacing w:val="40"/>
          <w:vertAlign w:val="baseline"/>
        </w:rPr>
        <w:t> </w:t>
      </w:r>
      <w:r>
        <w:rPr>
          <w:vertAlign w:val="baseline"/>
        </w:rPr>
        <w:t>industry.</w:t>
      </w:r>
    </w:p>
    <w:p>
      <w:pPr>
        <w:pStyle w:val="BodyText"/>
        <w:spacing w:before="11"/>
        <w:rPr>
          <w:sz w:val="18"/>
        </w:rPr>
      </w:pPr>
      <w:r>
        <w:rPr/>
        <mc:AlternateContent>
          <mc:Choice Requires="wps">
            <w:drawing>
              <wp:anchor distT="0" distB="0" distL="0" distR="0" allowOverlap="1" layoutInCell="1" locked="0" behindDoc="1" simplePos="0" relativeHeight="487601152">
                <wp:simplePos x="0" y="0"/>
                <wp:positionH relativeFrom="page">
                  <wp:posOffset>914704</wp:posOffset>
                </wp:positionH>
                <wp:positionV relativeFrom="paragraph">
                  <wp:posOffset>153944</wp:posOffset>
                </wp:positionV>
                <wp:extent cx="1829435" cy="9525"/>
                <wp:effectExtent l="0" t="0" r="0" b="0"/>
                <wp:wrapTopAndBottom/>
                <wp:docPr id="30" name="Graphic 30"/>
                <wp:cNvGraphicFramePr>
                  <a:graphicFrameLocks/>
                </wp:cNvGraphicFramePr>
                <a:graphic>
                  <a:graphicData uri="http://schemas.microsoft.com/office/word/2010/wordprocessingShape">
                    <wps:wsp>
                      <wps:cNvPr id="30" name="Graphic 30"/>
                      <wps:cNvSpPr/>
                      <wps:spPr>
                        <a:xfrm>
                          <a:off x="0" y="0"/>
                          <a:ext cx="1829435" cy="9525"/>
                        </a:xfrm>
                        <a:custGeom>
                          <a:avLst/>
                          <a:gdLst/>
                          <a:ahLst/>
                          <a:cxnLst/>
                          <a:rect l="l" t="t" r="r" b="b"/>
                          <a:pathLst>
                            <a:path w="1829435" h="9525">
                              <a:moveTo>
                                <a:pt x="1829054" y="0"/>
                              </a:moveTo>
                              <a:lnTo>
                                <a:pt x="0" y="0"/>
                              </a:lnTo>
                              <a:lnTo>
                                <a:pt x="0" y="9143"/>
                              </a:lnTo>
                              <a:lnTo>
                                <a:pt x="1829054" y="9143"/>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12.121593pt;width:144.020pt;height:.71997pt;mso-position-horizontal-relative:page;mso-position-vertical-relative:paragraph;z-index:-15715328;mso-wrap-distance-left:0;mso-wrap-distance-right:0" id="docshape30" filled="true" fillcolor="#000000" stroked="false">
                <v:fill type="solid"/>
                <w10:wrap type="topAndBottom"/>
              </v:rect>
            </w:pict>
          </mc:Fallback>
        </mc:AlternateContent>
      </w:r>
    </w:p>
    <w:p>
      <w:pPr>
        <w:spacing w:before="100"/>
        <w:ind w:left="360" w:right="0" w:firstLine="0"/>
        <w:jc w:val="left"/>
        <w:rPr>
          <w:rFonts w:ascii="Calibri"/>
          <w:sz w:val="20"/>
        </w:rPr>
      </w:pPr>
      <w:r>
        <w:rPr>
          <w:rFonts w:ascii="Calibri"/>
          <w:sz w:val="20"/>
          <w:vertAlign w:val="superscript"/>
        </w:rPr>
        <w:t>29</w:t>
      </w:r>
      <w:r>
        <w:rPr>
          <w:rFonts w:ascii="Calibri"/>
          <w:spacing w:val="-7"/>
          <w:sz w:val="20"/>
          <w:vertAlign w:val="baseline"/>
        </w:rPr>
        <w:t> </w:t>
      </w:r>
      <w:r>
        <w:rPr>
          <w:rFonts w:ascii="Calibri"/>
          <w:sz w:val="20"/>
          <w:vertAlign w:val="baseline"/>
        </w:rPr>
        <w:t>ETIKERENTSE</w:t>
      </w:r>
      <w:r>
        <w:rPr>
          <w:rFonts w:ascii="Calibri"/>
          <w:spacing w:val="-6"/>
          <w:sz w:val="20"/>
          <w:vertAlign w:val="baseline"/>
        </w:rPr>
        <w:t> </w:t>
      </w:r>
      <w:r>
        <w:rPr>
          <w:rFonts w:ascii="Calibri"/>
          <w:sz w:val="20"/>
          <w:vertAlign w:val="baseline"/>
        </w:rPr>
        <w:t>G.</w:t>
      </w:r>
      <w:r>
        <w:rPr>
          <w:rFonts w:ascii="Calibri"/>
          <w:spacing w:val="-7"/>
          <w:sz w:val="20"/>
          <w:vertAlign w:val="baseline"/>
        </w:rPr>
        <w:t> </w:t>
      </w:r>
      <w:r>
        <w:rPr>
          <w:rFonts w:ascii="Calibri"/>
          <w:sz w:val="20"/>
          <w:vertAlign w:val="baseline"/>
        </w:rPr>
        <w:t>Petroleum</w:t>
      </w:r>
      <w:r>
        <w:rPr>
          <w:rFonts w:ascii="Calibri"/>
          <w:spacing w:val="-7"/>
          <w:sz w:val="20"/>
          <w:vertAlign w:val="baseline"/>
        </w:rPr>
        <w:t> </w:t>
      </w:r>
      <w:r>
        <w:rPr>
          <w:rFonts w:ascii="Calibri"/>
          <w:sz w:val="20"/>
          <w:vertAlign w:val="baseline"/>
        </w:rPr>
        <w:t>Law</w:t>
      </w:r>
      <w:r>
        <w:rPr>
          <w:rFonts w:ascii="Calibri"/>
          <w:spacing w:val="-7"/>
          <w:sz w:val="20"/>
          <w:vertAlign w:val="baseline"/>
        </w:rPr>
        <w:t> </w:t>
      </w:r>
      <w:r>
        <w:rPr>
          <w:rFonts w:ascii="Calibri"/>
          <w:sz w:val="20"/>
          <w:vertAlign w:val="baseline"/>
        </w:rPr>
        <w:t>in</w:t>
      </w:r>
      <w:r>
        <w:rPr>
          <w:rFonts w:ascii="Calibri"/>
          <w:spacing w:val="-6"/>
          <w:sz w:val="20"/>
          <w:vertAlign w:val="baseline"/>
        </w:rPr>
        <w:t> </w:t>
      </w:r>
      <w:r>
        <w:rPr>
          <w:rFonts w:ascii="Calibri"/>
          <w:sz w:val="20"/>
          <w:vertAlign w:val="baseline"/>
        </w:rPr>
        <w:t>Nigeria,</w:t>
      </w:r>
      <w:r>
        <w:rPr>
          <w:rFonts w:ascii="Calibri"/>
          <w:spacing w:val="-6"/>
          <w:sz w:val="20"/>
          <w:vertAlign w:val="baseline"/>
        </w:rPr>
        <w:t> </w:t>
      </w:r>
      <w:r>
        <w:rPr>
          <w:rFonts w:ascii="Calibri"/>
          <w:sz w:val="20"/>
          <w:vertAlign w:val="baseline"/>
        </w:rPr>
        <w:t>Lagos</w:t>
      </w:r>
      <w:r>
        <w:rPr>
          <w:rFonts w:ascii="Calibri"/>
          <w:spacing w:val="-7"/>
          <w:sz w:val="20"/>
          <w:vertAlign w:val="baseline"/>
        </w:rPr>
        <w:t> </w:t>
      </w:r>
      <w:r>
        <w:rPr>
          <w:rFonts w:ascii="Calibri"/>
          <w:spacing w:val="-4"/>
          <w:sz w:val="20"/>
          <w:vertAlign w:val="baseline"/>
        </w:rPr>
        <w:t>2005</w:t>
      </w:r>
    </w:p>
    <w:p>
      <w:pPr>
        <w:spacing w:before="1"/>
        <w:ind w:left="360" w:right="0" w:firstLine="0"/>
        <w:jc w:val="left"/>
        <w:rPr>
          <w:rFonts w:ascii="Calibri"/>
          <w:sz w:val="20"/>
        </w:rPr>
      </w:pPr>
      <w:r>
        <w:rPr>
          <w:rFonts w:ascii="Calibri"/>
          <w:sz w:val="20"/>
          <w:vertAlign w:val="superscript"/>
        </w:rPr>
        <w:t>30</w:t>
      </w:r>
      <w:r>
        <w:rPr>
          <w:rFonts w:ascii="Calibri"/>
          <w:spacing w:val="-5"/>
          <w:sz w:val="20"/>
          <w:vertAlign w:val="baseline"/>
        </w:rPr>
        <w:t> </w:t>
      </w:r>
      <w:r>
        <w:rPr>
          <w:rFonts w:ascii="Calibri"/>
          <w:sz w:val="20"/>
          <w:vertAlign w:val="baseline"/>
        </w:rPr>
        <w:t>Petroleum</w:t>
      </w:r>
      <w:r>
        <w:rPr>
          <w:rFonts w:ascii="Calibri"/>
          <w:spacing w:val="-5"/>
          <w:sz w:val="20"/>
          <w:vertAlign w:val="baseline"/>
        </w:rPr>
        <w:t> </w:t>
      </w:r>
      <w:r>
        <w:rPr>
          <w:rFonts w:ascii="Calibri"/>
          <w:sz w:val="20"/>
          <w:vertAlign w:val="baseline"/>
        </w:rPr>
        <w:t>Profit</w:t>
      </w:r>
      <w:r>
        <w:rPr>
          <w:rFonts w:ascii="Calibri"/>
          <w:spacing w:val="-4"/>
          <w:sz w:val="20"/>
          <w:vertAlign w:val="baseline"/>
        </w:rPr>
        <w:t> </w:t>
      </w:r>
      <w:r>
        <w:rPr>
          <w:rFonts w:ascii="Calibri"/>
          <w:sz w:val="20"/>
          <w:vertAlign w:val="baseline"/>
        </w:rPr>
        <w:t>Tax</w:t>
      </w:r>
      <w:r>
        <w:rPr>
          <w:rFonts w:ascii="Calibri"/>
          <w:spacing w:val="-4"/>
          <w:sz w:val="20"/>
          <w:vertAlign w:val="baseline"/>
        </w:rPr>
        <w:t> </w:t>
      </w:r>
      <w:r>
        <w:rPr>
          <w:rFonts w:ascii="Calibri"/>
          <w:sz w:val="20"/>
          <w:vertAlign w:val="baseline"/>
        </w:rPr>
        <w:t>Act,</w:t>
      </w:r>
      <w:r>
        <w:rPr>
          <w:rFonts w:ascii="Calibri"/>
          <w:spacing w:val="-4"/>
          <w:sz w:val="20"/>
          <w:vertAlign w:val="baseline"/>
        </w:rPr>
        <w:t> </w:t>
      </w:r>
      <w:r>
        <w:rPr>
          <w:rFonts w:ascii="Calibri"/>
          <w:sz w:val="20"/>
          <w:vertAlign w:val="baseline"/>
        </w:rPr>
        <w:t>CAP</w:t>
      </w:r>
      <w:r>
        <w:rPr>
          <w:rFonts w:ascii="Calibri"/>
          <w:spacing w:val="-3"/>
          <w:sz w:val="20"/>
          <w:vertAlign w:val="baseline"/>
        </w:rPr>
        <w:t> </w:t>
      </w:r>
      <w:r>
        <w:rPr>
          <w:rFonts w:ascii="Calibri"/>
          <w:sz w:val="20"/>
          <w:vertAlign w:val="baseline"/>
        </w:rPr>
        <w:t>P13,</w:t>
      </w:r>
      <w:r>
        <w:rPr>
          <w:rFonts w:ascii="Calibri"/>
          <w:spacing w:val="-4"/>
          <w:sz w:val="20"/>
          <w:vertAlign w:val="baseline"/>
        </w:rPr>
        <w:t> </w:t>
      </w:r>
      <w:r>
        <w:rPr>
          <w:rFonts w:ascii="Calibri"/>
          <w:sz w:val="20"/>
          <w:vertAlign w:val="baseline"/>
        </w:rPr>
        <w:t>LFN,</w:t>
      </w:r>
      <w:r>
        <w:rPr>
          <w:rFonts w:ascii="Calibri"/>
          <w:spacing w:val="-4"/>
          <w:sz w:val="20"/>
          <w:vertAlign w:val="baseline"/>
        </w:rPr>
        <w:t> 2010</w:t>
      </w:r>
    </w:p>
    <w:p>
      <w:pPr>
        <w:spacing w:before="0"/>
        <w:ind w:left="360" w:right="0" w:firstLine="0"/>
        <w:jc w:val="left"/>
        <w:rPr>
          <w:rFonts w:ascii="Calibri"/>
          <w:sz w:val="20"/>
        </w:rPr>
      </w:pPr>
      <w:r>
        <w:rPr>
          <w:rFonts w:ascii="Calibri"/>
          <w:sz w:val="20"/>
          <w:vertAlign w:val="superscript"/>
        </w:rPr>
        <w:t>31</w:t>
      </w:r>
      <w:r>
        <w:rPr>
          <w:rFonts w:ascii="Calibri"/>
          <w:spacing w:val="-4"/>
          <w:sz w:val="20"/>
          <w:vertAlign w:val="baseline"/>
        </w:rPr>
        <w:t> Ibid</w:t>
      </w:r>
    </w:p>
    <w:p>
      <w:pPr>
        <w:spacing w:line="243" w:lineRule="exact" w:before="1"/>
        <w:ind w:left="360" w:right="0" w:firstLine="0"/>
        <w:jc w:val="left"/>
        <w:rPr>
          <w:rFonts w:ascii="Calibri"/>
          <w:sz w:val="20"/>
        </w:rPr>
      </w:pPr>
      <w:r>
        <w:rPr>
          <w:rFonts w:ascii="Calibri"/>
          <w:sz w:val="20"/>
          <w:vertAlign w:val="superscript"/>
        </w:rPr>
        <w:t>32</w:t>
      </w:r>
      <w:r>
        <w:rPr>
          <w:rFonts w:ascii="Calibri"/>
          <w:spacing w:val="-4"/>
          <w:sz w:val="20"/>
          <w:vertAlign w:val="baseline"/>
        </w:rPr>
        <w:t> Ibid</w:t>
      </w:r>
    </w:p>
    <w:p>
      <w:pPr>
        <w:spacing w:line="243" w:lineRule="exact" w:before="0"/>
        <w:ind w:left="360" w:right="0" w:firstLine="0"/>
        <w:jc w:val="left"/>
        <w:rPr>
          <w:rFonts w:ascii="Calibri"/>
          <w:sz w:val="20"/>
        </w:rPr>
      </w:pPr>
      <w:r>
        <w:rPr>
          <w:rFonts w:ascii="Calibri"/>
          <w:sz w:val="20"/>
          <w:vertAlign w:val="superscript"/>
        </w:rPr>
        <w:t>33</w:t>
      </w:r>
      <w:r>
        <w:rPr>
          <w:rFonts w:ascii="Calibri"/>
          <w:spacing w:val="-4"/>
          <w:sz w:val="20"/>
          <w:vertAlign w:val="baseline"/>
        </w:rPr>
        <w:t> Ibid</w:t>
      </w:r>
    </w:p>
    <w:p>
      <w:pPr>
        <w:spacing w:before="1"/>
        <w:ind w:left="360" w:right="0" w:firstLine="0"/>
        <w:jc w:val="left"/>
        <w:rPr>
          <w:rFonts w:ascii="Calibri"/>
          <w:sz w:val="20"/>
        </w:rPr>
      </w:pPr>
      <w:r>
        <w:rPr>
          <w:rFonts w:ascii="Calibri"/>
          <w:sz w:val="20"/>
          <w:vertAlign w:val="superscript"/>
        </w:rPr>
        <w:t>34</w:t>
      </w:r>
      <w:r>
        <w:rPr>
          <w:rFonts w:ascii="Calibri"/>
          <w:spacing w:val="-4"/>
          <w:sz w:val="20"/>
          <w:vertAlign w:val="baseline"/>
        </w:rPr>
        <w:t> Ibid</w:t>
      </w:r>
    </w:p>
    <w:p>
      <w:pPr>
        <w:spacing w:after="0"/>
        <w:jc w:val="left"/>
        <w:rPr>
          <w:rFonts w:ascii="Calibri"/>
          <w:sz w:val="20"/>
        </w:rPr>
        <w:sectPr>
          <w:pgSz w:w="11910" w:h="16840"/>
          <w:pgMar w:header="0" w:footer="1000" w:top="1340" w:bottom="1200" w:left="1080" w:right="1280"/>
        </w:sectPr>
      </w:pPr>
    </w:p>
    <w:p>
      <w:pPr>
        <w:pStyle w:val="BodyText"/>
        <w:spacing w:line="480" w:lineRule="auto" w:before="74"/>
        <w:ind w:left="360" w:right="156" w:firstLine="719"/>
        <w:jc w:val="both"/>
      </w:pPr>
      <w:r>
        <w:rPr/>
        <w:t>One</w:t>
      </w:r>
      <w:r>
        <w:rPr>
          <w:spacing w:val="40"/>
        </w:rPr>
        <w:t> </w:t>
      </w:r>
      <w:r>
        <w:rPr/>
        <w:t>of</w:t>
      </w:r>
      <w:r>
        <w:rPr>
          <w:spacing w:val="40"/>
        </w:rPr>
        <w:t> </w:t>
      </w:r>
      <w:r>
        <w:rPr/>
        <w:t>the</w:t>
      </w:r>
      <w:r>
        <w:rPr>
          <w:spacing w:val="40"/>
        </w:rPr>
        <w:t> </w:t>
      </w:r>
      <w:r>
        <w:rPr/>
        <w:t>problems</w:t>
      </w:r>
      <w:r>
        <w:rPr>
          <w:spacing w:val="40"/>
        </w:rPr>
        <w:t> </w:t>
      </w:r>
      <w:r>
        <w:rPr/>
        <w:t>associated</w:t>
      </w:r>
      <w:r>
        <w:rPr>
          <w:spacing w:val="40"/>
        </w:rPr>
        <w:t> </w:t>
      </w:r>
      <w:r>
        <w:rPr/>
        <w:t>with</w:t>
      </w:r>
      <w:r>
        <w:rPr>
          <w:spacing w:val="40"/>
        </w:rPr>
        <w:t> </w:t>
      </w:r>
      <w:r>
        <w:rPr/>
        <w:t>the</w:t>
      </w:r>
      <w:r>
        <w:rPr>
          <w:spacing w:val="40"/>
        </w:rPr>
        <w:t> </w:t>
      </w:r>
      <w:r>
        <w:rPr/>
        <w:t>efficient</w:t>
      </w:r>
      <w:r>
        <w:rPr>
          <w:spacing w:val="40"/>
        </w:rPr>
        <w:t> </w:t>
      </w:r>
      <w:r>
        <w:rPr/>
        <w:t>implementations</w:t>
      </w:r>
      <w:r>
        <w:rPr>
          <w:spacing w:val="40"/>
        </w:rPr>
        <w:t> </w:t>
      </w:r>
      <w:r>
        <w:rPr/>
        <w:t>of</w:t>
      </w:r>
      <w:r>
        <w:rPr>
          <w:spacing w:val="40"/>
        </w:rPr>
        <w:t> </w:t>
      </w:r>
      <w:r>
        <w:rPr/>
        <w:t>the</w:t>
      </w:r>
      <w:r>
        <w:rPr>
          <w:spacing w:val="40"/>
        </w:rPr>
        <w:t> </w:t>
      </w:r>
      <w:r>
        <w:rPr/>
        <w:t>PPTA</w:t>
      </w:r>
      <w:r>
        <w:rPr>
          <w:spacing w:val="80"/>
        </w:rPr>
        <w:t> </w:t>
      </w:r>
      <w:r>
        <w:rPr/>
        <w:t>is that section 10 (1) </w:t>
      </w:r>
      <w:r>
        <w:rPr>
          <w:spacing w:val="9"/>
        </w:rPr>
        <w:t>(a)-</w:t>
      </w:r>
      <w:r>
        <w:rPr/>
        <w:t>(i)</w:t>
      </w:r>
      <w:r>
        <w:rPr>
          <w:vertAlign w:val="superscript"/>
        </w:rPr>
        <w:t>35</w:t>
      </w:r>
      <w:r>
        <w:rPr>
          <w:vertAlign w:val="baseline"/>
        </w:rPr>
        <w:t> provides a very long list of deductible expenses while ascertaining the company's profit for the purposes of computation of the Petroleum Profit</w:t>
      </w:r>
      <w:r>
        <w:rPr>
          <w:spacing w:val="80"/>
          <w:vertAlign w:val="baseline"/>
        </w:rPr>
        <w:t> </w:t>
      </w:r>
      <w:r>
        <w:rPr>
          <w:vertAlign w:val="baseline"/>
        </w:rPr>
        <w:t>Tax due to the company under the Act. It was observed that by the time the company had completed</w:t>
      </w:r>
      <w:r>
        <w:rPr>
          <w:spacing w:val="40"/>
          <w:vertAlign w:val="baseline"/>
        </w:rPr>
        <w:t> </w:t>
      </w:r>
      <w:r>
        <w:rPr>
          <w:vertAlign w:val="baseline"/>
        </w:rPr>
        <w:t>its</w:t>
      </w:r>
      <w:r>
        <w:rPr>
          <w:spacing w:val="40"/>
          <w:vertAlign w:val="baseline"/>
        </w:rPr>
        <w:t> </w:t>
      </w:r>
      <w:r>
        <w:rPr>
          <w:vertAlign w:val="baseline"/>
        </w:rPr>
        <w:t>deductible</w:t>
      </w:r>
      <w:r>
        <w:rPr>
          <w:spacing w:val="40"/>
          <w:vertAlign w:val="baseline"/>
        </w:rPr>
        <w:t> </w:t>
      </w:r>
      <w:r>
        <w:rPr>
          <w:vertAlign w:val="baseline"/>
        </w:rPr>
        <w:t>expenses</w:t>
      </w:r>
      <w:r>
        <w:rPr>
          <w:spacing w:val="40"/>
          <w:vertAlign w:val="baseline"/>
        </w:rPr>
        <w:t> </w:t>
      </w:r>
      <w:r>
        <w:rPr>
          <w:vertAlign w:val="baseline"/>
        </w:rPr>
        <w:t>as</w:t>
      </w:r>
      <w:r>
        <w:rPr>
          <w:spacing w:val="40"/>
          <w:vertAlign w:val="baseline"/>
        </w:rPr>
        <w:t> </w:t>
      </w:r>
      <w:r>
        <w:rPr>
          <w:vertAlign w:val="baseline"/>
        </w:rPr>
        <w:t>outlined</w:t>
      </w:r>
      <w:r>
        <w:rPr>
          <w:spacing w:val="40"/>
          <w:vertAlign w:val="baseline"/>
        </w:rPr>
        <w:t> </w:t>
      </w:r>
      <w:r>
        <w:rPr>
          <w:vertAlign w:val="baseline"/>
        </w:rPr>
        <w:t>in</w:t>
      </w:r>
      <w:r>
        <w:rPr>
          <w:spacing w:val="40"/>
          <w:vertAlign w:val="baseline"/>
        </w:rPr>
        <w:t> </w:t>
      </w:r>
      <w:r>
        <w:rPr>
          <w:vertAlign w:val="baseline"/>
        </w:rPr>
        <w:t>the</w:t>
      </w:r>
      <w:r>
        <w:rPr>
          <w:spacing w:val="40"/>
          <w:vertAlign w:val="baseline"/>
        </w:rPr>
        <w:t> </w:t>
      </w:r>
      <w:r>
        <w:rPr>
          <w:vertAlign w:val="baseline"/>
        </w:rPr>
        <w:t>section</w:t>
      </w:r>
      <w:r>
        <w:rPr>
          <w:spacing w:val="40"/>
          <w:vertAlign w:val="baseline"/>
        </w:rPr>
        <w:t> </w:t>
      </w:r>
      <w:r>
        <w:rPr>
          <w:vertAlign w:val="baseline"/>
        </w:rPr>
        <w:t>mentioned</w:t>
      </w:r>
      <w:r>
        <w:rPr>
          <w:spacing w:val="80"/>
          <w:vertAlign w:val="baseline"/>
        </w:rPr>
        <w:t> </w:t>
      </w:r>
      <w:r>
        <w:rPr>
          <w:vertAlign w:val="baseline"/>
        </w:rPr>
        <w:t>above,</w:t>
      </w:r>
      <w:r>
        <w:rPr>
          <w:spacing w:val="40"/>
          <w:vertAlign w:val="baseline"/>
        </w:rPr>
        <w:t> </w:t>
      </w:r>
      <w:r>
        <w:rPr>
          <w:vertAlign w:val="baseline"/>
        </w:rPr>
        <w:t>there might</w:t>
      </w:r>
      <w:r>
        <w:rPr>
          <w:spacing w:val="36"/>
          <w:vertAlign w:val="baseline"/>
        </w:rPr>
        <w:t> </w:t>
      </w:r>
      <w:r>
        <w:rPr>
          <w:vertAlign w:val="baseline"/>
        </w:rPr>
        <w:t>be</w:t>
      </w:r>
      <w:r>
        <w:rPr>
          <w:spacing w:val="35"/>
          <w:vertAlign w:val="baseline"/>
        </w:rPr>
        <w:t> </w:t>
      </w:r>
      <w:r>
        <w:rPr>
          <w:vertAlign w:val="baseline"/>
        </w:rPr>
        <w:t>little</w:t>
      </w:r>
      <w:r>
        <w:rPr>
          <w:spacing w:val="37"/>
          <w:vertAlign w:val="baseline"/>
        </w:rPr>
        <w:t> </w:t>
      </w:r>
      <w:r>
        <w:rPr>
          <w:vertAlign w:val="baseline"/>
        </w:rPr>
        <w:t>or</w:t>
      </w:r>
      <w:r>
        <w:rPr>
          <w:spacing w:val="37"/>
          <w:vertAlign w:val="baseline"/>
        </w:rPr>
        <w:t> </w:t>
      </w:r>
      <w:r>
        <w:rPr>
          <w:vertAlign w:val="baseline"/>
        </w:rPr>
        <w:t>nothing</w:t>
      </w:r>
      <w:r>
        <w:rPr>
          <w:spacing w:val="35"/>
          <w:vertAlign w:val="baseline"/>
        </w:rPr>
        <w:t> </w:t>
      </w:r>
      <w:r>
        <w:rPr>
          <w:vertAlign w:val="baseline"/>
        </w:rPr>
        <w:t>that</w:t>
      </w:r>
      <w:r>
        <w:rPr>
          <w:spacing w:val="38"/>
          <w:vertAlign w:val="baseline"/>
        </w:rPr>
        <w:t> </w:t>
      </w:r>
      <w:r>
        <w:rPr>
          <w:vertAlign w:val="baseline"/>
        </w:rPr>
        <w:t>is</w:t>
      </w:r>
      <w:r>
        <w:rPr>
          <w:spacing w:val="36"/>
          <w:vertAlign w:val="baseline"/>
        </w:rPr>
        <w:t> </w:t>
      </w:r>
      <w:r>
        <w:rPr>
          <w:vertAlign w:val="baseline"/>
        </w:rPr>
        <w:t>taxable</w:t>
      </w:r>
      <w:r>
        <w:rPr>
          <w:spacing w:val="37"/>
          <w:vertAlign w:val="baseline"/>
        </w:rPr>
        <w:t> </w:t>
      </w:r>
      <w:r>
        <w:rPr>
          <w:vertAlign w:val="baseline"/>
        </w:rPr>
        <w:t>from</w:t>
      </w:r>
      <w:r>
        <w:rPr>
          <w:spacing w:val="38"/>
          <w:vertAlign w:val="baseline"/>
        </w:rPr>
        <w:t> </w:t>
      </w:r>
      <w:r>
        <w:rPr>
          <w:vertAlign w:val="baseline"/>
        </w:rPr>
        <w:t>the</w:t>
      </w:r>
      <w:r>
        <w:rPr>
          <w:spacing w:val="35"/>
          <w:vertAlign w:val="baseline"/>
        </w:rPr>
        <w:t> </w:t>
      </w:r>
      <w:r>
        <w:rPr>
          <w:vertAlign w:val="baseline"/>
        </w:rPr>
        <w:t>company‟s</w:t>
      </w:r>
      <w:r>
        <w:rPr>
          <w:spacing w:val="36"/>
          <w:vertAlign w:val="baseline"/>
        </w:rPr>
        <w:t> </w:t>
      </w:r>
      <w:r>
        <w:rPr>
          <w:vertAlign w:val="baseline"/>
        </w:rPr>
        <w:t>profit.</w:t>
      </w:r>
      <w:r>
        <w:rPr>
          <w:spacing w:val="40"/>
          <w:vertAlign w:val="baseline"/>
        </w:rPr>
        <w:t> </w:t>
      </w:r>
      <w:r>
        <w:rPr>
          <w:vertAlign w:val="baseline"/>
        </w:rPr>
        <w:t>So</w:t>
      </w:r>
      <w:r>
        <w:rPr>
          <w:spacing w:val="30"/>
          <w:vertAlign w:val="baseline"/>
        </w:rPr>
        <w:t> </w:t>
      </w:r>
      <w:r>
        <w:rPr>
          <w:vertAlign w:val="baseline"/>
        </w:rPr>
        <w:t>at</w:t>
      </w:r>
      <w:r>
        <w:rPr>
          <w:spacing w:val="31"/>
          <w:vertAlign w:val="baseline"/>
        </w:rPr>
        <w:t> </w:t>
      </w:r>
      <w:r>
        <w:rPr>
          <w:vertAlign w:val="baseline"/>
        </w:rPr>
        <w:t>the</w:t>
      </w:r>
      <w:r>
        <w:rPr>
          <w:spacing w:val="29"/>
          <w:vertAlign w:val="baseline"/>
        </w:rPr>
        <w:t> </w:t>
      </w:r>
      <w:r>
        <w:rPr>
          <w:vertAlign w:val="baseline"/>
        </w:rPr>
        <w:t>end</w:t>
      </w:r>
      <w:r>
        <w:rPr>
          <w:spacing w:val="30"/>
          <w:vertAlign w:val="baseline"/>
        </w:rPr>
        <w:t> </w:t>
      </w:r>
      <w:r>
        <w:rPr>
          <w:vertAlign w:val="baseline"/>
        </w:rPr>
        <w:t>of</w:t>
      </w:r>
      <w:r>
        <w:rPr>
          <w:spacing w:val="27"/>
          <w:vertAlign w:val="baseline"/>
        </w:rPr>
        <w:t> </w:t>
      </w:r>
      <w:r>
        <w:rPr>
          <w:vertAlign w:val="baseline"/>
        </w:rPr>
        <w:t>the day the amount</w:t>
      </w:r>
      <w:r>
        <w:rPr>
          <w:spacing w:val="24"/>
          <w:vertAlign w:val="baseline"/>
        </w:rPr>
        <w:t> </w:t>
      </w:r>
      <w:r>
        <w:rPr>
          <w:vertAlign w:val="baseline"/>
        </w:rPr>
        <w:t>a company may remit to the</w:t>
      </w:r>
      <w:r>
        <w:rPr>
          <w:spacing w:val="22"/>
          <w:vertAlign w:val="baseline"/>
        </w:rPr>
        <w:t> </w:t>
      </w:r>
      <w:r>
        <w:rPr>
          <w:vertAlign w:val="baseline"/>
        </w:rPr>
        <w:t>Federal Government</w:t>
      </w:r>
      <w:r>
        <w:rPr>
          <w:spacing w:val="29"/>
          <w:vertAlign w:val="baseline"/>
        </w:rPr>
        <w:t> </w:t>
      </w:r>
      <w:r>
        <w:rPr>
          <w:vertAlign w:val="baseline"/>
        </w:rPr>
        <w:t>through</w:t>
      </w:r>
      <w:r>
        <w:rPr>
          <w:spacing w:val="33"/>
          <w:vertAlign w:val="baseline"/>
        </w:rPr>
        <w:t> </w:t>
      </w:r>
      <w:r>
        <w:rPr>
          <w:vertAlign w:val="baseline"/>
        </w:rPr>
        <w:t>FIRS</w:t>
      </w:r>
      <w:r>
        <w:rPr>
          <w:spacing w:val="34"/>
          <w:vertAlign w:val="baseline"/>
        </w:rPr>
        <w:t> </w:t>
      </w:r>
      <w:r>
        <w:rPr>
          <w:vertAlign w:val="baseline"/>
        </w:rPr>
        <w:t>might</w:t>
      </w:r>
      <w:r>
        <w:rPr>
          <w:spacing w:val="34"/>
          <w:vertAlign w:val="baseline"/>
        </w:rPr>
        <w:t> </w:t>
      </w:r>
      <w:r>
        <w:rPr>
          <w:vertAlign w:val="baseline"/>
        </w:rPr>
        <w:t>just be</w:t>
      </w:r>
      <w:r>
        <w:rPr>
          <w:spacing w:val="40"/>
          <w:vertAlign w:val="baseline"/>
        </w:rPr>
        <w:t> </w:t>
      </w:r>
      <w:r>
        <w:rPr>
          <w:vertAlign w:val="baseline"/>
        </w:rPr>
        <w:t>something</w:t>
      </w:r>
      <w:r>
        <w:rPr>
          <w:spacing w:val="40"/>
          <w:vertAlign w:val="baseline"/>
        </w:rPr>
        <w:t> </w:t>
      </w:r>
      <w:r>
        <w:rPr>
          <w:vertAlign w:val="baseline"/>
        </w:rPr>
        <w:t>little</w:t>
      </w:r>
      <w:r>
        <w:rPr>
          <w:spacing w:val="40"/>
          <w:vertAlign w:val="baseline"/>
        </w:rPr>
        <w:t> </w:t>
      </w:r>
      <w:r>
        <w:rPr>
          <w:vertAlign w:val="baseline"/>
        </w:rPr>
        <w:t>in</w:t>
      </w:r>
      <w:r>
        <w:rPr>
          <w:spacing w:val="40"/>
          <w:vertAlign w:val="baseline"/>
        </w:rPr>
        <w:t> </w:t>
      </w:r>
      <w:r>
        <w:rPr>
          <w:vertAlign w:val="baseline"/>
        </w:rPr>
        <w:t>comparison</w:t>
      </w:r>
      <w:r>
        <w:rPr>
          <w:spacing w:val="40"/>
          <w:vertAlign w:val="baseline"/>
        </w:rPr>
        <w:t> </w:t>
      </w:r>
      <w:r>
        <w:rPr>
          <w:vertAlign w:val="baseline"/>
        </w:rPr>
        <w:t>with</w:t>
      </w:r>
      <w:r>
        <w:rPr>
          <w:spacing w:val="40"/>
          <w:vertAlign w:val="baseline"/>
        </w:rPr>
        <w:t> </w:t>
      </w:r>
      <w:r>
        <w:rPr>
          <w:vertAlign w:val="baseline"/>
        </w:rPr>
        <w:t>the</w:t>
      </w:r>
      <w:r>
        <w:rPr>
          <w:spacing w:val="40"/>
          <w:vertAlign w:val="baseline"/>
        </w:rPr>
        <w:t> </w:t>
      </w:r>
      <w:r>
        <w:rPr>
          <w:vertAlign w:val="baseline"/>
        </w:rPr>
        <w:t>company‟s</w:t>
      </w:r>
      <w:r>
        <w:rPr>
          <w:spacing w:val="40"/>
          <w:vertAlign w:val="baseline"/>
        </w:rPr>
        <w:t> </w:t>
      </w:r>
      <w:r>
        <w:rPr>
          <w:vertAlign w:val="baseline"/>
        </w:rPr>
        <w:t>turnover</w:t>
      </w:r>
      <w:r>
        <w:rPr>
          <w:spacing w:val="29"/>
          <w:vertAlign w:val="baseline"/>
        </w:rPr>
        <w:t> </w:t>
      </w:r>
      <w:r>
        <w:rPr>
          <w:vertAlign w:val="baseline"/>
        </w:rPr>
        <w:t>after</w:t>
      </w:r>
      <w:r>
        <w:rPr>
          <w:spacing w:val="29"/>
          <w:vertAlign w:val="baseline"/>
        </w:rPr>
        <w:t> </w:t>
      </w:r>
      <w:r>
        <w:rPr>
          <w:vertAlign w:val="baseline"/>
        </w:rPr>
        <w:t>all</w:t>
      </w:r>
      <w:r>
        <w:rPr>
          <w:spacing w:val="28"/>
          <w:vertAlign w:val="baseline"/>
        </w:rPr>
        <w:t> </w:t>
      </w:r>
      <w:r>
        <w:rPr>
          <w:vertAlign w:val="baseline"/>
        </w:rPr>
        <w:t>the</w:t>
      </w:r>
      <w:r>
        <w:rPr>
          <w:spacing w:val="29"/>
          <w:vertAlign w:val="baseline"/>
        </w:rPr>
        <w:t> </w:t>
      </w:r>
      <w:r>
        <w:rPr>
          <w:vertAlign w:val="baseline"/>
        </w:rPr>
        <w:t>deductions.</w:t>
      </w:r>
    </w:p>
    <w:p>
      <w:pPr>
        <w:pStyle w:val="BodyText"/>
        <w:spacing w:line="480" w:lineRule="auto" w:before="1"/>
        <w:ind w:left="360" w:right="159" w:firstLine="719"/>
        <w:jc w:val="both"/>
      </w:pPr>
      <w:r>
        <w:rPr/>
        <w:t>Cooking</w:t>
      </w:r>
      <w:r>
        <w:rPr>
          <w:spacing w:val="80"/>
        </w:rPr>
        <w:t> </w:t>
      </w:r>
      <w:r>
        <w:rPr/>
        <w:t>of</w:t>
      </w:r>
      <w:r>
        <w:rPr>
          <w:spacing w:val="80"/>
        </w:rPr>
        <w:t> </w:t>
      </w:r>
      <w:r>
        <w:rPr/>
        <w:t>company's</w:t>
      </w:r>
      <w:r>
        <w:rPr>
          <w:spacing w:val="80"/>
        </w:rPr>
        <w:t> </w:t>
      </w:r>
      <w:r>
        <w:rPr/>
        <w:t>audited</w:t>
      </w:r>
      <w:r>
        <w:rPr>
          <w:spacing w:val="80"/>
        </w:rPr>
        <w:t> </w:t>
      </w:r>
      <w:r>
        <w:rPr/>
        <w:t>account</w:t>
      </w:r>
      <w:r>
        <w:rPr>
          <w:spacing w:val="80"/>
        </w:rPr>
        <w:t> </w:t>
      </w:r>
      <w:r>
        <w:rPr/>
        <w:t>is</w:t>
      </w:r>
      <w:r>
        <w:rPr>
          <w:spacing w:val="80"/>
        </w:rPr>
        <w:t> </w:t>
      </w:r>
      <w:r>
        <w:rPr/>
        <w:t>one</w:t>
      </w:r>
      <w:r>
        <w:rPr>
          <w:spacing w:val="80"/>
        </w:rPr>
        <w:t> </w:t>
      </w:r>
      <w:r>
        <w:rPr/>
        <w:t>of</w:t>
      </w:r>
      <w:r>
        <w:rPr>
          <w:spacing w:val="80"/>
        </w:rPr>
        <w:t> </w:t>
      </w:r>
      <w:r>
        <w:rPr/>
        <w:t>the</w:t>
      </w:r>
      <w:r>
        <w:rPr>
          <w:spacing w:val="80"/>
        </w:rPr>
        <w:t> </w:t>
      </w:r>
      <w:r>
        <w:rPr/>
        <w:t>major</w:t>
      </w:r>
      <w:r>
        <w:rPr>
          <w:spacing w:val="80"/>
        </w:rPr>
        <w:t> </w:t>
      </w:r>
      <w:r>
        <w:rPr/>
        <w:t>problems</w:t>
      </w:r>
      <w:r>
        <w:rPr>
          <w:spacing w:val="80"/>
        </w:rPr>
        <w:t> </w:t>
      </w:r>
      <w:r>
        <w:rPr/>
        <w:t>of taxations</w:t>
      </w:r>
      <w:r>
        <w:rPr>
          <w:spacing w:val="76"/>
        </w:rPr>
        <w:t> </w:t>
      </w:r>
      <w:r>
        <w:rPr/>
        <w:t>generally</w:t>
      </w:r>
      <w:r>
        <w:rPr>
          <w:spacing w:val="66"/>
        </w:rPr>
        <w:t> </w:t>
      </w:r>
      <w:r>
        <w:rPr/>
        <w:t>in</w:t>
      </w:r>
      <w:r>
        <w:rPr>
          <w:spacing w:val="80"/>
        </w:rPr>
        <w:t> </w:t>
      </w:r>
      <w:r>
        <w:rPr/>
        <w:t>Nigeria.</w:t>
      </w:r>
      <w:r>
        <w:rPr>
          <w:spacing w:val="72"/>
        </w:rPr>
        <w:t> </w:t>
      </w:r>
      <w:r>
        <w:rPr/>
        <w:t>Before</w:t>
      </w:r>
      <w:r>
        <w:rPr>
          <w:spacing w:val="70"/>
        </w:rPr>
        <w:t> </w:t>
      </w:r>
      <w:r>
        <w:rPr/>
        <w:t>any</w:t>
      </w:r>
      <w:r>
        <w:rPr>
          <w:spacing w:val="66"/>
        </w:rPr>
        <w:t> </w:t>
      </w:r>
      <w:r>
        <w:rPr/>
        <w:t>company</w:t>
      </w:r>
      <w:r>
        <w:rPr>
          <w:spacing w:val="66"/>
        </w:rPr>
        <w:t> </w:t>
      </w:r>
      <w:r>
        <w:rPr/>
        <w:t>can</w:t>
      </w:r>
      <w:r>
        <w:rPr>
          <w:spacing w:val="72"/>
        </w:rPr>
        <w:t> </w:t>
      </w:r>
      <w:r>
        <w:rPr/>
        <w:t>be</w:t>
      </w:r>
      <w:r>
        <w:rPr>
          <w:spacing w:val="70"/>
        </w:rPr>
        <w:t> </w:t>
      </w:r>
      <w:r>
        <w:rPr/>
        <w:t>assessed</w:t>
      </w:r>
      <w:r>
        <w:rPr>
          <w:spacing w:val="76"/>
        </w:rPr>
        <w:t> </w:t>
      </w:r>
      <w:r>
        <w:rPr/>
        <w:t>for</w:t>
      </w:r>
      <w:r>
        <w:rPr>
          <w:spacing w:val="72"/>
        </w:rPr>
        <w:t> </w:t>
      </w:r>
      <w:r>
        <w:rPr/>
        <w:t>the</w:t>
      </w:r>
      <w:r>
        <w:rPr>
          <w:spacing w:val="70"/>
        </w:rPr>
        <w:t> </w:t>
      </w:r>
      <w:r>
        <w:rPr/>
        <w:t>purposes of</w:t>
      </w:r>
      <w:r>
        <w:rPr>
          <w:spacing w:val="40"/>
        </w:rPr>
        <w:t> </w:t>
      </w:r>
      <w:r>
        <w:rPr/>
        <w:t>taxation,</w:t>
      </w:r>
      <w:r>
        <w:rPr>
          <w:spacing w:val="40"/>
        </w:rPr>
        <w:t> </w:t>
      </w:r>
      <w:r>
        <w:rPr/>
        <w:t>such</w:t>
      </w:r>
      <w:r>
        <w:rPr>
          <w:spacing w:val="40"/>
        </w:rPr>
        <w:t> </w:t>
      </w:r>
      <w:r>
        <w:rPr/>
        <w:t>a</w:t>
      </w:r>
      <w:r>
        <w:rPr>
          <w:spacing w:val="40"/>
        </w:rPr>
        <w:t> </w:t>
      </w:r>
      <w:r>
        <w:rPr/>
        <w:t>company</w:t>
      </w:r>
      <w:r>
        <w:rPr>
          <w:spacing w:val="40"/>
        </w:rPr>
        <w:t> </w:t>
      </w:r>
      <w:r>
        <w:rPr/>
        <w:t>must</w:t>
      </w:r>
      <w:r>
        <w:rPr>
          <w:spacing w:val="40"/>
        </w:rPr>
        <w:t> </w:t>
      </w:r>
      <w:r>
        <w:rPr/>
        <w:t>submit</w:t>
      </w:r>
      <w:r>
        <w:rPr>
          <w:spacing w:val="40"/>
        </w:rPr>
        <w:t> </w:t>
      </w:r>
      <w:r>
        <w:rPr/>
        <w:t>its</w:t>
      </w:r>
      <w:r>
        <w:rPr>
          <w:spacing w:val="40"/>
        </w:rPr>
        <w:t> </w:t>
      </w:r>
      <w:r>
        <w:rPr/>
        <w:t>audited</w:t>
      </w:r>
      <w:r>
        <w:rPr>
          <w:spacing w:val="40"/>
        </w:rPr>
        <w:t> </w:t>
      </w:r>
      <w:r>
        <w:rPr/>
        <w:t>account</w:t>
      </w:r>
      <w:r>
        <w:rPr>
          <w:spacing w:val="40"/>
        </w:rPr>
        <w:t> </w:t>
      </w:r>
      <w:r>
        <w:rPr/>
        <w:t>in</w:t>
      </w:r>
      <w:r>
        <w:rPr>
          <w:spacing w:val="40"/>
        </w:rPr>
        <w:t> </w:t>
      </w:r>
      <w:r>
        <w:rPr/>
        <w:t>a</w:t>
      </w:r>
      <w:r>
        <w:rPr>
          <w:spacing w:val="40"/>
        </w:rPr>
        <w:t> </w:t>
      </w:r>
      <w:r>
        <w:rPr/>
        <w:t>financial</w:t>
      </w:r>
      <w:r>
        <w:rPr>
          <w:spacing w:val="40"/>
        </w:rPr>
        <w:t> </w:t>
      </w:r>
      <w:r>
        <w:rPr/>
        <w:t>year </w:t>
      </w:r>
      <w:r>
        <w:rPr>
          <w:spacing w:val="9"/>
        </w:rPr>
        <w:t>(January-</w:t>
      </w:r>
      <w:r>
        <w:rPr/>
        <w:t>December).</w:t>
      </w:r>
      <w:r>
        <w:rPr>
          <w:spacing w:val="80"/>
        </w:rPr>
        <w:t> </w:t>
      </w:r>
      <w:r>
        <w:rPr/>
        <w:t>It</w:t>
      </w:r>
      <w:r>
        <w:rPr>
          <w:spacing w:val="80"/>
        </w:rPr>
        <w:t> </w:t>
      </w:r>
      <w:r>
        <w:rPr/>
        <w:t>is</w:t>
      </w:r>
      <w:r>
        <w:rPr>
          <w:spacing w:val="80"/>
        </w:rPr>
        <w:t> </w:t>
      </w:r>
      <w:r>
        <w:rPr/>
        <w:t>the</w:t>
      </w:r>
      <w:r>
        <w:rPr>
          <w:spacing w:val="80"/>
        </w:rPr>
        <w:t> </w:t>
      </w:r>
      <w:r>
        <w:rPr/>
        <w:t>audited</w:t>
      </w:r>
      <w:r>
        <w:rPr>
          <w:spacing w:val="80"/>
        </w:rPr>
        <w:t> </w:t>
      </w:r>
      <w:r>
        <w:rPr/>
        <w:t>accounts</w:t>
      </w:r>
      <w:r>
        <w:rPr>
          <w:spacing w:val="80"/>
        </w:rPr>
        <w:t> </w:t>
      </w:r>
      <w:r>
        <w:rPr/>
        <w:t>submitted</w:t>
      </w:r>
      <w:r>
        <w:rPr>
          <w:spacing w:val="80"/>
        </w:rPr>
        <w:t> </w:t>
      </w:r>
      <w:r>
        <w:rPr/>
        <w:t>by</w:t>
      </w:r>
      <w:r>
        <w:rPr>
          <w:spacing w:val="80"/>
        </w:rPr>
        <w:t> </w:t>
      </w:r>
      <w:r>
        <w:rPr/>
        <w:t>the</w:t>
      </w:r>
      <w:r>
        <w:rPr>
          <w:spacing w:val="80"/>
        </w:rPr>
        <w:t> </w:t>
      </w:r>
      <w:r>
        <w:rPr/>
        <w:t>companies</w:t>
      </w:r>
      <w:r>
        <w:rPr>
          <w:spacing w:val="80"/>
        </w:rPr>
        <w:t> </w:t>
      </w:r>
      <w:r>
        <w:rPr/>
        <w:t>that guides</w:t>
      </w:r>
      <w:r>
        <w:rPr>
          <w:spacing w:val="30"/>
        </w:rPr>
        <w:t> </w:t>
      </w:r>
      <w:r>
        <w:rPr/>
        <w:t>the</w:t>
      </w:r>
      <w:r>
        <w:rPr>
          <w:spacing w:val="30"/>
        </w:rPr>
        <w:t> </w:t>
      </w:r>
      <w:r>
        <w:rPr/>
        <w:t>tax authorities in the assessment of chargeable taxes due to the company.</w:t>
      </w:r>
      <w:r>
        <w:rPr>
          <w:spacing w:val="40"/>
        </w:rPr>
        <w:t> </w:t>
      </w:r>
      <w:r>
        <w:rPr/>
        <w:t>Under the</w:t>
      </w:r>
      <w:r>
        <w:rPr>
          <w:spacing w:val="40"/>
        </w:rPr>
        <w:t> </w:t>
      </w:r>
      <w:r>
        <w:rPr/>
        <w:t>PPTA</w:t>
      </w:r>
      <w:r>
        <w:rPr>
          <w:spacing w:val="40"/>
        </w:rPr>
        <w:t> </w:t>
      </w:r>
      <w:r>
        <w:rPr/>
        <w:t>particularly</w:t>
      </w:r>
      <w:r>
        <w:rPr>
          <w:spacing w:val="40"/>
        </w:rPr>
        <w:t> </w:t>
      </w:r>
      <w:r>
        <w:rPr/>
        <w:t>section</w:t>
      </w:r>
      <w:r>
        <w:rPr>
          <w:spacing w:val="40"/>
        </w:rPr>
        <w:t> </w:t>
      </w:r>
      <w:r>
        <w:rPr/>
        <w:t>9</w:t>
      </w:r>
      <w:r>
        <w:rPr>
          <w:spacing w:val="-15"/>
        </w:rPr>
        <w:t> </w:t>
      </w:r>
      <w:r>
        <w:rPr>
          <w:vertAlign w:val="superscript"/>
        </w:rPr>
        <w:t>36</w:t>
      </w:r>
      <w:r>
        <w:rPr>
          <w:vertAlign w:val="baseline"/>
        </w:rPr>
        <w:t> thereof,</w:t>
      </w:r>
      <w:r>
        <w:rPr>
          <w:spacing w:val="40"/>
          <w:vertAlign w:val="baseline"/>
        </w:rPr>
        <w:t> </w:t>
      </w:r>
      <w:r>
        <w:rPr>
          <w:vertAlign w:val="baseline"/>
        </w:rPr>
        <w:t>which</w:t>
      </w:r>
      <w:r>
        <w:rPr>
          <w:spacing w:val="40"/>
          <w:vertAlign w:val="baseline"/>
        </w:rPr>
        <w:t> </w:t>
      </w:r>
      <w:r>
        <w:rPr>
          <w:vertAlign w:val="baseline"/>
        </w:rPr>
        <w:t>is</w:t>
      </w:r>
      <w:r>
        <w:rPr>
          <w:spacing w:val="40"/>
          <w:vertAlign w:val="baseline"/>
        </w:rPr>
        <w:t> </w:t>
      </w:r>
      <w:r>
        <w:rPr>
          <w:vertAlign w:val="baseline"/>
        </w:rPr>
        <w:t>to</w:t>
      </w:r>
      <w:r>
        <w:rPr>
          <w:spacing w:val="40"/>
          <w:vertAlign w:val="baseline"/>
        </w:rPr>
        <w:t> </w:t>
      </w:r>
      <w:r>
        <w:rPr>
          <w:vertAlign w:val="baseline"/>
        </w:rPr>
        <w:t>the</w:t>
      </w:r>
      <w:r>
        <w:rPr>
          <w:spacing w:val="40"/>
          <w:vertAlign w:val="baseline"/>
        </w:rPr>
        <w:t> </w:t>
      </w:r>
      <w:r>
        <w:rPr>
          <w:vertAlign w:val="baseline"/>
        </w:rPr>
        <w:t>effect</w:t>
      </w:r>
      <w:r>
        <w:rPr>
          <w:spacing w:val="40"/>
          <w:vertAlign w:val="baseline"/>
        </w:rPr>
        <w:t> </w:t>
      </w:r>
      <w:r>
        <w:rPr>
          <w:vertAlign w:val="baseline"/>
        </w:rPr>
        <w:t>that</w:t>
      </w:r>
      <w:r>
        <w:rPr>
          <w:spacing w:val="40"/>
          <w:vertAlign w:val="baseline"/>
        </w:rPr>
        <w:t> </w:t>
      </w:r>
      <w:r>
        <w:rPr>
          <w:vertAlign w:val="baseline"/>
        </w:rPr>
        <w:t>any</w:t>
      </w:r>
      <w:r>
        <w:rPr>
          <w:spacing w:val="40"/>
          <w:vertAlign w:val="baseline"/>
        </w:rPr>
        <w:t> </w:t>
      </w:r>
      <w:r>
        <w:rPr>
          <w:vertAlign w:val="baseline"/>
        </w:rPr>
        <w:t>company engaged in petroleum operation must submit its audited accounts showing it profits and</w:t>
      </w:r>
      <w:r>
        <w:rPr>
          <w:spacing w:val="40"/>
          <w:vertAlign w:val="baseline"/>
        </w:rPr>
        <w:t> </w:t>
      </w:r>
      <w:r>
        <w:rPr>
          <w:vertAlign w:val="baseline"/>
        </w:rPr>
        <w:t>losses to the FIRS to enable them assess chargeable taxes due to the company. The simple </w:t>
      </w:r>
      <w:r>
        <w:rPr>
          <w:spacing w:val="9"/>
          <w:vertAlign w:val="baseline"/>
        </w:rPr>
        <w:t>interpretation</w:t>
      </w:r>
      <w:r>
        <w:rPr>
          <w:spacing w:val="40"/>
          <w:vertAlign w:val="baseline"/>
        </w:rPr>
        <w:t> </w:t>
      </w:r>
      <w:r>
        <w:rPr>
          <w:vertAlign w:val="baseline"/>
        </w:rPr>
        <w:t>of</w:t>
      </w:r>
      <w:r>
        <w:rPr>
          <w:spacing w:val="40"/>
          <w:vertAlign w:val="baseline"/>
        </w:rPr>
        <w:t> </w:t>
      </w:r>
      <w:r>
        <w:rPr>
          <w:vertAlign w:val="baseline"/>
        </w:rPr>
        <w:t>this</w:t>
      </w:r>
      <w:r>
        <w:rPr>
          <w:spacing w:val="40"/>
          <w:vertAlign w:val="baseline"/>
        </w:rPr>
        <w:t> </w:t>
      </w:r>
      <w:r>
        <w:rPr>
          <w:spacing w:val="9"/>
          <w:vertAlign w:val="baseline"/>
        </w:rPr>
        <w:t>provision</w:t>
      </w:r>
      <w:r>
        <w:rPr>
          <w:spacing w:val="40"/>
          <w:vertAlign w:val="baseline"/>
        </w:rPr>
        <w:t> </w:t>
      </w:r>
      <w:r>
        <w:rPr>
          <w:vertAlign w:val="baseline"/>
        </w:rPr>
        <w:t>is</w:t>
      </w:r>
      <w:r>
        <w:rPr>
          <w:spacing w:val="40"/>
          <w:vertAlign w:val="baseline"/>
        </w:rPr>
        <w:t> </w:t>
      </w:r>
      <w:r>
        <w:rPr>
          <w:vertAlign w:val="baseline"/>
        </w:rPr>
        <w:t>that</w:t>
      </w:r>
      <w:r>
        <w:rPr>
          <w:spacing w:val="40"/>
          <w:vertAlign w:val="baseline"/>
        </w:rPr>
        <w:t> </w:t>
      </w:r>
      <w:r>
        <w:rPr>
          <w:spacing w:val="9"/>
          <w:vertAlign w:val="baseline"/>
        </w:rPr>
        <w:t>whatever</w:t>
      </w:r>
      <w:r>
        <w:rPr>
          <w:spacing w:val="40"/>
          <w:vertAlign w:val="baseline"/>
        </w:rPr>
        <w:t> </w:t>
      </w:r>
      <w:r>
        <w:rPr>
          <w:vertAlign w:val="baseline"/>
        </w:rPr>
        <w:t>is</w:t>
      </w:r>
      <w:r>
        <w:rPr>
          <w:spacing w:val="40"/>
          <w:vertAlign w:val="baseline"/>
        </w:rPr>
        <w:t> </w:t>
      </w:r>
      <w:r>
        <w:rPr>
          <w:vertAlign w:val="baseline"/>
        </w:rPr>
        <w:t>submitted</w:t>
      </w:r>
      <w:r>
        <w:rPr>
          <w:spacing w:val="40"/>
          <w:vertAlign w:val="baseline"/>
        </w:rPr>
        <w:t> </w:t>
      </w:r>
      <w:r>
        <w:rPr>
          <w:vertAlign w:val="baseline"/>
        </w:rPr>
        <w:t>to</w:t>
      </w:r>
      <w:r>
        <w:rPr>
          <w:spacing w:val="40"/>
          <w:vertAlign w:val="baseline"/>
        </w:rPr>
        <w:t> </w:t>
      </w:r>
      <w:r>
        <w:rPr>
          <w:vertAlign w:val="baseline"/>
        </w:rPr>
        <w:t>the</w:t>
      </w:r>
      <w:r>
        <w:rPr>
          <w:spacing w:val="40"/>
          <w:vertAlign w:val="baseline"/>
        </w:rPr>
        <w:t> </w:t>
      </w:r>
      <w:r>
        <w:rPr>
          <w:vertAlign w:val="baseline"/>
        </w:rPr>
        <w:t>FIRS</w:t>
      </w:r>
      <w:r>
        <w:rPr>
          <w:spacing w:val="40"/>
          <w:vertAlign w:val="baseline"/>
        </w:rPr>
        <w:t> </w:t>
      </w:r>
      <w:r>
        <w:rPr>
          <w:vertAlign w:val="baseline"/>
        </w:rPr>
        <w:t>by</w:t>
      </w:r>
      <w:r>
        <w:rPr>
          <w:spacing w:val="40"/>
          <w:vertAlign w:val="baseline"/>
        </w:rPr>
        <w:t> </w:t>
      </w:r>
      <w:r>
        <w:rPr>
          <w:vertAlign w:val="baseline"/>
        </w:rPr>
        <w:t>the company</w:t>
      </w:r>
      <w:r>
        <w:rPr>
          <w:spacing w:val="24"/>
          <w:vertAlign w:val="baseline"/>
        </w:rPr>
        <w:t> </w:t>
      </w:r>
      <w:r>
        <w:rPr>
          <w:vertAlign w:val="baseline"/>
        </w:rPr>
        <w:t>is</w:t>
      </w:r>
      <w:r>
        <w:rPr>
          <w:spacing w:val="32"/>
          <w:vertAlign w:val="baseline"/>
        </w:rPr>
        <w:t> </w:t>
      </w:r>
      <w:r>
        <w:rPr>
          <w:vertAlign w:val="baseline"/>
        </w:rPr>
        <w:t>presumed</w:t>
      </w:r>
      <w:r>
        <w:rPr>
          <w:spacing w:val="29"/>
          <w:vertAlign w:val="baseline"/>
        </w:rPr>
        <w:t> </w:t>
      </w:r>
      <w:r>
        <w:rPr>
          <w:vertAlign w:val="baseline"/>
        </w:rPr>
        <w:t>to</w:t>
      </w:r>
      <w:r>
        <w:rPr>
          <w:spacing w:val="29"/>
          <w:vertAlign w:val="baseline"/>
        </w:rPr>
        <w:t> </w:t>
      </w:r>
      <w:r>
        <w:rPr>
          <w:vertAlign w:val="baseline"/>
        </w:rPr>
        <w:t>be</w:t>
      </w:r>
      <w:r>
        <w:rPr>
          <w:spacing w:val="31"/>
          <w:vertAlign w:val="baseline"/>
        </w:rPr>
        <w:t> </w:t>
      </w:r>
      <w:r>
        <w:rPr>
          <w:vertAlign w:val="baseline"/>
        </w:rPr>
        <w:t>correct.</w:t>
      </w:r>
      <w:r>
        <w:rPr>
          <w:spacing w:val="29"/>
          <w:vertAlign w:val="baseline"/>
        </w:rPr>
        <w:t> </w:t>
      </w:r>
      <w:r>
        <w:rPr>
          <w:vertAlign w:val="baseline"/>
        </w:rPr>
        <w:t>So,</w:t>
      </w:r>
      <w:r>
        <w:rPr>
          <w:spacing w:val="32"/>
          <w:vertAlign w:val="baseline"/>
        </w:rPr>
        <w:t> </w:t>
      </w:r>
      <w:r>
        <w:rPr>
          <w:vertAlign w:val="baseline"/>
        </w:rPr>
        <w:t>for</w:t>
      </w:r>
      <w:r>
        <w:rPr>
          <w:spacing w:val="32"/>
          <w:vertAlign w:val="baseline"/>
        </w:rPr>
        <w:t> </w:t>
      </w:r>
      <w:r>
        <w:rPr>
          <w:vertAlign w:val="baseline"/>
        </w:rPr>
        <w:t>the</w:t>
      </w:r>
      <w:r>
        <w:rPr>
          <w:spacing w:val="31"/>
          <w:vertAlign w:val="baseline"/>
        </w:rPr>
        <w:t> </w:t>
      </w:r>
      <w:r>
        <w:rPr>
          <w:vertAlign w:val="baseline"/>
        </w:rPr>
        <w:t>purpose</w:t>
      </w:r>
      <w:r>
        <w:rPr>
          <w:spacing w:val="40"/>
          <w:vertAlign w:val="baseline"/>
        </w:rPr>
        <w:t> </w:t>
      </w:r>
      <w:r>
        <w:rPr>
          <w:vertAlign w:val="baseline"/>
        </w:rPr>
        <w:t>of</w:t>
      </w:r>
      <w:r>
        <w:rPr>
          <w:spacing w:val="26"/>
          <w:vertAlign w:val="baseline"/>
        </w:rPr>
        <w:t> </w:t>
      </w:r>
      <w:r>
        <w:rPr>
          <w:vertAlign w:val="baseline"/>
        </w:rPr>
        <w:t>taxation</w:t>
      </w:r>
      <w:r>
        <w:rPr>
          <w:spacing w:val="26"/>
          <w:vertAlign w:val="baseline"/>
        </w:rPr>
        <w:t> </w:t>
      </w:r>
      <w:r>
        <w:rPr>
          <w:vertAlign w:val="baseline"/>
        </w:rPr>
        <w:t>under</w:t>
      </w:r>
      <w:r>
        <w:rPr>
          <w:spacing w:val="26"/>
          <w:vertAlign w:val="baseline"/>
        </w:rPr>
        <w:t> </w:t>
      </w:r>
      <w:r>
        <w:rPr>
          <w:vertAlign w:val="baseline"/>
        </w:rPr>
        <w:t>the</w:t>
      </w:r>
      <w:r>
        <w:rPr>
          <w:spacing w:val="25"/>
          <w:vertAlign w:val="baseline"/>
        </w:rPr>
        <w:t> </w:t>
      </w:r>
      <w:r>
        <w:rPr>
          <w:vertAlign w:val="baseline"/>
        </w:rPr>
        <w:t>PPTA</w:t>
      </w:r>
      <w:r>
        <w:rPr>
          <w:spacing w:val="26"/>
          <w:vertAlign w:val="baseline"/>
        </w:rPr>
        <w:t> </w:t>
      </w:r>
      <w:r>
        <w:rPr>
          <w:vertAlign w:val="baseline"/>
        </w:rPr>
        <w:t>there is</w:t>
      </w:r>
      <w:r>
        <w:rPr>
          <w:spacing w:val="33"/>
          <w:vertAlign w:val="baseline"/>
        </w:rPr>
        <w:t> </w:t>
      </w:r>
      <w:r>
        <w:rPr>
          <w:vertAlign w:val="baseline"/>
        </w:rPr>
        <w:t>presumption</w:t>
      </w:r>
      <w:r>
        <w:rPr>
          <w:spacing w:val="35"/>
          <w:vertAlign w:val="baseline"/>
        </w:rPr>
        <w:t> </w:t>
      </w:r>
      <w:r>
        <w:rPr>
          <w:vertAlign w:val="baseline"/>
        </w:rPr>
        <w:t>of</w:t>
      </w:r>
      <w:r>
        <w:rPr>
          <w:spacing w:val="34"/>
          <w:vertAlign w:val="baseline"/>
        </w:rPr>
        <w:t> </w:t>
      </w:r>
      <w:r>
        <w:rPr>
          <w:vertAlign w:val="baseline"/>
        </w:rPr>
        <w:t>regularities</w:t>
      </w:r>
      <w:r>
        <w:rPr>
          <w:spacing w:val="35"/>
          <w:vertAlign w:val="baseline"/>
        </w:rPr>
        <w:t> </w:t>
      </w:r>
      <w:r>
        <w:rPr>
          <w:vertAlign w:val="baseline"/>
        </w:rPr>
        <w:t>in</w:t>
      </w:r>
      <w:r>
        <w:rPr>
          <w:spacing w:val="35"/>
          <w:vertAlign w:val="baseline"/>
        </w:rPr>
        <w:t> </w:t>
      </w:r>
      <w:r>
        <w:rPr>
          <w:vertAlign w:val="baseline"/>
        </w:rPr>
        <w:t>the</w:t>
      </w:r>
      <w:r>
        <w:rPr>
          <w:spacing w:val="34"/>
          <w:vertAlign w:val="baseline"/>
        </w:rPr>
        <w:t> </w:t>
      </w:r>
      <w:r>
        <w:rPr>
          <w:vertAlign w:val="baseline"/>
        </w:rPr>
        <w:t>audited</w:t>
      </w:r>
      <w:r>
        <w:rPr>
          <w:spacing w:val="35"/>
          <w:vertAlign w:val="baseline"/>
        </w:rPr>
        <w:t> </w:t>
      </w:r>
      <w:r>
        <w:rPr>
          <w:vertAlign w:val="baseline"/>
        </w:rPr>
        <w:t>accounts</w:t>
      </w:r>
      <w:r>
        <w:rPr>
          <w:spacing w:val="40"/>
          <w:vertAlign w:val="baseline"/>
        </w:rPr>
        <w:t> </w:t>
      </w:r>
      <w:r>
        <w:rPr>
          <w:vertAlign w:val="baseline"/>
        </w:rPr>
        <w:t>as</w:t>
      </w:r>
      <w:r>
        <w:rPr>
          <w:spacing w:val="40"/>
          <w:vertAlign w:val="baseline"/>
        </w:rPr>
        <w:t> </w:t>
      </w:r>
      <w:r>
        <w:rPr>
          <w:vertAlign w:val="baseline"/>
        </w:rPr>
        <w:t>presented</w:t>
      </w:r>
      <w:r>
        <w:rPr>
          <w:spacing w:val="40"/>
          <w:vertAlign w:val="baseline"/>
        </w:rPr>
        <w:t> </w:t>
      </w:r>
      <w:r>
        <w:rPr>
          <w:vertAlign w:val="baseline"/>
        </w:rPr>
        <w:t>by</w:t>
      </w:r>
      <w:r>
        <w:rPr>
          <w:spacing w:val="38"/>
          <w:vertAlign w:val="baseline"/>
        </w:rPr>
        <w:t> </w:t>
      </w:r>
      <w:r>
        <w:rPr>
          <w:vertAlign w:val="baseline"/>
        </w:rPr>
        <w:t>the</w:t>
      </w:r>
      <w:r>
        <w:rPr>
          <w:spacing w:val="40"/>
          <w:vertAlign w:val="baseline"/>
        </w:rPr>
        <w:t> </w:t>
      </w:r>
      <w:r>
        <w:rPr>
          <w:vertAlign w:val="baseline"/>
        </w:rPr>
        <w:t>companies</w:t>
      </w:r>
      <w:r>
        <w:rPr>
          <w:spacing w:val="40"/>
          <w:vertAlign w:val="baseline"/>
        </w:rPr>
        <w:t> </w:t>
      </w:r>
      <w:r>
        <w:rPr>
          <w:vertAlign w:val="baseline"/>
        </w:rPr>
        <w:t>and the FIRS not being an audited form may not deem it fit to re-audit the already presumed audited</w:t>
      </w:r>
      <w:r>
        <w:rPr>
          <w:spacing w:val="22"/>
          <w:vertAlign w:val="baseline"/>
        </w:rPr>
        <w:t> </w:t>
      </w:r>
      <w:r>
        <w:rPr>
          <w:vertAlign w:val="baseline"/>
        </w:rPr>
        <w:t>accounts</w:t>
      </w:r>
      <w:r>
        <w:rPr>
          <w:spacing w:val="23"/>
          <w:vertAlign w:val="baseline"/>
        </w:rPr>
        <w:t> </w:t>
      </w:r>
      <w:r>
        <w:rPr>
          <w:vertAlign w:val="baseline"/>
        </w:rPr>
        <w:t>submitted</w:t>
      </w:r>
      <w:r>
        <w:rPr>
          <w:spacing w:val="22"/>
          <w:vertAlign w:val="baseline"/>
        </w:rPr>
        <w:t> </w:t>
      </w:r>
      <w:r>
        <w:rPr>
          <w:vertAlign w:val="baseline"/>
        </w:rPr>
        <w:t>to</w:t>
      </w:r>
      <w:r>
        <w:rPr>
          <w:spacing w:val="18"/>
          <w:vertAlign w:val="baseline"/>
        </w:rPr>
        <w:t> </w:t>
      </w:r>
      <w:r>
        <w:rPr>
          <w:vertAlign w:val="baseline"/>
        </w:rPr>
        <w:t>them</w:t>
      </w:r>
      <w:r>
        <w:rPr>
          <w:spacing w:val="31"/>
          <w:vertAlign w:val="baseline"/>
        </w:rPr>
        <w:t> </w:t>
      </w:r>
      <w:r>
        <w:rPr>
          <w:vertAlign w:val="baseline"/>
        </w:rPr>
        <w:t>but</w:t>
      </w:r>
      <w:r>
        <w:rPr>
          <w:spacing w:val="40"/>
          <w:vertAlign w:val="baseline"/>
        </w:rPr>
        <w:t> </w:t>
      </w:r>
      <w:r>
        <w:rPr>
          <w:spacing w:val="11"/>
          <w:vertAlign w:val="baseline"/>
        </w:rPr>
        <w:t>rather</w:t>
      </w:r>
      <w:r>
        <w:rPr>
          <w:spacing w:val="39"/>
          <w:vertAlign w:val="baseline"/>
        </w:rPr>
        <w:t> </w:t>
      </w:r>
      <w:r>
        <w:rPr>
          <w:spacing w:val="11"/>
          <w:vertAlign w:val="baseline"/>
        </w:rPr>
        <w:t>merely</w:t>
      </w:r>
      <w:r>
        <w:rPr>
          <w:spacing w:val="35"/>
          <w:vertAlign w:val="baseline"/>
        </w:rPr>
        <w:t> </w:t>
      </w:r>
      <w:r>
        <w:rPr>
          <w:spacing w:val="11"/>
          <w:vertAlign w:val="baseline"/>
        </w:rPr>
        <w:t>assess</w:t>
      </w:r>
      <w:r>
        <w:rPr>
          <w:spacing w:val="40"/>
          <w:vertAlign w:val="baseline"/>
        </w:rPr>
        <w:t> </w:t>
      </w:r>
      <w:r>
        <w:rPr>
          <w:spacing w:val="9"/>
          <w:vertAlign w:val="baseline"/>
        </w:rPr>
        <w:t>the</w:t>
      </w:r>
      <w:r>
        <w:rPr>
          <w:spacing w:val="39"/>
          <w:vertAlign w:val="baseline"/>
        </w:rPr>
        <w:t> </w:t>
      </w:r>
      <w:r>
        <w:rPr>
          <w:spacing w:val="12"/>
          <w:vertAlign w:val="baseline"/>
        </w:rPr>
        <w:t>chargeable</w:t>
      </w:r>
      <w:r>
        <w:rPr>
          <w:spacing w:val="39"/>
          <w:vertAlign w:val="baseline"/>
        </w:rPr>
        <w:t> </w:t>
      </w:r>
      <w:r>
        <w:rPr>
          <w:spacing w:val="11"/>
          <w:vertAlign w:val="baseline"/>
        </w:rPr>
        <w:t>taxes</w:t>
      </w:r>
      <w:r>
        <w:rPr>
          <w:spacing w:val="40"/>
          <w:vertAlign w:val="baseline"/>
        </w:rPr>
        <w:t> </w:t>
      </w:r>
      <w:r>
        <w:rPr>
          <w:spacing w:val="9"/>
          <w:vertAlign w:val="baseline"/>
        </w:rPr>
        <w:t>due </w:t>
      </w:r>
      <w:r>
        <w:rPr>
          <w:vertAlign w:val="baseline"/>
        </w:rPr>
        <w:t>to</w:t>
      </w:r>
      <w:r>
        <w:rPr>
          <w:spacing w:val="9"/>
          <w:vertAlign w:val="baseline"/>
        </w:rPr>
        <w:t> the</w:t>
      </w:r>
      <w:r>
        <w:rPr>
          <w:spacing w:val="9"/>
          <w:vertAlign w:val="baseline"/>
        </w:rPr>
        <w:t> </w:t>
      </w:r>
      <w:r>
        <w:rPr>
          <w:spacing w:val="12"/>
          <w:vertAlign w:val="baseline"/>
        </w:rPr>
        <w:t>company</w:t>
      </w:r>
      <w:r>
        <w:rPr>
          <w:spacing w:val="12"/>
          <w:vertAlign w:val="baseline"/>
        </w:rPr>
        <w:t> </w:t>
      </w:r>
      <w:r>
        <w:rPr>
          <w:spacing w:val="10"/>
          <w:vertAlign w:val="baseline"/>
        </w:rPr>
        <w:t>from</w:t>
      </w:r>
      <w:r>
        <w:rPr>
          <w:spacing w:val="10"/>
          <w:vertAlign w:val="baseline"/>
        </w:rPr>
        <w:t> </w:t>
      </w:r>
      <w:r>
        <w:rPr>
          <w:spacing w:val="9"/>
          <w:vertAlign w:val="baseline"/>
        </w:rPr>
        <w:t>the</w:t>
      </w:r>
      <w:r>
        <w:rPr>
          <w:spacing w:val="40"/>
          <w:vertAlign w:val="baseline"/>
        </w:rPr>
        <w:t> </w:t>
      </w:r>
      <w:r>
        <w:rPr>
          <w:vertAlign w:val="baseline"/>
        </w:rPr>
        <w:t>information they have before them</w:t>
      </w:r>
      <w:r>
        <w:rPr>
          <w:spacing w:val="40"/>
          <w:vertAlign w:val="baseline"/>
        </w:rPr>
        <w:t> </w:t>
      </w:r>
      <w:r>
        <w:rPr>
          <w:vertAlign w:val="baseline"/>
        </w:rPr>
        <w:t>whether</w:t>
      </w:r>
      <w:r>
        <w:rPr>
          <w:spacing w:val="40"/>
          <w:vertAlign w:val="baseline"/>
        </w:rPr>
        <w:t> </w:t>
      </w:r>
      <w:r>
        <w:rPr>
          <w:vertAlign w:val="baseline"/>
        </w:rPr>
        <w:t>or</w:t>
      </w:r>
      <w:r>
        <w:rPr>
          <w:spacing w:val="40"/>
          <w:vertAlign w:val="baseline"/>
        </w:rPr>
        <w:t> </w:t>
      </w:r>
      <w:r>
        <w:rPr>
          <w:vertAlign w:val="baseline"/>
        </w:rPr>
        <w:t>not the information contained therein is true or false.</w:t>
      </w:r>
    </w:p>
    <w:p>
      <w:pPr>
        <w:pStyle w:val="BodyText"/>
        <w:rPr>
          <w:sz w:val="20"/>
        </w:rPr>
      </w:pPr>
    </w:p>
    <w:p>
      <w:pPr>
        <w:pStyle w:val="BodyText"/>
        <w:spacing w:before="181"/>
        <w:rPr>
          <w:sz w:val="20"/>
        </w:rPr>
      </w:pPr>
      <w:r>
        <w:rPr/>
        <mc:AlternateContent>
          <mc:Choice Requires="wps">
            <w:drawing>
              <wp:anchor distT="0" distB="0" distL="0" distR="0" allowOverlap="1" layoutInCell="1" locked="0" behindDoc="1" simplePos="0" relativeHeight="487601664">
                <wp:simplePos x="0" y="0"/>
                <wp:positionH relativeFrom="page">
                  <wp:posOffset>914704</wp:posOffset>
                </wp:positionH>
                <wp:positionV relativeFrom="paragraph">
                  <wp:posOffset>276413</wp:posOffset>
                </wp:positionV>
                <wp:extent cx="1829435" cy="9525"/>
                <wp:effectExtent l="0" t="0" r="0" b="0"/>
                <wp:wrapTopAndBottom/>
                <wp:docPr id="31" name="Graphic 31"/>
                <wp:cNvGraphicFramePr>
                  <a:graphicFrameLocks/>
                </wp:cNvGraphicFramePr>
                <a:graphic>
                  <a:graphicData uri="http://schemas.microsoft.com/office/word/2010/wordprocessingShape">
                    <wps:wsp>
                      <wps:cNvPr id="31" name="Graphic 31"/>
                      <wps:cNvSpPr/>
                      <wps:spPr>
                        <a:xfrm>
                          <a:off x="0" y="0"/>
                          <a:ext cx="1829435" cy="9525"/>
                        </a:xfrm>
                        <a:custGeom>
                          <a:avLst/>
                          <a:gdLst/>
                          <a:ahLst/>
                          <a:cxnLst/>
                          <a:rect l="l" t="t" r="r" b="b"/>
                          <a:pathLst>
                            <a:path w="1829435" h="9525">
                              <a:moveTo>
                                <a:pt x="1829054" y="0"/>
                              </a:moveTo>
                              <a:lnTo>
                                <a:pt x="0" y="0"/>
                              </a:lnTo>
                              <a:lnTo>
                                <a:pt x="0" y="9144"/>
                              </a:lnTo>
                              <a:lnTo>
                                <a:pt x="1829054" y="9144"/>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21.764853pt;width:144.020pt;height:.72003pt;mso-position-horizontal-relative:page;mso-position-vertical-relative:paragraph;z-index:-15714816;mso-wrap-distance-left:0;mso-wrap-distance-right:0" id="docshape31" filled="true" fillcolor="#000000" stroked="false">
                <v:fill type="solid"/>
                <w10:wrap type="topAndBottom"/>
              </v:rect>
            </w:pict>
          </mc:Fallback>
        </mc:AlternateContent>
      </w:r>
    </w:p>
    <w:p>
      <w:pPr>
        <w:spacing w:before="102"/>
        <w:ind w:left="360" w:right="0" w:firstLine="0"/>
        <w:jc w:val="left"/>
        <w:rPr>
          <w:rFonts w:ascii="Calibri"/>
          <w:sz w:val="20"/>
        </w:rPr>
      </w:pPr>
      <w:r>
        <w:rPr>
          <w:rFonts w:ascii="Calibri"/>
          <w:sz w:val="20"/>
          <w:vertAlign w:val="superscript"/>
        </w:rPr>
        <w:t>35</w:t>
      </w:r>
      <w:r>
        <w:rPr>
          <w:rFonts w:ascii="Calibri"/>
          <w:spacing w:val="-4"/>
          <w:sz w:val="20"/>
          <w:vertAlign w:val="baseline"/>
        </w:rPr>
        <w:t> Ibid</w:t>
      </w:r>
    </w:p>
    <w:p>
      <w:pPr>
        <w:spacing w:before="1"/>
        <w:ind w:left="360" w:right="0" w:firstLine="0"/>
        <w:jc w:val="left"/>
        <w:rPr>
          <w:rFonts w:ascii="Calibri"/>
          <w:sz w:val="20"/>
        </w:rPr>
      </w:pPr>
      <w:r>
        <w:rPr>
          <w:rFonts w:ascii="Calibri"/>
          <w:sz w:val="20"/>
          <w:vertAlign w:val="superscript"/>
        </w:rPr>
        <w:t>36</w:t>
      </w:r>
      <w:r>
        <w:rPr>
          <w:rFonts w:ascii="Calibri"/>
          <w:spacing w:val="-4"/>
          <w:sz w:val="20"/>
          <w:vertAlign w:val="baseline"/>
        </w:rPr>
        <w:t> Ibid</w:t>
      </w:r>
    </w:p>
    <w:p>
      <w:pPr>
        <w:spacing w:after="0"/>
        <w:jc w:val="left"/>
        <w:rPr>
          <w:rFonts w:ascii="Calibri"/>
          <w:sz w:val="20"/>
        </w:rPr>
        <w:sectPr>
          <w:pgSz w:w="11910" w:h="16840"/>
          <w:pgMar w:header="0" w:footer="1000" w:top="1340" w:bottom="1200" w:left="1080" w:right="1280"/>
        </w:sectPr>
      </w:pPr>
    </w:p>
    <w:p>
      <w:pPr>
        <w:pStyle w:val="BodyText"/>
        <w:spacing w:line="480" w:lineRule="auto" w:before="74"/>
        <w:ind w:left="360" w:right="161" w:firstLine="719"/>
        <w:jc w:val="both"/>
      </w:pPr>
      <w:r>
        <w:rPr/>
        <w:t>The</w:t>
      </w:r>
      <w:r>
        <w:rPr>
          <w:spacing w:val="40"/>
        </w:rPr>
        <w:t> </w:t>
      </w:r>
      <w:r>
        <w:rPr/>
        <w:t>PPTA</w:t>
      </w:r>
      <w:r>
        <w:rPr>
          <w:spacing w:val="40"/>
        </w:rPr>
        <w:t> </w:t>
      </w:r>
      <w:r>
        <w:rPr/>
        <w:t>understandably</w:t>
      </w:r>
      <w:r>
        <w:rPr>
          <w:spacing w:val="40"/>
        </w:rPr>
        <w:t> </w:t>
      </w:r>
      <w:r>
        <w:rPr/>
        <w:t>did</w:t>
      </w:r>
      <w:r>
        <w:rPr>
          <w:spacing w:val="40"/>
        </w:rPr>
        <w:t> </w:t>
      </w:r>
      <w:r>
        <w:rPr/>
        <w:t>not</w:t>
      </w:r>
      <w:r>
        <w:rPr>
          <w:spacing w:val="40"/>
        </w:rPr>
        <w:t> </w:t>
      </w:r>
      <w:r>
        <w:rPr/>
        <w:t>specify</w:t>
      </w:r>
      <w:r>
        <w:rPr>
          <w:spacing w:val="40"/>
        </w:rPr>
        <w:t> </w:t>
      </w:r>
      <w:r>
        <w:rPr/>
        <w:t>the</w:t>
      </w:r>
      <w:r>
        <w:rPr>
          <w:spacing w:val="40"/>
        </w:rPr>
        <w:t> </w:t>
      </w:r>
      <w:r>
        <w:rPr/>
        <w:t>currency</w:t>
      </w:r>
      <w:r>
        <w:rPr>
          <w:spacing w:val="40"/>
        </w:rPr>
        <w:t> </w:t>
      </w:r>
      <w:r>
        <w:rPr/>
        <w:t>in</w:t>
      </w:r>
      <w:r>
        <w:rPr>
          <w:spacing w:val="40"/>
        </w:rPr>
        <w:t> </w:t>
      </w:r>
      <w:r>
        <w:rPr/>
        <w:t>which</w:t>
      </w:r>
      <w:r>
        <w:rPr>
          <w:spacing w:val="40"/>
        </w:rPr>
        <w:t> </w:t>
      </w:r>
      <w:r>
        <w:rPr/>
        <w:t>the</w:t>
      </w:r>
      <w:r>
        <w:rPr>
          <w:spacing w:val="40"/>
        </w:rPr>
        <w:t> </w:t>
      </w:r>
      <w:r>
        <w:rPr/>
        <w:t>petroleum profit tax should be paid but ordinarily the tax being a Nigerian statute it is expected that the currency should</w:t>
      </w:r>
      <w:r>
        <w:rPr>
          <w:spacing w:val="26"/>
        </w:rPr>
        <w:t> </w:t>
      </w:r>
      <w:r>
        <w:rPr/>
        <w:t>be</w:t>
      </w:r>
      <w:r>
        <w:rPr>
          <w:spacing w:val="25"/>
        </w:rPr>
        <w:t> </w:t>
      </w:r>
      <w:r>
        <w:rPr/>
        <w:t>in</w:t>
      </w:r>
      <w:r>
        <w:rPr>
          <w:spacing w:val="26"/>
        </w:rPr>
        <w:t> </w:t>
      </w:r>
      <w:r>
        <w:rPr/>
        <w:t>Naira.</w:t>
      </w:r>
      <w:r>
        <w:rPr>
          <w:spacing w:val="30"/>
        </w:rPr>
        <w:t> </w:t>
      </w:r>
      <w:r>
        <w:rPr/>
        <w:t>However,</w:t>
      </w:r>
      <w:r>
        <w:rPr>
          <w:spacing w:val="26"/>
        </w:rPr>
        <w:t> </w:t>
      </w:r>
      <w:r>
        <w:rPr/>
        <w:t>the</w:t>
      </w:r>
      <w:r>
        <w:rPr>
          <w:spacing w:val="25"/>
        </w:rPr>
        <w:t> </w:t>
      </w:r>
      <w:r>
        <w:rPr/>
        <w:t>practice</w:t>
      </w:r>
      <w:r>
        <w:rPr>
          <w:spacing w:val="29"/>
        </w:rPr>
        <w:t> </w:t>
      </w:r>
      <w:r>
        <w:rPr/>
        <w:t>is</w:t>
      </w:r>
      <w:r>
        <w:rPr>
          <w:spacing w:val="28"/>
        </w:rPr>
        <w:t> </w:t>
      </w:r>
      <w:r>
        <w:rPr/>
        <w:t>that</w:t>
      </w:r>
      <w:r>
        <w:rPr>
          <w:spacing w:val="28"/>
        </w:rPr>
        <w:t> </w:t>
      </w:r>
      <w:r>
        <w:rPr/>
        <w:t>the</w:t>
      </w:r>
      <w:r>
        <w:rPr>
          <w:spacing w:val="29"/>
        </w:rPr>
        <w:t> </w:t>
      </w:r>
      <w:r>
        <w:rPr/>
        <w:t>assessment</w:t>
      </w:r>
      <w:r>
        <w:rPr>
          <w:spacing w:val="28"/>
        </w:rPr>
        <w:t> </w:t>
      </w:r>
      <w:r>
        <w:rPr/>
        <w:t>of</w:t>
      </w:r>
      <w:r>
        <w:rPr>
          <w:spacing w:val="29"/>
        </w:rPr>
        <w:t> </w:t>
      </w:r>
      <w:r>
        <w:rPr/>
        <w:t>the</w:t>
      </w:r>
      <w:r>
        <w:rPr>
          <w:spacing w:val="29"/>
        </w:rPr>
        <w:t> </w:t>
      </w:r>
      <w:r>
        <w:rPr/>
        <w:t>profit</w:t>
      </w:r>
      <w:r>
        <w:rPr>
          <w:spacing w:val="28"/>
        </w:rPr>
        <w:t> </w:t>
      </w:r>
      <w:r>
        <w:rPr/>
        <w:t>tax for</w:t>
      </w:r>
      <w:r>
        <w:rPr>
          <w:spacing w:val="40"/>
        </w:rPr>
        <w:t> </w:t>
      </w:r>
      <w:r>
        <w:rPr/>
        <w:t>companies</w:t>
      </w:r>
      <w:r>
        <w:rPr>
          <w:spacing w:val="40"/>
        </w:rPr>
        <w:t> </w:t>
      </w:r>
      <w:r>
        <w:rPr/>
        <w:t>engaged</w:t>
      </w:r>
      <w:r>
        <w:rPr>
          <w:spacing w:val="40"/>
        </w:rPr>
        <w:t> </w:t>
      </w:r>
      <w:r>
        <w:rPr/>
        <w:t>in</w:t>
      </w:r>
      <w:r>
        <w:rPr>
          <w:spacing w:val="40"/>
        </w:rPr>
        <w:t> </w:t>
      </w:r>
      <w:r>
        <w:rPr/>
        <w:t>petroleum</w:t>
      </w:r>
      <w:r>
        <w:rPr>
          <w:spacing w:val="40"/>
        </w:rPr>
        <w:t> </w:t>
      </w:r>
      <w:r>
        <w:rPr/>
        <w:t>operations</w:t>
      </w:r>
      <w:r>
        <w:rPr>
          <w:spacing w:val="40"/>
        </w:rPr>
        <w:t> </w:t>
      </w:r>
      <w:r>
        <w:rPr/>
        <w:t>is</w:t>
      </w:r>
      <w:r>
        <w:rPr>
          <w:spacing w:val="40"/>
        </w:rPr>
        <w:t> </w:t>
      </w:r>
      <w:r>
        <w:rPr/>
        <w:t>done</w:t>
      </w:r>
      <w:r>
        <w:rPr>
          <w:spacing w:val="40"/>
        </w:rPr>
        <w:t> </w:t>
      </w:r>
      <w:r>
        <w:rPr/>
        <w:t>in</w:t>
      </w:r>
      <w:r>
        <w:rPr>
          <w:spacing w:val="40"/>
        </w:rPr>
        <w:t> </w:t>
      </w:r>
      <w:r>
        <w:rPr/>
        <w:t>US</w:t>
      </w:r>
      <w:r>
        <w:rPr>
          <w:spacing w:val="40"/>
        </w:rPr>
        <w:t> </w:t>
      </w:r>
      <w:r>
        <w:rPr/>
        <w:t>Dollars</w:t>
      </w:r>
      <w:r>
        <w:rPr>
          <w:spacing w:val="40"/>
        </w:rPr>
        <w:t> </w:t>
      </w:r>
      <w:r>
        <w:rPr/>
        <w:t>on</w:t>
      </w:r>
      <w:r>
        <w:rPr>
          <w:spacing w:val="40"/>
        </w:rPr>
        <w:t> </w:t>
      </w:r>
      <w:r>
        <w:rPr/>
        <w:t>the</w:t>
      </w:r>
      <w:r>
        <w:rPr>
          <w:spacing w:val="40"/>
        </w:rPr>
        <w:t> </w:t>
      </w:r>
      <w:r>
        <w:rPr/>
        <w:t>possible reason</w:t>
      </w:r>
      <w:r>
        <w:rPr>
          <w:spacing w:val="40"/>
        </w:rPr>
        <w:t> </w:t>
      </w:r>
      <w:r>
        <w:rPr/>
        <w:t>that</w:t>
      </w:r>
      <w:r>
        <w:rPr>
          <w:spacing w:val="40"/>
        </w:rPr>
        <w:t> </w:t>
      </w:r>
      <w:r>
        <w:rPr/>
        <w:t>most</w:t>
      </w:r>
      <w:r>
        <w:rPr>
          <w:spacing w:val="40"/>
        </w:rPr>
        <w:t> </w:t>
      </w:r>
      <w:r>
        <w:rPr/>
        <w:t>of</w:t>
      </w:r>
      <w:r>
        <w:rPr>
          <w:spacing w:val="40"/>
        </w:rPr>
        <w:t> </w:t>
      </w:r>
      <w:r>
        <w:rPr/>
        <w:t>the</w:t>
      </w:r>
      <w:r>
        <w:rPr>
          <w:spacing w:val="40"/>
        </w:rPr>
        <w:t> </w:t>
      </w:r>
      <w:r>
        <w:rPr/>
        <w:t>companies</w:t>
      </w:r>
      <w:r>
        <w:rPr>
          <w:spacing w:val="40"/>
        </w:rPr>
        <w:t> </w:t>
      </w:r>
      <w:r>
        <w:rPr/>
        <w:t>engaged</w:t>
      </w:r>
      <w:r>
        <w:rPr>
          <w:spacing w:val="40"/>
        </w:rPr>
        <w:t> </w:t>
      </w:r>
      <w:r>
        <w:rPr/>
        <w:t>in</w:t>
      </w:r>
      <w:r>
        <w:rPr>
          <w:spacing w:val="40"/>
        </w:rPr>
        <w:t> </w:t>
      </w:r>
      <w:r>
        <w:rPr/>
        <w:t>petroleum</w:t>
      </w:r>
      <w:r>
        <w:rPr>
          <w:spacing w:val="40"/>
        </w:rPr>
        <w:t> </w:t>
      </w:r>
      <w:r>
        <w:rPr/>
        <w:t>operations</w:t>
      </w:r>
      <w:r>
        <w:rPr>
          <w:spacing w:val="40"/>
        </w:rPr>
        <w:t> </w:t>
      </w:r>
      <w:r>
        <w:rPr/>
        <w:t>in</w:t>
      </w:r>
      <w:r>
        <w:rPr>
          <w:spacing w:val="40"/>
        </w:rPr>
        <w:t> </w:t>
      </w:r>
      <w:r>
        <w:rPr/>
        <w:t>the</w:t>
      </w:r>
      <w:r>
        <w:rPr>
          <w:spacing w:val="40"/>
        </w:rPr>
        <w:t> </w:t>
      </w:r>
      <w:r>
        <w:rPr/>
        <w:t>upstream sector</w:t>
      </w:r>
      <w:r>
        <w:rPr>
          <w:spacing w:val="33"/>
        </w:rPr>
        <w:t> </w:t>
      </w:r>
      <w:r>
        <w:rPr/>
        <w:t>of the petroleum</w:t>
      </w:r>
      <w:r>
        <w:rPr>
          <w:spacing w:val="38"/>
        </w:rPr>
        <w:t> </w:t>
      </w:r>
      <w:r>
        <w:rPr/>
        <w:t>industry are</w:t>
      </w:r>
      <w:r>
        <w:rPr>
          <w:spacing w:val="33"/>
        </w:rPr>
        <w:t> </w:t>
      </w:r>
      <w:r>
        <w:rPr/>
        <w:t>foreign</w:t>
      </w:r>
      <w:r>
        <w:rPr>
          <w:spacing w:val="35"/>
        </w:rPr>
        <w:t> </w:t>
      </w:r>
      <w:r>
        <w:rPr/>
        <w:t>companies</w:t>
      </w:r>
      <w:r>
        <w:rPr>
          <w:spacing w:val="32"/>
        </w:rPr>
        <w:t> </w:t>
      </w:r>
      <w:r>
        <w:rPr/>
        <w:t>mostly referred</w:t>
      </w:r>
      <w:r>
        <w:rPr>
          <w:spacing w:val="40"/>
        </w:rPr>
        <w:t> </w:t>
      </w:r>
      <w:r>
        <w:rPr/>
        <w:t>to as International Oil</w:t>
      </w:r>
      <w:r>
        <w:rPr>
          <w:spacing w:val="29"/>
        </w:rPr>
        <w:t> </w:t>
      </w:r>
      <w:r>
        <w:rPr/>
        <w:t>Companies</w:t>
      </w:r>
      <w:r>
        <w:rPr>
          <w:spacing w:val="31"/>
        </w:rPr>
        <w:t> </w:t>
      </w:r>
      <w:r>
        <w:rPr/>
        <w:t>(lOCs).</w:t>
      </w:r>
      <w:r>
        <w:rPr>
          <w:spacing w:val="30"/>
        </w:rPr>
        <w:t> </w:t>
      </w:r>
      <w:r>
        <w:rPr/>
        <w:t>The</w:t>
      </w:r>
      <w:r>
        <w:rPr>
          <w:spacing w:val="26"/>
        </w:rPr>
        <w:t> </w:t>
      </w:r>
      <w:r>
        <w:rPr/>
        <w:t>originators</w:t>
      </w:r>
      <w:r>
        <w:rPr>
          <w:spacing w:val="28"/>
        </w:rPr>
        <w:t> </w:t>
      </w:r>
      <w:r>
        <w:rPr/>
        <w:t>of</w:t>
      </w:r>
      <w:r>
        <w:rPr>
          <w:spacing w:val="26"/>
        </w:rPr>
        <w:t> </w:t>
      </w:r>
      <w:r>
        <w:rPr/>
        <w:t>this</w:t>
      </w:r>
      <w:r>
        <w:rPr>
          <w:spacing w:val="31"/>
        </w:rPr>
        <w:t> </w:t>
      </w:r>
      <w:r>
        <w:rPr/>
        <w:t>practice</w:t>
      </w:r>
      <w:r>
        <w:rPr>
          <w:spacing w:val="40"/>
        </w:rPr>
        <w:t> </w:t>
      </w:r>
      <w:r>
        <w:rPr/>
        <w:t>did</w:t>
      </w:r>
      <w:r>
        <w:rPr>
          <w:spacing w:val="38"/>
        </w:rPr>
        <w:t> </w:t>
      </w:r>
      <w:r>
        <w:rPr/>
        <w:t>not</w:t>
      </w:r>
      <w:r>
        <w:rPr>
          <w:spacing w:val="39"/>
        </w:rPr>
        <w:t> </w:t>
      </w:r>
      <w:r>
        <w:rPr/>
        <w:t>however</w:t>
      </w:r>
      <w:r>
        <w:rPr>
          <w:spacing w:val="40"/>
        </w:rPr>
        <w:t> </w:t>
      </w:r>
      <w:r>
        <w:rPr/>
        <w:t>avert</w:t>
      </w:r>
      <w:r>
        <w:rPr>
          <w:spacing w:val="39"/>
        </w:rPr>
        <w:t> </w:t>
      </w:r>
      <w:r>
        <w:rPr/>
        <w:t>their</w:t>
      </w:r>
      <w:r>
        <w:rPr>
          <w:spacing w:val="38"/>
        </w:rPr>
        <w:t> </w:t>
      </w:r>
      <w:r>
        <w:rPr/>
        <w:t>minds to</w:t>
      </w:r>
      <w:r>
        <w:rPr>
          <w:spacing w:val="40"/>
        </w:rPr>
        <w:t> </w:t>
      </w:r>
      <w:r>
        <w:rPr/>
        <w:t>the</w:t>
      </w:r>
      <w:r>
        <w:rPr>
          <w:spacing w:val="40"/>
        </w:rPr>
        <w:t> </w:t>
      </w:r>
      <w:r>
        <w:rPr/>
        <w:t>deductable</w:t>
      </w:r>
      <w:r>
        <w:rPr>
          <w:spacing w:val="40"/>
        </w:rPr>
        <w:t> </w:t>
      </w:r>
      <w:r>
        <w:rPr/>
        <w:t>expenses</w:t>
      </w:r>
      <w:r>
        <w:rPr>
          <w:spacing w:val="40"/>
        </w:rPr>
        <w:t> </w:t>
      </w:r>
      <w:r>
        <w:rPr/>
        <w:t>which</w:t>
      </w:r>
      <w:r>
        <w:rPr>
          <w:spacing w:val="40"/>
        </w:rPr>
        <w:t> </w:t>
      </w:r>
      <w:r>
        <w:rPr/>
        <w:t>are</w:t>
      </w:r>
      <w:r>
        <w:rPr>
          <w:spacing w:val="40"/>
        </w:rPr>
        <w:t> </w:t>
      </w:r>
      <w:r>
        <w:rPr/>
        <w:t>usually</w:t>
      </w:r>
      <w:r>
        <w:rPr>
          <w:spacing w:val="40"/>
        </w:rPr>
        <w:t> </w:t>
      </w:r>
      <w:r>
        <w:rPr/>
        <w:t>done</w:t>
      </w:r>
      <w:r>
        <w:rPr>
          <w:spacing w:val="40"/>
        </w:rPr>
        <w:t> </w:t>
      </w:r>
      <w:r>
        <w:rPr/>
        <w:t>in</w:t>
      </w:r>
      <w:r>
        <w:rPr>
          <w:spacing w:val="40"/>
        </w:rPr>
        <w:t> </w:t>
      </w:r>
      <w:r>
        <w:rPr/>
        <w:t>Naira.</w:t>
      </w:r>
      <w:r>
        <w:rPr>
          <w:spacing w:val="40"/>
        </w:rPr>
        <w:t> </w:t>
      </w:r>
      <w:r>
        <w:rPr/>
        <w:t>Because</w:t>
      </w:r>
      <w:r>
        <w:rPr>
          <w:spacing w:val="40"/>
        </w:rPr>
        <w:t> </w:t>
      </w:r>
      <w:r>
        <w:rPr/>
        <w:t>it</w:t>
      </w:r>
      <w:r>
        <w:rPr>
          <w:spacing w:val="40"/>
        </w:rPr>
        <w:t> </w:t>
      </w:r>
      <w:r>
        <w:rPr/>
        <w:t>is</w:t>
      </w:r>
      <w:r>
        <w:rPr>
          <w:spacing w:val="40"/>
        </w:rPr>
        <w:t> </w:t>
      </w:r>
      <w:r>
        <w:rPr/>
        <w:t>believed</w:t>
      </w:r>
      <w:r>
        <w:rPr>
          <w:spacing w:val="40"/>
        </w:rPr>
        <w:t> </w:t>
      </w:r>
      <w:r>
        <w:rPr/>
        <w:t>that some of the items under the deductable expenses are</w:t>
      </w:r>
      <w:r>
        <w:rPr>
          <w:spacing w:val="80"/>
        </w:rPr>
        <w:t> </w:t>
      </w:r>
      <w:r>
        <w:rPr/>
        <w:t>local transactions of which such transactions</w:t>
      </w:r>
      <w:r>
        <w:rPr>
          <w:spacing w:val="40"/>
        </w:rPr>
        <w:t> </w:t>
      </w:r>
      <w:r>
        <w:rPr/>
        <w:t>are</w:t>
      </w:r>
      <w:r>
        <w:rPr>
          <w:spacing w:val="40"/>
        </w:rPr>
        <w:t> </w:t>
      </w:r>
      <w:r>
        <w:rPr/>
        <w:t>paid</w:t>
      </w:r>
      <w:r>
        <w:rPr>
          <w:spacing w:val="40"/>
        </w:rPr>
        <w:t> </w:t>
      </w:r>
      <w:r>
        <w:rPr/>
        <w:t>for</w:t>
      </w:r>
      <w:r>
        <w:rPr>
          <w:spacing w:val="40"/>
        </w:rPr>
        <w:t> </w:t>
      </w:r>
      <w:r>
        <w:rPr/>
        <w:t>in</w:t>
      </w:r>
      <w:r>
        <w:rPr>
          <w:spacing w:val="40"/>
        </w:rPr>
        <w:t> </w:t>
      </w:r>
      <w:r>
        <w:rPr/>
        <w:t>Naira.</w:t>
      </w:r>
      <w:r>
        <w:rPr>
          <w:spacing w:val="40"/>
        </w:rPr>
        <w:t> </w:t>
      </w:r>
      <w:r>
        <w:rPr/>
        <w:t>For</w:t>
      </w:r>
      <w:r>
        <w:rPr>
          <w:spacing w:val="40"/>
        </w:rPr>
        <w:t> </w:t>
      </w:r>
      <w:r>
        <w:rPr/>
        <w:t>example,</w:t>
      </w:r>
      <w:r>
        <w:rPr>
          <w:spacing w:val="40"/>
        </w:rPr>
        <w:t> </w:t>
      </w:r>
      <w:r>
        <w:rPr/>
        <w:t>rents,</w:t>
      </w:r>
      <w:r>
        <w:rPr>
          <w:spacing w:val="40"/>
        </w:rPr>
        <w:t> </w:t>
      </w:r>
      <w:r>
        <w:rPr/>
        <w:t>customs</w:t>
      </w:r>
      <w:r>
        <w:rPr>
          <w:spacing w:val="40"/>
        </w:rPr>
        <w:t> </w:t>
      </w:r>
      <w:r>
        <w:rPr/>
        <w:t>and</w:t>
      </w:r>
      <w:r>
        <w:rPr>
          <w:spacing w:val="40"/>
        </w:rPr>
        <w:t> </w:t>
      </w:r>
      <w:r>
        <w:rPr/>
        <w:t>excise</w:t>
      </w:r>
      <w:r>
        <w:rPr>
          <w:spacing w:val="40"/>
        </w:rPr>
        <w:t> </w:t>
      </w:r>
      <w:r>
        <w:rPr/>
        <w:t>duties, tenement</w:t>
      </w:r>
      <w:r>
        <w:rPr>
          <w:spacing w:val="40"/>
        </w:rPr>
        <w:t> </w:t>
      </w:r>
      <w:r>
        <w:rPr/>
        <w:t>rates</w:t>
      </w:r>
      <w:r>
        <w:rPr>
          <w:spacing w:val="80"/>
        </w:rPr>
        <w:t> </w:t>
      </w:r>
      <w:r>
        <w:rPr/>
        <w:t>and</w:t>
      </w:r>
      <w:r>
        <w:rPr>
          <w:spacing w:val="80"/>
        </w:rPr>
        <w:t> </w:t>
      </w:r>
      <w:r>
        <w:rPr/>
        <w:t>any</w:t>
      </w:r>
      <w:r>
        <w:rPr>
          <w:spacing w:val="80"/>
        </w:rPr>
        <w:t> </w:t>
      </w:r>
      <w:r>
        <w:rPr/>
        <w:t>other</w:t>
      </w:r>
      <w:r>
        <w:rPr>
          <w:spacing w:val="80"/>
        </w:rPr>
        <w:t> </w:t>
      </w:r>
      <w:r>
        <w:rPr/>
        <w:t>tax</w:t>
      </w:r>
      <w:r>
        <w:rPr>
          <w:spacing w:val="80"/>
        </w:rPr>
        <w:t> </w:t>
      </w:r>
      <w:r>
        <w:rPr/>
        <w:t>other</w:t>
      </w:r>
      <w:r>
        <w:rPr>
          <w:spacing w:val="80"/>
        </w:rPr>
        <w:t> </w:t>
      </w:r>
      <w:r>
        <w:rPr/>
        <w:t>than</w:t>
      </w:r>
      <w:r>
        <w:rPr>
          <w:spacing w:val="80"/>
        </w:rPr>
        <w:t> </w:t>
      </w:r>
      <w:r>
        <w:rPr/>
        <w:t>the</w:t>
      </w:r>
      <w:r>
        <w:rPr>
          <w:spacing w:val="80"/>
        </w:rPr>
        <w:t> </w:t>
      </w:r>
      <w:r>
        <w:rPr/>
        <w:t>tax</w:t>
      </w:r>
      <w:r>
        <w:rPr>
          <w:spacing w:val="80"/>
        </w:rPr>
        <w:t> </w:t>
      </w:r>
      <w:r>
        <w:rPr/>
        <w:t>imposed</w:t>
      </w:r>
      <w:r>
        <w:rPr>
          <w:spacing w:val="80"/>
        </w:rPr>
        <w:t> </w:t>
      </w:r>
      <w:r>
        <w:rPr/>
        <w:t>by</w:t>
      </w:r>
      <w:r>
        <w:rPr>
          <w:spacing w:val="40"/>
        </w:rPr>
        <w:t> </w:t>
      </w:r>
      <w:r>
        <w:rPr/>
        <w:t>this</w:t>
      </w:r>
      <w:r>
        <w:rPr>
          <w:spacing w:val="80"/>
        </w:rPr>
        <w:t> </w:t>
      </w:r>
      <w:r>
        <w:rPr/>
        <w:t>Act</w:t>
      </w:r>
      <w:r>
        <w:rPr>
          <w:spacing w:val="80"/>
        </w:rPr>
        <w:t> </w:t>
      </w:r>
      <w:r>
        <w:rPr/>
        <w:t>are</w:t>
      </w:r>
      <w:r>
        <w:rPr>
          <w:spacing w:val="80"/>
        </w:rPr>
        <w:t> </w:t>
      </w:r>
      <w:r>
        <w:rPr/>
        <w:t>all remitted in Naira.</w:t>
      </w:r>
    </w:p>
    <w:p>
      <w:pPr>
        <w:pStyle w:val="BodyText"/>
        <w:spacing w:before="1"/>
        <w:ind w:left="1080"/>
        <w:jc w:val="both"/>
      </w:pPr>
      <w:r>
        <w:rPr>
          <w:spacing w:val="16"/>
        </w:rPr>
        <w:t>The</w:t>
      </w:r>
      <w:r>
        <w:rPr>
          <w:spacing w:val="63"/>
          <w:w w:val="150"/>
        </w:rPr>
        <w:t> </w:t>
      </w:r>
      <w:r>
        <w:rPr>
          <w:spacing w:val="21"/>
        </w:rPr>
        <w:t>penalty</w:t>
      </w:r>
      <w:r>
        <w:rPr>
          <w:spacing w:val="65"/>
          <w:w w:val="150"/>
        </w:rPr>
        <w:t> </w:t>
      </w:r>
      <w:r>
        <w:rPr/>
        <w:t>prescribed</w:t>
      </w:r>
      <w:r>
        <w:rPr>
          <w:spacing w:val="57"/>
        </w:rPr>
        <w:t> </w:t>
      </w:r>
      <w:r>
        <w:rPr/>
        <w:t>under</w:t>
      </w:r>
      <w:r>
        <w:rPr>
          <w:spacing w:val="56"/>
        </w:rPr>
        <w:t> </w:t>
      </w:r>
      <w:r>
        <w:rPr/>
        <w:t>sections</w:t>
      </w:r>
      <w:r>
        <w:rPr>
          <w:spacing w:val="57"/>
        </w:rPr>
        <w:t> </w:t>
      </w:r>
      <w:r>
        <w:rPr/>
        <w:t>51-55</w:t>
      </w:r>
      <w:r>
        <w:rPr>
          <w:spacing w:val="59"/>
        </w:rPr>
        <w:t> </w:t>
      </w:r>
      <w:r>
        <w:rPr/>
        <w:t>of</w:t>
      </w:r>
      <w:r>
        <w:rPr>
          <w:spacing w:val="57"/>
        </w:rPr>
        <w:t> </w:t>
      </w:r>
      <w:r>
        <w:rPr/>
        <w:t>the</w:t>
      </w:r>
      <w:r>
        <w:rPr>
          <w:spacing w:val="56"/>
        </w:rPr>
        <w:t> </w:t>
      </w:r>
      <w:r>
        <w:rPr/>
        <w:t>PPTA</w:t>
      </w:r>
      <w:r>
        <w:rPr>
          <w:spacing w:val="57"/>
        </w:rPr>
        <w:t> </w:t>
      </w:r>
      <w:r>
        <w:rPr/>
        <w:t>are</w:t>
      </w:r>
      <w:r>
        <w:rPr>
          <w:spacing w:val="56"/>
        </w:rPr>
        <w:t> </w:t>
      </w:r>
      <w:r>
        <w:rPr/>
        <w:t>so</w:t>
      </w:r>
      <w:r>
        <w:rPr>
          <w:spacing w:val="58"/>
        </w:rPr>
        <w:t> </w:t>
      </w:r>
      <w:r>
        <w:rPr>
          <w:spacing w:val="-2"/>
        </w:rPr>
        <w:t>insignificant</w:t>
      </w:r>
    </w:p>
    <w:p>
      <w:pPr>
        <w:pStyle w:val="BodyText"/>
      </w:pPr>
    </w:p>
    <w:p>
      <w:pPr>
        <w:pStyle w:val="BodyText"/>
        <w:spacing w:line="480" w:lineRule="auto"/>
        <w:ind w:left="360" w:right="155"/>
        <w:jc w:val="both"/>
      </w:pPr>
      <w:r>
        <w:rPr>
          <w:spacing w:val="17"/>
        </w:rPr>
        <w:t>,11</w:t>
      </w:r>
      <w:r>
        <w:rPr>
          <w:spacing w:val="-15"/>
        </w:rPr>
        <w:t> </w:t>
      </w:r>
      <w:r>
        <w:rPr/>
        <w:t>the modern day Nigeria to a company engaged in petroleum operators. Although</w:t>
      </w:r>
      <w:r>
        <w:rPr>
          <w:spacing w:val="40"/>
        </w:rPr>
        <w:t> </w:t>
      </w:r>
      <w:r>
        <w:rPr/>
        <w:t>these sanctions as at the time of promulgation this Act</w:t>
      </w:r>
      <w:r>
        <w:rPr>
          <w:vertAlign w:val="superscript"/>
        </w:rPr>
        <w:t>37</w:t>
      </w:r>
      <w:r>
        <w:rPr>
          <w:vertAlign w:val="baseline"/>
        </w:rPr>
        <w:t> in 1958 might have been a weighty sanction</w:t>
      </w:r>
      <w:r>
        <w:rPr>
          <w:spacing w:val="18"/>
          <w:vertAlign w:val="baseline"/>
        </w:rPr>
        <w:t> </w:t>
      </w:r>
      <w:r>
        <w:rPr>
          <w:vertAlign w:val="baseline"/>
        </w:rPr>
        <w:t>on</w:t>
      </w:r>
      <w:r>
        <w:rPr>
          <w:spacing w:val="18"/>
          <w:vertAlign w:val="baseline"/>
        </w:rPr>
        <w:t> </w:t>
      </w:r>
      <w:r>
        <w:rPr>
          <w:vertAlign w:val="baseline"/>
        </w:rPr>
        <w:t>the</w:t>
      </w:r>
      <w:r>
        <w:rPr>
          <w:spacing w:val="16"/>
          <w:vertAlign w:val="baseline"/>
        </w:rPr>
        <w:t> </w:t>
      </w:r>
      <w:r>
        <w:rPr>
          <w:vertAlign w:val="baseline"/>
        </w:rPr>
        <w:t>defaulters but</w:t>
      </w:r>
      <w:r>
        <w:rPr>
          <w:spacing w:val="18"/>
          <w:vertAlign w:val="baseline"/>
        </w:rPr>
        <w:t> </w:t>
      </w:r>
      <w:r>
        <w:rPr>
          <w:vertAlign w:val="baseline"/>
        </w:rPr>
        <w:t>with</w:t>
      </w:r>
      <w:r>
        <w:rPr>
          <w:spacing w:val="18"/>
          <w:vertAlign w:val="baseline"/>
        </w:rPr>
        <w:t> </w:t>
      </w:r>
      <w:r>
        <w:rPr>
          <w:vertAlign w:val="baseline"/>
        </w:rPr>
        <w:t>the</w:t>
      </w:r>
      <w:r>
        <w:rPr>
          <w:spacing w:val="16"/>
          <w:vertAlign w:val="baseline"/>
        </w:rPr>
        <w:t> </w:t>
      </w:r>
      <w:r>
        <w:rPr>
          <w:vertAlign w:val="baseline"/>
        </w:rPr>
        <w:t>passage</w:t>
      </w:r>
      <w:r>
        <w:rPr>
          <w:spacing w:val="16"/>
          <w:vertAlign w:val="baseline"/>
        </w:rPr>
        <w:t> </w:t>
      </w:r>
      <w:r>
        <w:rPr>
          <w:vertAlign w:val="baseline"/>
        </w:rPr>
        <w:t>of time</w:t>
      </w:r>
      <w:r>
        <w:rPr>
          <w:spacing w:val="16"/>
          <w:vertAlign w:val="baseline"/>
        </w:rPr>
        <w:t> </w:t>
      </w:r>
      <w:r>
        <w:rPr>
          <w:vertAlign w:val="baseline"/>
        </w:rPr>
        <w:t>these</w:t>
      </w:r>
      <w:r>
        <w:rPr>
          <w:spacing w:val="19"/>
          <w:vertAlign w:val="baseline"/>
        </w:rPr>
        <w:t> </w:t>
      </w:r>
      <w:r>
        <w:rPr>
          <w:vertAlign w:val="baseline"/>
        </w:rPr>
        <w:t>amounts mentioned</w:t>
      </w:r>
      <w:r>
        <w:rPr>
          <w:spacing w:val="39"/>
          <w:vertAlign w:val="baseline"/>
        </w:rPr>
        <w:t> </w:t>
      </w:r>
      <w:r>
        <w:rPr>
          <w:vertAlign w:val="baseline"/>
        </w:rPr>
        <w:t>in the Act is nothing to go by this days.</w:t>
      </w:r>
      <w:r>
        <w:rPr>
          <w:spacing w:val="40"/>
          <w:vertAlign w:val="baseline"/>
        </w:rPr>
        <w:t> </w:t>
      </w:r>
      <w:r>
        <w:rPr>
          <w:vertAlign w:val="baseline"/>
        </w:rPr>
        <w:t>So the need to review this sanctions in pertinent to the enforcement of this Act.</w:t>
      </w:r>
    </w:p>
    <w:p>
      <w:pPr>
        <w:pStyle w:val="Heading2"/>
        <w:numPr>
          <w:ilvl w:val="1"/>
          <w:numId w:val="7"/>
        </w:numPr>
        <w:tabs>
          <w:tab w:pos="1079" w:val="left" w:leader="none"/>
        </w:tabs>
        <w:spacing w:line="240" w:lineRule="auto" w:before="6" w:after="0"/>
        <w:ind w:left="1079" w:right="0" w:hanging="719"/>
        <w:jc w:val="both"/>
      </w:pPr>
      <w:bookmarkStart w:name="_TOC_250010" w:id="15"/>
      <w:r>
        <w:rPr/>
        <w:t>Nigerian</w:t>
      </w:r>
      <w:r>
        <w:rPr>
          <w:spacing w:val="3"/>
        </w:rPr>
        <w:t> </w:t>
      </w:r>
      <w:r>
        <w:rPr/>
        <w:t>Oil and Gas Industry Local Content Development </w:t>
      </w:r>
      <w:bookmarkEnd w:id="15"/>
      <w:r>
        <w:rPr>
          <w:spacing w:val="-5"/>
        </w:rPr>
        <w:t>Act</w:t>
      </w:r>
    </w:p>
    <w:p>
      <w:pPr>
        <w:pStyle w:val="BodyText"/>
        <w:spacing w:line="480" w:lineRule="auto" w:before="271"/>
        <w:ind w:left="360" w:right="163" w:firstLine="719"/>
        <w:jc w:val="both"/>
      </w:pPr>
      <w:r>
        <w:rPr/>
        <w:t>The main thrust of the NOGIC ACT is to increase the Nigerian content in the country‟s oil and gas.</w:t>
      </w:r>
    </w:p>
    <w:p>
      <w:pPr>
        <w:pStyle w:val="BodyText"/>
        <w:ind w:left="360"/>
        <w:jc w:val="both"/>
      </w:pPr>
      <w:r>
        <w:rPr/>
        <w:t>„‟Nigerian</w:t>
      </w:r>
      <w:r>
        <w:rPr>
          <w:spacing w:val="-11"/>
        </w:rPr>
        <w:t> </w:t>
      </w:r>
      <w:r>
        <w:rPr/>
        <w:t>content</w:t>
      </w:r>
      <w:r>
        <w:rPr>
          <w:spacing w:val="-13"/>
        </w:rPr>
        <w:t> </w:t>
      </w:r>
      <w:r>
        <w:rPr/>
        <w:t>has</w:t>
      </w:r>
      <w:r>
        <w:rPr>
          <w:spacing w:val="-13"/>
        </w:rPr>
        <w:t> </w:t>
      </w:r>
      <w:r>
        <w:rPr/>
        <w:t>been</w:t>
      </w:r>
      <w:r>
        <w:rPr>
          <w:spacing w:val="-12"/>
        </w:rPr>
        <w:t> </w:t>
      </w:r>
      <w:r>
        <w:rPr/>
        <w:t>defined</w:t>
      </w:r>
      <w:r>
        <w:rPr>
          <w:spacing w:val="-11"/>
        </w:rPr>
        <w:t> </w:t>
      </w:r>
      <w:r>
        <w:rPr>
          <w:spacing w:val="-5"/>
        </w:rPr>
        <w:t>as:</w:t>
      </w:r>
    </w:p>
    <w:p>
      <w:pPr>
        <w:pStyle w:val="BodyText"/>
      </w:pPr>
    </w:p>
    <w:p>
      <w:pPr>
        <w:pStyle w:val="BodyText"/>
        <w:ind w:left="1800" w:right="1603"/>
        <w:jc w:val="both"/>
      </w:pPr>
      <w:r>
        <w:rPr/>
        <w:t>The quantum of composite value added in the </w:t>
      </w:r>
      <w:r>
        <w:rPr/>
        <w:t>Nigerian economy by a systematic development of capacity and capabilities</w:t>
      </w:r>
      <w:r>
        <w:rPr>
          <w:spacing w:val="26"/>
        </w:rPr>
        <w:t>  </w:t>
      </w:r>
      <w:r>
        <w:rPr/>
        <w:t>through</w:t>
      </w:r>
      <w:r>
        <w:rPr>
          <w:spacing w:val="27"/>
        </w:rPr>
        <w:t>  </w:t>
      </w:r>
      <w:r>
        <w:rPr/>
        <w:t>the</w:t>
      </w:r>
      <w:r>
        <w:rPr>
          <w:spacing w:val="26"/>
        </w:rPr>
        <w:t>  </w:t>
      </w:r>
      <w:r>
        <w:rPr/>
        <w:t>deliberate</w:t>
      </w:r>
      <w:r>
        <w:rPr>
          <w:spacing w:val="27"/>
        </w:rPr>
        <w:t>  </w:t>
      </w:r>
      <w:r>
        <w:rPr/>
        <w:t>utilization</w:t>
      </w:r>
      <w:r>
        <w:rPr>
          <w:spacing w:val="26"/>
        </w:rPr>
        <w:t>  </w:t>
      </w:r>
      <w:r>
        <w:rPr/>
        <w:t>of</w:t>
      </w:r>
      <w:r>
        <w:rPr>
          <w:spacing w:val="27"/>
        </w:rPr>
        <w:t>  </w:t>
      </w:r>
      <w:r>
        <w:rPr>
          <w:spacing w:val="-2"/>
        </w:rPr>
        <w:t>Nigerian</w:t>
      </w:r>
    </w:p>
    <w:p>
      <w:pPr>
        <w:pStyle w:val="BodyText"/>
        <w:rPr>
          <w:sz w:val="20"/>
        </w:rPr>
      </w:pPr>
    </w:p>
    <w:p>
      <w:pPr>
        <w:pStyle w:val="BodyText"/>
        <w:spacing w:before="149"/>
        <w:rPr>
          <w:sz w:val="20"/>
        </w:rPr>
      </w:pPr>
      <w:r>
        <w:rPr/>
        <mc:AlternateContent>
          <mc:Choice Requires="wps">
            <w:drawing>
              <wp:anchor distT="0" distB="0" distL="0" distR="0" allowOverlap="1" layoutInCell="1" locked="0" behindDoc="1" simplePos="0" relativeHeight="487602176">
                <wp:simplePos x="0" y="0"/>
                <wp:positionH relativeFrom="page">
                  <wp:posOffset>914704</wp:posOffset>
                </wp:positionH>
                <wp:positionV relativeFrom="paragraph">
                  <wp:posOffset>255966</wp:posOffset>
                </wp:positionV>
                <wp:extent cx="1829435" cy="9525"/>
                <wp:effectExtent l="0" t="0" r="0" b="0"/>
                <wp:wrapTopAndBottom/>
                <wp:docPr id="32" name="Graphic 32"/>
                <wp:cNvGraphicFramePr>
                  <a:graphicFrameLocks/>
                </wp:cNvGraphicFramePr>
                <a:graphic>
                  <a:graphicData uri="http://schemas.microsoft.com/office/word/2010/wordprocessingShape">
                    <wps:wsp>
                      <wps:cNvPr id="32" name="Graphic 32"/>
                      <wps:cNvSpPr/>
                      <wps:spPr>
                        <a:xfrm>
                          <a:off x="0" y="0"/>
                          <a:ext cx="1829435" cy="9525"/>
                        </a:xfrm>
                        <a:custGeom>
                          <a:avLst/>
                          <a:gdLst/>
                          <a:ahLst/>
                          <a:cxnLst/>
                          <a:rect l="l" t="t" r="r" b="b"/>
                          <a:pathLst>
                            <a:path w="1829435" h="9525">
                              <a:moveTo>
                                <a:pt x="1829054" y="0"/>
                              </a:moveTo>
                              <a:lnTo>
                                <a:pt x="0" y="0"/>
                              </a:lnTo>
                              <a:lnTo>
                                <a:pt x="0" y="9144"/>
                              </a:lnTo>
                              <a:lnTo>
                                <a:pt x="1829054" y="9144"/>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20.154852pt;width:144.020pt;height:.72003pt;mso-position-horizontal-relative:page;mso-position-vertical-relative:paragraph;z-index:-15714304;mso-wrap-distance-left:0;mso-wrap-distance-right:0" id="docshape32" filled="true" fillcolor="#000000" stroked="false">
                <v:fill type="solid"/>
                <w10:wrap type="topAndBottom"/>
              </v:rect>
            </w:pict>
          </mc:Fallback>
        </mc:AlternateContent>
      </w:r>
    </w:p>
    <w:p>
      <w:pPr>
        <w:spacing w:before="102"/>
        <w:ind w:left="360" w:right="0" w:firstLine="0"/>
        <w:jc w:val="left"/>
        <w:rPr>
          <w:rFonts w:ascii="Calibri"/>
          <w:sz w:val="20"/>
        </w:rPr>
      </w:pPr>
      <w:r>
        <w:rPr>
          <w:rFonts w:ascii="Calibri"/>
          <w:sz w:val="20"/>
          <w:vertAlign w:val="superscript"/>
        </w:rPr>
        <w:t>37</w:t>
      </w:r>
      <w:r>
        <w:rPr>
          <w:rFonts w:ascii="Calibri"/>
          <w:spacing w:val="-5"/>
          <w:sz w:val="20"/>
          <w:vertAlign w:val="baseline"/>
        </w:rPr>
        <w:t> </w:t>
      </w:r>
      <w:r>
        <w:rPr>
          <w:rFonts w:ascii="Calibri"/>
          <w:sz w:val="20"/>
          <w:vertAlign w:val="baseline"/>
        </w:rPr>
        <w:t>Petroleum</w:t>
      </w:r>
      <w:r>
        <w:rPr>
          <w:rFonts w:ascii="Calibri"/>
          <w:spacing w:val="-5"/>
          <w:sz w:val="20"/>
          <w:vertAlign w:val="baseline"/>
        </w:rPr>
        <w:t> </w:t>
      </w:r>
      <w:r>
        <w:rPr>
          <w:rFonts w:ascii="Calibri"/>
          <w:sz w:val="20"/>
          <w:vertAlign w:val="baseline"/>
        </w:rPr>
        <w:t>Profit</w:t>
      </w:r>
      <w:r>
        <w:rPr>
          <w:rFonts w:ascii="Calibri"/>
          <w:spacing w:val="-4"/>
          <w:sz w:val="20"/>
          <w:vertAlign w:val="baseline"/>
        </w:rPr>
        <w:t> </w:t>
      </w:r>
      <w:r>
        <w:rPr>
          <w:rFonts w:ascii="Calibri"/>
          <w:sz w:val="20"/>
          <w:vertAlign w:val="baseline"/>
        </w:rPr>
        <w:t>Tax</w:t>
      </w:r>
      <w:r>
        <w:rPr>
          <w:rFonts w:ascii="Calibri"/>
          <w:spacing w:val="-4"/>
          <w:sz w:val="20"/>
          <w:vertAlign w:val="baseline"/>
        </w:rPr>
        <w:t> </w:t>
      </w:r>
      <w:r>
        <w:rPr>
          <w:rFonts w:ascii="Calibri"/>
          <w:sz w:val="20"/>
          <w:vertAlign w:val="baseline"/>
        </w:rPr>
        <w:t>Act,</w:t>
      </w:r>
      <w:r>
        <w:rPr>
          <w:rFonts w:ascii="Calibri"/>
          <w:spacing w:val="-4"/>
          <w:sz w:val="20"/>
          <w:vertAlign w:val="baseline"/>
        </w:rPr>
        <w:t> </w:t>
      </w:r>
      <w:r>
        <w:rPr>
          <w:rFonts w:ascii="Calibri"/>
          <w:sz w:val="20"/>
          <w:vertAlign w:val="baseline"/>
        </w:rPr>
        <w:t>CAP</w:t>
      </w:r>
      <w:r>
        <w:rPr>
          <w:rFonts w:ascii="Calibri"/>
          <w:spacing w:val="-3"/>
          <w:sz w:val="20"/>
          <w:vertAlign w:val="baseline"/>
        </w:rPr>
        <w:t> </w:t>
      </w:r>
      <w:r>
        <w:rPr>
          <w:rFonts w:ascii="Calibri"/>
          <w:sz w:val="20"/>
          <w:vertAlign w:val="baseline"/>
        </w:rPr>
        <w:t>P13,</w:t>
      </w:r>
      <w:r>
        <w:rPr>
          <w:rFonts w:ascii="Calibri"/>
          <w:spacing w:val="-4"/>
          <w:sz w:val="20"/>
          <w:vertAlign w:val="baseline"/>
        </w:rPr>
        <w:t> </w:t>
      </w:r>
      <w:r>
        <w:rPr>
          <w:rFonts w:ascii="Calibri"/>
          <w:sz w:val="20"/>
          <w:vertAlign w:val="baseline"/>
        </w:rPr>
        <w:t>LFN,</w:t>
      </w:r>
      <w:r>
        <w:rPr>
          <w:rFonts w:ascii="Calibri"/>
          <w:spacing w:val="-4"/>
          <w:sz w:val="20"/>
          <w:vertAlign w:val="baseline"/>
        </w:rPr>
        <w:t> 2010</w:t>
      </w:r>
    </w:p>
    <w:p>
      <w:pPr>
        <w:spacing w:after="0"/>
        <w:jc w:val="left"/>
        <w:rPr>
          <w:rFonts w:ascii="Calibri"/>
          <w:sz w:val="20"/>
        </w:rPr>
        <w:sectPr>
          <w:pgSz w:w="11910" w:h="16840"/>
          <w:pgMar w:header="0" w:footer="1000" w:top="1340" w:bottom="1200" w:left="1080" w:right="1280"/>
        </w:sectPr>
      </w:pPr>
    </w:p>
    <w:p>
      <w:pPr>
        <w:pStyle w:val="BodyText"/>
        <w:spacing w:before="74"/>
        <w:ind w:left="1800" w:right="1542"/>
      </w:pPr>
      <w:r>
        <w:rPr/>
        <w:t>human, material resources and services in the Nigerian Oil and Gas industry.</w:t>
      </w:r>
    </w:p>
    <w:p>
      <w:pPr>
        <w:pStyle w:val="BodyText"/>
      </w:pPr>
    </w:p>
    <w:p>
      <w:pPr>
        <w:pStyle w:val="BodyText"/>
      </w:pPr>
    </w:p>
    <w:p>
      <w:pPr>
        <w:pStyle w:val="BodyText"/>
        <w:spacing w:line="480" w:lineRule="auto"/>
        <w:ind w:left="360" w:right="152" w:firstLine="719"/>
        <w:jc w:val="both"/>
      </w:pPr>
      <w:r>
        <w:rPr/>
        <w:t>Most</w:t>
      </w:r>
      <w:r>
        <w:rPr>
          <w:spacing w:val="40"/>
        </w:rPr>
        <w:t> </w:t>
      </w:r>
      <w:r>
        <w:rPr/>
        <w:t>African</w:t>
      </w:r>
      <w:r>
        <w:rPr>
          <w:spacing w:val="40"/>
        </w:rPr>
        <w:t> </w:t>
      </w:r>
      <w:r>
        <w:rPr/>
        <w:t>countries,</w:t>
      </w:r>
      <w:r>
        <w:rPr>
          <w:spacing w:val="40"/>
        </w:rPr>
        <w:t> </w:t>
      </w:r>
      <w:r>
        <w:rPr/>
        <w:t>at</w:t>
      </w:r>
      <w:r>
        <w:rPr>
          <w:spacing w:val="40"/>
        </w:rPr>
        <w:t> </w:t>
      </w:r>
      <w:r>
        <w:rPr/>
        <w:t>post-independence,</w:t>
      </w:r>
      <w:r>
        <w:rPr>
          <w:spacing w:val="40"/>
        </w:rPr>
        <w:t> </w:t>
      </w:r>
      <w:r>
        <w:rPr/>
        <w:t>recognized</w:t>
      </w:r>
      <w:r>
        <w:rPr>
          <w:spacing w:val="40"/>
        </w:rPr>
        <w:t> </w:t>
      </w:r>
      <w:r>
        <w:rPr/>
        <w:t>the</w:t>
      </w:r>
      <w:r>
        <w:rPr>
          <w:spacing w:val="40"/>
        </w:rPr>
        <w:t> </w:t>
      </w:r>
      <w:r>
        <w:rPr/>
        <w:t>need</w:t>
      </w:r>
      <w:r>
        <w:rPr>
          <w:spacing w:val="40"/>
        </w:rPr>
        <w:t> </w:t>
      </w:r>
      <w:r>
        <w:rPr/>
        <w:t>for</w:t>
      </w:r>
      <w:r>
        <w:rPr>
          <w:spacing w:val="40"/>
        </w:rPr>
        <w:t> </w:t>
      </w:r>
      <w:r>
        <w:rPr/>
        <w:t>their indigenes to take ownership and control of their natural resources for exploitation and transformation into economic</w:t>
      </w:r>
      <w:r>
        <w:rPr>
          <w:spacing w:val="40"/>
        </w:rPr>
        <w:t> </w:t>
      </w:r>
      <w:r>
        <w:rPr/>
        <w:t>growth.</w:t>
      </w:r>
      <w:r>
        <w:rPr>
          <w:vertAlign w:val="superscript"/>
        </w:rPr>
        <w:t>38</w:t>
      </w:r>
      <w:r>
        <w:rPr>
          <w:vertAlign w:val="baseline"/>
        </w:rPr>
        <w:t> In order to achieve this goal various policies and</w:t>
      </w:r>
      <w:r>
        <w:rPr>
          <w:spacing w:val="40"/>
          <w:vertAlign w:val="baseline"/>
        </w:rPr>
        <w:t> </w:t>
      </w:r>
      <w:r>
        <w:rPr>
          <w:vertAlign w:val="baseline"/>
        </w:rPr>
        <w:t>laws have been pursued by the Governments.</w:t>
      </w:r>
      <w:r>
        <w:rPr>
          <w:spacing w:val="-15"/>
          <w:vertAlign w:val="baseline"/>
        </w:rPr>
        <w:t> </w:t>
      </w:r>
      <w:r>
        <w:rPr>
          <w:vertAlign w:val="superscript"/>
        </w:rPr>
        <w:t>39</w:t>
      </w:r>
      <w:r>
        <w:rPr>
          <w:vertAlign w:val="baseline"/>
        </w:rPr>
        <w:t> Petroleum industry in Nigeria was not immune from these Government policies. Some laws enacted in Nigeria include the Petroleum(Drilling &amp; Production) Regulations</w:t>
      </w:r>
      <w:r>
        <w:rPr>
          <w:spacing w:val="-15"/>
          <w:vertAlign w:val="baseline"/>
        </w:rPr>
        <w:t> </w:t>
      </w:r>
      <w:r>
        <w:rPr>
          <w:vertAlign w:val="superscript"/>
        </w:rPr>
        <w:t>40</w:t>
      </w:r>
      <w:r>
        <w:rPr>
          <w:spacing w:val="-15"/>
          <w:vertAlign w:val="baseline"/>
        </w:rPr>
        <w:t> </w:t>
      </w:r>
      <w:r>
        <w:rPr>
          <w:vertAlign w:val="baseline"/>
        </w:rPr>
        <w:t>,</w:t>
      </w:r>
      <w:r>
        <w:rPr>
          <w:spacing w:val="40"/>
          <w:vertAlign w:val="baseline"/>
        </w:rPr>
        <w:t> </w:t>
      </w:r>
      <w:r>
        <w:rPr>
          <w:vertAlign w:val="baseline"/>
        </w:rPr>
        <w:t>Industrial</w:t>
      </w:r>
      <w:r>
        <w:rPr>
          <w:spacing w:val="40"/>
          <w:vertAlign w:val="baseline"/>
        </w:rPr>
        <w:t> </w:t>
      </w:r>
      <w:r>
        <w:rPr>
          <w:vertAlign w:val="baseline"/>
        </w:rPr>
        <w:t>Training Fund,</w:t>
      </w:r>
      <w:r>
        <w:rPr>
          <w:spacing w:val="-15"/>
          <w:vertAlign w:val="baseline"/>
        </w:rPr>
        <w:t> </w:t>
      </w:r>
      <w:r>
        <w:rPr>
          <w:vertAlign w:val="superscript"/>
        </w:rPr>
        <w:t>41</w:t>
      </w:r>
      <w:r>
        <w:rPr>
          <w:vertAlign w:val="baseline"/>
        </w:rPr>
        <w:t> Petroleum Technology Development Fund</w:t>
      </w:r>
      <w:r>
        <w:rPr>
          <w:vertAlign w:val="superscript"/>
        </w:rPr>
        <w:t>42</w:t>
      </w:r>
      <w:r>
        <w:rPr>
          <w:vertAlign w:val="baseline"/>
        </w:rPr>
        <w:t> and National Office of Technology Acquisition Act.</w:t>
      </w:r>
      <w:r>
        <w:rPr>
          <w:vertAlign w:val="superscript"/>
        </w:rPr>
        <w:t>43</w:t>
      </w:r>
      <w:r>
        <w:rPr>
          <w:vertAlign w:val="baseline"/>
        </w:rPr>
        <w:t> The Nigerian Petroleum industry was originally the exclusive domain of the International Oil Companies (lOCs) in areas ranging from exploration to production, refining and trading.</w:t>
      </w:r>
      <w:r>
        <w:rPr>
          <w:spacing w:val="40"/>
          <w:vertAlign w:val="baseline"/>
        </w:rPr>
        <w:t> </w:t>
      </w:r>
      <w:r>
        <w:rPr>
          <w:vertAlign w:val="baseline"/>
        </w:rPr>
        <w:t>Even the downstream operations wereinitially controlled by expatriate companies. Intervention</w:t>
      </w:r>
      <w:r>
        <w:rPr>
          <w:spacing w:val="40"/>
          <w:vertAlign w:val="baseline"/>
        </w:rPr>
        <w:t> </w:t>
      </w:r>
      <w:r>
        <w:rPr>
          <w:vertAlign w:val="baseline"/>
        </w:rPr>
        <w:t>by</w:t>
      </w:r>
      <w:r>
        <w:rPr>
          <w:spacing w:val="40"/>
          <w:vertAlign w:val="baseline"/>
        </w:rPr>
        <w:t> </w:t>
      </w:r>
      <w:r>
        <w:rPr>
          <w:vertAlign w:val="baseline"/>
        </w:rPr>
        <w:t>the</w:t>
      </w:r>
      <w:r>
        <w:rPr>
          <w:spacing w:val="40"/>
          <w:vertAlign w:val="baseline"/>
        </w:rPr>
        <w:t> </w:t>
      </w:r>
      <w:r>
        <w:rPr>
          <w:vertAlign w:val="baseline"/>
        </w:rPr>
        <w:t>Federal</w:t>
      </w:r>
      <w:r>
        <w:rPr>
          <w:spacing w:val="40"/>
          <w:vertAlign w:val="baseline"/>
        </w:rPr>
        <w:t> </w:t>
      </w:r>
      <w:r>
        <w:rPr>
          <w:vertAlign w:val="baseline"/>
        </w:rPr>
        <w:t>government</w:t>
      </w:r>
      <w:r>
        <w:rPr>
          <w:spacing w:val="40"/>
          <w:vertAlign w:val="baseline"/>
        </w:rPr>
        <w:t> </w:t>
      </w:r>
      <w:r>
        <w:rPr>
          <w:vertAlign w:val="baseline"/>
        </w:rPr>
        <w:t>resulted</w:t>
      </w:r>
      <w:r>
        <w:rPr>
          <w:spacing w:val="40"/>
          <w:vertAlign w:val="baseline"/>
        </w:rPr>
        <w:t> </w:t>
      </w:r>
      <w:r>
        <w:rPr>
          <w:vertAlign w:val="baseline"/>
        </w:rPr>
        <w:t>in</w:t>
      </w:r>
      <w:r>
        <w:rPr>
          <w:spacing w:val="40"/>
          <w:vertAlign w:val="baseline"/>
        </w:rPr>
        <w:t> </w:t>
      </w:r>
      <w:r>
        <w:rPr>
          <w:vertAlign w:val="baseline"/>
        </w:rPr>
        <w:t>the</w:t>
      </w:r>
      <w:r>
        <w:rPr>
          <w:spacing w:val="40"/>
          <w:vertAlign w:val="baseline"/>
        </w:rPr>
        <w:t> </w:t>
      </w:r>
      <w:r>
        <w:rPr>
          <w:vertAlign w:val="baseline"/>
        </w:rPr>
        <w:t>nationalization</w:t>
      </w:r>
      <w:r>
        <w:rPr>
          <w:spacing w:val="40"/>
          <w:vertAlign w:val="baseline"/>
        </w:rPr>
        <w:t> </w:t>
      </w:r>
      <w:r>
        <w:rPr>
          <w:vertAlign w:val="baseline"/>
        </w:rPr>
        <w:t>of</w:t>
      </w:r>
      <w:r>
        <w:rPr>
          <w:spacing w:val="40"/>
          <w:vertAlign w:val="baseline"/>
        </w:rPr>
        <w:t> </w:t>
      </w:r>
      <w:r>
        <w:rPr>
          <w:vertAlign w:val="baseline"/>
        </w:rPr>
        <w:t>assets</w:t>
      </w:r>
      <w:r>
        <w:rPr>
          <w:spacing w:val="40"/>
          <w:vertAlign w:val="baseline"/>
        </w:rPr>
        <w:t> </w:t>
      </w:r>
      <w:r>
        <w:rPr>
          <w:vertAlign w:val="baseline"/>
        </w:rPr>
        <w:t>of</w:t>
      </w:r>
      <w:r>
        <w:rPr>
          <w:spacing w:val="40"/>
          <w:vertAlign w:val="baseline"/>
        </w:rPr>
        <w:t> </w:t>
      </w:r>
      <w:r>
        <w:rPr>
          <w:vertAlign w:val="baseline"/>
        </w:rPr>
        <w:t>the major</w:t>
      </w:r>
      <w:r>
        <w:rPr>
          <w:spacing w:val="37"/>
          <w:vertAlign w:val="baseline"/>
        </w:rPr>
        <w:t> </w:t>
      </w:r>
      <w:r>
        <w:rPr>
          <w:vertAlign w:val="baseline"/>
        </w:rPr>
        <w:t>oil</w:t>
      </w:r>
      <w:r>
        <w:rPr>
          <w:spacing w:val="38"/>
          <w:vertAlign w:val="baseline"/>
        </w:rPr>
        <w:t> </w:t>
      </w:r>
      <w:r>
        <w:rPr>
          <w:vertAlign w:val="baseline"/>
        </w:rPr>
        <w:t>players</w:t>
      </w:r>
      <w:r>
        <w:rPr>
          <w:spacing w:val="40"/>
          <w:vertAlign w:val="baseline"/>
        </w:rPr>
        <w:t> </w:t>
      </w:r>
      <w:r>
        <w:rPr>
          <w:vertAlign w:val="baseline"/>
        </w:rPr>
        <w:t>in</w:t>
      </w:r>
      <w:r>
        <w:rPr>
          <w:spacing w:val="40"/>
          <w:vertAlign w:val="baseline"/>
        </w:rPr>
        <w:t> </w:t>
      </w:r>
      <w:r>
        <w:rPr>
          <w:vertAlign w:val="baseline"/>
        </w:rPr>
        <w:t>1991,</w:t>
      </w:r>
      <w:r>
        <w:rPr>
          <w:vertAlign w:val="superscript"/>
        </w:rPr>
        <w:t>44</w:t>
      </w:r>
      <w:r>
        <w:rPr>
          <w:spacing w:val="20"/>
          <w:vertAlign w:val="baseline"/>
        </w:rPr>
        <w:t> </w:t>
      </w:r>
      <w:r>
        <w:rPr>
          <w:vertAlign w:val="baseline"/>
        </w:rPr>
        <w:t>the</w:t>
      </w:r>
      <w:r>
        <w:rPr>
          <w:spacing w:val="39"/>
          <w:vertAlign w:val="baseline"/>
        </w:rPr>
        <w:t> </w:t>
      </w:r>
      <w:r>
        <w:rPr>
          <w:vertAlign w:val="baseline"/>
        </w:rPr>
        <w:t>Federal</w:t>
      </w:r>
      <w:r>
        <w:rPr>
          <w:spacing w:val="38"/>
          <w:vertAlign w:val="baseline"/>
        </w:rPr>
        <w:t> </w:t>
      </w:r>
      <w:r>
        <w:rPr>
          <w:vertAlign w:val="baseline"/>
        </w:rPr>
        <w:t>Government</w:t>
      </w:r>
      <w:r>
        <w:rPr>
          <w:spacing w:val="40"/>
          <w:vertAlign w:val="baseline"/>
        </w:rPr>
        <w:t> </w:t>
      </w:r>
      <w:r>
        <w:rPr>
          <w:vertAlign w:val="baseline"/>
        </w:rPr>
        <w:t>sought</w:t>
      </w:r>
      <w:r>
        <w:rPr>
          <w:spacing w:val="38"/>
          <w:vertAlign w:val="baseline"/>
        </w:rPr>
        <w:t> </w:t>
      </w:r>
      <w:r>
        <w:rPr>
          <w:vertAlign w:val="baseline"/>
        </w:rPr>
        <w:t>to</w:t>
      </w:r>
      <w:r>
        <w:rPr>
          <w:spacing w:val="38"/>
          <w:vertAlign w:val="baseline"/>
        </w:rPr>
        <w:t> </w:t>
      </w:r>
      <w:r>
        <w:rPr>
          <w:vertAlign w:val="baseline"/>
        </w:rPr>
        <w:t>demystify</w:t>
      </w:r>
      <w:r>
        <w:rPr>
          <w:spacing w:val="35"/>
          <w:vertAlign w:val="baseline"/>
        </w:rPr>
        <w:t> </w:t>
      </w:r>
      <w:r>
        <w:rPr>
          <w:vertAlign w:val="baseline"/>
        </w:rPr>
        <w:t>the</w:t>
      </w:r>
      <w:r>
        <w:rPr>
          <w:spacing w:val="37"/>
          <w:vertAlign w:val="baseline"/>
        </w:rPr>
        <w:t> </w:t>
      </w:r>
      <w:r>
        <w:rPr>
          <w:vertAlign w:val="baseline"/>
        </w:rPr>
        <w:t>oil</w:t>
      </w:r>
      <w:r>
        <w:rPr>
          <w:spacing w:val="40"/>
          <w:vertAlign w:val="baseline"/>
        </w:rPr>
        <w:t> </w:t>
      </w:r>
      <w:r>
        <w:rPr>
          <w:vertAlign w:val="baseline"/>
        </w:rPr>
        <w:t>industry by</w:t>
      </w:r>
      <w:r>
        <w:rPr>
          <w:spacing w:val="40"/>
          <w:vertAlign w:val="baseline"/>
        </w:rPr>
        <w:t> </w:t>
      </w:r>
      <w:r>
        <w:rPr>
          <w:vertAlign w:val="baseline"/>
        </w:rPr>
        <w:t>awarding</w:t>
      </w:r>
      <w:r>
        <w:rPr>
          <w:spacing w:val="40"/>
          <w:vertAlign w:val="baseline"/>
        </w:rPr>
        <w:t> </w:t>
      </w:r>
      <w:r>
        <w:rPr>
          <w:vertAlign w:val="baseline"/>
        </w:rPr>
        <w:t>onshore</w:t>
      </w:r>
      <w:r>
        <w:rPr>
          <w:spacing w:val="40"/>
          <w:vertAlign w:val="baseline"/>
        </w:rPr>
        <w:t> </w:t>
      </w:r>
      <w:r>
        <w:rPr>
          <w:vertAlign w:val="baseline"/>
        </w:rPr>
        <w:t>and</w:t>
      </w:r>
      <w:r>
        <w:rPr>
          <w:spacing w:val="40"/>
          <w:vertAlign w:val="baseline"/>
        </w:rPr>
        <w:t> </w:t>
      </w:r>
      <w:r>
        <w:rPr>
          <w:vertAlign w:val="baseline"/>
        </w:rPr>
        <w:t>offshore</w:t>
      </w:r>
      <w:r>
        <w:rPr>
          <w:spacing w:val="40"/>
          <w:vertAlign w:val="baseline"/>
        </w:rPr>
        <w:t> </w:t>
      </w:r>
      <w:r>
        <w:rPr>
          <w:vertAlign w:val="baseline"/>
        </w:rPr>
        <w:t>oil</w:t>
      </w:r>
      <w:r>
        <w:rPr>
          <w:spacing w:val="40"/>
          <w:vertAlign w:val="baseline"/>
        </w:rPr>
        <w:t> </w:t>
      </w:r>
      <w:r>
        <w:rPr>
          <w:vertAlign w:val="baseline"/>
        </w:rPr>
        <w:t>blocks</w:t>
      </w:r>
      <w:r>
        <w:rPr>
          <w:spacing w:val="40"/>
          <w:vertAlign w:val="baseline"/>
        </w:rPr>
        <w:t> </w:t>
      </w:r>
      <w:r>
        <w:rPr>
          <w:vertAlign w:val="baseline"/>
        </w:rPr>
        <w:t>to</w:t>
      </w:r>
      <w:r>
        <w:rPr>
          <w:spacing w:val="40"/>
          <w:vertAlign w:val="baseline"/>
        </w:rPr>
        <w:t> </w:t>
      </w:r>
      <w:r>
        <w:rPr>
          <w:vertAlign w:val="baseline"/>
        </w:rPr>
        <w:t>Nigerian</w:t>
      </w:r>
      <w:r>
        <w:rPr>
          <w:spacing w:val="40"/>
          <w:vertAlign w:val="baseline"/>
        </w:rPr>
        <w:t> </w:t>
      </w:r>
      <w:r>
        <w:rPr>
          <w:vertAlign w:val="baseline"/>
        </w:rPr>
        <w:t>entrepreneurs</w:t>
      </w:r>
      <w:r>
        <w:rPr>
          <w:spacing w:val="40"/>
          <w:vertAlign w:val="baseline"/>
        </w:rPr>
        <w:t> </w:t>
      </w:r>
      <w:r>
        <w:rPr>
          <w:vertAlign w:val="baseline"/>
        </w:rPr>
        <w:t>through competitive bidding. Despite the seeming progress narrated above, the “Nigerianization” process in the lucrative process in the lucrative upstream has been</w:t>
      </w:r>
      <w:r>
        <w:rPr>
          <w:spacing w:val="80"/>
          <w:w w:val="150"/>
          <w:vertAlign w:val="baseline"/>
        </w:rPr>
        <w:t> </w:t>
      </w:r>
      <w:r>
        <w:rPr>
          <w:vertAlign w:val="baseline"/>
        </w:rPr>
        <w:t>comparatively negligible.</w:t>
      </w:r>
      <w:r>
        <w:rPr>
          <w:vertAlign w:val="superscript"/>
        </w:rPr>
        <w:t>45</w:t>
      </w:r>
      <w:r>
        <w:rPr>
          <w:vertAlign w:val="baseline"/>
        </w:rPr>
        <w:t> The primary reason</w:t>
      </w:r>
      <w:r>
        <w:rPr>
          <w:spacing w:val="-5"/>
          <w:vertAlign w:val="baseline"/>
        </w:rPr>
        <w:t> </w:t>
      </w:r>
      <w:r>
        <w:rPr>
          <w:vertAlign w:val="baseline"/>
        </w:rPr>
        <w:t>is</w:t>
      </w:r>
      <w:r>
        <w:rPr>
          <w:spacing w:val="-4"/>
          <w:vertAlign w:val="baseline"/>
        </w:rPr>
        <w:t> </w:t>
      </w:r>
      <w:r>
        <w:rPr>
          <w:vertAlign w:val="baseline"/>
        </w:rPr>
        <w:t>the</w:t>
      </w:r>
      <w:r>
        <w:rPr>
          <w:spacing w:val="-3"/>
          <w:vertAlign w:val="baseline"/>
        </w:rPr>
        <w:t> </w:t>
      </w:r>
      <w:r>
        <w:rPr>
          <w:vertAlign w:val="baseline"/>
        </w:rPr>
        <w:t>absence</w:t>
      </w:r>
      <w:r>
        <w:rPr>
          <w:spacing w:val="-4"/>
          <w:vertAlign w:val="baseline"/>
        </w:rPr>
        <w:t> </w:t>
      </w:r>
      <w:r>
        <w:rPr>
          <w:vertAlign w:val="baseline"/>
        </w:rPr>
        <w:t>of</w:t>
      </w:r>
      <w:r>
        <w:rPr>
          <w:spacing w:val="-2"/>
          <w:vertAlign w:val="baseline"/>
        </w:rPr>
        <w:t> </w:t>
      </w:r>
      <w:r>
        <w:rPr>
          <w:vertAlign w:val="baseline"/>
        </w:rPr>
        <w:t>legal or</w:t>
      </w:r>
      <w:r>
        <w:rPr>
          <w:spacing w:val="-6"/>
          <w:vertAlign w:val="baseline"/>
        </w:rPr>
        <w:t> </w:t>
      </w:r>
      <w:r>
        <w:rPr>
          <w:vertAlign w:val="baseline"/>
        </w:rPr>
        <w:t>statutory</w:t>
      </w:r>
      <w:r>
        <w:rPr>
          <w:spacing w:val="-8"/>
          <w:vertAlign w:val="baseline"/>
        </w:rPr>
        <w:t> </w:t>
      </w:r>
      <w:r>
        <w:rPr>
          <w:vertAlign w:val="baseline"/>
        </w:rPr>
        <w:t>frameworks</w:t>
      </w:r>
      <w:r>
        <w:rPr>
          <w:spacing w:val="-3"/>
          <w:vertAlign w:val="baseline"/>
        </w:rPr>
        <w:t> </w:t>
      </w:r>
      <w:r>
        <w:rPr>
          <w:vertAlign w:val="baseline"/>
        </w:rPr>
        <w:t>for</w:t>
      </w:r>
      <w:r>
        <w:rPr>
          <w:spacing w:val="-4"/>
          <w:vertAlign w:val="baseline"/>
        </w:rPr>
        <w:t> </w:t>
      </w:r>
      <w:r>
        <w:rPr>
          <w:vertAlign w:val="baseline"/>
        </w:rPr>
        <w:t>Nigeria</w:t>
      </w:r>
      <w:r>
        <w:rPr>
          <w:spacing w:val="-6"/>
          <w:vertAlign w:val="baseline"/>
        </w:rPr>
        <w:t> </w:t>
      </w:r>
      <w:r>
        <w:rPr>
          <w:vertAlign w:val="baseline"/>
        </w:rPr>
        <w:t>to harvest</w:t>
      </w:r>
      <w:r>
        <w:rPr>
          <w:spacing w:val="40"/>
          <w:vertAlign w:val="baseline"/>
        </w:rPr>
        <w:t> </w:t>
      </w:r>
      <w:r>
        <w:rPr>
          <w:vertAlign w:val="baseline"/>
        </w:rPr>
        <w:t>thetechnological</w:t>
      </w:r>
      <w:r>
        <w:rPr>
          <w:spacing w:val="80"/>
          <w:vertAlign w:val="baseline"/>
        </w:rPr>
        <w:t> </w:t>
      </w:r>
      <w:r>
        <w:rPr>
          <w:vertAlign w:val="baseline"/>
        </w:rPr>
        <w:t>industrial</w:t>
      </w:r>
      <w:r>
        <w:rPr>
          <w:spacing w:val="80"/>
          <w:vertAlign w:val="baseline"/>
        </w:rPr>
        <w:t> </w:t>
      </w:r>
      <w:r>
        <w:rPr>
          <w:vertAlign w:val="baseline"/>
        </w:rPr>
        <w:t>and</w:t>
      </w:r>
      <w:r>
        <w:rPr>
          <w:spacing w:val="80"/>
          <w:vertAlign w:val="baseline"/>
        </w:rPr>
        <w:t> </w:t>
      </w:r>
      <w:r>
        <w:rPr>
          <w:vertAlign w:val="baseline"/>
        </w:rPr>
        <w:t>economic</w:t>
      </w:r>
      <w:r>
        <w:rPr>
          <w:spacing w:val="80"/>
          <w:vertAlign w:val="baseline"/>
        </w:rPr>
        <w:t> </w:t>
      </w:r>
      <w:r>
        <w:rPr>
          <w:vertAlign w:val="baseline"/>
        </w:rPr>
        <w:t>intangible</w:t>
      </w:r>
      <w:r>
        <w:rPr>
          <w:spacing w:val="80"/>
          <w:vertAlign w:val="baseline"/>
        </w:rPr>
        <w:t> </w:t>
      </w:r>
      <w:r>
        <w:rPr>
          <w:vertAlign w:val="baseline"/>
        </w:rPr>
        <w:t>capital</w:t>
      </w:r>
      <w:r>
        <w:rPr>
          <w:spacing w:val="80"/>
          <w:vertAlign w:val="baseline"/>
        </w:rPr>
        <w:t> </w:t>
      </w:r>
      <w:r>
        <w:rPr>
          <w:vertAlign w:val="baseline"/>
        </w:rPr>
        <w:t>assets</w:t>
      </w:r>
      <w:r>
        <w:rPr>
          <w:spacing w:val="80"/>
          <w:vertAlign w:val="baseline"/>
        </w:rPr>
        <w:t> </w:t>
      </w:r>
      <w:r>
        <w:rPr>
          <w:vertAlign w:val="baseline"/>
        </w:rPr>
        <w:t>being generated</w:t>
      </w:r>
      <w:r>
        <w:rPr>
          <w:spacing w:val="40"/>
          <w:vertAlign w:val="baseline"/>
        </w:rPr>
        <w:t> </w:t>
      </w:r>
      <w:r>
        <w:rPr>
          <w:vertAlign w:val="baseline"/>
        </w:rPr>
        <w:t>by</w:t>
      </w:r>
      <w:r>
        <w:rPr>
          <w:spacing w:val="40"/>
          <w:vertAlign w:val="baseline"/>
        </w:rPr>
        <w:t> </w:t>
      </w:r>
      <w:r>
        <w:rPr>
          <w:vertAlign w:val="baseline"/>
        </w:rPr>
        <w:t>oil</w:t>
      </w:r>
      <w:r>
        <w:rPr>
          <w:spacing w:val="40"/>
          <w:vertAlign w:val="baseline"/>
        </w:rPr>
        <w:t> </w:t>
      </w:r>
      <w:r>
        <w:rPr>
          <w:vertAlign w:val="baseline"/>
        </w:rPr>
        <w:t>and</w:t>
      </w:r>
      <w:r>
        <w:rPr>
          <w:spacing w:val="40"/>
          <w:vertAlign w:val="baseline"/>
        </w:rPr>
        <w:t> </w:t>
      </w:r>
      <w:r>
        <w:rPr>
          <w:vertAlign w:val="baseline"/>
        </w:rPr>
        <w:t>gas</w:t>
      </w:r>
      <w:r>
        <w:rPr>
          <w:spacing w:val="40"/>
          <w:vertAlign w:val="baseline"/>
        </w:rPr>
        <w:t> </w:t>
      </w:r>
      <w:r>
        <w:rPr>
          <w:vertAlign w:val="baseline"/>
        </w:rPr>
        <w:t>activities</w:t>
      </w:r>
      <w:r>
        <w:rPr>
          <w:spacing w:val="40"/>
          <w:vertAlign w:val="baseline"/>
        </w:rPr>
        <w:t> </w:t>
      </w:r>
      <w:r>
        <w:rPr>
          <w:vertAlign w:val="baseline"/>
        </w:rPr>
        <w:t>for</w:t>
      </w:r>
      <w:r>
        <w:rPr>
          <w:spacing w:val="40"/>
          <w:vertAlign w:val="baseline"/>
        </w:rPr>
        <w:t> </w:t>
      </w:r>
      <w:r>
        <w:rPr>
          <w:vertAlign w:val="baseline"/>
        </w:rPr>
        <w:t>diffusion</w:t>
      </w:r>
      <w:r>
        <w:rPr>
          <w:spacing w:val="40"/>
          <w:vertAlign w:val="baseline"/>
        </w:rPr>
        <w:t> </w:t>
      </w:r>
      <w:r>
        <w:rPr>
          <w:vertAlign w:val="baseline"/>
        </w:rPr>
        <w:t>into</w:t>
      </w:r>
      <w:r>
        <w:rPr>
          <w:spacing w:val="40"/>
          <w:vertAlign w:val="baseline"/>
        </w:rPr>
        <w:t> </w:t>
      </w:r>
      <w:r>
        <w:rPr>
          <w:vertAlign w:val="baseline"/>
        </w:rPr>
        <w:t>the</w:t>
      </w:r>
      <w:r>
        <w:rPr>
          <w:spacing w:val="40"/>
          <w:vertAlign w:val="baseline"/>
        </w:rPr>
        <w:t> </w:t>
      </w:r>
      <w:r>
        <w:rPr>
          <w:vertAlign w:val="baseline"/>
        </w:rPr>
        <w:t>local</w:t>
      </w:r>
      <w:r>
        <w:rPr>
          <w:spacing w:val="40"/>
          <w:vertAlign w:val="baseline"/>
        </w:rPr>
        <w:t> </w:t>
      </w:r>
      <w:r>
        <w:rPr>
          <w:vertAlign w:val="baseline"/>
        </w:rPr>
        <w:t>economy.</w:t>
      </w:r>
      <w:r>
        <w:rPr>
          <w:spacing w:val="40"/>
          <w:vertAlign w:val="baseline"/>
        </w:rPr>
        <w:t> </w:t>
      </w:r>
      <w:r>
        <w:rPr>
          <w:vertAlign w:val="baseline"/>
        </w:rPr>
        <w:t>The</w:t>
      </w:r>
      <w:r>
        <w:rPr>
          <w:spacing w:val="40"/>
          <w:vertAlign w:val="baseline"/>
        </w:rPr>
        <w:t> </w:t>
      </w:r>
      <w:r>
        <w:rPr>
          <w:vertAlign w:val="baseline"/>
        </w:rPr>
        <w:t>enactment</w:t>
      </w:r>
    </w:p>
    <w:p>
      <w:pPr>
        <w:pStyle w:val="BodyText"/>
        <w:rPr>
          <w:sz w:val="20"/>
        </w:rPr>
      </w:pPr>
    </w:p>
    <w:p>
      <w:pPr>
        <w:pStyle w:val="BodyText"/>
        <w:rPr>
          <w:sz w:val="20"/>
        </w:rPr>
      </w:pPr>
    </w:p>
    <w:p>
      <w:pPr>
        <w:pStyle w:val="BodyText"/>
        <w:spacing w:before="143"/>
        <w:rPr>
          <w:sz w:val="20"/>
        </w:rPr>
      </w:pPr>
      <w:r>
        <w:rPr/>
        <mc:AlternateContent>
          <mc:Choice Requires="wps">
            <w:drawing>
              <wp:anchor distT="0" distB="0" distL="0" distR="0" allowOverlap="1" layoutInCell="1" locked="0" behindDoc="1" simplePos="0" relativeHeight="487602688">
                <wp:simplePos x="0" y="0"/>
                <wp:positionH relativeFrom="page">
                  <wp:posOffset>914704</wp:posOffset>
                </wp:positionH>
                <wp:positionV relativeFrom="paragraph">
                  <wp:posOffset>252587</wp:posOffset>
                </wp:positionV>
                <wp:extent cx="1829435" cy="9525"/>
                <wp:effectExtent l="0" t="0" r="0" b="0"/>
                <wp:wrapTopAndBottom/>
                <wp:docPr id="33" name="Graphic 33"/>
                <wp:cNvGraphicFramePr>
                  <a:graphicFrameLocks/>
                </wp:cNvGraphicFramePr>
                <a:graphic>
                  <a:graphicData uri="http://schemas.microsoft.com/office/word/2010/wordprocessingShape">
                    <wps:wsp>
                      <wps:cNvPr id="33" name="Graphic 33"/>
                      <wps:cNvSpPr/>
                      <wps:spPr>
                        <a:xfrm>
                          <a:off x="0" y="0"/>
                          <a:ext cx="1829435" cy="9525"/>
                        </a:xfrm>
                        <a:custGeom>
                          <a:avLst/>
                          <a:gdLst/>
                          <a:ahLst/>
                          <a:cxnLst/>
                          <a:rect l="l" t="t" r="r" b="b"/>
                          <a:pathLst>
                            <a:path w="1829435" h="9525">
                              <a:moveTo>
                                <a:pt x="1829054" y="0"/>
                              </a:moveTo>
                              <a:lnTo>
                                <a:pt x="0" y="0"/>
                              </a:lnTo>
                              <a:lnTo>
                                <a:pt x="0" y="9144"/>
                              </a:lnTo>
                              <a:lnTo>
                                <a:pt x="1829054" y="9144"/>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19.888798pt;width:144.020pt;height:.72003pt;mso-position-horizontal-relative:page;mso-position-vertical-relative:paragraph;z-index:-15713792;mso-wrap-distance-left:0;mso-wrap-distance-right:0" id="docshape33" filled="true" fillcolor="#000000" stroked="false">
                <v:fill type="solid"/>
                <w10:wrap type="topAndBottom"/>
              </v:rect>
            </w:pict>
          </mc:Fallback>
        </mc:AlternateContent>
      </w:r>
    </w:p>
    <w:p>
      <w:pPr>
        <w:spacing w:before="102"/>
        <w:ind w:left="360" w:right="0" w:firstLine="0"/>
        <w:jc w:val="left"/>
        <w:rPr>
          <w:rFonts w:ascii="Calibri"/>
          <w:sz w:val="20"/>
        </w:rPr>
      </w:pPr>
      <w:hyperlink r:id="rId10">
        <w:r>
          <w:rPr>
            <w:rFonts w:ascii="Calibri"/>
            <w:sz w:val="20"/>
            <w:vertAlign w:val="superscript"/>
          </w:rPr>
          <w:t>38</w:t>
        </w:r>
        <w:r>
          <w:rPr>
            <w:rFonts w:ascii="Calibri"/>
            <w:color w:val="0000FF"/>
            <w:sz w:val="20"/>
            <w:u w:val="single" w:color="0000FF"/>
            <w:vertAlign w:val="baseline"/>
          </w:rPr>
          <w:t>http://www.akindelano.com</w:t>
        </w:r>
      </w:hyperlink>
      <w:r>
        <w:rPr>
          <w:rFonts w:ascii="Calibri"/>
          <w:color w:val="0000FF"/>
          <w:spacing w:val="-5"/>
          <w:sz w:val="20"/>
          <w:vertAlign w:val="baseline"/>
        </w:rPr>
        <w:t> </w:t>
      </w:r>
      <w:r>
        <w:rPr>
          <w:rFonts w:ascii="Calibri"/>
          <w:sz w:val="20"/>
          <w:vertAlign w:val="baseline"/>
        </w:rPr>
        <w:t>accessed</w:t>
      </w:r>
      <w:r>
        <w:rPr>
          <w:rFonts w:ascii="Calibri"/>
          <w:spacing w:val="-8"/>
          <w:sz w:val="20"/>
          <w:vertAlign w:val="baseline"/>
        </w:rPr>
        <w:t> </w:t>
      </w:r>
      <w:r>
        <w:rPr>
          <w:rFonts w:ascii="Calibri"/>
          <w:sz w:val="20"/>
          <w:vertAlign w:val="baseline"/>
        </w:rPr>
        <w:t>on</w:t>
      </w:r>
      <w:r>
        <w:rPr>
          <w:rFonts w:ascii="Calibri"/>
          <w:spacing w:val="-8"/>
          <w:sz w:val="20"/>
          <w:vertAlign w:val="baseline"/>
        </w:rPr>
        <w:t> </w:t>
      </w:r>
      <w:r>
        <w:rPr>
          <w:rFonts w:ascii="Calibri"/>
          <w:sz w:val="20"/>
          <w:vertAlign w:val="baseline"/>
        </w:rPr>
        <w:t>the</w:t>
      </w:r>
      <w:r>
        <w:rPr>
          <w:rFonts w:ascii="Calibri"/>
          <w:spacing w:val="-9"/>
          <w:sz w:val="20"/>
          <w:vertAlign w:val="baseline"/>
        </w:rPr>
        <w:t> </w:t>
      </w:r>
      <w:r>
        <w:rPr>
          <w:rFonts w:ascii="Calibri"/>
          <w:sz w:val="20"/>
          <w:vertAlign w:val="baseline"/>
        </w:rPr>
        <w:t>15</w:t>
      </w:r>
      <w:r>
        <w:rPr>
          <w:rFonts w:ascii="Calibri"/>
          <w:sz w:val="20"/>
          <w:vertAlign w:val="superscript"/>
        </w:rPr>
        <w:t>th</w:t>
      </w:r>
      <w:r>
        <w:rPr>
          <w:rFonts w:ascii="Calibri"/>
          <w:spacing w:val="-9"/>
          <w:sz w:val="20"/>
          <w:vertAlign w:val="baseline"/>
        </w:rPr>
        <w:t> </w:t>
      </w:r>
      <w:r>
        <w:rPr>
          <w:rFonts w:ascii="Calibri"/>
          <w:sz w:val="20"/>
          <w:vertAlign w:val="baseline"/>
        </w:rPr>
        <w:t>of</w:t>
      </w:r>
      <w:r>
        <w:rPr>
          <w:rFonts w:ascii="Calibri"/>
          <w:spacing w:val="-10"/>
          <w:sz w:val="20"/>
          <w:vertAlign w:val="baseline"/>
        </w:rPr>
        <w:t> </w:t>
      </w:r>
      <w:r>
        <w:rPr>
          <w:rFonts w:ascii="Calibri"/>
          <w:spacing w:val="-2"/>
          <w:sz w:val="20"/>
          <w:vertAlign w:val="baseline"/>
        </w:rPr>
        <w:t>December,2013</w:t>
      </w:r>
    </w:p>
    <w:p>
      <w:pPr>
        <w:spacing w:line="243" w:lineRule="exact" w:before="1"/>
        <w:ind w:left="360" w:right="0" w:firstLine="0"/>
        <w:jc w:val="left"/>
        <w:rPr>
          <w:rFonts w:ascii="Calibri"/>
          <w:sz w:val="20"/>
        </w:rPr>
      </w:pPr>
      <w:r>
        <w:rPr>
          <w:rFonts w:ascii="Calibri"/>
          <w:sz w:val="20"/>
          <w:vertAlign w:val="superscript"/>
        </w:rPr>
        <w:t>39</w:t>
      </w:r>
      <w:r>
        <w:rPr>
          <w:rFonts w:ascii="Calibri"/>
          <w:spacing w:val="-4"/>
          <w:sz w:val="20"/>
          <w:vertAlign w:val="baseline"/>
        </w:rPr>
        <w:t> Ibid</w:t>
      </w:r>
    </w:p>
    <w:p>
      <w:pPr>
        <w:spacing w:line="243" w:lineRule="exact" w:before="0"/>
        <w:ind w:left="360" w:right="0" w:firstLine="0"/>
        <w:jc w:val="left"/>
        <w:rPr>
          <w:rFonts w:ascii="Calibri"/>
          <w:sz w:val="20"/>
        </w:rPr>
      </w:pPr>
      <w:r>
        <w:rPr>
          <w:rFonts w:ascii="Calibri"/>
          <w:sz w:val="20"/>
          <w:vertAlign w:val="superscript"/>
        </w:rPr>
        <w:t>40</w:t>
      </w:r>
      <w:r>
        <w:rPr>
          <w:rFonts w:ascii="Calibri"/>
          <w:spacing w:val="-6"/>
          <w:sz w:val="20"/>
          <w:vertAlign w:val="baseline"/>
        </w:rPr>
        <w:t> </w:t>
      </w:r>
      <w:r>
        <w:rPr>
          <w:rFonts w:ascii="Calibri"/>
          <w:sz w:val="20"/>
          <w:vertAlign w:val="baseline"/>
        </w:rPr>
        <w:t>Schedule</w:t>
      </w:r>
      <w:r>
        <w:rPr>
          <w:rFonts w:ascii="Calibri"/>
          <w:spacing w:val="-6"/>
          <w:sz w:val="20"/>
          <w:vertAlign w:val="baseline"/>
        </w:rPr>
        <w:t> </w:t>
      </w:r>
      <w:r>
        <w:rPr>
          <w:rFonts w:ascii="Calibri"/>
          <w:sz w:val="20"/>
          <w:vertAlign w:val="baseline"/>
        </w:rPr>
        <w:t>1</w:t>
      </w:r>
      <w:r>
        <w:rPr>
          <w:rFonts w:ascii="Calibri"/>
          <w:spacing w:val="-5"/>
          <w:sz w:val="20"/>
          <w:vertAlign w:val="baseline"/>
        </w:rPr>
        <w:t> </w:t>
      </w:r>
      <w:r>
        <w:rPr>
          <w:rFonts w:ascii="Calibri"/>
          <w:sz w:val="20"/>
          <w:vertAlign w:val="baseline"/>
        </w:rPr>
        <w:t>of</w:t>
      </w:r>
      <w:r>
        <w:rPr>
          <w:rFonts w:ascii="Calibri"/>
          <w:spacing w:val="-6"/>
          <w:sz w:val="20"/>
          <w:vertAlign w:val="baseline"/>
        </w:rPr>
        <w:t> </w:t>
      </w:r>
      <w:r>
        <w:rPr>
          <w:rFonts w:ascii="Calibri"/>
          <w:sz w:val="20"/>
          <w:vertAlign w:val="baseline"/>
        </w:rPr>
        <w:t>the</w:t>
      </w:r>
      <w:r>
        <w:rPr>
          <w:rFonts w:ascii="Calibri"/>
          <w:spacing w:val="-5"/>
          <w:sz w:val="20"/>
          <w:vertAlign w:val="baseline"/>
        </w:rPr>
        <w:t> </w:t>
      </w:r>
      <w:r>
        <w:rPr>
          <w:rFonts w:ascii="Calibri"/>
          <w:sz w:val="20"/>
          <w:vertAlign w:val="baseline"/>
        </w:rPr>
        <w:t>Petroleum</w:t>
      </w:r>
      <w:r>
        <w:rPr>
          <w:rFonts w:ascii="Calibri"/>
          <w:spacing w:val="-4"/>
          <w:sz w:val="20"/>
          <w:vertAlign w:val="baseline"/>
        </w:rPr>
        <w:t> </w:t>
      </w:r>
      <w:r>
        <w:rPr>
          <w:rFonts w:ascii="Calibri"/>
          <w:sz w:val="20"/>
          <w:vertAlign w:val="baseline"/>
        </w:rPr>
        <w:t>Act,</w:t>
      </w:r>
      <w:r>
        <w:rPr>
          <w:rFonts w:ascii="Calibri"/>
          <w:spacing w:val="-4"/>
          <w:sz w:val="20"/>
          <w:vertAlign w:val="baseline"/>
        </w:rPr>
        <w:t> </w:t>
      </w:r>
      <w:r>
        <w:rPr>
          <w:rFonts w:ascii="Calibri"/>
          <w:sz w:val="20"/>
          <w:vertAlign w:val="baseline"/>
        </w:rPr>
        <w:t>Cap</w:t>
      </w:r>
      <w:r>
        <w:rPr>
          <w:rFonts w:ascii="Calibri"/>
          <w:spacing w:val="-4"/>
          <w:sz w:val="20"/>
          <w:vertAlign w:val="baseline"/>
        </w:rPr>
        <w:t> </w:t>
      </w:r>
      <w:r>
        <w:rPr>
          <w:rFonts w:ascii="Calibri"/>
          <w:sz w:val="20"/>
          <w:vertAlign w:val="baseline"/>
        </w:rPr>
        <w:t>P10,</w:t>
      </w:r>
      <w:r>
        <w:rPr>
          <w:rFonts w:ascii="Calibri"/>
          <w:spacing w:val="-4"/>
          <w:sz w:val="20"/>
          <w:vertAlign w:val="baseline"/>
        </w:rPr>
        <w:t> </w:t>
      </w:r>
      <w:r>
        <w:rPr>
          <w:rFonts w:ascii="Calibri"/>
          <w:sz w:val="20"/>
          <w:vertAlign w:val="baseline"/>
        </w:rPr>
        <w:t>LFN,</w:t>
      </w:r>
      <w:r>
        <w:rPr>
          <w:rFonts w:ascii="Calibri"/>
          <w:spacing w:val="-4"/>
          <w:sz w:val="20"/>
          <w:vertAlign w:val="baseline"/>
        </w:rPr>
        <w:t> 2010</w:t>
      </w:r>
    </w:p>
    <w:p>
      <w:pPr>
        <w:spacing w:before="0"/>
        <w:ind w:left="360" w:right="0" w:firstLine="0"/>
        <w:jc w:val="left"/>
        <w:rPr>
          <w:rFonts w:ascii="Calibri"/>
          <w:sz w:val="20"/>
        </w:rPr>
      </w:pPr>
      <w:r>
        <w:rPr>
          <w:rFonts w:ascii="Calibri"/>
          <w:sz w:val="20"/>
          <w:vertAlign w:val="superscript"/>
        </w:rPr>
        <w:t>41</w:t>
      </w:r>
      <w:r>
        <w:rPr>
          <w:rFonts w:ascii="Calibri"/>
          <w:spacing w:val="-4"/>
          <w:sz w:val="20"/>
          <w:vertAlign w:val="baseline"/>
        </w:rPr>
        <w:t> 1971</w:t>
      </w:r>
    </w:p>
    <w:p>
      <w:pPr>
        <w:spacing w:before="1"/>
        <w:ind w:left="360" w:right="0" w:firstLine="0"/>
        <w:jc w:val="left"/>
        <w:rPr>
          <w:rFonts w:ascii="Calibri"/>
          <w:sz w:val="20"/>
        </w:rPr>
      </w:pPr>
      <w:r>
        <w:rPr>
          <w:rFonts w:ascii="Calibri"/>
          <w:sz w:val="20"/>
          <w:vertAlign w:val="superscript"/>
        </w:rPr>
        <w:t>42</w:t>
      </w:r>
      <w:r>
        <w:rPr>
          <w:rFonts w:ascii="Calibri"/>
          <w:spacing w:val="-4"/>
          <w:sz w:val="20"/>
          <w:vertAlign w:val="baseline"/>
        </w:rPr>
        <w:t> 1973</w:t>
      </w:r>
    </w:p>
    <w:p>
      <w:pPr>
        <w:spacing w:line="243" w:lineRule="exact" w:before="1"/>
        <w:ind w:left="360" w:right="0" w:firstLine="0"/>
        <w:jc w:val="left"/>
        <w:rPr>
          <w:rFonts w:ascii="Calibri"/>
          <w:sz w:val="20"/>
        </w:rPr>
      </w:pPr>
      <w:r>
        <w:rPr>
          <w:rFonts w:ascii="Calibri"/>
          <w:sz w:val="20"/>
          <w:vertAlign w:val="superscript"/>
        </w:rPr>
        <w:t>43</w:t>
      </w:r>
      <w:r>
        <w:rPr>
          <w:rFonts w:ascii="Calibri"/>
          <w:spacing w:val="-5"/>
          <w:sz w:val="20"/>
          <w:vertAlign w:val="baseline"/>
        </w:rPr>
        <w:t> </w:t>
      </w:r>
      <w:r>
        <w:rPr>
          <w:rFonts w:ascii="Calibri"/>
          <w:sz w:val="20"/>
          <w:vertAlign w:val="baseline"/>
        </w:rPr>
        <w:t>Cap</w:t>
      </w:r>
      <w:r>
        <w:rPr>
          <w:rFonts w:ascii="Calibri"/>
          <w:spacing w:val="-4"/>
          <w:sz w:val="20"/>
          <w:vertAlign w:val="baseline"/>
        </w:rPr>
        <w:t> </w:t>
      </w:r>
      <w:r>
        <w:rPr>
          <w:rFonts w:ascii="Calibri"/>
          <w:sz w:val="20"/>
          <w:vertAlign w:val="baseline"/>
        </w:rPr>
        <w:t>N123,</w:t>
      </w:r>
      <w:r>
        <w:rPr>
          <w:rFonts w:ascii="Calibri"/>
          <w:spacing w:val="-5"/>
          <w:sz w:val="20"/>
          <w:vertAlign w:val="baseline"/>
        </w:rPr>
        <w:t> </w:t>
      </w:r>
      <w:r>
        <w:rPr>
          <w:rFonts w:ascii="Calibri"/>
          <w:sz w:val="20"/>
          <w:vertAlign w:val="baseline"/>
        </w:rPr>
        <w:t>LFN,</w:t>
      </w:r>
      <w:r>
        <w:rPr>
          <w:rFonts w:ascii="Calibri"/>
          <w:spacing w:val="-3"/>
          <w:sz w:val="20"/>
          <w:vertAlign w:val="baseline"/>
        </w:rPr>
        <w:t> </w:t>
      </w:r>
      <w:r>
        <w:rPr>
          <w:rFonts w:ascii="Calibri"/>
          <w:spacing w:val="-4"/>
          <w:sz w:val="20"/>
          <w:vertAlign w:val="baseline"/>
        </w:rPr>
        <w:t>2010</w:t>
      </w:r>
    </w:p>
    <w:p>
      <w:pPr>
        <w:spacing w:line="243" w:lineRule="exact" w:before="0"/>
        <w:ind w:left="360" w:right="0" w:firstLine="0"/>
        <w:jc w:val="left"/>
        <w:rPr>
          <w:rFonts w:ascii="Calibri"/>
          <w:sz w:val="20"/>
        </w:rPr>
      </w:pPr>
      <w:hyperlink r:id="rId10">
        <w:r>
          <w:rPr>
            <w:rFonts w:ascii="Calibri"/>
            <w:sz w:val="20"/>
            <w:vertAlign w:val="superscript"/>
          </w:rPr>
          <w:t>44</w:t>
        </w:r>
        <w:r>
          <w:rPr>
            <w:rFonts w:ascii="Calibri"/>
            <w:color w:val="0000FF"/>
            <w:sz w:val="20"/>
            <w:u w:val="single" w:color="0000FF"/>
            <w:vertAlign w:val="baseline"/>
          </w:rPr>
          <w:t>http://www.akindelano.com</w:t>
        </w:r>
      </w:hyperlink>
      <w:r>
        <w:rPr>
          <w:rFonts w:ascii="Calibri"/>
          <w:color w:val="0000FF"/>
          <w:spacing w:val="-5"/>
          <w:sz w:val="20"/>
          <w:vertAlign w:val="baseline"/>
        </w:rPr>
        <w:t> </w:t>
      </w:r>
      <w:r>
        <w:rPr>
          <w:rFonts w:ascii="Calibri"/>
          <w:sz w:val="20"/>
          <w:vertAlign w:val="baseline"/>
        </w:rPr>
        <w:t>accessed</w:t>
      </w:r>
      <w:r>
        <w:rPr>
          <w:rFonts w:ascii="Calibri"/>
          <w:spacing w:val="-8"/>
          <w:sz w:val="20"/>
          <w:vertAlign w:val="baseline"/>
        </w:rPr>
        <w:t> </w:t>
      </w:r>
      <w:r>
        <w:rPr>
          <w:rFonts w:ascii="Calibri"/>
          <w:sz w:val="20"/>
          <w:vertAlign w:val="baseline"/>
        </w:rPr>
        <w:t>on</w:t>
      </w:r>
      <w:r>
        <w:rPr>
          <w:rFonts w:ascii="Calibri"/>
          <w:spacing w:val="-8"/>
          <w:sz w:val="20"/>
          <w:vertAlign w:val="baseline"/>
        </w:rPr>
        <w:t> </w:t>
      </w:r>
      <w:r>
        <w:rPr>
          <w:rFonts w:ascii="Calibri"/>
          <w:sz w:val="20"/>
          <w:vertAlign w:val="baseline"/>
        </w:rPr>
        <w:t>the</w:t>
      </w:r>
      <w:r>
        <w:rPr>
          <w:rFonts w:ascii="Calibri"/>
          <w:spacing w:val="-9"/>
          <w:sz w:val="20"/>
          <w:vertAlign w:val="baseline"/>
        </w:rPr>
        <w:t> </w:t>
      </w:r>
      <w:r>
        <w:rPr>
          <w:rFonts w:ascii="Calibri"/>
          <w:sz w:val="20"/>
          <w:vertAlign w:val="baseline"/>
        </w:rPr>
        <w:t>15</w:t>
      </w:r>
      <w:r>
        <w:rPr>
          <w:rFonts w:ascii="Calibri"/>
          <w:sz w:val="20"/>
          <w:vertAlign w:val="superscript"/>
        </w:rPr>
        <w:t>th</w:t>
      </w:r>
      <w:r>
        <w:rPr>
          <w:rFonts w:ascii="Calibri"/>
          <w:spacing w:val="-10"/>
          <w:sz w:val="20"/>
          <w:vertAlign w:val="baseline"/>
        </w:rPr>
        <w:t> </w:t>
      </w:r>
      <w:r>
        <w:rPr>
          <w:rFonts w:ascii="Calibri"/>
          <w:sz w:val="20"/>
          <w:vertAlign w:val="baseline"/>
        </w:rPr>
        <w:t>of</w:t>
      </w:r>
      <w:r>
        <w:rPr>
          <w:rFonts w:ascii="Calibri"/>
          <w:spacing w:val="-10"/>
          <w:sz w:val="20"/>
          <w:vertAlign w:val="baseline"/>
        </w:rPr>
        <w:t> </w:t>
      </w:r>
      <w:r>
        <w:rPr>
          <w:rFonts w:ascii="Calibri"/>
          <w:sz w:val="20"/>
          <w:vertAlign w:val="baseline"/>
        </w:rPr>
        <w:t>December,</w:t>
      </w:r>
      <w:r>
        <w:rPr>
          <w:rFonts w:ascii="Calibri"/>
          <w:spacing w:val="-8"/>
          <w:sz w:val="20"/>
          <w:vertAlign w:val="baseline"/>
        </w:rPr>
        <w:t> </w:t>
      </w:r>
      <w:r>
        <w:rPr>
          <w:rFonts w:ascii="Calibri"/>
          <w:spacing w:val="-4"/>
          <w:sz w:val="20"/>
          <w:vertAlign w:val="baseline"/>
        </w:rPr>
        <w:t>2013</w:t>
      </w:r>
    </w:p>
    <w:p>
      <w:pPr>
        <w:spacing w:before="0"/>
        <w:ind w:left="360" w:right="0" w:firstLine="0"/>
        <w:jc w:val="left"/>
        <w:rPr>
          <w:rFonts w:ascii="Calibri"/>
          <w:sz w:val="20"/>
        </w:rPr>
      </w:pPr>
      <w:r>
        <w:rPr>
          <w:rFonts w:ascii="Calibri"/>
          <w:sz w:val="20"/>
          <w:vertAlign w:val="superscript"/>
        </w:rPr>
        <w:t>45</w:t>
      </w:r>
      <w:r>
        <w:rPr>
          <w:rFonts w:ascii="Calibri"/>
          <w:spacing w:val="-4"/>
          <w:sz w:val="20"/>
          <w:vertAlign w:val="baseline"/>
        </w:rPr>
        <w:t> Ibid</w:t>
      </w:r>
    </w:p>
    <w:p>
      <w:pPr>
        <w:spacing w:after="0"/>
        <w:jc w:val="left"/>
        <w:rPr>
          <w:rFonts w:ascii="Calibri"/>
          <w:sz w:val="20"/>
        </w:rPr>
        <w:sectPr>
          <w:pgSz w:w="11910" w:h="16840"/>
          <w:pgMar w:header="0" w:footer="1000" w:top="1340" w:bottom="1200" w:left="1080" w:right="1280"/>
        </w:sectPr>
      </w:pPr>
    </w:p>
    <w:p>
      <w:pPr>
        <w:pStyle w:val="BodyText"/>
        <w:spacing w:line="480" w:lineRule="auto" w:before="114"/>
        <w:ind w:left="360" w:right="162"/>
        <w:jc w:val="both"/>
      </w:pPr>
      <w:r>
        <w:rPr/>
        <w:t>of</w:t>
      </w:r>
      <w:r>
        <w:rPr>
          <w:spacing w:val="40"/>
        </w:rPr>
        <w:t> </w:t>
      </w:r>
      <w:r>
        <w:rPr/>
        <w:t>Nigerian</w:t>
      </w:r>
      <w:r>
        <w:rPr>
          <w:spacing w:val="40"/>
        </w:rPr>
        <w:t> </w:t>
      </w:r>
      <w:r>
        <w:rPr/>
        <w:t>Oil</w:t>
      </w:r>
      <w:r>
        <w:rPr>
          <w:spacing w:val="40"/>
        </w:rPr>
        <w:t> </w:t>
      </w:r>
      <w:r>
        <w:rPr/>
        <w:t>and</w:t>
      </w:r>
      <w:r>
        <w:rPr>
          <w:spacing w:val="40"/>
        </w:rPr>
        <w:t> </w:t>
      </w:r>
      <w:r>
        <w:rPr/>
        <w:t>Gas</w:t>
      </w:r>
      <w:r>
        <w:rPr>
          <w:spacing w:val="40"/>
        </w:rPr>
        <w:t> </w:t>
      </w:r>
      <w:r>
        <w:rPr/>
        <w:t>Industry</w:t>
      </w:r>
      <w:r>
        <w:rPr>
          <w:spacing w:val="40"/>
        </w:rPr>
        <w:t> </w:t>
      </w:r>
      <w:r>
        <w:rPr/>
        <w:t>Content</w:t>
      </w:r>
      <w:r>
        <w:rPr>
          <w:spacing w:val="40"/>
        </w:rPr>
        <w:t> </w:t>
      </w:r>
      <w:r>
        <w:rPr/>
        <w:t>Development</w:t>
      </w:r>
      <w:r>
        <w:rPr>
          <w:spacing w:val="40"/>
        </w:rPr>
        <w:t> </w:t>
      </w:r>
      <w:r>
        <w:rPr/>
        <w:t>Act </w:t>
      </w:r>
      <w:r>
        <w:rPr>
          <w:vertAlign w:val="superscript"/>
        </w:rPr>
        <w:t>46</w:t>
      </w:r>
      <w:r>
        <w:rPr>
          <w:spacing w:val="40"/>
          <w:vertAlign w:val="baseline"/>
        </w:rPr>
        <w:t> </w:t>
      </w:r>
      <w:r>
        <w:rPr>
          <w:vertAlign w:val="baseline"/>
        </w:rPr>
        <w:t>seeks</w:t>
      </w:r>
      <w:r>
        <w:rPr>
          <w:spacing w:val="40"/>
          <w:vertAlign w:val="baseline"/>
        </w:rPr>
        <w:t> </w:t>
      </w:r>
      <w:r>
        <w:rPr>
          <w:vertAlign w:val="baseline"/>
        </w:rPr>
        <w:t>to</w:t>
      </w:r>
      <w:r>
        <w:rPr>
          <w:spacing w:val="40"/>
          <w:vertAlign w:val="baseline"/>
        </w:rPr>
        <w:t> </w:t>
      </w:r>
      <w:r>
        <w:rPr>
          <w:vertAlign w:val="baseline"/>
        </w:rPr>
        <w:t>increase indigenous</w:t>
      </w:r>
      <w:r>
        <w:rPr>
          <w:spacing w:val="80"/>
          <w:vertAlign w:val="baseline"/>
        </w:rPr>
        <w:t> </w:t>
      </w:r>
      <w:r>
        <w:rPr>
          <w:vertAlign w:val="baseline"/>
        </w:rPr>
        <w:t>participation</w:t>
      </w:r>
      <w:r>
        <w:rPr>
          <w:spacing w:val="80"/>
          <w:vertAlign w:val="baseline"/>
        </w:rPr>
        <w:t> </w:t>
      </w:r>
      <w:r>
        <w:rPr>
          <w:vertAlign w:val="baseline"/>
        </w:rPr>
        <w:t>in</w:t>
      </w:r>
      <w:r>
        <w:rPr>
          <w:spacing w:val="80"/>
          <w:vertAlign w:val="baseline"/>
        </w:rPr>
        <w:t> </w:t>
      </w:r>
      <w:r>
        <w:rPr>
          <w:vertAlign w:val="baseline"/>
        </w:rPr>
        <w:t>the</w:t>
      </w:r>
      <w:r>
        <w:rPr>
          <w:spacing w:val="80"/>
          <w:vertAlign w:val="baseline"/>
        </w:rPr>
        <w:t> </w:t>
      </w:r>
      <w:r>
        <w:rPr>
          <w:vertAlign w:val="baseline"/>
        </w:rPr>
        <w:t>Oil</w:t>
      </w:r>
      <w:r>
        <w:rPr>
          <w:spacing w:val="80"/>
          <w:vertAlign w:val="baseline"/>
        </w:rPr>
        <w:t> </w:t>
      </w:r>
      <w:r>
        <w:rPr>
          <w:vertAlign w:val="baseline"/>
        </w:rPr>
        <w:t>and</w:t>
      </w:r>
      <w:r>
        <w:rPr>
          <w:spacing w:val="80"/>
          <w:vertAlign w:val="baseline"/>
        </w:rPr>
        <w:t> </w:t>
      </w:r>
      <w:r>
        <w:rPr>
          <w:vertAlign w:val="baseline"/>
        </w:rPr>
        <w:t>gas</w:t>
      </w:r>
      <w:r>
        <w:rPr>
          <w:spacing w:val="80"/>
          <w:vertAlign w:val="baseline"/>
        </w:rPr>
        <w:t> </w:t>
      </w:r>
      <w:r>
        <w:rPr>
          <w:vertAlign w:val="baseline"/>
        </w:rPr>
        <w:t>industry</w:t>
      </w:r>
      <w:r>
        <w:rPr>
          <w:spacing w:val="80"/>
          <w:vertAlign w:val="baseline"/>
        </w:rPr>
        <w:t> </w:t>
      </w:r>
      <w:r>
        <w:rPr>
          <w:vertAlign w:val="baseline"/>
        </w:rPr>
        <w:t>by</w:t>
      </w:r>
      <w:r>
        <w:rPr>
          <w:spacing w:val="80"/>
          <w:vertAlign w:val="baseline"/>
        </w:rPr>
        <w:t> </w:t>
      </w:r>
      <w:r>
        <w:rPr>
          <w:vertAlign w:val="baseline"/>
        </w:rPr>
        <w:t>prescribing</w:t>
      </w:r>
      <w:r>
        <w:rPr>
          <w:spacing w:val="80"/>
          <w:vertAlign w:val="baseline"/>
        </w:rPr>
        <w:t> </w:t>
      </w:r>
      <w:r>
        <w:rPr>
          <w:vertAlign w:val="baseline"/>
        </w:rPr>
        <w:t>minimum thresholds for the use of local services and materials and to promote transfer of technology and</w:t>
      </w:r>
      <w:r>
        <w:rPr>
          <w:spacing w:val="40"/>
          <w:vertAlign w:val="baseline"/>
        </w:rPr>
        <w:t> </w:t>
      </w:r>
      <w:r>
        <w:rPr>
          <w:vertAlign w:val="baseline"/>
        </w:rPr>
        <w:t>skill</w:t>
      </w:r>
      <w:r>
        <w:rPr>
          <w:spacing w:val="40"/>
          <w:vertAlign w:val="baseline"/>
        </w:rPr>
        <w:t> </w:t>
      </w:r>
      <w:r>
        <w:rPr>
          <w:vertAlign w:val="baseline"/>
        </w:rPr>
        <w:t>to</w:t>
      </w:r>
      <w:r>
        <w:rPr>
          <w:spacing w:val="40"/>
          <w:vertAlign w:val="baseline"/>
        </w:rPr>
        <w:t> </w:t>
      </w:r>
      <w:r>
        <w:rPr>
          <w:vertAlign w:val="baseline"/>
        </w:rPr>
        <w:t>Nigerian</w:t>
      </w:r>
      <w:r>
        <w:rPr>
          <w:spacing w:val="40"/>
          <w:vertAlign w:val="baseline"/>
        </w:rPr>
        <w:t> </w:t>
      </w:r>
      <w:r>
        <w:rPr>
          <w:vertAlign w:val="baseline"/>
        </w:rPr>
        <w:t>staff</w:t>
      </w:r>
      <w:r>
        <w:rPr>
          <w:spacing w:val="40"/>
          <w:vertAlign w:val="baseline"/>
        </w:rPr>
        <w:t> </w:t>
      </w:r>
      <w:r>
        <w:rPr>
          <w:vertAlign w:val="baseline"/>
        </w:rPr>
        <w:t>and</w:t>
      </w:r>
      <w:r>
        <w:rPr>
          <w:spacing w:val="40"/>
          <w:vertAlign w:val="baseline"/>
        </w:rPr>
        <w:t> </w:t>
      </w:r>
      <w:r>
        <w:rPr>
          <w:vertAlign w:val="baseline"/>
        </w:rPr>
        <w:t>labour</w:t>
      </w:r>
      <w:r>
        <w:rPr>
          <w:spacing w:val="40"/>
          <w:vertAlign w:val="baseline"/>
        </w:rPr>
        <w:t> </w:t>
      </w:r>
      <w:r>
        <w:rPr>
          <w:vertAlign w:val="baseline"/>
        </w:rPr>
        <w:t>in</w:t>
      </w:r>
      <w:r>
        <w:rPr>
          <w:spacing w:val="40"/>
          <w:vertAlign w:val="baseline"/>
        </w:rPr>
        <w:t> </w:t>
      </w:r>
      <w:r>
        <w:rPr>
          <w:vertAlign w:val="baseline"/>
        </w:rPr>
        <w:t>the</w:t>
      </w:r>
      <w:r>
        <w:rPr>
          <w:spacing w:val="40"/>
          <w:vertAlign w:val="baseline"/>
        </w:rPr>
        <w:t> </w:t>
      </w:r>
      <w:r>
        <w:rPr>
          <w:vertAlign w:val="baseline"/>
        </w:rPr>
        <w:t>industry.</w:t>
      </w:r>
    </w:p>
    <w:p>
      <w:pPr>
        <w:pStyle w:val="BodyText"/>
        <w:spacing w:line="480" w:lineRule="auto"/>
        <w:ind w:left="360" w:right="153" w:firstLine="719"/>
        <w:jc w:val="both"/>
      </w:pPr>
      <w:r>
        <w:rPr/>
        <w:t>The Act</w:t>
      </w:r>
      <w:r>
        <w:rPr>
          <w:vertAlign w:val="superscript"/>
        </w:rPr>
        <w:t>47</w:t>
      </w:r>
      <w:r>
        <w:rPr>
          <w:vertAlign w:val="baseline"/>
        </w:rPr>
        <w:t> is comprehensive in nature, running into 107 sections and applies to all operators,</w:t>
      </w:r>
      <w:r>
        <w:rPr>
          <w:spacing w:val="20"/>
          <w:vertAlign w:val="baseline"/>
        </w:rPr>
        <w:t> </w:t>
      </w:r>
      <w:r>
        <w:rPr>
          <w:vertAlign w:val="baseline"/>
        </w:rPr>
        <w:t>contractors</w:t>
      </w:r>
      <w:r>
        <w:rPr>
          <w:spacing w:val="23"/>
          <w:vertAlign w:val="baseline"/>
        </w:rPr>
        <w:t> </w:t>
      </w:r>
      <w:r>
        <w:rPr>
          <w:vertAlign w:val="baseline"/>
        </w:rPr>
        <w:t>and</w:t>
      </w:r>
      <w:r>
        <w:rPr>
          <w:spacing w:val="20"/>
          <w:vertAlign w:val="baseline"/>
        </w:rPr>
        <w:t> </w:t>
      </w:r>
      <w:r>
        <w:rPr>
          <w:vertAlign w:val="baseline"/>
        </w:rPr>
        <w:t>other</w:t>
      </w:r>
      <w:r>
        <w:rPr>
          <w:spacing w:val="21"/>
          <w:vertAlign w:val="baseline"/>
        </w:rPr>
        <w:t> </w:t>
      </w:r>
      <w:r>
        <w:rPr>
          <w:vertAlign w:val="baseline"/>
        </w:rPr>
        <w:t>entities</w:t>
      </w:r>
      <w:r>
        <w:rPr>
          <w:spacing w:val="20"/>
          <w:vertAlign w:val="baseline"/>
        </w:rPr>
        <w:t> </w:t>
      </w:r>
      <w:r>
        <w:rPr>
          <w:vertAlign w:val="baseline"/>
        </w:rPr>
        <w:t>involved</w:t>
      </w:r>
      <w:r>
        <w:rPr>
          <w:spacing w:val="23"/>
          <w:vertAlign w:val="baseline"/>
        </w:rPr>
        <w:t> </w:t>
      </w:r>
      <w:r>
        <w:rPr>
          <w:vertAlign w:val="baseline"/>
        </w:rPr>
        <w:t>in</w:t>
      </w:r>
      <w:r>
        <w:rPr>
          <w:spacing w:val="23"/>
          <w:vertAlign w:val="baseline"/>
        </w:rPr>
        <w:t> </w:t>
      </w:r>
      <w:r>
        <w:rPr>
          <w:vertAlign w:val="baseline"/>
        </w:rPr>
        <w:t>any</w:t>
      </w:r>
      <w:r>
        <w:rPr>
          <w:spacing w:val="17"/>
          <w:vertAlign w:val="baseline"/>
        </w:rPr>
        <w:t> </w:t>
      </w:r>
      <w:r>
        <w:rPr>
          <w:vertAlign w:val="baseline"/>
        </w:rPr>
        <w:t>project</w:t>
      </w:r>
      <w:r>
        <w:rPr>
          <w:spacing w:val="38"/>
          <w:vertAlign w:val="baseline"/>
        </w:rPr>
        <w:t> </w:t>
      </w:r>
      <w:r>
        <w:rPr>
          <w:vertAlign w:val="baseline"/>
        </w:rPr>
        <w:t>in</w:t>
      </w:r>
      <w:r>
        <w:rPr>
          <w:spacing w:val="20"/>
          <w:vertAlign w:val="baseline"/>
        </w:rPr>
        <w:t> </w:t>
      </w:r>
      <w:r>
        <w:rPr>
          <w:vertAlign w:val="baseline"/>
        </w:rPr>
        <w:t>the</w:t>
      </w:r>
      <w:r>
        <w:rPr>
          <w:spacing w:val="19"/>
          <w:vertAlign w:val="baseline"/>
        </w:rPr>
        <w:t> </w:t>
      </w:r>
      <w:r>
        <w:rPr>
          <w:vertAlign w:val="baseline"/>
        </w:rPr>
        <w:t>oil</w:t>
      </w:r>
      <w:r>
        <w:rPr>
          <w:spacing w:val="24"/>
          <w:vertAlign w:val="baseline"/>
        </w:rPr>
        <w:t> </w:t>
      </w:r>
      <w:r>
        <w:rPr>
          <w:vertAlign w:val="baseline"/>
        </w:rPr>
        <w:t>and</w:t>
      </w:r>
      <w:r>
        <w:rPr>
          <w:spacing w:val="25"/>
          <w:vertAlign w:val="baseline"/>
        </w:rPr>
        <w:t> </w:t>
      </w:r>
      <w:r>
        <w:rPr>
          <w:vertAlign w:val="baseline"/>
        </w:rPr>
        <w:t>gas</w:t>
      </w:r>
      <w:r>
        <w:rPr>
          <w:spacing w:val="20"/>
          <w:vertAlign w:val="baseline"/>
        </w:rPr>
        <w:t> </w:t>
      </w:r>
      <w:r>
        <w:rPr>
          <w:vertAlign w:val="baseline"/>
        </w:rPr>
        <w:t>industry. It</w:t>
      </w:r>
      <w:r>
        <w:rPr>
          <w:spacing w:val="80"/>
          <w:vertAlign w:val="baseline"/>
        </w:rPr>
        <w:t> </w:t>
      </w:r>
      <w:r>
        <w:rPr>
          <w:vertAlign w:val="baseline"/>
        </w:rPr>
        <w:t>takes</w:t>
      </w:r>
      <w:r>
        <w:rPr>
          <w:spacing w:val="80"/>
          <w:vertAlign w:val="baseline"/>
        </w:rPr>
        <w:t> </w:t>
      </w:r>
      <w:r>
        <w:rPr>
          <w:vertAlign w:val="baseline"/>
        </w:rPr>
        <w:t>precedence</w:t>
      </w:r>
      <w:r>
        <w:rPr>
          <w:spacing w:val="80"/>
          <w:vertAlign w:val="baseline"/>
        </w:rPr>
        <w:t> </w:t>
      </w:r>
      <w:r>
        <w:rPr>
          <w:vertAlign w:val="baseline"/>
        </w:rPr>
        <w:t>over</w:t>
      </w:r>
      <w:r>
        <w:rPr>
          <w:spacing w:val="80"/>
          <w:vertAlign w:val="baseline"/>
        </w:rPr>
        <w:t> </w:t>
      </w:r>
      <w:r>
        <w:rPr>
          <w:vertAlign w:val="baseline"/>
        </w:rPr>
        <w:t>all</w:t>
      </w:r>
      <w:r>
        <w:rPr>
          <w:spacing w:val="80"/>
          <w:vertAlign w:val="baseline"/>
        </w:rPr>
        <w:t> </w:t>
      </w:r>
      <w:r>
        <w:rPr>
          <w:vertAlign w:val="baseline"/>
        </w:rPr>
        <w:t>other</w:t>
      </w:r>
      <w:r>
        <w:rPr>
          <w:spacing w:val="80"/>
          <w:vertAlign w:val="baseline"/>
        </w:rPr>
        <w:t> </w:t>
      </w:r>
      <w:r>
        <w:rPr>
          <w:vertAlign w:val="baseline"/>
        </w:rPr>
        <w:t>existing</w:t>
      </w:r>
      <w:r>
        <w:rPr>
          <w:spacing w:val="80"/>
          <w:vertAlign w:val="baseline"/>
        </w:rPr>
        <w:t> </w:t>
      </w:r>
      <w:r>
        <w:rPr>
          <w:vertAlign w:val="baseline"/>
        </w:rPr>
        <w:t>enactments</w:t>
      </w:r>
      <w:r>
        <w:rPr>
          <w:spacing w:val="80"/>
          <w:vertAlign w:val="baseline"/>
        </w:rPr>
        <w:t> </w:t>
      </w:r>
      <w:r>
        <w:rPr>
          <w:vertAlign w:val="baseline"/>
        </w:rPr>
        <w:t>and</w:t>
      </w:r>
      <w:r>
        <w:rPr>
          <w:spacing w:val="80"/>
          <w:vertAlign w:val="baseline"/>
        </w:rPr>
        <w:t> </w:t>
      </w:r>
      <w:r>
        <w:rPr>
          <w:vertAlign w:val="baseline"/>
        </w:rPr>
        <w:t>laws</w:t>
      </w:r>
      <w:r>
        <w:rPr>
          <w:spacing w:val="80"/>
          <w:vertAlign w:val="baseline"/>
        </w:rPr>
        <w:t> </w:t>
      </w:r>
      <w:r>
        <w:rPr>
          <w:vertAlign w:val="baseline"/>
        </w:rPr>
        <w:t>in</w:t>
      </w:r>
      <w:r>
        <w:rPr>
          <w:spacing w:val="80"/>
          <w:vertAlign w:val="baseline"/>
        </w:rPr>
        <w:t> </w:t>
      </w:r>
      <w:r>
        <w:rPr>
          <w:vertAlign w:val="baseline"/>
        </w:rPr>
        <w:t>respect</w:t>
      </w:r>
      <w:r>
        <w:rPr>
          <w:spacing w:val="80"/>
          <w:vertAlign w:val="baseline"/>
        </w:rPr>
        <w:t> </w:t>
      </w:r>
      <w:r>
        <w:rPr>
          <w:vertAlign w:val="baseline"/>
        </w:rPr>
        <w:t>of</w:t>
      </w:r>
      <w:r>
        <w:rPr>
          <w:spacing w:val="80"/>
          <w:vertAlign w:val="baseline"/>
        </w:rPr>
        <w:t> </w:t>
      </w:r>
      <w:r>
        <w:rPr>
          <w:vertAlign w:val="baseline"/>
        </w:rPr>
        <w:t>all matters</w:t>
      </w:r>
      <w:r>
        <w:rPr>
          <w:spacing w:val="25"/>
          <w:vertAlign w:val="baseline"/>
        </w:rPr>
        <w:t> </w:t>
      </w:r>
      <w:r>
        <w:rPr>
          <w:vertAlign w:val="baseline"/>
        </w:rPr>
        <w:t>and operations industry pertaining to Nigerian content carried out in the oil and gas.</w:t>
      </w:r>
      <w:r>
        <w:rPr>
          <w:spacing w:val="40"/>
          <w:vertAlign w:val="baseline"/>
        </w:rPr>
        <w:t> </w:t>
      </w:r>
      <w:r>
        <w:rPr>
          <w:vertAlign w:val="baseline"/>
        </w:rPr>
        <w:t>A</w:t>
      </w:r>
      <w:r>
        <w:rPr>
          <w:spacing w:val="40"/>
          <w:vertAlign w:val="baseline"/>
        </w:rPr>
        <w:t> </w:t>
      </w:r>
      <w:r>
        <w:rPr>
          <w:vertAlign w:val="baseline"/>
        </w:rPr>
        <w:t>Nigeria</w:t>
      </w:r>
      <w:r>
        <w:rPr>
          <w:spacing w:val="40"/>
          <w:vertAlign w:val="baseline"/>
        </w:rPr>
        <w:t> </w:t>
      </w:r>
      <w:r>
        <w:rPr>
          <w:vertAlign w:val="baseline"/>
        </w:rPr>
        <w:t>Content</w:t>
      </w:r>
      <w:r>
        <w:rPr>
          <w:spacing w:val="40"/>
          <w:vertAlign w:val="baseline"/>
        </w:rPr>
        <w:t> </w:t>
      </w:r>
      <w:r>
        <w:rPr>
          <w:vertAlign w:val="baseline"/>
        </w:rPr>
        <w:t>Development</w:t>
      </w:r>
      <w:r>
        <w:rPr>
          <w:spacing w:val="40"/>
          <w:vertAlign w:val="baseline"/>
        </w:rPr>
        <w:t> </w:t>
      </w:r>
      <w:r>
        <w:rPr>
          <w:vertAlign w:val="baseline"/>
        </w:rPr>
        <w:t>and</w:t>
      </w:r>
      <w:r>
        <w:rPr>
          <w:spacing w:val="40"/>
          <w:vertAlign w:val="baseline"/>
        </w:rPr>
        <w:t> </w:t>
      </w:r>
      <w:r>
        <w:rPr>
          <w:vertAlign w:val="baseline"/>
        </w:rPr>
        <w:t>Monitoring</w:t>
      </w:r>
      <w:r>
        <w:rPr>
          <w:spacing w:val="40"/>
          <w:vertAlign w:val="baseline"/>
        </w:rPr>
        <w:t> </w:t>
      </w:r>
      <w:r>
        <w:rPr>
          <w:vertAlign w:val="baseline"/>
        </w:rPr>
        <w:t>Board</w:t>
      </w:r>
      <w:r>
        <w:rPr>
          <w:spacing w:val="40"/>
          <w:vertAlign w:val="baseline"/>
        </w:rPr>
        <w:t> </w:t>
      </w:r>
      <w:r>
        <w:rPr>
          <w:vertAlign w:val="baseline"/>
        </w:rPr>
        <w:t>(the</w:t>
      </w:r>
      <w:r>
        <w:rPr>
          <w:spacing w:val="40"/>
          <w:vertAlign w:val="baseline"/>
        </w:rPr>
        <w:t> </w:t>
      </w:r>
      <w:r>
        <w:rPr>
          <w:vertAlign w:val="baseline"/>
        </w:rPr>
        <w:t>Board)</w:t>
      </w:r>
      <w:r>
        <w:rPr>
          <w:spacing w:val="40"/>
          <w:vertAlign w:val="baseline"/>
        </w:rPr>
        <w:t> </w:t>
      </w:r>
      <w:r>
        <w:rPr>
          <w:vertAlign w:val="baseline"/>
        </w:rPr>
        <w:t>has</w:t>
      </w:r>
      <w:r>
        <w:rPr>
          <w:spacing w:val="40"/>
          <w:vertAlign w:val="baseline"/>
        </w:rPr>
        <w:t> </w:t>
      </w:r>
      <w:r>
        <w:rPr>
          <w:vertAlign w:val="baseline"/>
        </w:rPr>
        <w:t>beenestablished and</w:t>
      </w:r>
      <w:r>
        <w:rPr>
          <w:spacing w:val="40"/>
          <w:vertAlign w:val="baseline"/>
        </w:rPr>
        <w:t> </w:t>
      </w:r>
      <w:r>
        <w:rPr>
          <w:vertAlign w:val="baseline"/>
        </w:rPr>
        <w:t>vested</w:t>
      </w:r>
      <w:r>
        <w:rPr>
          <w:spacing w:val="40"/>
          <w:vertAlign w:val="baseline"/>
        </w:rPr>
        <w:t> </w:t>
      </w:r>
      <w:r>
        <w:rPr>
          <w:vertAlign w:val="baseline"/>
        </w:rPr>
        <w:t>with</w:t>
      </w:r>
      <w:r>
        <w:rPr>
          <w:spacing w:val="40"/>
          <w:vertAlign w:val="baseline"/>
        </w:rPr>
        <w:t> </w:t>
      </w:r>
      <w:r>
        <w:rPr>
          <w:vertAlign w:val="baseline"/>
        </w:rPr>
        <w:t>the</w:t>
      </w:r>
      <w:r>
        <w:rPr>
          <w:spacing w:val="40"/>
          <w:vertAlign w:val="baseline"/>
        </w:rPr>
        <w:t> </w:t>
      </w:r>
      <w:r>
        <w:rPr>
          <w:vertAlign w:val="baseline"/>
        </w:rPr>
        <w:t>responsibility</w:t>
      </w:r>
      <w:r>
        <w:rPr>
          <w:spacing w:val="40"/>
          <w:vertAlign w:val="baseline"/>
        </w:rPr>
        <w:t> </w:t>
      </w:r>
      <w:r>
        <w:rPr>
          <w:vertAlign w:val="baseline"/>
        </w:rPr>
        <w:t>to</w:t>
      </w:r>
      <w:r>
        <w:rPr>
          <w:spacing w:val="40"/>
          <w:vertAlign w:val="baseline"/>
        </w:rPr>
        <w:t> </w:t>
      </w:r>
      <w:r>
        <w:rPr>
          <w:vertAlign w:val="baseline"/>
        </w:rPr>
        <w:t>implement</w:t>
      </w:r>
      <w:r>
        <w:rPr>
          <w:spacing w:val="40"/>
          <w:vertAlign w:val="baseline"/>
        </w:rPr>
        <w:t> </w:t>
      </w:r>
      <w:r>
        <w:rPr>
          <w:vertAlign w:val="baseline"/>
        </w:rPr>
        <w:t>the</w:t>
      </w:r>
      <w:r>
        <w:rPr>
          <w:spacing w:val="40"/>
          <w:vertAlign w:val="baseline"/>
        </w:rPr>
        <w:t> </w:t>
      </w:r>
      <w:r>
        <w:rPr>
          <w:vertAlign w:val="baseline"/>
        </w:rPr>
        <w:t>provisions</w:t>
      </w:r>
      <w:r>
        <w:rPr>
          <w:spacing w:val="40"/>
          <w:vertAlign w:val="baseline"/>
        </w:rPr>
        <w:t> </w:t>
      </w:r>
      <w:r>
        <w:rPr>
          <w:vertAlign w:val="baseline"/>
        </w:rPr>
        <w:t>of</w:t>
      </w:r>
      <w:r>
        <w:rPr>
          <w:spacing w:val="40"/>
          <w:vertAlign w:val="baseline"/>
        </w:rPr>
        <w:t> </w:t>
      </w:r>
      <w:r>
        <w:rPr>
          <w:vertAlign w:val="baseline"/>
        </w:rPr>
        <w:t>the</w:t>
      </w:r>
      <w:r>
        <w:rPr>
          <w:spacing w:val="40"/>
          <w:vertAlign w:val="baseline"/>
        </w:rPr>
        <w:t> </w:t>
      </w:r>
      <w:r>
        <w:rPr>
          <w:vertAlign w:val="baseline"/>
        </w:rPr>
        <w:t>Act,</w:t>
      </w:r>
      <w:r>
        <w:rPr>
          <w:spacing w:val="40"/>
          <w:vertAlign w:val="baseline"/>
        </w:rPr>
        <w:t> </w:t>
      </w:r>
      <w:r>
        <w:rPr>
          <w:vertAlign w:val="baseline"/>
        </w:rPr>
        <w:t>make procedural</w:t>
      </w:r>
      <w:r>
        <w:rPr>
          <w:spacing w:val="80"/>
          <w:vertAlign w:val="baseline"/>
        </w:rPr>
        <w:t> </w:t>
      </w:r>
      <w:r>
        <w:rPr>
          <w:vertAlign w:val="baseline"/>
        </w:rPr>
        <w:t>guidelines</w:t>
      </w:r>
      <w:r>
        <w:rPr>
          <w:spacing w:val="80"/>
          <w:vertAlign w:val="baseline"/>
        </w:rPr>
        <w:t> </w:t>
      </w:r>
      <w:r>
        <w:rPr>
          <w:vertAlign w:val="baseline"/>
        </w:rPr>
        <w:t>and</w:t>
      </w:r>
      <w:r>
        <w:rPr>
          <w:spacing w:val="80"/>
          <w:vertAlign w:val="baseline"/>
        </w:rPr>
        <w:t> </w:t>
      </w:r>
      <w:r>
        <w:rPr>
          <w:vertAlign w:val="baseline"/>
        </w:rPr>
        <w:t>monitor</w:t>
      </w:r>
      <w:r>
        <w:rPr>
          <w:spacing w:val="80"/>
          <w:vertAlign w:val="baseline"/>
        </w:rPr>
        <w:t> </w:t>
      </w:r>
      <w:r>
        <w:rPr>
          <w:vertAlign w:val="baseline"/>
        </w:rPr>
        <w:t>compliance</w:t>
      </w:r>
      <w:r>
        <w:rPr>
          <w:spacing w:val="80"/>
          <w:vertAlign w:val="baseline"/>
        </w:rPr>
        <w:t> </w:t>
      </w:r>
      <w:r>
        <w:rPr>
          <w:vertAlign w:val="baseline"/>
        </w:rPr>
        <w:t>by</w:t>
      </w:r>
      <w:r>
        <w:rPr>
          <w:spacing w:val="80"/>
          <w:vertAlign w:val="baseline"/>
        </w:rPr>
        <w:t> </w:t>
      </w:r>
      <w:r>
        <w:rPr>
          <w:vertAlign w:val="baseline"/>
        </w:rPr>
        <w:t>operators</w:t>
      </w:r>
      <w:r>
        <w:rPr>
          <w:spacing w:val="80"/>
          <w:vertAlign w:val="baseline"/>
        </w:rPr>
        <w:t> </w:t>
      </w:r>
      <w:r>
        <w:rPr>
          <w:vertAlign w:val="baseline"/>
        </w:rPr>
        <w:t>within</w:t>
      </w:r>
      <w:r>
        <w:rPr>
          <w:spacing w:val="80"/>
          <w:vertAlign w:val="baseline"/>
        </w:rPr>
        <w:t> </w:t>
      </w:r>
      <w:r>
        <w:rPr>
          <w:vertAlign w:val="baseline"/>
        </w:rPr>
        <w:t>the</w:t>
      </w:r>
      <w:r>
        <w:rPr>
          <w:spacing w:val="80"/>
          <w:vertAlign w:val="baseline"/>
        </w:rPr>
        <w:t> </w:t>
      </w:r>
      <w:r>
        <w:rPr>
          <w:vertAlign w:val="baseline"/>
        </w:rPr>
        <w:t>oil</w:t>
      </w:r>
      <w:r>
        <w:rPr>
          <w:spacing w:val="80"/>
          <w:vertAlign w:val="baseline"/>
        </w:rPr>
        <w:t> </w:t>
      </w:r>
      <w:r>
        <w:rPr>
          <w:vertAlign w:val="baseline"/>
        </w:rPr>
        <w:t>industry. The</w:t>
      </w:r>
      <w:r>
        <w:rPr>
          <w:spacing w:val="40"/>
          <w:vertAlign w:val="baseline"/>
        </w:rPr>
        <w:t> </w:t>
      </w:r>
      <w:r>
        <w:rPr>
          <w:vertAlign w:val="baseline"/>
        </w:rPr>
        <w:t>Act</w:t>
      </w:r>
      <w:r>
        <w:rPr>
          <w:spacing w:val="40"/>
          <w:vertAlign w:val="baseline"/>
        </w:rPr>
        <w:t> </w:t>
      </w:r>
      <w:r>
        <w:rPr>
          <w:vertAlign w:val="baseline"/>
        </w:rPr>
        <w:t>set</w:t>
      </w:r>
      <w:r>
        <w:rPr>
          <w:spacing w:val="40"/>
          <w:vertAlign w:val="baseline"/>
        </w:rPr>
        <w:t> </w:t>
      </w:r>
      <w:r>
        <w:rPr>
          <w:vertAlign w:val="baseline"/>
        </w:rPr>
        <w:t>out</w:t>
      </w:r>
      <w:r>
        <w:rPr>
          <w:spacing w:val="40"/>
          <w:vertAlign w:val="baseline"/>
        </w:rPr>
        <w:t> </w:t>
      </w:r>
      <w:r>
        <w:rPr>
          <w:vertAlign w:val="baseline"/>
        </w:rPr>
        <w:t>general</w:t>
      </w:r>
      <w:r>
        <w:rPr>
          <w:spacing w:val="40"/>
          <w:vertAlign w:val="baseline"/>
        </w:rPr>
        <w:t> </w:t>
      </w:r>
      <w:r>
        <w:rPr>
          <w:vertAlign w:val="baseline"/>
        </w:rPr>
        <w:t>obligations</w:t>
      </w:r>
      <w:r>
        <w:rPr>
          <w:spacing w:val="40"/>
          <w:vertAlign w:val="baseline"/>
        </w:rPr>
        <w:t> </w:t>
      </w:r>
      <w:r>
        <w:rPr>
          <w:vertAlign w:val="baseline"/>
        </w:rPr>
        <w:t>which</w:t>
      </w:r>
      <w:r>
        <w:rPr>
          <w:spacing w:val="40"/>
          <w:vertAlign w:val="baseline"/>
        </w:rPr>
        <w:t> </w:t>
      </w:r>
      <w:r>
        <w:rPr>
          <w:vertAlign w:val="baseline"/>
        </w:rPr>
        <w:t>are</w:t>
      </w:r>
      <w:r>
        <w:rPr>
          <w:spacing w:val="40"/>
          <w:vertAlign w:val="baseline"/>
        </w:rPr>
        <w:t> </w:t>
      </w:r>
      <w:r>
        <w:rPr>
          <w:vertAlign w:val="baseline"/>
        </w:rPr>
        <w:t>applicable</w:t>
      </w:r>
      <w:r>
        <w:rPr>
          <w:spacing w:val="40"/>
          <w:vertAlign w:val="baseline"/>
        </w:rPr>
        <w:t> </w:t>
      </w:r>
      <w:r>
        <w:rPr>
          <w:vertAlign w:val="baseline"/>
        </w:rPr>
        <w:t>either</w:t>
      </w:r>
      <w:r>
        <w:rPr>
          <w:spacing w:val="40"/>
          <w:vertAlign w:val="baseline"/>
        </w:rPr>
        <w:t> </w:t>
      </w:r>
      <w:r>
        <w:rPr>
          <w:vertAlign w:val="baseline"/>
        </w:rPr>
        <w:t>by</w:t>
      </w:r>
      <w:r>
        <w:rPr>
          <w:spacing w:val="40"/>
          <w:vertAlign w:val="baseline"/>
        </w:rPr>
        <w:t> </w:t>
      </w:r>
      <w:r>
        <w:rPr>
          <w:vertAlign w:val="baseline"/>
        </w:rPr>
        <w:t>reference</w:t>
      </w:r>
      <w:r>
        <w:rPr>
          <w:spacing w:val="40"/>
          <w:vertAlign w:val="baseline"/>
        </w:rPr>
        <w:t> </w:t>
      </w:r>
      <w:r>
        <w:rPr>
          <w:vertAlign w:val="baseline"/>
        </w:rPr>
        <w:t>to</w:t>
      </w:r>
      <w:r>
        <w:rPr>
          <w:spacing w:val="40"/>
          <w:vertAlign w:val="baseline"/>
        </w:rPr>
        <w:t> </w:t>
      </w:r>
      <w:r>
        <w:rPr>
          <w:vertAlign w:val="baseline"/>
        </w:rPr>
        <w:t>the operators</w:t>
      </w:r>
      <w:r>
        <w:rPr>
          <w:spacing w:val="29"/>
          <w:vertAlign w:val="baseline"/>
        </w:rPr>
        <w:t> </w:t>
      </w:r>
      <w:r>
        <w:rPr>
          <w:vertAlign w:val="baseline"/>
        </w:rPr>
        <w:t>and</w:t>
      </w:r>
      <w:r>
        <w:rPr>
          <w:spacing w:val="29"/>
          <w:vertAlign w:val="baseline"/>
        </w:rPr>
        <w:t> </w:t>
      </w:r>
      <w:r>
        <w:rPr>
          <w:vertAlign w:val="baseline"/>
        </w:rPr>
        <w:t>participants</w:t>
      </w:r>
      <w:r>
        <w:rPr>
          <w:spacing w:val="29"/>
          <w:vertAlign w:val="baseline"/>
        </w:rPr>
        <w:t> </w:t>
      </w:r>
      <w:r>
        <w:rPr>
          <w:vertAlign w:val="baseline"/>
        </w:rPr>
        <w:t>in the</w:t>
      </w:r>
      <w:r>
        <w:rPr>
          <w:spacing w:val="28"/>
          <w:vertAlign w:val="baseline"/>
        </w:rPr>
        <w:t> </w:t>
      </w:r>
      <w:r>
        <w:rPr>
          <w:vertAlign w:val="baseline"/>
        </w:rPr>
        <w:t>Oil</w:t>
      </w:r>
      <w:r>
        <w:rPr>
          <w:spacing w:val="28"/>
          <w:vertAlign w:val="baseline"/>
        </w:rPr>
        <w:t> </w:t>
      </w:r>
      <w:r>
        <w:rPr>
          <w:vertAlign w:val="baseline"/>
        </w:rPr>
        <w:t>and</w:t>
      </w:r>
      <w:r>
        <w:rPr>
          <w:spacing w:val="29"/>
          <w:vertAlign w:val="baseline"/>
        </w:rPr>
        <w:t> </w:t>
      </w:r>
      <w:r>
        <w:rPr>
          <w:vertAlign w:val="baseline"/>
        </w:rPr>
        <w:t>Gas</w:t>
      </w:r>
      <w:r>
        <w:rPr>
          <w:spacing w:val="29"/>
          <w:vertAlign w:val="baseline"/>
        </w:rPr>
        <w:t> </w:t>
      </w:r>
      <w:r>
        <w:rPr>
          <w:vertAlign w:val="baseline"/>
        </w:rPr>
        <w:t>Industry or</w:t>
      </w:r>
      <w:r>
        <w:rPr>
          <w:spacing w:val="29"/>
          <w:vertAlign w:val="baseline"/>
        </w:rPr>
        <w:t> </w:t>
      </w:r>
      <w:r>
        <w:rPr>
          <w:vertAlign w:val="baseline"/>
        </w:rPr>
        <w:t>activities</w:t>
      </w:r>
      <w:r>
        <w:rPr>
          <w:spacing w:val="40"/>
          <w:vertAlign w:val="baseline"/>
        </w:rPr>
        <w:t> </w:t>
      </w:r>
      <w:r>
        <w:rPr>
          <w:vertAlign w:val="baseline"/>
        </w:rPr>
        <w:t>taking</w:t>
      </w:r>
      <w:r>
        <w:rPr>
          <w:spacing w:val="34"/>
          <w:vertAlign w:val="baseline"/>
        </w:rPr>
        <w:t> </w:t>
      </w:r>
      <w:r>
        <w:rPr>
          <w:vertAlign w:val="baseline"/>
        </w:rPr>
        <w:t>place</w:t>
      </w:r>
      <w:r>
        <w:rPr>
          <w:spacing w:val="36"/>
          <w:vertAlign w:val="baseline"/>
        </w:rPr>
        <w:t> </w:t>
      </w:r>
      <w:r>
        <w:rPr>
          <w:vertAlign w:val="baseline"/>
        </w:rPr>
        <w:t>in</w:t>
      </w:r>
      <w:r>
        <w:rPr>
          <w:spacing w:val="37"/>
          <w:vertAlign w:val="baseline"/>
        </w:rPr>
        <w:t> </w:t>
      </w:r>
      <w:r>
        <w:rPr>
          <w:vertAlign w:val="baseline"/>
        </w:rPr>
        <w:t>the</w:t>
      </w:r>
      <w:r>
        <w:rPr>
          <w:spacing w:val="36"/>
          <w:vertAlign w:val="baseline"/>
        </w:rPr>
        <w:t> </w:t>
      </w:r>
      <w:r>
        <w:rPr>
          <w:vertAlign w:val="baseline"/>
        </w:rPr>
        <w:t>Oil and Gas industry. The overall local content policy objective and obligation imposed in</w:t>
      </w:r>
      <w:r>
        <w:rPr>
          <w:spacing w:val="40"/>
          <w:vertAlign w:val="baseline"/>
        </w:rPr>
        <w:t> </w:t>
      </w:r>
      <w:r>
        <w:rPr>
          <w:vertAlign w:val="baseline"/>
        </w:rPr>
        <w:t>respect</w:t>
      </w:r>
      <w:r>
        <w:rPr>
          <w:spacing w:val="40"/>
          <w:vertAlign w:val="baseline"/>
        </w:rPr>
        <w:t> </w:t>
      </w:r>
      <w:r>
        <w:rPr>
          <w:vertAlign w:val="baseline"/>
        </w:rPr>
        <w:t>of</w:t>
      </w:r>
      <w:r>
        <w:rPr>
          <w:spacing w:val="40"/>
          <w:vertAlign w:val="baseline"/>
        </w:rPr>
        <w:t> </w:t>
      </w:r>
      <w:r>
        <w:rPr>
          <w:vertAlign w:val="baseline"/>
        </w:rPr>
        <w:t>transactions</w:t>
      </w:r>
      <w:r>
        <w:rPr>
          <w:spacing w:val="40"/>
          <w:vertAlign w:val="baseline"/>
        </w:rPr>
        <w:t> </w:t>
      </w:r>
      <w:r>
        <w:rPr>
          <w:vertAlign w:val="baseline"/>
        </w:rPr>
        <w:t>within</w:t>
      </w:r>
      <w:r>
        <w:rPr>
          <w:spacing w:val="40"/>
          <w:vertAlign w:val="baseline"/>
        </w:rPr>
        <w:t> </w:t>
      </w:r>
      <w:r>
        <w:rPr>
          <w:vertAlign w:val="baseline"/>
        </w:rPr>
        <w:t>the</w:t>
      </w:r>
      <w:r>
        <w:rPr>
          <w:spacing w:val="40"/>
          <w:vertAlign w:val="baseline"/>
        </w:rPr>
        <w:t> </w:t>
      </w:r>
      <w:r>
        <w:rPr>
          <w:vertAlign w:val="baseline"/>
        </w:rPr>
        <w:t>oil</w:t>
      </w:r>
      <w:r>
        <w:rPr>
          <w:spacing w:val="40"/>
          <w:vertAlign w:val="baseline"/>
        </w:rPr>
        <w:t> </w:t>
      </w:r>
      <w:r>
        <w:rPr>
          <w:vertAlign w:val="baseline"/>
        </w:rPr>
        <w:t>and</w:t>
      </w:r>
      <w:r>
        <w:rPr>
          <w:spacing w:val="40"/>
          <w:vertAlign w:val="baseline"/>
        </w:rPr>
        <w:t> </w:t>
      </w:r>
      <w:r>
        <w:rPr>
          <w:vertAlign w:val="baseline"/>
        </w:rPr>
        <w:t>gas</w:t>
      </w:r>
      <w:r>
        <w:rPr>
          <w:spacing w:val="40"/>
          <w:vertAlign w:val="baseline"/>
        </w:rPr>
        <w:t> </w:t>
      </w:r>
      <w:r>
        <w:rPr>
          <w:vertAlign w:val="baseline"/>
        </w:rPr>
        <w:t>industry</w:t>
      </w:r>
      <w:r>
        <w:rPr>
          <w:spacing w:val="40"/>
          <w:vertAlign w:val="baseline"/>
        </w:rPr>
        <w:t> </w:t>
      </w:r>
      <w:r>
        <w:rPr>
          <w:vertAlign w:val="baseline"/>
        </w:rPr>
        <w:t>are</w:t>
      </w:r>
      <w:r>
        <w:rPr>
          <w:spacing w:val="40"/>
          <w:vertAlign w:val="baseline"/>
        </w:rPr>
        <w:t> </w:t>
      </w:r>
      <w:r>
        <w:rPr>
          <w:vertAlign w:val="baseline"/>
        </w:rPr>
        <w:t>set</w:t>
      </w:r>
      <w:r>
        <w:rPr>
          <w:spacing w:val="40"/>
          <w:vertAlign w:val="baseline"/>
        </w:rPr>
        <w:t> </w:t>
      </w:r>
      <w:r>
        <w:rPr>
          <w:vertAlign w:val="baseline"/>
        </w:rPr>
        <w:t>out</w:t>
      </w:r>
      <w:r>
        <w:rPr>
          <w:spacing w:val="37"/>
          <w:vertAlign w:val="baseline"/>
        </w:rPr>
        <w:t> </w:t>
      </w:r>
      <w:r>
        <w:rPr>
          <w:vertAlign w:val="baseline"/>
        </w:rPr>
        <w:t>in</w:t>
      </w:r>
      <w:r>
        <w:rPr>
          <w:spacing w:val="40"/>
          <w:vertAlign w:val="baseline"/>
        </w:rPr>
        <w:t> </w:t>
      </w:r>
      <w:r>
        <w:rPr>
          <w:vertAlign w:val="baseline"/>
        </w:rPr>
        <w:t>Section</w:t>
      </w:r>
      <w:r>
        <w:rPr>
          <w:spacing w:val="39"/>
          <w:vertAlign w:val="baseline"/>
        </w:rPr>
        <w:t> </w:t>
      </w:r>
      <w:r>
        <w:rPr>
          <w:vertAlign w:val="baseline"/>
        </w:rPr>
        <w:t>3(1)</w:t>
      </w:r>
      <w:r>
        <w:rPr>
          <w:spacing w:val="35"/>
          <w:vertAlign w:val="baseline"/>
        </w:rPr>
        <w:t> </w:t>
      </w:r>
      <w:r>
        <w:rPr>
          <w:vertAlign w:val="baseline"/>
        </w:rPr>
        <w:t>of</w:t>
      </w:r>
      <w:r>
        <w:rPr>
          <w:spacing w:val="35"/>
          <w:vertAlign w:val="baseline"/>
        </w:rPr>
        <w:t> </w:t>
      </w:r>
      <w:r>
        <w:rPr>
          <w:vertAlign w:val="baseline"/>
        </w:rPr>
        <w:t>the Act</w:t>
      </w:r>
      <w:r>
        <w:rPr>
          <w:vertAlign w:val="superscript"/>
        </w:rPr>
        <w:t>48</w:t>
      </w:r>
      <w:r>
        <w:rPr>
          <w:vertAlign w:val="baseline"/>
        </w:rPr>
        <w:t> which provides that Nigerian independent operators</w:t>
      </w:r>
      <w:r>
        <w:rPr>
          <w:spacing w:val="30"/>
          <w:vertAlign w:val="baseline"/>
        </w:rPr>
        <w:t> </w:t>
      </w:r>
      <w:r>
        <w:rPr>
          <w:vertAlign w:val="baseline"/>
        </w:rPr>
        <w:t>shall</w:t>
      </w:r>
      <w:r>
        <w:rPr>
          <w:spacing w:val="31"/>
          <w:vertAlign w:val="baseline"/>
        </w:rPr>
        <w:t> </w:t>
      </w:r>
      <w:r>
        <w:rPr>
          <w:vertAlign w:val="baseline"/>
        </w:rPr>
        <w:t>be</w:t>
      </w:r>
      <w:r>
        <w:rPr>
          <w:spacing w:val="31"/>
          <w:vertAlign w:val="baseline"/>
        </w:rPr>
        <w:t> </w:t>
      </w:r>
      <w:r>
        <w:rPr>
          <w:vertAlign w:val="baseline"/>
        </w:rPr>
        <w:t>given</w:t>
      </w:r>
      <w:r>
        <w:rPr>
          <w:spacing w:val="30"/>
          <w:vertAlign w:val="baseline"/>
        </w:rPr>
        <w:t> </w:t>
      </w:r>
      <w:r>
        <w:rPr>
          <w:vertAlign w:val="baseline"/>
        </w:rPr>
        <w:t>first</w:t>
      </w:r>
      <w:r>
        <w:rPr>
          <w:spacing w:val="31"/>
          <w:vertAlign w:val="baseline"/>
        </w:rPr>
        <w:t> </w:t>
      </w:r>
      <w:r>
        <w:rPr>
          <w:vertAlign w:val="baseline"/>
        </w:rPr>
        <w:t>consideration in the award of oil blocks, oil field licences, oil lifting licenses and all projects for which contract is to be awarded in the</w:t>
      </w:r>
      <w:r>
        <w:rPr>
          <w:spacing w:val="36"/>
          <w:vertAlign w:val="baseline"/>
        </w:rPr>
        <w:t> </w:t>
      </w:r>
      <w:r>
        <w:rPr>
          <w:vertAlign w:val="baseline"/>
        </w:rPr>
        <w:t>Nigerian oil and</w:t>
      </w:r>
      <w:r>
        <w:rPr>
          <w:spacing w:val="34"/>
          <w:vertAlign w:val="baseline"/>
        </w:rPr>
        <w:t> </w:t>
      </w:r>
      <w:r>
        <w:rPr>
          <w:vertAlign w:val="baseline"/>
        </w:rPr>
        <w:t>gas industry subject to the fulfillment of such conditions as may be specified by the Minister. Sub-section (2)</w:t>
      </w:r>
      <w:r>
        <w:rPr>
          <w:vertAlign w:val="superscript"/>
        </w:rPr>
        <w:t>49</w:t>
      </w:r>
      <w:r>
        <w:rPr>
          <w:vertAlign w:val="baseline"/>
        </w:rPr>
        <w:t> of the same section state</w:t>
      </w:r>
      <w:r>
        <w:rPr>
          <w:spacing w:val="40"/>
          <w:vertAlign w:val="baseline"/>
        </w:rPr>
        <w:t> </w:t>
      </w:r>
      <w:r>
        <w:rPr>
          <w:vertAlign w:val="baseline"/>
        </w:rPr>
        <w:t>that</w:t>
      </w:r>
      <w:r>
        <w:rPr>
          <w:spacing w:val="40"/>
          <w:vertAlign w:val="baseline"/>
        </w:rPr>
        <w:t> </w:t>
      </w:r>
      <w:r>
        <w:rPr>
          <w:vertAlign w:val="baseline"/>
        </w:rPr>
        <w:t>there</w:t>
      </w:r>
      <w:r>
        <w:rPr>
          <w:spacing w:val="40"/>
          <w:vertAlign w:val="baseline"/>
        </w:rPr>
        <w:t> </w:t>
      </w:r>
      <w:r>
        <w:rPr>
          <w:vertAlign w:val="baseline"/>
        </w:rPr>
        <w:t>shall</w:t>
      </w:r>
      <w:r>
        <w:rPr>
          <w:spacing w:val="40"/>
          <w:vertAlign w:val="baseline"/>
        </w:rPr>
        <w:t> </w:t>
      </w:r>
      <w:r>
        <w:rPr>
          <w:vertAlign w:val="baseline"/>
        </w:rPr>
        <w:t>be</w:t>
      </w:r>
      <w:r>
        <w:rPr>
          <w:spacing w:val="40"/>
          <w:vertAlign w:val="baseline"/>
        </w:rPr>
        <w:t> </w:t>
      </w:r>
      <w:r>
        <w:rPr>
          <w:vertAlign w:val="baseline"/>
        </w:rPr>
        <w:t>exclusive</w:t>
      </w:r>
      <w:r>
        <w:rPr>
          <w:spacing w:val="40"/>
          <w:vertAlign w:val="baseline"/>
        </w:rPr>
        <w:t> </w:t>
      </w:r>
      <w:r>
        <w:rPr>
          <w:vertAlign w:val="baseline"/>
        </w:rPr>
        <w:t>consideration</w:t>
      </w:r>
      <w:r>
        <w:rPr>
          <w:spacing w:val="40"/>
          <w:vertAlign w:val="baseline"/>
        </w:rPr>
        <w:t> </w:t>
      </w:r>
      <w:r>
        <w:rPr>
          <w:vertAlign w:val="baseline"/>
        </w:rPr>
        <w:t>to</w:t>
      </w:r>
      <w:r>
        <w:rPr>
          <w:spacing w:val="40"/>
          <w:vertAlign w:val="baseline"/>
        </w:rPr>
        <w:t> </w:t>
      </w:r>
      <w:r>
        <w:rPr>
          <w:vertAlign w:val="baseline"/>
        </w:rPr>
        <w:t>Nigerian</w:t>
      </w:r>
      <w:r>
        <w:rPr>
          <w:spacing w:val="40"/>
          <w:vertAlign w:val="baseline"/>
        </w:rPr>
        <w:t> </w:t>
      </w:r>
      <w:r>
        <w:rPr>
          <w:vertAlign w:val="baseline"/>
        </w:rPr>
        <w:t>Indigenous</w:t>
      </w:r>
      <w:r>
        <w:rPr>
          <w:spacing w:val="40"/>
          <w:vertAlign w:val="baseline"/>
        </w:rPr>
        <w:t> </w:t>
      </w:r>
      <w:r>
        <w:rPr>
          <w:vertAlign w:val="baseline"/>
        </w:rPr>
        <w:t>service</w:t>
      </w:r>
      <w:r>
        <w:rPr>
          <w:spacing w:val="80"/>
          <w:vertAlign w:val="baseline"/>
        </w:rPr>
        <w:t> </w:t>
      </w:r>
      <w:r>
        <w:rPr>
          <w:vertAlign w:val="baseline"/>
        </w:rPr>
        <w:t>companies which demonstrate ownership of equipment, Nigerian personnel and capacity to execute such work to bid on land and swamp operating areas of the Nigerian oil and gas industry</w:t>
      </w:r>
      <w:r>
        <w:rPr>
          <w:spacing w:val="16"/>
          <w:vertAlign w:val="baseline"/>
        </w:rPr>
        <w:t> </w:t>
      </w:r>
      <w:r>
        <w:rPr>
          <w:vertAlign w:val="baseline"/>
        </w:rPr>
        <w:t>for</w:t>
      </w:r>
      <w:r>
        <w:rPr>
          <w:spacing w:val="21"/>
          <w:vertAlign w:val="baseline"/>
        </w:rPr>
        <w:t> </w:t>
      </w:r>
      <w:r>
        <w:rPr>
          <w:vertAlign w:val="baseline"/>
        </w:rPr>
        <w:t>contracts</w:t>
      </w:r>
      <w:r>
        <w:rPr>
          <w:spacing w:val="19"/>
          <w:vertAlign w:val="baseline"/>
        </w:rPr>
        <w:t> </w:t>
      </w:r>
      <w:r>
        <w:rPr>
          <w:vertAlign w:val="baseline"/>
        </w:rPr>
        <w:t>and</w:t>
      </w:r>
      <w:r>
        <w:rPr>
          <w:spacing w:val="19"/>
          <w:vertAlign w:val="baseline"/>
        </w:rPr>
        <w:t> </w:t>
      </w:r>
      <w:r>
        <w:rPr>
          <w:vertAlign w:val="baseline"/>
        </w:rPr>
        <w:t>services</w:t>
      </w:r>
      <w:r>
        <w:rPr>
          <w:spacing w:val="22"/>
          <w:vertAlign w:val="baseline"/>
        </w:rPr>
        <w:t> </w:t>
      </w:r>
      <w:r>
        <w:rPr>
          <w:vertAlign w:val="baseline"/>
        </w:rPr>
        <w:t>contained</w:t>
      </w:r>
      <w:r>
        <w:rPr>
          <w:spacing w:val="19"/>
          <w:vertAlign w:val="baseline"/>
        </w:rPr>
        <w:t> </w:t>
      </w:r>
      <w:r>
        <w:rPr>
          <w:vertAlign w:val="baseline"/>
        </w:rPr>
        <w:t>in</w:t>
      </w:r>
      <w:r>
        <w:rPr>
          <w:spacing w:val="19"/>
          <w:vertAlign w:val="baseline"/>
        </w:rPr>
        <w:t> </w:t>
      </w:r>
      <w:r>
        <w:rPr>
          <w:vertAlign w:val="baseline"/>
        </w:rPr>
        <w:t>the</w:t>
      </w:r>
      <w:r>
        <w:rPr>
          <w:spacing w:val="18"/>
          <w:vertAlign w:val="baseline"/>
        </w:rPr>
        <w:t> </w:t>
      </w:r>
      <w:r>
        <w:rPr>
          <w:vertAlign w:val="baseline"/>
        </w:rPr>
        <w:t>schedule</w:t>
      </w:r>
      <w:r>
        <w:rPr>
          <w:spacing w:val="17"/>
          <w:vertAlign w:val="baseline"/>
        </w:rPr>
        <w:t> </w:t>
      </w:r>
      <w:r>
        <w:rPr>
          <w:vertAlign w:val="baseline"/>
        </w:rPr>
        <w:t>of</w:t>
      </w:r>
      <w:r>
        <w:rPr>
          <w:spacing w:val="18"/>
          <w:vertAlign w:val="baseline"/>
        </w:rPr>
        <w:t> </w:t>
      </w:r>
      <w:r>
        <w:rPr>
          <w:vertAlign w:val="baseline"/>
        </w:rPr>
        <w:t>thisAct,</w:t>
      </w:r>
      <w:r>
        <w:rPr>
          <w:spacing w:val="15"/>
          <w:vertAlign w:val="baseline"/>
        </w:rPr>
        <w:t> </w:t>
      </w:r>
      <w:r>
        <w:rPr>
          <w:vertAlign w:val="baseline"/>
        </w:rPr>
        <w:t>Sub-section</w:t>
      </w:r>
      <w:r>
        <w:rPr>
          <w:spacing w:val="13"/>
          <w:vertAlign w:val="baseline"/>
        </w:rPr>
        <w:t> </w:t>
      </w:r>
      <w:r>
        <w:rPr>
          <w:vertAlign w:val="baseline"/>
        </w:rPr>
        <w:t>(3)</w:t>
      </w:r>
      <w:r>
        <w:rPr>
          <w:vertAlign w:val="superscript"/>
        </w:rPr>
        <w:t>51</w:t>
      </w:r>
      <w:r>
        <w:rPr>
          <w:spacing w:val="13"/>
          <w:vertAlign w:val="baseline"/>
        </w:rPr>
        <w:t> </w:t>
      </w:r>
      <w:r>
        <w:rPr>
          <w:spacing w:val="-5"/>
          <w:vertAlign w:val="baseline"/>
        </w:rPr>
        <w:t>is</w:t>
      </w:r>
    </w:p>
    <w:p>
      <w:pPr>
        <w:pStyle w:val="BodyText"/>
        <w:spacing w:before="5"/>
        <w:rPr>
          <w:sz w:val="13"/>
        </w:rPr>
      </w:pPr>
      <w:r>
        <w:rPr/>
        <mc:AlternateContent>
          <mc:Choice Requires="wps">
            <w:drawing>
              <wp:anchor distT="0" distB="0" distL="0" distR="0" allowOverlap="1" layoutInCell="1" locked="0" behindDoc="1" simplePos="0" relativeHeight="487603200">
                <wp:simplePos x="0" y="0"/>
                <wp:positionH relativeFrom="page">
                  <wp:posOffset>914704</wp:posOffset>
                </wp:positionH>
                <wp:positionV relativeFrom="paragraph">
                  <wp:posOffset>113714</wp:posOffset>
                </wp:positionV>
                <wp:extent cx="1829435" cy="9525"/>
                <wp:effectExtent l="0" t="0" r="0" b="0"/>
                <wp:wrapTopAndBottom/>
                <wp:docPr id="34" name="Graphic 34"/>
                <wp:cNvGraphicFramePr>
                  <a:graphicFrameLocks/>
                </wp:cNvGraphicFramePr>
                <a:graphic>
                  <a:graphicData uri="http://schemas.microsoft.com/office/word/2010/wordprocessingShape">
                    <wps:wsp>
                      <wps:cNvPr id="34" name="Graphic 34"/>
                      <wps:cNvSpPr/>
                      <wps:spPr>
                        <a:xfrm>
                          <a:off x="0" y="0"/>
                          <a:ext cx="1829435" cy="9525"/>
                        </a:xfrm>
                        <a:custGeom>
                          <a:avLst/>
                          <a:gdLst/>
                          <a:ahLst/>
                          <a:cxnLst/>
                          <a:rect l="l" t="t" r="r" b="b"/>
                          <a:pathLst>
                            <a:path w="1829435" h="9525">
                              <a:moveTo>
                                <a:pt x="1829054" y="0"/>
                              </a:moveTo>
                              <a:lnTo>
                                <a:pt x="0" y="0"/>
                              </a:lnTo>
                              <a:lnTo>
                                <a:pt x="0" y="9143"/>
                              </a:lnTo>
                              <a:lnTo>
                                <a:pt x="1829054" y="9143"/>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8.953937pt;width:144.020pt;height:.71997pt;mso-position-horizontal-relative:page;mso-position-vertical-relative:paragraph;z-index:-15713280;mso-wrap-distance-left:0;mso-wrap-distance-right:0" id="docshape34" filled="true" fillcolor="#000000" stroked="false">
                <v:fill type="solid"/>
                <w10:wrap type="topAndBottom"/>
              </v:rect>
            </w:pict>
          </mc:Fallback>
        </mc:AlternateContent>
      </w:r>
    </w:p>
    <w:p>
      <w:pPr>
        <w:spacing w:before="102"/>
        <w:ind w:left="360" w:right="0" w:firstLine="0"/>
        <w:jc w:val="left"/>
        <w:rPr>
          <w:rFonts w:ascii="Calibri"/>
          <w:sz w:val="20"/>
        </w:rPr>
      </w:pPr>
      <w:r>
        <w:rPr>
          <w:rFonts w:ascii="Calibri"/>
          <w:sz w:val="20"/>
          <w:vertAlign w:val="superscript"/>
        </w:rPr>
        <w:t>46</w:t>
      </w:r>
      <w:r>
        <w:rPr>
          <w:rFonts w:ascii="Calibri"/>
          <w:spacing w:val="-5"/>
          <w:sz w:val="20"/>
          <w:vertAlign w:val="baseline"/>
        </w:rPr>
        <w:t> </w:t>
      </w:r>
      <w:r>
        <w:rPr>
          <w:rFonts w:ascii="Calibri"/>
          <w:sz w:val="20"/>
          <w:vertAlign w:val="baseline"/>
        </w:rPr>
        <w:t>CAP</w:t>
      </w:r>
      <w:r>
        <w:rPr>
          <w:rFonts w:ascii="Calibri"/>
          <w:spacing w:val="-4"/>
          <w:sz w:val="20"/>
          <w:vertAlign w:val="baseline"/>
        </w:rPr>
        <w:t> </w:t>
      </w:r>
      <w:r>
        <w:rPr>
          <w:rFonts w:ascii="Calibri"/>
          <w:sz w:val="20"/>
          <w:vertAlign w:val="baseline"/>
        </w:rPr>
        <w:t>N125,</w:t>
      </w:r>
      <w:r>
        <w:rPr>
          <w:rFonts w:ascii="Calibri"/>
          <w:spacing w:val="-5"/>
          <w:sz w:val="20"/>
          <w:vertAlign w:val="baseline"/>
        </w:rPr>
        <w:t> </w:t>
      </w:r>
      <w:r>
        <w:rPr>
          <w:rFonts w:ascii="Calibri"/>
          <w:sz w:val="20"/>
          <w:vertAlign w:val="baseline"/>
        </w:rPr>
        <w:t>LFN,</w:t>
      </w:r>
      <w:r>
        <w:rPr>
          <w:rFonts w:ascii="Calibri"/>
          <w:spacing w:val="-3"/>
          <w:sz w:val="20"/>
          <w:vertAlign w:val="baseline"/>
        </w:rPr>
        <w:t> </w:t>
      </w:r>
      <w:r>
        <w:rPr>
          <w:rFonts w:ascii="Calibri"/>
          <w:spacing w:val="-4"/>
          <w:sz w:val="20"/>
          <w:vertAlign w:val="baseline"/>
        </w:rPr>
        <w:t>2010</w:t>
      </w:r>
    </w:p>
    <w:p>
      <w:pPr>
        <w:spacing w:line="243" w:lineRule="exact" w:before="1"/>
        <w:ind w:left="360" w:right="0" w:firstLine="0"/>
        <w:jc w:val="left"/>
        <w:rPr>
          <w:rFonts w:ascii="Calibri"/>
          <w:sz w:val="20"/>
        </w:rPr>
      </w:pPr>
      <w:r>
        <w:rPr>
          <w:rFonts w:ascii="Calibri"/>
          <w:sz w:val="20"/>
          <w:vertAlign w:val="superscript"/>
        </w:rPr>
        <w:t>47</w:t>
      </w:r>
      <w:r>
        <w:rPr>
          <w:rFonts w:ascii="Calibri"/>
          <w:spacing w:val="-4"/>
          <w:sz w:val="20"/>
          <w:vertAlign w:val="baseline"/>
        </w:rPr>
        <w:t> Ibid</w:t>
      </w:r>
    </w:p>
    <w:p>
      <w:pPr>
        <w:spacing w:line="243" w:lineRule="exact" w:before="0"/>
        <w:ind w:left="360" w:right="0" w:firstLine="0"/>
        <w:jc w:val="left"/>
        <w:rPr>
          <w:rFonts w:ascii="Calibri"/>
          <w:sz w:val="20"/>
        </w:rPr>
      </w:pPr>
      <w:r>
        <w:rPr>
          <w:rFonts w:ascii="Calibri"/>
          <w:sz w:val="20"/>
          <w:vertAlign w:val="superscript"/>
        </w:rPr>
        <w:t>48</w:t>
      </w:r>
      <w:r>
        <w:rPr>
          <w:rFonts w:ascii="Calibri"/>
          <w:spacing w:val="-5"/>
          <w:sz w:val="20"/>
          <w:vertAlign w:val="baseline"/>
        </w:rPr>
        <w:t> </w:t>
      </w:r>
      <w:r>
        <w:rPr>
          <w:rFonts w:ascii="Calibri"/>
          <w:sz w:val="20"/>
          <w:vertAlign w:val="baseline"/>
        </w:rPr>
        <w:t>CAP,</w:t>
      </w:r>
      <w:r>
        <w:rPr>
          <w:rFonts w:ascii="Calibri"/>
          <w:spacing w:val="-4"/>
          <w:sz w:val="20"/>
          <w:vertAlign w:val="baseline"/>
        </w:rPr>
        <w:t> </w:t>
      </w:r>
      <w:r>
        <w:rPr>
          <w:rFonts w:ascii="Calibri"/>
          <w:sz w:val="20"/>
          <w:vertAlign w:val="baseline"/>
        </w:rPr>
        <w:t>N124,</w:t>
      </w:r>
      <w:r>
        <w:rPr>
          <w:rFonts w:ascii="Calibri"/>
          <w:spacing w:val="-4"/>
          <w:sz w:val="20"/>
          <w:vertAlign w:val="baseline"/>
        </w:rPr>
        <w:t> </w:t>
      </w:r>
      <w:r>
        <w:rPr>
          <w:rFonts w:ascii="Calibri"/>
          <w:sz w:val="20"/>
          <w:vertAlign w:val="baseline"/>
        </w:rPr>
        <w:t>LFN,</w:t>
      </w:r>
      <w:r>
        <w:rPr>
          <w:rFonts w:ascii="Calibri"/>
          <w:spacing w:val="-4"/>
          <w:sz w:val="20"/>
          <w:vertAlign w:val="baseline"/>
        </w:rPr>
        <w:t> 2010</w:t>
      </w:r>
    </w:p>
    <w:p>
      <w:pPr>
        <w:spacing w:before="0"/>
        <w:ind w:left="360" w:right="0" w:firstLine="0"/>
        <w:jc w:val="left"/>
        <w:rPr>
          <w:rFonts w:ascii="Calibri"/>
          <w:sz w:val="20"/>
        </w:rPr>
      </w:pPr>
      <w:r>
        <w:rPr>
          <w:rFonts w:ascii="Calibri"/>
          <w:sz w:val="20"/>
          <w:vertAlign w:val="superscript"/>
        </w:rPr>
        <w:t>49</w:t>
      </w:r>
      <w:r>
        <w:rPr>
          <w:rFonts w:ascii="Calibri"/>
          <w:spacing w:val="-4"/>
          <w:sz w:val="20"/>
          <w:vertAlign w:val="baseline"/>
        </w:rPr>
        <w:t> Ibid</w:t>
      </w:r>
    </w:p>
    <w:p>
      <w:pPr>
        <w:spacing w:after="0"/>
        <w:jc w:val="left"/>
        <w:rPr>
          <w:rFonts w:ascii="Calibri"/>
          <w:sz w:val="20"/>
        </w:rPr>
        <w:sectPr>
          <w:pgSz w:w="11910" w:h="16840"/>
          <w:pgMar w:header="0" w:footer="1000" w:top="1300" w:bottom="1200" w:left="1080" w:right="1280"/>
        </w:sectPr>
      </w:pPr>
    </w:p>
    <w:p>
      <w:pPr>
        <w:pStyle w:val="BodyText"/>
        <w:spacing w:line="480" w:lineRule="auto" w:before="74"/>
        <w:ind w:left="360" w:right="155"/>
        <w:jc w:val="both"/>
      </w:pPr>
      <w:r>
        <w:rPr/>
        <w:t>with regards to the compliance with the provisions of this Act and </w:t>
      </w:r>
      <w:r>
        <w:rPr>
          <w:spacing w:val="11"/>
        </w:rPr>
        <w:t>promotion</w:t>
      </w:r>
      <w:r>
        <w:rPr>
          <w:spacing w:val="11"/>
        </w:rPr>
        <w:t> </w:t>
      </w:r>
      <w:r>
        <w:rPr/>
        <w:t>of </w:t>
      </w:r>
      <w:r>
        <w:rPr>
          <w:spacing w:val="10"/>
        </w:rPr>
        <w:t>Nigerian content</w:t>
      </w:r>
      <w:r>
        <w:rPr>
          <w:spacing w:val="40"/>
        </w:rPr>
        <w:t> </w:t>
      </w:r>
      <w:r>
        <w:rPr>
          <w:spacing w:val="10"/>
        </w:rPr>
        <w:t>development</w:t>
      </w:r>
      <w:r>
        <w:rPr>
          <w:spacing w:val="40"/>
        </w:rPr>
        <w:t> </w:t>
      </w:r>
      <w:r>
        <w:rPr>
          <w:spacing w:val="9"/>
        </w:rPr>
        <w:t>shall</w:t>
      </w:r>
      <w:r>
        <w:rPr>
          <w:spacing w:val="40"/>
        </w:rPr>
        <w:t> </w:t>
      </w:r>
      <w:r>
        <w:rPr/>
        <w:t>be</w:t>
      </w:r>
      <w:r>
        <w:rPr>
          <w:spacing w:val="40"/>
        </w:rPr>
        <w:t> </w:t>
      </w:r>
      <w:r>
        <w:rPr/>
        <w:t>a</w:t>
      </w:r>
      <w:r>
        <w:rPr>
          <w:spacing w:val="40"/>
        </w:rPr>
        <w:t> </w:t>
      </w:r>
      <w:r>
        <w:rPr>
          <w:spacing w:val="10"/>
        </w:rPr>
        <w:t>major</w:t>
      </w:r>
      <w:r>
        <w:rPr>
          <w:spacing w:val="40"/>
        </w:rPr>
        <w:t> </w:t>
      </w:r>
      <w:r>
        <w:rPr>
          <w:spacing w:val="11"/>
        </w:rPr>
        <w:t>criterion</w:t>
      </w:r>
      <w:r>
        <w:rPr>
          <w:spacing w:val="40"/>
        </w:rPr>
        <w:t> </w:t>
      </w:r>
      <w:r>
        <w:rPr/>
        <w:t>for</w:t>
      </w:r>
      <w:r>
        <w:rPr>
          <w:spacing w:val="80"/>
        </w:rPr>
        <w:t> </w:t>
      </w:r>
      <w:r>
        <w:rPr/>
        <w:t>award</w:t>
      </w:r>
      <w:r>
        <w:rPr>
          <w:spacing w:val="40"/>
        </w:rPr>
        <w:t> </w:t>
      </w:r>
      <w:r>
        <w:rPr/>
        <w:t>of</w:t>
      </w:r>
      <w:r>
        <w:rPr>
          <w:spacing w:val="40"/>
        </w:rPr>
        <w:t> </w:t>
      </w:r>
      <w:r>
        <w:rPr/>
        <w:t>licenses,</w:t>
      </w:r>
      <w:r>
        <w:rPr>
          <w:spacing w:val="40"/>
        </w:rPr>
        <w:t> </w:t>
      </w:r>
      <w:r>
        <w:rPr/>
        <w:t>permits</w:t>
      </w:r>
      <w:r>
        <w:rPr>
          <w:spacing w:val="40"/>
        </w:rPr>
        <w:t> </w:t>
      </w:r>
      <w:r>
        <w:rPr/>
        <w:t>and any</w:t>
      </w:r>
      <w:r>
        <w:rPr>
          <w:spacing w:val="40"/>
        </w:rPr>
        <w:t> </w:t>
      </w:r>
      <w:r>
        <w:rPr/>
        <w:t>other</w:t>
      </w:r>
      <w:r>
        <w:rPr>
          <w:spacing w:val="40"/>
        </w:rPr>
        <w:t> </w:t>
      </w:r>
      <w:r>
        <w:rPr/>
        <w:t>interest</w:t>
      </w:r>
      <w:r>
        <w:rPr>
          <w:spacing w:val="40"/>
        </w:rPr>
        <w:t> </w:t>
      </w:r>
      <w:r>
        <w:rPr/>
        <w:t>in</w:t>
      </w:r>
      <w:r>
        <w:rPr>
          <w:spacing w:val="40"/>
        </w:rPr>
        <w:t> </w:t>
      </w:r>
      <w:r>
        <w:rPr/>
        <w:t>bidding</w:t>
      </w:r>
      <w:r>
        <w:rPr>
          <w:spacing w:val="40"/>
        </w:rPr>
        <w:t> </w:t>
      </w:r>
      <w:r>
        <w:rPr/>
        <w:t>for</w:t>
      </w:r>
      <w:r>
        <w:rPr>
          <w:spacing w:val="40"/>
        </w:rPr>
        <w:t> </w:t>
      </w:r>
      <w:r>
        <w:rPr/>
        <w:t>oil</w:t>
      </w:r>
      <w:r>
        <w:rPr>
          <w:spacing w:val="40"/>
        </w:rPr>
        <w:t> </w:t>
      </w:r>
      <w:r>
        <w:rPr/>
        <w:t>exploration,</w:t>
      </w:r>
      <w:r>
        <w:rPr>
          <w:spacing w:val="40"/>
        </w:rPr>
        <w:t> </w:t>
      </w:r>
      <w:r>
        <w:rPr/>
        <w:t>production,</w:t>
      </w:r>
      <w:r>
        <w:rPr>
          <w:spacing w:val="40"/>
        </w:rPr>
        <w:t> </w:t>
      </w:r>
      <w:r>
        <w:rPr/>
        <w:t>transportation</w:t>
      </w:r>
      <w:r>
        <w:rPr>
          <w:spacing w:val="40"/>
        </w:rPr>
        <w:t> </w:t>
      </w:r>
      <w:r>
        <w:rPr/>
        <w:t>and development</w:t>
      </w:r>
      <w:r>
        <w:rPr>
          <w:spacing w:val="40"/>
        </w:rPr>
        <w:t> </w:t>
      </w:r>
      <w:r>
        <w:rPr/>
        <w:t>or</w:t>
      </w:r>
      <w:r>
        <w:rPr>
          <w:spacing w:val="40"/>
        </w:rPr>
        <w:t> </w:t>
      </w:r>
      <w:r>
        <w:rPr/>
        <w:t>any</w:t>
      </w:r>
      <w:r>
        <w:rPr>
          <w:spacing w:val="40"/>
        </w:rPr>
        <w:t> </w:t>
      </w:r>
      <w:r>
        <w:rPr/>
        <w:t>other</w:t>
      </w:r>
      <w:r>
        <w:rPr>
          <w:spacing w:val="40"/>
        </w:rPr>
        <w:t> </w:t>
      </w:r>
      <w:r>
        <w:rPr/>
        <w:t>operations</w:t>
      </w:r>
      <w:r>
        <w:rPr>
          <w:spacing w:val="40"/>
        </w:rPr>
        <w:t> </w:t>
      </w:r>
      <w:r>
        <w:rPr/>
        <w:t>in</w:t>
      </w:r>
      <w:r>
        <w:rPr>
          <w:spacing w:val="40"/>
        </w:rPr>
        <w:t> </w:t>
      </w:r>
      <w:r>
        <w:rPr/>
        <w:t>Nigerian</w:t>
      </w:r>
      <w:r>
        <w:rPr>
          <w:spacing w:val="40"/>
        </w:rPr>
        <w:t> </w:t>
      </w:r>
      <w:r>
        <w:rPr/>
        <w:t>oiland</w:t>
      </w:r>
      <w:r>
        <w:rPr>
          <w:spacing w:val="40"/>
        </w:rPr>
        <w:t> </w:t>
      </w:r>
      <w:r>
        <w:rPr/>
        <w:t>gas</w:t>
      </w:r>
      <w:r>
        <w:rPr>
          <w:spacing w:val="40"/>
        </w:rPr>
        <w:t> </w:t>
      </w:r>
      <w:r>
        <w:rPr/>
        <w:t>industry.</w:t>
      </w:r>
      <w:r>
        <w:rPr>
          <w:spacing w:val="40"/>
        </w:rPr>
        <w:t> </w:t>
      </w:r>
      <w:r>
        <w:rPr/>
        <w:t>In</w:t>
      </w:r>
      <w:r>
        <w:rPr>
          <w:spacing w:val="40"/>
        </w:rPr>
        <w:t> </w:t>
      </w:r>
      <w:r>
        <w:rPr/>
        <w:t>furtherance</w:t>
      </w:r>
      <w:r>
        <w:rPr>
          <w:spacing w:val="40"/>
        </w:rPr>
        <w:t> </w:t>
      </w:r>
      <w:r>
        <w:rPr/>
        <w:t>of this</w:t>
      </w:r>
      <w:r>
        <w:rPr>
          <w:spacing w:val="40"/>
        </w:rPr>
        <w:t> </w:t>
      </w:r>
      <w:r>
        <w:rPr/>
        <w:t>objective,</w:t>
      </w:r>
      <w:r>
        <w:rPr>
          <w:spacing w:val="40"/>
        </w:rPr>
        <w:t> </w:t>
      </w:r>
      <w:r>
        <w:rPr/>
        <w:t>the</w:t>
      </w:r>
      <w:r>
        <w:rPr>
          <w:spacing w:val="40"/>
        </w:rPr>
        <w:t> </w:t>
      </w:r>
      <w:r>
        <w:rPr/>
        <w:t>Act</w:t>
      </w:r>
      <w:r>
        <w:rPr>
          <w:vertAlign w:val="superscript"/>
        </w:rPr>
        <w:t>50</w:t>
      </w:r>
      <w:r>
        <w:rPr>
          <w:spacing w:val="40"/>
          <w:vertAlign w:val="baseline"/>
        </w:rPr>
        <w:t> </w:t>
      </w:r>
      <w:r>
        <w:rPr>
          <w:vertAlign w:val="baseline"/>
        </w:rPr>
        <w:t>gives</w:t>
      </w:r>
      <w:r>
        <w:rPr>
          <w:spacing w:val="40"/>
          <w:vertAlign w:val="baseline"/>
        </w:rPr>
        <w:t> </w:t>
      </w:r>
      <w:r>
        <w:rPr>
          <w:vertAlign w:val="baseline"/>
        </w:rPr>
        <w:t>prudential</w:t>
      </w:r>
      <w:r>
        <w:rPr>
          <w:spacing w:val="70"/>
          <w:vertAlign w:val="baseline"/>
        </w:rPr>
        <w:t> </w:t>
      </w:r>
      <w:r>
        <w:rPr>
          <w:vertAlign w:val="baseline"/>
        </w:rPr>
        <w:t>treatment</w:t>
      </w:r>
      <w:r>
        <w:rPr>
          <w:spacing w:val="40"/>
          <w:vertAlign w:val="baseline"/>
        </w:rPr>
        <w:t> </w:t>
      </w:r>
      <w:r>
        <w:rPr>
          <w:vertAlign w:val="baseline"/>
        </w:rPr>
        <w:t>to</w:t>
      </w:r>
      <w:r>
        <w:rPr>
          <w:spacing w:val="40"/>
          <w:vertAlign w:val="baseline"/>
        </w:rPr>
        <w:t> </w:t>
      </w:r>
      <w:r>
        <w:rPr>
          <w:vertAlign w:val="baseline"/>
        </w:rPr>
        <w:t>all</w:t>
      </w:r>
      <w:r>
        <w:rPr>
          <w:spacing w:val="40"/>
          <w:vertAlign w:val="baseline"/>
        </w:rPr>
        <w:t> </w:t>
      </w:r>
      <w:r>
        <w:rPr>
          <w:vertAlign w:val="baseline"/>
        </w:rPr>
        <w:t>Nigerian</w:t>
      </w:r>
      <w:r>
        <w:rPr>
          <w:spacing w:val="40"/>
          <w:vertAlign w:val="baseline"/>
        </w:rPr>
        <w:t> </w:t>
      </w:r>
      <w:r>
        <w:rPr>
          <w:vertAlign w:val="baseline"/>
        </w:rPr>
        <w:t>companies</w:t>
      </w:r>
      <w:r>
        <w:rPr>
          <w:spacing w:val="40"/>
          <w:vertAlign w:val="baseline"/>
        </w:rPr>
        <w:t> </w:t>
      </w:r>
      <w:r>
        <w:rPr>
          <w:vertAlign w:val="baseline"/>
        </w:rPr>
        <w:t>operating</w:t>
      </w:r>
      <w:r>
        <w:rPr>
          <w:spacing w:val="40"/>
          <w:vertAlign w:val="baseline"/>
        </w:rPr>
        <w:t> </w:t>
      </w:r>
      <w:r>
        <w:rPr>
          <w:vertAlign w:val="baseline"/>
        </w:rPr>
        <w:t>in the industry. As a basic principle,</w:t>
      </w:r>
      <w:r>
        <w:rPr>
          <w:spacing w:val="-15"/>
          <w:vertAlign w:val="baseline"/>
        </w:rPr>
        <w:t> </w:t>
      </w:r>
      <w:r>
        <w:rPr>
          <w:vertAlign w:val="baseline"/>
        </w:rPr>
        <w:t>the Act requires that promotion of Nigerian content development</w:t>
      </w:r>
      <w:r>
        <w:rPr>
          <w:spacing w:val="38"/>
          <w:vertAlign w:val="baseline"/>
        </w:rPr>
        <w:t> </w:t>
      </w:r>
      <w:r>
        <w:rPr>
          <w:vertAlign w:val="baseline"/>
        </w:rPr>
        <w:t>shall</w:t>
      </w:r>
      <w:r>
        <w:rPr>
          <w:spacing w:val="38"/>
          <w:vertAlign w:val="baseline"/>
        </w:rPr>
        <w:t> </w:t>
      </w:r>
      <w:r>
        <w:rPr>
          <w:vertAlign w:val="baseline"/>
        </w:rPr>
        <w:t>be</w:t>
      </w:r>
      <w:r>
        <w:rPr>
          <w:spacing w:val="35"/>
          <w:vertAlign w:val="baseline"/>
        </w:rPr>
        <w:t> </w:t>
      </w:r>
      <w:r>
        <w:rPr>
          <w:vertAlign w:val="baseline"/>
        </w:rPr>
        <w:t>a</w:t>
      </w:r>
      <w:r>
        <w:rPr>
          <w:spacing w:val="38"/>
          <w:vertAlign w:val="baseline"/>
        </w:rPr>
        <w:t> </w:t>
      </w:r>
      <w:r>
        <w:rPr>
          <w:vertAlign w:val="baseline"/>
        </w:rPr>
        <w:t>majorconcern</w:t>
      </w:r>
      <w:r>
        <w:rPr>
          <w:spacing w:val="39"/>
          <w:vertAlign w:val="baseline"/>
        </w:rPr>
        <w:t> </w:t>
      </w:r>
      <w:r>
        <w:rPr>
          <w:vertAlign w:val="baseline"/>
        </w:rPr>
        <w:t>in</w:t>
      </w:r>
      <w:r>
        <w:rPr>
          <w:spacing w:val="39"/>
          <w:vertAlign w:val="baseline"/>
        </w:rPr>
        <w:t> </w:t>
      </w:r>
      <w:r>
        <w:rPr>
          <w:vertAlign w:val="baseline"/>
        </w:rPr>
        <w:t>all</w:t>
      </w:r>
      <w:r>
        <w:rPr>
          <w:spacing w:val="40"/>
          <w:vertAlign w:val="baseline"/>
        </w:rPr>
        <w:t> </w:t>
      </w:r>
      <w:r>
        <w:rPr>
          <w:vertAlign w:val="baseline"/>
        </w:rPr>
        <w:t>projects</w:t>
      </w:r>
      <w:r>
        <w:rPr>
          <w:spacing w:val="40"/>
          <w:vertAlign w:val="baseline"/>
        </w:rPr>
        <w:t> </w:t>
      </w:r>
      <w:r>
        <w:rPr>
          <w:vertAlign w:val="baseline"/>
        </w:rPr>
        <w:t>and</w:t>
      </w:r>
      <w:r>
        <w:rPr>
          <w:spacing w:val="39"/>
          <w:vertAlign w:val="baseline"/>
        </w:rPr>
        <w:t> </w:t>
      </w:r>
      <w:r>
        <w:rPr>
          <w:vertAlign w:val="baseline"/>
        </w:rPr>
        <w:t>operations</w:t>
      </w:r>
      <w:r>
        <w:rPr>
          <w:spacing w:val="40"/>
          <w:vertAlign w:val="baseline"/>
        </w:rPr>
        <w:t> </w:t>
      </w:r>
      <w:r>
        <w:rPr>
          <w:vertAlign w:val="baseline"/>
        </w:rPr>
        <w:t>in</w:t>
      </w:r>
      <w:r>
        <w:rPr>
          <w:spacing w:val="39"/>
          <w:vertAlign w:val="baseline"/>
        </w:rPr>
        <w:t> </w:t>
      </w:r>
      <w:r>
        <w:rPr>
          <w:vertAlign w:val="baseline"/>
        </w:rPr>
        <w:t>the</w:t>
      </w:r>
      <w:r>
        <w:rPr>
          <w:spacing w:val="38"/>
          <w:vertAlign w:val="baseline"/>
        </w:rPr>
        <w:t> </w:t>
      </w:r>
      <w:r>
        <w:rPr>
          <w:vertAlign w:val="baseline"/>
        </w:rPr>
        <w:t>oil</w:t>
      </w:r>
      <w:r>
        <w:rPr>
          <w:spacing w:val="40"/>
          <w:vertAlign w:val="baseline"/>
        </w:rPr>
        <w:t> </w:t>
      </w:r>
      <w:r>
        <w:rPr>
          <w:vertAlign w:val="baseline"/>
        </w:rPr>
        <w:t>industry.</w:t>
      </w:r>
      <w:r>
        <w:rPr>
          <w:spacing w:val="40"/>
          <w:vertAlign w:val="baseline"/>
        </w:rPr>
        <w:t> </w:t>
      </w:r>
      <w:r>
        <w:rPr>
          <w:vertAlign w:val="baseline"/>
        </w:rPr>
        <w:t>It then goes to say that Nigerian independent operators shall have first consideration in the award of oil blocks, lifting licenses etc and in all projects for which contracts are to be awarded.</w:t>
      </w:r>
      <w:r>
        <w:rPr>
          <w:spacing w:val="40"/>
          <w:vertAlign w:val="baseline"/>
        </w:rPr>
        <w:t> </w:t>
      </w:r>
      <w:r>
        <w:rPr>
          <w:vertAlign w:val="baseline"/>
        </w:rPr>
        <w:t>This</w:t>
      </w:r>
      <w:r>
        <w:rPr>
          <w:spacing w:val="40"/>
          <w:vertAlign w:val="baseline"/>
        </w:rPr>
        <w:t> </w:t>
      </w:r>
      <w:r>
        <w:rPr>
          <w:vertAlign w:val="baseline"/>
        </w:rPr>
        <w:t>principle</w:t>
      </w:r>
      <w:r>
        <w:rPr>
          <w:spacing w:val="40"/>
          <w:vertAlign w:val="baseline"/>
        </w:rPr>
        <w:t> </w:t>
      </w:r>
      <w:r>
        <w:rPr>
          <w:vertAlign w:val="baseline"/>
        </w:rPr>
        <w:t>applies</w:t>
      </w:r>
      <w:r>
        <w:rPr>
          <w:spacing w:val="40"/>
          <w:vertAlign w:val="baseline"/>
        </w:rPr>
        <w:t> </w:t>
      </w:r>
      <w:r>
        <w:rPr>
          <w:vertAlign w:val="baseline"/>
        </w:rPr>
        <w:t>to</w:t>
      </w:r>
      <w:r>
        <w:rPr>
          <w:spacing w:val="40"/>
          <w:vertAlign w:val="baseline"/>
        </w:rPr>
        <w:t> </w:t>
      </w:r>
      <w:r>
        <w:rPr>
          <w:vertAlign w:val="baseline"/>
        </w:rPr>
        <w:t>all</w:t>
      </w:r>
      <w:r>
        <w:rPr>
          <w:spacing w:val="40"/>
          <w:vertAlign w:val="baseline"/>
        </w:rPr>
        <w:t> </w:t>
      </w:r>
      <w:r>
        <w:rPr>
          <w:vertAlign w:val="baseline"/>
        </w:rPr>
        <w:t>sphere</w:t>
      </w:r>
      <w:r>
        <w:rPr>
          <w:spacing w:val="40"/>
          <w:vertAlign w:val="baseline"/>
        </w:rPr>
        <w:t> </w:t>
      </w:r>
      <w:r>
        <w:rPr>
          <w:vertAlign w:val="baseline"/>
        </w:rPr>
        <w:t>of</w:t>
      </w:r>
      <w:r>
        <w:rPr>
          <w:spacing w:val="40"/>
          <w:vertAlign w:val="baseline"/>
        </w:rPr>
        <w:t> </w:t>
      </w:r>
      <w:r>
        <w:rPr>
          <w:vertAlign w:val="baseline"/>
        </w:rPr>
        <w:t>the</w:t>
      </w:r>
      <w:r>
        <w:rPr>
          <w:spacing w:val="40"/>
          <w:vertAlign w:val="baseline"/>
        </w:rPr>
        <w:t> </w:t>
      </w:r>
      <w:r>
        <w:rPr>
          <w:vertAlign w:val="baseline"/>
        </w:rPr>
        <w:t>industry</w:t>
      </w:r>
      <w:r>
        <w:rPr>
          <w:spacing w:val="40"/>
          <w:vertAlign w:val="baseline"/>
        </w:rPr>
        <w:t> </w:t>
      </w:r>
      <w:r>
        <w:rPr>
          <w:vertAlign w:val="baseline"/>
        </w:rPr>
        <w:t>not</w:t>
      </w:r>
      <w:r>
        <w:rPr>
          <w:spacing w:val="40"/>
          <w:vertAlign w:val="baseline"/>
        </w:rPr>
        <w:t> </w:t>
      </w:r>
      <w:r>
        <w:rPr>
          <w:vertAlign w:val="baseline"/>
        </w:rPr>
        <w:t>only</w:t>
      </w:r>
      <w:r>
        <w:rPr>
          <w:spacing w:val="40"/>
          <w:vertAlign w:val="baseline"/>
        </w:rPr>
        <w:t> </w:t>
      </w:r>
      <w:r>
        <w:rPr>
          <w:vertAlign w:val="baseline"/>
        </w:rPr>
        <w:t>“contracting”</w:t>
      </w:r>
      <w:r>
        <w:rPr>
          <w:spacing w:val="40"/>
          <w:vertAlign w:val="baseline"/>
        </w:rPr>
        <w:t> </w:t>
      </w:r>
      <w:r>
        <w:rPr>
          <w:vertAlign w:val="baseline"/>
        </w:rPr>
        <w:t>but also</w:t>
      </w:r>
      <w:r>
        <w:rPr>
          <w:spacing w:val="32"/>
          <w:vertAlign w:val="baseline"/>
        </w:rPr>
        <w:t> </w:t>
      </w:r>
      <w:r>
        <w:rPr>
          <w:vertAlign w:val="baseline"/>
        </w:rPr>
        <w:t>employment</w:t>
      </w:r>
      <w:r>
        <w:rPr>
          <w:spacing w:val="40"/>
          <w:vertAlign w:val="baseline"/>
        </w:rPr>
        <w:t>  </w:t>
      </w:r>
      <w:r>
        <w:rPr>
          <w:vertAlign w:val="baseline"/>
        </w:rPr>
        <w:t>of</w:t>
      </w:r>
      <w:r>
        <w:rPr>
          <w:spacing w:val="31"/>
          <w:vertAlign w:val="baseline"/>
        </w:rPr>
        <w:t> </w:t>
      </w:r>
      <w:r>
        <w:rPr>
          <w:vertAlign w:val="baseline"/>
        </w:rPr>
        <w:t>staff</w:t>
      </w:r>
      <w:r>
        <w:rPr>
          <w:spacing w:val="31"/>
          <w:vertAlign w:val="baseline"/>
        </w:rPr>
        <w:t> </w:t>
      </w:r>
      <w:r>
        <w:rPr>
          <w:vertAlign w:val="baseline"/>
        </w:rPr>
        <w:t>and</w:t>
      </w:r>
      <w:r>
        <w:rPr>
          <w:spacing w:val="32"/>
          <w:vertAlign w:val="baseline"/>
        </w:rPr>
        <w:t> </w:t>
      </w:r>
      <w:r>
        <w:rPr>
          <w:vertAlign w:val="baseline"/>
        </w:rPr>
        <w:t>labour,</w:t>
      </w:r>
      <w:r>
        <w:rPr>
          <w:spacing w:val="32"/>
          <w:vertAlign w:val="baseline"/>
        </w:rPr>
        <w:t> </w:t>
      </w:r>
      <w:r>
        <w:rPr>
          <w:vertAlign w:val="baseline"/>
        </w:rPr>
        <w:t>staff</w:t>
      </w:r>
      <w:r>
        <w:rPr>
          <w:spacing w:val="31"/>
          <w:vertAlign w:val="baseline"/>
        </w:rPr>
        <w:t> </w:t>
      </w:r>
      <w:r>
        <w:rPr>
          <w:vertAlign w:val="baseline"/>
        </w:rPr>
        <w:t>training</w:t>
      </w:r>
      <w:r>
        <w:rPr>
          <w:spacing w:val="30"/>
          <w:vertAlign w:val="baseline"/>
        </w:rPr>
        <w:t> </w:t>
      </w:r>
      <w:r>
        <w:rPr>
          <w:vertAlign w:val="baseline"/>
        </w:rPr>
        <w:t>and</w:t>
      </w:r>
      <w:r>
        <w:rPr>
          <w:spacing w:val="40"/>
          <w:vertAlign w:val="baseline"/>
        </w:rPr>
        <w:t> </w:t>
      </w:r>
      <w:r>
        <w:rPr>
          <w:vertAlign w:val="baseline"/>
        </w:rPr>
        <w:t>procurement</w:t>
      </w:r>
      <w:r>
        <w:rPr>
          <w:spacing w:val="34"/>
          <w:vertAlign w:val="baseline"/>
        </w:rPr>
        <w:t> </w:t>
      </w:r>
      <w:r>
        <w:rPr>
          <w:vertAlign w:val="baseline"/>
        </w:rPr>
        <w:t>of</w:t>
      </w:r>
      <w:r>
        <w:rPr>
          <w:spacing w:val="31"/>
          <w:vertAlign w:val="baseline"/>
        </w:rPr>
        <w:t> </w:t>
      </w:r>
      <w:r>
        <w:rPr>
          <w:vertAlign w:val="baseline"/>
        </w:rPr>
        <w:t>goods,</w:t>
      </w:r>
      <w:r>
        <w:rPr>
          <w:spacing w:val="40"/>
          <w:vertAlign w:val="baseline"/>
        </w:rPr>
        <w:t> </w:t>
      </w:r>
      <w:r>
        <w:rPr>
          <w:vertAlign w:val="baseline"/>
        </w:rPr>
        <w:t>materials and</w:t>
      </w:r>
      <w:r>
        <w:rPr>
          <w:spacing w:val="40"/>
          <w:vertAlign w:val="baseline"/>
        </w:rPr>
        <w:t> </w:t>
      </w:r>
      <w:r>
        <w:rPr>
          <w:vertAlign w:val="baseline"/>
        </w:rPr>
        <w:t>services</w:t>
      </w:r>
      <w:r>
        <w:rPr>
          <w:spacing w:val="40"/>
          <w:vertAlign w:val="baseline"/>
        </w:rPr>
        <w:t> </w:t>
      </w:r>
      <w:r>
        <w:rPr>
          <w:vertAlign w:val="baseline"/>
        </w:rPr>
        <w:t>etc.</w:t>
      </w:r>
      <w:r>
        <w:rPr>
          <w:spacing w:val="40"/>
          <w:vertAlign w:val="baseline"/>
        </w:rPr>
        <w:t> </w:t>
      </w:r>
      <w:r>
        <w:rPr>
          <w:vertAlign w:val="baseline"/>
        </w:rPr>
        <w:t>By</w:t>
      </w:r>
      <w:r>
        <w:rPr>
          <w:spacing w:val="40"/>
          <w:vertAlign w:val="baseline"/>
        </w:rPr>
        <w:t> </w:t>
      </w:r>
      <w:r>
        <w:rPr>
          <w:vertAlign w:val="baseline"/>
        </w:rPr>
        <w:t>Section</w:t>
      </w:r>
      <w:r>
        <w:rPr>
          <w:spacing w:val="40"/>
          <w:vertAlign w:val="baseline"/>
        </w:rPr>
        <w:t> </w:t>
      </w:r>
      <w:r>
        <w:rPr>
          <w:vertAlign w:val="baseline"/>
        </w:rPr>
        <w:t>3</w:t>
      </w:r>
      <w:r>
        <w:rPr>
          <w:spacing w:val="40"/>
          <w:vertAlign w:val="baseline"/>
        </w:rPr>
        <w:t> </w:t>
      </w:r>
      <w:r>
        <w:rPr>
          <w:vertAlign w:val="baseline"/>
        </w:rPr>
        <w:t>(2),</w:t>
      </w:r>
      <w:r>
        <w:rPr>
          <w:spacing w:val="-4"/>
          <w:vertAlign w:val="baseline"/>
        </w:rPr>
        <w:t> </w:t>
      </w:r>
      <w:r>
        <w:rPr>
          <w:vertAlign w:val="superscript"/>
        </w:rPr>
        <w:t>51</w:t>
      </w:r>
      <w:r>
        <w:rPr>
          <w:vertAlign w:val="baseline"/>
        </w:rPr>
        <w:t> exclusive</w:t>
      </w:r>
      <w:r>
        <w:rPr>
          <w:spacing w:val="40"/>
          <w:vertAlign w:val="baseline"/>
        </w:rPr>
        <w:t> </w:t>
      </w:r>
      <w:r>
        <w:rPr>
          <w:vertAlign w:val="baseline"/>
        </w:rPr>
        <w:t>consideration</w:t>
      </w:r>
      <w:r>
        <w:rPr>
          <w:spacing w:val="40"/>
          <w:vertAlign w:val="baseline"/>
        </w:rPr>
        <w:t> </w:t>
      </w:r>
      <w:r>
        <w:rPr>
          <w:vertAlign w:val="baseline"/>
        </w:rPr>
        <w:t>is</w:t>
      </w:r>
      <w:r>
        <w:rPr>
          <w:spacing w:val="40"/>
          <w:vertAlign w:val="baseline"/>
        </w:rPr>
        <w:t> </w:t>
      </w:r>
      <w:r>
        <w:rPr>
          <w:vertAlign w:val="baseline"/>
        </w:rPr>
        <w:t>given</w:t>
      </w:r>
      <w:r>
        <w:rPr>
          <w:spacing w:val="40"/>
          <w:vertAlign w:val="baseline"/>
        </w:rPr>
        <w:t> </w:t>
      </w:r>
      <w:r>
        <w:rPr>
          <w:vertAlign w:val="baseline"/>
        </w:rPr>
        <w:t>to</w:t>
      </w:r>
      <w:r>
        <w:rPr>
          <w:spacing w:val="40"/>
          <w:vertAlign w:val="baseline"/>
        </w:rPr>
        <w:t> </w:t>
      </w:r>
      <w:r>
        <w:rPr>
          <w:vertAlign w:val="baseline"/>
        </w:rPr>
        <w:t>Nigerian indigenous service companies</w:t>
      </w:r>
      <w:r>
        <w:rPr>
          <w:spacing w:val="80"/>
          <w:vertAlign w:val="baseline"/>
        </w:rPr>
        <w:t> </w:t>
      </w:r>
      <w:r>
        <w:rPr>
          <w:vertAlign w:val="baseline"/>
        </w:rPr>
        <w:t>which demonstrate ownership of equipment, Nigerian personnel and capacity</w:t>
      </w:r>
      <w:r>
        <w:rPr>
          <w:spacing w:val="-1"/>
          <w:vertAlign w:val="baseline"/>
        </w:rPr>
        <w:t> </w:t>
      </w:r>
      <w:r>
        <w:rPr>
          <w:vertAlign w:val="baseline"/>
        </w:rPr>
        <w:t>to execute such work on land and swamp. This section incorporates a significant</w:t>
      </w:r>
      <w:r>
        <w:rPr>
          <w:spacing w:val="40"/>
          <w:vertAlign w:val="baseline"/>
        </w:rPr>
        <w:t> </w:t>
      </w:r>
      <w:r>
        <w:rPr>
          <w:vertAlign w:val="baseline"/>
        </w:rPr>
        <w:t>pre-condition</w:t>
      </w:r>
      <w:r>
        <w:rPr>
          <w:spacing w:val="40"/>
          <w:vertAlign w:val="baseline"/>
        </w:rPr>
        <w:t> </w:t>
      </w:r>
      <w:r>
        <w:rPr>
          <w:vertAlign w:val="baseline"/>
        </w:rPr>
        <w:t>for</w:t>
      </w:r>
      <w:r>
        <w:rPr>
          <w:spacing w:val="40"/>
          <w:vertAlign w:val="baseline"/>
        </w:rPr>
        <w:t> </w:t>
      </w:r>
      <w:r>
        <w:rPr>
          <w:vertAlign w:val="baseline"/>
        </w:rPr>
        <w:t>getting</w:t>
      </w:r>
      <w:r>
        <w:rPr>
          <w:spacing w:val="40"/>
          <w:vertAlign w:val="baseline"/>
        </w:rPr>
        <w:t> </w:t>
      </w:r>
      <w:r>
        <w:rPr>
          <w:vertAlign w:val="baseline"/>
        </w:rPr>
        <w:t>the</w:t>
      </w:r>
      <w:r>
        <w:rPr>
          <w:spacing w:val="40"/>
          <w:vertAlign w:val="baseline"/>
        </w:rPr>
        <w:t> </w:t>
      </w:r>
      <w:r>
        <w:rPr>
          <w:vertAlign w:val="baseline"/>
        </w:rPr>
        <w:t>coveted</w:t>
      </w:r>
      <w:r>
        <w:rPr>
          <w:spacing w:val="40"/>
          <w:vertAlign w:val="baseline"/>
        </w:rPr>
        <w:t> </w:t>
      </w:r>
      <w:r>
        <w:rPr>
          <w:vertAlign w:val="baseline"/>
        </w:rPr>
        <w:t>exclusive</w:t>
      </w:r>
      <w:r>
        <w:rPr>
          <w:spacing w:val="40"/>
          <w:vertAlign w:val="baseline"/>
        </w:rPr>
        <w:t> </w:t>
      </w:r>
      <w:r>
        <w:rPr>
          <w:vertAlign w:val="baseline"/>
        </w:rPr>
        <w:t>preferential</w:t>
      </w:r>
      <w:r>
        <w:rPr>
          <w:spacing w:val="40"/>
          <w:vertAlign w:val="baseline"/>
        </w:rPr>
        <w:t> </w:t>
      </w:r>
      <w:r>
        <w:rPr>
          <w:vertAlign w:val="baseline"/>
        </w:rPr>
        <w:t>treatment.</w:t>
      </w:r>
      <w:r>
        <w:rPr>
          <w:spacing w:val="40"/>
          <w:vertAlign w:val="baseline"/>
        </w:rPr>
        <w:t> </w:t>
      </w:r>
      <w:r>
        <w:rPr>
          <w:vertAlign w:val="baseline"/>
        </w:rPr>
        <w:t>It stipulates</w:t>
      </w:r>
      <w:r>
        <w:rPr>
          <w:spacing w:val="66"/>
          <w:vertAlign w:val="baseline"/>
        </w:rPr>
        <w:t> </w:t>
      </w:r>
      <w:r>
        <w:rPr>
          <w:vertAlign w:val="baseline"/>
        </w:rPr>
        <w:t>“demonstrate</w:t>
      </w:r>
      <w:r>
        <w:rPr>
          <w:spacing w:val="65"/>
          <w:vertAlign w:val="baseline"/>
        </w:rPr>
        <w:t> </w:t>
      </w:r>
      <w:r>
        <w:rPr>
          <w:vertAlign w:val="baseline"/>
        </w:rPr>
        <w:t>capacity</w:t>
      </w:r>
      <w:r>
        <w:rPr>
          <w:spacing w:val="40"/>
          <w:vertAlign w:val="baseline"/>
        </w:rPr>
        <w:t> </w:t>
      </w:r>
      <w:r>
        <w:rPr>
          <w:vertAlign w:val="baseline"/>
        </w:rPr>
        <w:t>to</w:t>
      </w:r>
      <w:r>
        <w:rPr>
          <w:spacing w:val="66"/>
          <w:vertAlign w:val="baseline"/>
        </w:rPr>
        <w:t> </w:t>
      </w:r>
      <w:r>
        <w:rPr>
          <w:vertAlign w:val="baseline"/>
        </w:rPr>
        <w:t>perform</w:t>
      </w:r>
      <w:r>
        <w:rPr>
          <w:spacing w:val="80"/>
          <w:vertAlign w:val="baseline"/>
        </w:rPr>
        <w:t> </w:t>
      </w:r>
      <w:r>
        <w:rPr>
          <w:vertAlign w:val="baseline"/>
        </w:rPr>
        <w:t>as</w:t>
      </w:r>
      <w:r>
        <w:rPr>
          <w:spacing w:val="73"/>
          <w:vertAlign w:val="baseline"/>
        </w:rPr>
        <w:t> </w:t>
      </w:r>
      <w:r>
        <w:rPr>
          <w:vertAlign w:val="baseline"/>
        </w:rPr>
        <w:t>a</w:t>
      </w:r>
      <w:r>
        <w:rPr>
          <w:spacing w:val="70"/>
          <w:vertAlign w:val="baseline"/>
        </w:rPr>
        <w:t> </w:t>
      </w:r>
      <w:r>
        <w:rPr>
          <w:vertAlign w:val="baseline"/>
        </w:rPr>
        <w:t>key</w:t>
      </w:r>
      <w:r>
        <w:rPr>
          <w:spacing w:val="40"/>
          <w:vertAlign w:val="baseline"/>
        </w:rPr>
        <w:t> </w:t>
      </w:r>
      <w:r>
        <w:rPr>
          <w:spacing w:val="9"/>
          <w:vertAlign w:val="baseline"/>
        </w:rPr>
        <w:t>criterion</w:t>
      </w:r>
      <w:r>
        <w:rPr>
          <w:spacing w:val="71"/>
          <w:vertAlign w:val="baseline"/>
        </w:rPr>
        <w:t> </w:t>
      </w:r>
      <w:r>
        <w:rPr>
          <w:vertAlign w:val="baseline"/>
        </w:rPr>
        <w:t>for</w:t>
      </w:r>
      <w:r>
        <w:rPr>
          <w:spacing w:val="71"/>
          <w:vertAlign w:val="baseline"/>
        </w:rPr>
        <w:t> </w:t>
      </w:r>
      <w:r>
        <w:rPr>
          <w:spacing w:val="9"/>
          <w:vertAlign w:val="baseline"/>
        </w:rPr>
        <w:t>preferential</w:t>
      </w:r>
      <w:r>
        <w:rPr>
          <w:spacing w:val="73"/>
          <w:vertAlign w:val="baseline"/>
        </w:rPr>
        <w:t> </w:t>
      </w:r>
      <w:r>
        <w:rPr>
          <w:vertAlign w:val="baseline"/>
        </w:rPr>
        <w:t>award of jobs. Supporting provisions for the policy objectives of Section 3 and for Nigerian companies are contained primarily in Section </w:t>
      </w:r>
      <w:r>
        <w:rPr>
          <w:spacing w:val="22"/>
          <w:vertAlign w:val="baseline"/>
        </w:rPr>
        <w:t>11,</w:t>
      </w:r>
      <w:r>
        <w:rPr>
          <w:spacing w:val="22"/>
          <w:vertAlign w:val="baseline"/>
        </w:rPr>
        <w:t> </w:t>
      </w:r>
      <w:r>
        <w:rPr>
          <w:vertAlign w:val="baseline"/>
        </w:rPr>
        <w:t>15 and Section 16. The main support granted</w:t>
      </w:r>
      <w:r>
        <w:rPr>
          <w:spacing w:val="37"/>
          <w:vertAlign w:val="baseline"/>
        </w:rPr>
        <w:t> </w:t>
      </w:r>
      <w:r>
        <w:rPr>
          <w:vertAlign w:val="baseline"/>
        </w:rPr>
        <w:t>in</w:t>
      </w:r>
      <w:r>
        <w:rPr>
          <w:spacing w:val="39"/>
          <w:vertAlign w:val="baseline"/>
        </w:rPr>
        <w:t> </w:t>
      </w:r>
      <w:r>
        <w:rPr>
          <w:vertAlign w:val="baseline"/>
        </w:rPr>
        <w:t>favour</w:t>
      </w:r>
      <w:r>
        <w:rPr>
          <w:spacing w:val="36"/>
          <w:vertAlign w:val="baseline"/>
        </w:rPr>
        <w:t> </w:t>
      </w:r>
      <w:r>
        <w:rPr>
          <w:vertAlign w:val="baseline"/>
        </w:rPr>
        <w:t>of</w:t>
      </w:r>
      <w:r>
        <w:rPr>
          <w:spacing w:val="39"/>
          <w:vertAlign w:val="baseline"/>
        </w:rPr>
        <w:t> </w:t>
      </w:r>
      <w:r>
        <w:rPr>
          <w:vertAlign w:val="baseline"/>
        </w:rPr>
        <w:t>Nigerian</w:t>
      </w:r>
      <w:r>
        <w:rPr>
          <w:spacing w:val="40"/>
          <w:vertAlign w:val="baseline"/>
        </w:rPr>
        <w:t> </w:t>
      </w:r>
      <w:r>
        <w:rPr>
          <w:vertAlign w:val="baseline"/>
        </w:rPr>
        <w:t>companies</w:t>
      </w:r>
      <w:r>
        <w:rPr>
          <w:spacing w:val="40"/>
          <w:vertAlign w:val="baseline"/>
        </w:rPr>
        <w:t> </w:t>
      </w:r>
      <w:r>
        <w:rPr>
          <w:vertAlign w:val="baseline"/>
        </w:rPr>
        <w:t>is</w:t>
      </w:r>
      <w:r>
        <w:rPr>
          <w:spacing w:val="40"/>
          <w:vertAlign w:val="baseline"/>
        </w:rPr>
        <w:t> </w:t>
      </w:r>
      <w:r>
        <w:rPr>
          <w:vertAlign w:val="baseline"/>
        </w:rPr>
        <w:t>contained</w:t>
      </w:r>
      <w:r>
        <w:rPr>
          <w:spacing w:val="37"/>
          <w:vertAlign w:val="baseline"/>
        </w:rPr>
        <w:t> </w:t>
      </w:r>
      <w:r>
        <w:rPr>
          <w:vertAlign w:val="baseline"/>
        </w:rPr>
        <w:t>in</w:t>
      </w:r>
      <w:r>
        <w:rPr>
          <w:spacing w:val="37"/>
          <w:vertAlign w:val="baseline"/>
        </w:rPr>
        <w:t> </w:t>
      </w:r>
      <w:r>
        <w:rPr>
          <w:vertAlign w:val="baseline"/>
        </w:rPr>
        <w:t>Sections</w:t>
      </w:r>
      <w:r>
        <w:rPr>
          <w:spacing w:val="39"/>
          <w:vertAlign w:val="baseline"/>
        </w:rPr>
        <w:t> </w:t>
      </w:r>
      <w:r>
        <w:rPr>
          <w:vertAlign w:val="baseline"/>
        </w:rPr>
        <w:t>15</w:t>
      </w:r>
      <w:r>
        <w:rPr>
          <w:spacing w:val="39"/>
          <w:vertAlign w:val="baseline"/>
        </w:rPr>
        <w:t> </w:t>
      </w:r>
      <w:r>
        <w:rPr>
          <w:vertAlign w:val="baseline"/>
        </w:rPr>
        <w:t>and</w:t>
      </w:r>
      <w:r>
        <w:rPr>
          <w:spacing w:val="37"/>
          <w:vertAlign w:val="baseline"/>
        </w:rPr>
        <w:t> </w:t>
      </w:r>
      <w:r>
        <w:rPr>
          <w:vertAlign w:val="baseline"/>
        </w:rPr>
        <w:t>16</w:t>
      </w:r>
      <w:r>
        <w:rPr>
          <w:spacing w:val="39"/>
          <w:vertAlign w:val="baseline"/>
        </w:rPr>
        <w:t> </w:t>
      </w:r>
      <w:r>
        <w:rPr>
          <w:vertAlign w:val="baseline"/>
        </w:rPr>
        <w:t>which</w:t>
      </w:r>
      <w:r>
        <w:rPr>
          <w:spacing w:val="40"/>
          <w:vertAlign w:val="baseline"/>
        </w:rPr>
        <w:t> </w:t>
      </w:r>
      <w:r>
        <w:rPr>
          <w:vertAlign w:val="baseline"/>
        </w:rPr>
        <w:t>deals with</w:t>
      </w:r>
      <w:r>
        <w:rPr>
          <w:spacing w:val="75"/>
          <w:vertAlign w:val="baseline"/>
        </w:rPr>
        <w:t> </w:t>
      </w:r>
      <w:r>
        <w:rPr>
          <w:vertAlign w:val="baseline"/>
        </w:rPr>
        <w:t>the</w:t>
      </w:r>
      <w:r>
        <w:rPr>
          <w:spacing w:val="76"/>
          <w:vertAlign w:val="baseline"/>
        </w:rPr>
        <w:t> </w:t>
      </w:r>
      <w:r>
        <w:rPr>
          <w:vertAlign w:val="baseline"/>
        </w:rPr>
        <w:t>bidding</w:t>
      </w:r>
      <w:r>
        <w:rPr>
          <w:spacing w:val="71"/>
          <w:vertAlign w:val="baseline"/>
        </w:rPr>
        <w:t> </w:t>
      </w:r>
      <w:r>
        <w:rPr>
          <w:vertAlign w:val="baseline"/>
        </w:rPr>
        <w:t>process.</w:t>
      </w:r>
      <w:r>
        <w:rPr>
          <w:spacing w:val="75"/>
          <w:vertAlign w:val="baseline"/>
        </w:rPr>
        <w:t> </w:t>
      </w:r>
      <w:r>
        <w:rPr>
          <w:vertAlign w:val="baseline"/>
        </w:rPr>
        <w:t>Other</w:t>
      </w:r>
      <w:r>
        <w:rPr>
          <w:spacing w:val="73"/>
          <w:vertAlign w:val="baseline"/>
        </w:rPr>
        <w:t> </w:t>
      </w:r>
      <w:r>
        <w:rPr>
          <w:vertAlign w:val="baseline"/>
        </w:rPr>
        <w:t>benefits</w:t>
      </w:r>
      <w:r>
        <w:rPr>
          <w:spacing w:val="75"/>
          <w:vertAlign w:val="baseline"/>
        </w:rPr>
        <w:t> </w:t>
      </w:r>
      <w:r>
        <w:rPr>
          <w:vertAlign w:val="baseline"/>
        </w:rPr>
        <w:t>to</w:t>
      </w:r>
      <w:r>
        <w:rPr>
          <w:spacing w:val="75"/>
          <w:vertAlign w:val="baseline"/>
        </w:rPr>
        <w:t> </w:t>
      </w:r>
      <w:r>
        <w:rPr>
          <w:vertAlign w:val="baseline"/>
        </w:rPr>
        <w:t>be</w:t>
      </w:r>
      <w:r>
        <w:rPr>
          <w:spacing w:val="73"/>
          <w:vertAlign w:val="baseline"/>
        </w:rPr>
        <w:t> </w:t>
      </w:r>
      <w:r>
        <w:rPr>
          <w:vertAlign w:val="baseline"/>
        </w:rPr>
        <w:t>enjoyed</w:t>
      </w:r>
      <w:r>
        <w:rPr>
          <w:spacing w:val="78"/>
          <w:vertAlign w:val="baseline"/>
        </w:rPr>
        <w:t> </w:t>
      </w:r>
      <w:r>
        <w:rPr>
          <w:vertAlign w:val="baseline"/>
        </w:rPr>
        <w:t>by</w:t>
      </w:r>
      <w:r>
        <w:rPr>
          <w:spacing w:val="71"/>
          <w:vertAlign w:val="baseline"/>
        </w:rPr>
        <w:t> </w:t>
      </w:r>
      <w:r>
        <w:rPr>
          <w:vertAlign w:val="baseline"/>
        </w:rPr>
        <w:t>Nigerian</w:t>
      </w:r>
      <w:r>
        <w:rPr>
          <w:spacing w:val="78"/>
          <w:vertAlign w:val="baseline"/>
        </w:rPr>
        <w:t> </w:t>
      </w:r>
      <w:r>
        <w:rPr>
          <w:vertAlign w:val="baseline"/>
        </w:rPr>
        <w:t>companies</w:t>
      </w:r>
      <w:r>
        <w:rPr>
          <w:spacing w:val="80"/>
          <w:vertAlign w:val="baseline"/>
        </w:rPr>
        <w:t> </w:t>
      </w:r>
      <w:r>
        <w:rPr>
          <w:vertAlign w:val="baseline"/>
        </w:rPr>
        <w:t>under the Act are technology transfer as contained in Sections 44 and 45 of the Act. Section 44 stipulates</w:t>
      </w:r>
      <w:r>
        <w:rPr>
          <w:spacing w:val="18"/>
          <w:vertAlign w:val="baseline"/>
        </w:rPr>
        <w:t> </w:t>
      </w:r>
      <w:r>
        <w:rPr>
          <w:vertAlign w:val="baseline"/>
        </w:rPr>
        <w:t>that</w:t>
      </w:r>
      <w:r>
        <w:rPr>
          <w:spacing w:val="18"/>
          <w:vertAlign w:val="baseline"/>
        </w:rPr>
        <w:t> </w:t>
      </w:r>
      <w:r>
        <w:rPr>
          <w:vertAlign w:val="baseline"/>
        </w:rPr>
        <w:t>operators</w:t>
      </w:r>
      <w:r>
        <w:rPr>
          <w:spacing w:val="19"/>
          <w:vertAlign w:val="baseline"/>
        </w:rPr>
        <w:t> </w:t>
      </w:r>
      <w:r>
        <w:rPr>
          <w:vertAlign w:val="baseline"/>
        </w:rPr>
        <w:t>are</w:t>
      </w:r>
      <w:r>
        <w:rPr>
          <w:spacing w:val="18"/>
          <w:vertAlign w:val="baseline"/>
        </w:rPr>
        <w:t> </w:t>
      </w:r>
      <w:r>
        <w:rPr>
          <w:vertAlign w:val="baseline"/>
        </w:rPr>
        <w:t>required</w:t>
      </w:r>
      <w:r>
        <w:rPr>
          <w:spacing w:val="17"/>
          <w:vertAlign w:val="baseline"/>
        </w:rPr>
        <w:t> </w:t>
      </w:r>
      <w:r>
        <w:rPr>
          <w:vertAlign w:val="baseline"/>
        </w:rPr>
        <w:t>to</w:t>
      </w:r>
      <w:r>
        <w:rPr>
          <w:spacing w:val="21"/>
          <w:vertAlign w:val="baseline"/>
        </w:rPr>
        <w:t> </w:t>
      </w:r>
      <w:r>
        <w:rPr>
          <w:vertAlign w:val="baseline"/>
        </w:rPr>
        <w:t>have</w:t>
      </w:r>
      <w:r>
        <w:rPr>
          <w:spacing w:val="19"/>
          <w:vertAlign w:val="baseline"/>
        </w:rPr>
        <w:t> </w:t>
      </w:r>
      <w:r>
        <w:rPr>
          <w:vertAlign w:val="baseline"/>
        </w:rPr>
        <w:t>a</w:t>
      </w:r>
      <w:r>
        <w:rPr>
          <w:spacing w:val="17"/>
          <w:vertAlign w:val="baseline"/>
        </w:rPr>
        <w:t> </w:t>
      </w:r>
      <w:r>
        <w:rPr>
          <w:vertAlign w:val="baseline"/>
        </w:rPr>
        <w:t>program</w:t>
      </w:r>
      <w:r>
        <w:rPr>
          <w:spacing w:val="18"/>
          <w:vertAlign w:val="baseline"/>
        </w:rPr>
        <w:t> </w:t>
      </w:r>
      <w:r>
        <w:rPr>
          <w:vertAlign w:val="baseline"/>
        </w:rPr>
        <w:t>of</w:t>
      </w:r>
      <w:r>
        <w:rPr>
          <w:spacing w:val="28"/>
          <w:vertAlign w:val="baseline"/>
        </w:rPr>
        <w:t> </w:t>
      </w:r>
      <w:r>
        <w:rPr>
          <w:vertAlign w:val="baseline"/>
        </w:rPr>
        <w:t>to</w:t>
      </w:r>
      <w:r>
        <w:rPr>
          <w:spacing w:val="31"/>
          <w:vertAlign w:val="baseline"/>
        </w:rPr>
        <w:t> </w:t>
      </w:r>
      <w:r>
        <w:rPr>
          <w:vertAlign w:val="baseline"/>
        </w:rPr>
        <w:t>have</w:t>
      </w:r>
      <w:r>
        <w:rPr>
          <w:spacing w:val="30"/>
          <w:vertAlign w:val="baseline"/>
        </w:rPr>
        <w:t> </w:t>
      </w:r>
      <w:r>
        <w:rPr>
          <w:vertAlign w:val="baseline"/>
        </w:rPr>
        <w:t>a</w:t>
      </w:r>
      <w:r>
        <w:rPr>
          <w:spacing w:val="30"/>
          <w:vertAlign w:val="baseline"/>
        </w:rPr>
        <w:t> </w:t>
      </w:r>
      <w:r>
        <w:rPr>
          <w:vertAlign w:val="baseline"/>
        </w:rPr>
        <w:t>program</w:t>
      </w:r>
      <w:r>
        <w:rPr>
          <w:spacing w:val="32"/>
          <w:vertAlign w:val="baseline"/>
        </w:rPr>
        <w:t> </w:t>
      </w:r>
      <w:r>
        <w:rPr>
          <w:vertAlign w:val="baseline"/>
        </w:rPr>
        <w:t>of</w:t>
      </w:r>
      <w:r>
        <w:rPr>
          <w:spacing w:val="28"/>
          <w:vertAlign w:val="baseline"/>
        </w:rPr>
        <w:t> </w:t>
      </w:r>
      <w:r>
        <w:rPr>
          <w:vertAlign w:val="baseline"/>
        </w:rPr>
        <w:t>incentives to</w:t>
      </w:r>
      <w:r>
        <w:rPr>
          <w:spacing w:val="40"/>
          <w:vertAlign w:val="baseline"/>
        </w:rPr>
        <w:t> </w:t>
      </w:r>
      <w:r>
        <w:rPr>
          <w:vertAlign w:val="baseline"/>
        </w:rPr>
        <w:t>promote</w:t>
      </w:r>
      <w:r>
        <w:rPr>
          <w:spacing w:val="40"/>
          <w:vertAlign w:val="baseline"/>
        </w:rPr>
        <w:t> </w:t>
      </w:r>
      <w:r>
        <w:rPr>
          <w:vertAlign w:val="baseline"/>
        </w:rPr>
        <w:t>transfer</w:t>
      </w:r>
      <w:r>
        <w:rPr>
          <w:spacing w:val="40"/>
          <w:vertAlign w:val="baseline"/>
        </w:rPr>
        <w:t> </w:t>
      </w:r>
      <w:r>
        <w:rPr>
          <w:vertAlign w:val="baseline"/>
        </w:rPr>
        <w:t>of</w:t>
      </w:r>
      <w:r>
        <w:rPr>
          <w:spacing w:val="40"/>
          <w:vertAlign w:val="baseline"/>
        </w:rPr>
        <w:t> </w:t>
      </w:r>
      <w:r>
        <w:rPr>
          <w:vertAlign w:val="baseline"/>
        </w:rPr>
        <w:t>technology</w:t>
      </w:r>
      <w:r>
        <w:rPr>
          <w:spacing w:val="40"/>
          <w:vertAlign w:val="baseline"/>
        </w:rPr>
        <w:t> </w:t>
      </w:r>
      <w:r>
        <w:rPr>
          <w:vertAlign w:val="baseline"/>
        </w:rPr>
        <w:t>and</w:t>
      </w:r>
      <w:r>
        <w:rPr>
          <w:spacing w:val="40"/>
          <w:vertAlign w:val="baseline"/>
        </w:rPr>
        <w:t> </w:t>
      </w:r>
      <w:r>
        <w:rPr>
          <w:vertAlign w:val="baseline"/>
        </w:rPr>
        <w:t>Section</w:t>
      </w:r>
      <w:r>
        <w:rPr>
          <w:spacing w:val="40"/>
          <w:vertAlign w:val="baseline"/>
        </w:rPr>
        <w:t> </w:t>
      </w:r>
      <w:r>
        <w:rPr>
          <w:vertAlign w:val="baseline"/>
        </w:rPr>
        <w:t>45</w:t>
      </w:r>
      <w:r>
        <w:rPr>
          <w:spacing w:val="40"/>
          <w:vertAlign w:val="baseline"/>
        </w:rPr>
        <w:t> </w:t>
      </w:r>
      <w:r>
        <w:rPr>
          <w:vertAlign w:val="baseline"/>
        </w:rPr>
        <w:t>encourages</w:t>
      </w:r>
      <w:r>
        <w:rPr>
          <w:spacing w:val="40"/>
          <w:vertAlign w:val="baseline"/>
        </w:rPr>
        <w:t> </w:t>
      </w:r>
      <w:r>
        <w:rPr>
          <w:vertAlign w:val="baseline"/>
        </w:rPr>
        <w:t>the</w:t>
      </w:r>
      <w:r>
        <w:rPr>
          <w:spacing w:val="40"/>
          <w:vertAlign w:val="baseline"/>
        </w:rPr>
        <w:t> </w:t>
      </w:r>
      <w:r>
        <w:rPr>
          <w:vertAlign w:val="baseline"/>
        </w:rPr>
        <w:t>formation</w:t>
      </w:r>
      <w:r>
        <w:rPr>
          <w:spacing w:val="40"/>
          <w:vertAlign w:val="baseline"/>
        </w:rPr>
        <w:t> </w:t>
      </w:r>
      <w:r>
        <w:rPr>
          <w:vertAlign w:val="baseline"/>
        </w:rPr>
        <w:t>of</w:t>
      </w:r>
      <w:r>
        <w:rPr>
          <w:spacing w:val="40"/>
          <w:vertAlign w:val="baseline"/>
        </w:rPr>
        <w:t> </w:t>
      </w:r>
      <w:r>
        <w:rPr>
          <w:vertAlign w:val="baseline"/>
        </w:rPr>
        <w:t>joint ventures</w:t>
      </w:r>
      <w:r>
        <w:rPr>
          <w:spacing w:val="32"/>
          <w:vertAlign w:val="baseline"/>
        </w:rPr>
        <w:t> </w:t>
      </w:r>
      <w:r>
        <w:rPr>
          <w:vertAlign w:val="baseline"/>
        </w:rPr>
        <w:t>and</w:t>
      </w:r>
      <w:r>
        <w:rPr>
          <w:spacing w:val="32"/>
          <w:vertAlign w:val="baseline"/>
        </w:rPr>
        <w:t> </w:t>
      </w:r>
      <w:r>
        <w:rPr>
          <w:vertAlign w:val="baseline"/>
        </w:rPr>
        <w:t>other</w:t>
      </w:r>
      <w:r>
        <w:rPr>
          <w:spacing w:val="31"/>
          <w:vertAlign w:val="baseline"/>
        </w:rPr>
        <w:t> </w:t>
      </w:r>
      <w:r>
        <w:rPr>
          <w:vertAlign w:val="baseline"/>
        </w:rPr>
        <w:t>forms</w:t>
      </w:r>
      <w:r>
        <w:rPr>
          <w:spacing w:val="33"/>
          <w:vertAlign w:val="baseline"/>
        </w:rPr>
        <w:t> </w:t>
      </w:r>
      <w:r>
        <w:rPr>
          <w:vertAlign w:val="baseline"/>
        </w:rPr>
        <w:t>of</w:t>
      </w:r>
      <w:r>
        <w:rPr>
          <w:spacing w:val="31"/>
          <w:vertAlign w:val="baseline"/>
        </w:rPr>
        <w:t> </w:t>
      </w:r>
      <w:r>
        <w:rPr>
          <w:vertAlign w:val="baseline"/>
        </w:rPr>
        <w:t>alliances.</w:t>
      </w:r>
      <w:r>
        <w:rPr>
          <w:spacing w:val="31"/>
          <w:vertAlign w:val="baseline"/>
        </w:rPr>
        <w:t>  </w:t>
      </w:r>
      <w:r>
        <w:rPr>
          <w:vertAlign w:val="baseline"/>
        </w:rPr>
        <w:t>Section</w:t>
      </w:r>
      <w:r>
        <w:rPr>
          <w:spacing w:val="29"/>
          <w:vertAlign w:val="baseline"/>
        </w:rPr>
        <w:t> </w:t>
      </w:r>
      <w:r>
        <w:rPr>
          <w:vertAlign w:val="baseline"/>
        </w:rPr>
        <w:t>3(2)</w:t>
      </w:r>
      <w:r>
        <w:rPr>
          <w:spacing w:val="32"/>
          <w:vertAlign w:val="baseline"/>
        </w:rPr>
        <w:t> </w:t>
      </w:r>
      <w:r>
        <w:rPr>
          <w:vertAlign w:val="baseline"/>
        </w:rPr>
        <w:t>is</w:t>
      </w:r>
      <w:r>
        <w:rPr>
          <w:spacing w:val="32"/>
          <w:vertAlign w:val="baseline"/>
        </w:rPr>
        <w:t> </w:t>
      </w:r>
      <w:r>
        <w:rPr>
          <w:vertAlign w:val="baseline"/>
        </w:rPr>
        <w:t>developed</w:t>
      </w:r>
      <w:r>
        <w:rPr>
          <w:spacing w:val="32"/>
          <w:vertAlign w:val="baseline"/>
        </w:rPr>
        <w:t> </w:t>
      </w:r>
      <w:r>
        <w:rPr>
          <w:vertAlign w:val="baseline"/>
        </w:rPr>
        <w:t>further</w:t>
      </w:r>
      <w:r>
        <w:rPr>
          <w:spacing w:val="31"/>
          <w:vertAlign w:val="baseline"/>
        </w:rPr>
        <w:t> </w:t>
      </w:r>
      <w:r>
        <w:rPr>
          <w:vertAlign w:val="baseline"/>
        </w:rPr>
        <w:t>in</w:t>
      </w:r>
      <w:r>
        <w:rPr>
          <w:spacing w:val="32"/>
          <w:vertAlign w:val="baseline"/>
        </w:rPr>
        <w:t> </w:t>
      </w:r>
      <w:r>
        <w:rPr>
          <w:vertAlign w:val="baseline"/>
        </w:rPr>
        <w:t>Section</w:t>
      </w:r>
      <w:r>
        <w:rPr>
          <w:spacing w:val="56"/>
          <w:vertAlign w:val="baseline"/>
        </w:rPr>
        <w:t> </w:t>
      </w:r>
      <w:r>
        <w:rPr>
          <w:vertAlign w:val="baseline"/>
        </w:rPr>
        <w:t>11</w:t>
      </w:r>
      <w:r>
        <w:rPr>
          <w:spacing w:val="45"/>
          <w:vertAlign w:val="baseline"/>
        </w:rPr>
        <w:t> </w:t>
      </w:r>
      <w:r>
        <w:rPr>
          <w:spacing w:val="-5"/>
          <w:vertAlign w:val="baseline"/>
        </w:rPr>
        <w:t>of</w:t>
      </w:r>
    </w:p>
    <w:p>
      <w:pPr>
        <w:pStyle w:val="BodyText"/>
        <w:spacing w:before="9"/>
        <w:rPr>
          <w:sz w:val="7"/>
        </w:rPr>
      </w:pPr>
      <w:r>
        <w:rPr/>
        <mc:AlternateContent>
          <mc:Choice Requires="wps">
            <w:drawing>
              <wp:anchor distT="0" distB="0" distL="0" distR="0" allowOverlap="1" layoutInCell="1" locked="0" behindDoc="1" simplePos="0" relativeHeight="487603712">
                <wp:simplePos x="0" y="0"/>
                <wp:positionH relativeFrom="page">
                  <wp:posOffset>914704</wp:posOffset>
                </wp:positionH>
                <wp:positionV relativeFrom="paragraph">
                  <wp:posOffset>72595</wp:posOffset>
                </wp:positionV>
                <wp:extent cx="1829435" cy="9525"/>
                <wp:effectExtent l="0" t="0" r="0" b="0"/>
                <wp:wrapTopAndBottom/>
                <wp:docPr id="35" name="Graphic 35"/>
                <wp:cNvGraphicFramePr>
                  <a:graphicFrameLocks/>
                </wp:cNvGraphicFramePr>
                <a:graphic>
                  <a:graphicData uri="http://schemas.microsoft.com/office/word/2010/wordprocessingShape">
                    <wps:wsp>
                      <wps:cNvPr id="35" name="Graphic 35"/>
                      <wps:cNvSpPr/>
                      <wps:spPr>
                        <a:xfrm>
                          <a:off x="0" y="0"/>
                          <a:ext cx="1829435" cy="9525"/>
                        </a:xfrm>
                        <a:custGeom>
                          <a:avLst/>
                          <a:gdLst/>
                          <a:ahLst/>
                          <a:cxnLst/>
                          <a:rect l="l" t="t" r="r" b="b"/>
                          <a:pathLst>
                            <a:path w="1829435" h="9525">
                              <a:moveTo>
                                <a:pt x="1829054" y="0"/>
                              </a:moveTo>
                              <a:lnTo>
                                <a:pt x="0" y="0"/>
                              </a:lnTo>
                              <a:lnTo>
                                <a:pt x="0" y="9144"/>
                              </a:lnTo>
                              <a:lnTo>
                                <a:pt x="1829054" y="9144"/>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5.71622pt;width:144.020pt;height:.72003pt;mso-position-horizontal-relative:page;mso-position-vertical-relative:paragraph;z-index:-15712768;mso-wrap-distance-left:0;mso-wrap-distance-right:0" id="docshape35" filled="true" fillcolor="#000000" stroked="false">
                <v:fill type="solid"/>
                <w10:wrap type="topAndBottom"/>
              </v:rect>
            </w:pict>
          </mc:Fallback>
        </mc:AlternateContent>
      </w:r>
    </w:p>
    <w:p>
      <w:pPr>
        <w:spacing w:before="102"/>
        <w:ind w:left="360" w:right="0" w:firstLine="0"/>
        <w:jc w:val="left"/>
        <w:rPr>
          <w:rFonts w:ascii="Calibri"/>
          <w:sz w:val="20"/>
        </w:rPr>
      </w:pPr>
      <w:r>
        <w:rPr>
          <w:rFonts w:ascii="Calibri"/>
          <w:sz w:val="20"/>
          <w:vertAlign w:val="superscript"/>
        </w:rPr>
        <w:t>50</w:t>
      </w:r>
      <w:r>
        <w:rPr>
          <w:rFonts w:ascii="Calibri"/>
          <w:spacing w:val="-7"/>
          <w:sz w:val="20"/>
          <w:vertAlign w:val="baseline"/>
        </w:rPr>
        <w:t> </w:t>
      </w:r>
      <w:r>
        <w:rPr>
          <w:rFonts w:ascii="Calibri"/>
          <w:sz w:val="20"/>
          <w:vertAlign w:val="baseline"/>
        </w:rPr>
        <w:t>Nigerian</w:t>
      </w:r>
      <w:r>
        <w:rPr>
          <w:rFonts w:ascii="Calibri"/>
          <w:spacing w:val="-5"/>
          <w:sz w:val="20"/>
          <w:vertAlign w:val="baseline"/>
        </w:rPr>
        <w:t> </w:t>
      </w:r>
      <w:r>
        <w:rPr>
          <w:rFonts w:ascii="Calibri"/>
          <w:sz w:val="20"/>
          <w:vertAlign w:val="baseline"/>
        </w:rPr>
        <w:t>Oil</w:t>
      </w:r>
      <w:r>
        <w:rPr>
          <w:rFonts w:ascii="Calibri"/>
          <w:spacing w:val="-6"/>
          <w:sz w:val="20"/>
          <w:vertAlign w:val="baseline"/>
        </w:rPr>
        <w:t> </w:t>
      </w:r>
      <w:r>
        <w:rPr>
          <w:rFonts w:ascii="Calibri"/>
          <w:sz w:val="20"/>
          <w:vertAlign w:val="baseline"/>
        </w:rPr>
        <w:t>and</w:t>
      </w:r>
      <w:r>
        <w:rPr>
          <w:rFonts w:ascii="Calibri"/>
          <w:spacing w:val="-6"/>
          <w:sz w:val="20"/>
          <w:vertAlign w:val="baseline"/>
        </w:rPr>
        <w:t> </w:t>
      </w:r>
      <w:r>
        <w:rPr>
          <w:rFonts w:ascii="Calibri"/>
          <w:sz w:val="20"/>
          <w:vertAlign w:val="baseline"/>
        </w:rPr>
        <w:t>Gas</w:t>
      </w:r>
      <w:r>
        <w:rPr>
          <w:rFonts w:ascii="Calibri"/>
          <w:spacing w:val="-7"/>
          <w:sz w:val="20"/>
          <w:vertAlign w:val="baseline"/>
        </w:rPr>
        <w:t> </w:t>
      </w:r>
      <w:r>
        <w:rPr>
          <w:rFonts w:ascii="Calibri"/>
          <w:sz w:val="20"/>
          <w:vertAlign w:val="baseline"/>
        </w:rPr>
        <w:t>Local</w:t>
      </w:r>
      <w:r>
        <w:rPr>
          <w:rFonts w:ascii="Calibri"/>
          <w:spacing w:val="-5"/>
          <w:sz w:val="20"/>
          <w:vertAlign w:val="baseline"/>
        </w:rPr>
        <w:t> </w:t>
      </w:r>
      <w:r>
        <w:rPr>
          <w:rFonts w:ascii="Calibri"/>
          <w:sz w:val="20"/>
          <w:vertAlign w:val="baseline"/>
        </w:rPr>
        <w:t>Content</w:t>
      </w:r>
      <w:r>
        <w:rPr>
          <w:rFonts w:ascii="Calibri"/>
          <w:spacing w:val="-5"/>
          <w:sz w:val="20"/>
          <w:vertAlign w:val="baseline"/>
        </w:rPr>
        <w:t> </w:t>
      </w:r>
      <w:r>
        <w:rPr>
          <w:rFonts w:ascii="Calibri"/>
          <w:sz w:val="20"/>
          <w:vertAlign w:val="baseline"/>
        </w:rPr>
        <w:t>Development</w:t>
      </w:r>
      <w:r>
        <w:rPr>
          <w:rFonts w:ascii="Calibri"/>
          <w:spacing w:val="-6"/>
          <w:sz w:val="20"/>
          <w:vertAlign w:val="baseline"/>
        </w:rPr>
        <w:t> </w:t>
      </w:r>
      <w:r>
        <w:rPr>
          <w:rFonts w:ascii="Calibri"/>
          <w:sz w:val="20"/>
          <w:vertAlign w:val="baseline"/>
        </w:rPr>
        <w:t>Act</w:t>
      </w:r>
      <w:r>
        <w:rPr>
          <w:rFonts w:ascii="Calibri"/>
          <w:spacing w:val="-3"/>
          <w:sz w:val="20"/>
          <w:vertAlign w:val="baseline"/>
        </w:rPr>
        <w:t> </w:t>
      </w:r>
      <w:r>
        <w:rPr>
          <w:rFonts w:ascii="Calibri"/>
          <w:sz w:val="20"/>
          <w:vertAlign w:val="baseline"/>
        </w:rPr>
        <w:t>CAP</w:t>
      </w:r>
      <w:r>
        <w:rPr>
          <w:rFonts w:ascii="Calibri"/>
          <w:spacing w:val="-5"/>
          <w:sz w:val="20"/>
          <w:vertAlign w:val="baseline"/>
        </w:rPr>
        <w:t> </w:t>
      </w:r>
      <w:r>
        <w:rPr>
          <w:rFonts w:ascii="Calibri"/>
          <w:sz w:val="20"/>
          <w:vertAlign w:val="baseline"/>
        </w:rPr>
        <w:t>N124,</w:t>
      </w:r>
      <w:r>
        <w:rPr>
          <w:rFonts w:ascii="Calibri"/>
          <w:spacing w:val="-7"/>
          <w:sz w:val="20"/>
          <w:vertAlign w:val="baseline"/>
        </w:rPr>
        <w:t> </w:t>
      </w:r>
      <w:r>
        <w:rPr>
          <w:rFonts w:ascii="Calibri"/>
          <w:sz w:val="20"/>
          <w:vertAlign w:val="baseline"/>
        </w:rPr>
        <w:t>LFN,</w:t>
      </w:r>
      <w:r>
        <w:rPr>
          <w:rFonts w:ascii="Calibri"/>
          <w:spacing w:val="-5"/>
          <w:sz w:val="20"/>
          <w:vertAlign w:val="baseline"/>
        </w:rPr>
        <w:t> </w:t>
      </w:r>
      <w:r>
        <w:rPr>
          <w:rFonts w:ascii="Calibri"/>
          <w:spacing w:val="-4"/>
          <w:sz w:val="20"/>
          <w:vertAlign w:val="baseline"/>
        </w:rPr>
        <w:t>2010</w:t>
      </w:r>
    </w:p>
    <w:p>
      <w:pPr>
        <w:spacing w:before="1"/>
        <w:ind w:left="360" w:right="0" w:firstLine="0"/>
        <w:jc w:val="left"/>
        <w:rPr>
          <w:rFonts w:ascii="Calibri"/>
          <w:sz w:val="20"/>
        </w:rPr>
      </w:pPr>
      <w:r>
        <w:rPr>
          <w:rFonts w:ascii="Calibri"/>
          <w:sz w:val="20"/>
          <w:vertAlign w:val="superscript"/>
        </w:rPr>
        <w:t>51</w:t>
      </w:r>
      <w:r>
        <w:rPr>
          <w:rFonts w:ascii="Calibri"/>
          <w:spacing w:val="-4"/>
          <w:sz w:val="20"/>
          <w:vertAlign w:val="baseline"/>
        </w:rPr>
        <w:t> Ibid</w:t>
      </w:r>
    </w:p>
    <w:p>
      <w:pPr>
        <w:spacing w:after="0"/>
        <w:jc w:val="left"/>
        <w:rPr>
          <w:rFonts w:ascii="Calibri"/>
          <w:sz w:val="20"/>
        </w:rPr>
        <w:sectPr>
          <w:pgSz w:w="11910" w:h="16840"/>
          <w:pgMar w:header="0" w:footer="1000" w:top="1340" w:bottom="1200" w:left="1080" w:right="1280"/>
        </w:sectPr>
      </w:pPr>
    </w:p>
    <w:p>
      <w:pPr>
        <w:pStyle w:val="BodyText"/>
        <w:spacing w:line="480" w:lineRule="auto" w:before="74"/>
        <w:ind w:left="360" w:right="152"/>
        <w:jc w:val="both"/>
      </w:pPr>
      <w:r>
        <w:rPr/>
        <w:t>the Act</w:t>
      </w:r>
      <w:r>
        <w:rPr>
          <w:spacing w:val="40"/>
        </w:rPr>
        <w:t> </w:t>
      </w:r>
      <w:r>
        <w:rPr/>
        <w:t>which</w:t>
      </w:r>
      <w:r>
        <w:rPr>
          <w:spacing w:val="40"/>
        </w:rPr>
        <w:t> </w:t>
      </w:r>
      <w:r>
        <w:rPr/>
        <w:t>sets</w:t>
      </w:r>
      <w:r>
        <w:rPr>
          <w:spacing w:val="40"/>
        </w:rPr>
        <w:t> </w:t>
      </w:r>
      <w:r>
        <w:rPr/>
        <w:t>out</w:t>
      </w:r>
      <w:r>
        <w:rPr>
          <w:spacing w:val="40"/>
        </w:rPr>
        <w:t> </w:t>
      </w:r>
      <w:r>
        <w:rPr/>
        <w:t>the minimum</w:t>
      </w:r>
      <w:r>
        <w:rPr>
          <w:spacing w:val="40"/>
        </w:rPr>
        <w:t> </w:t>
      </w:r>
      <w:r>
        <w:rPr/>
        <w:t>level of Nigerian Content required</w:t>
      </w:r>
      <w:r>
        <w:rPr>
          <w:spacing w:val="40"/>
        </w:rPr>
        <w:t> </w:t>
      </w:r>
      <w:r>
        <w:rPr/>
        <w:t>for</w:t>
      </w:r>
      <w:r>
        <w:rPr>
          <w:spacing w:val="40"/>
        </w:rPr>
        <w:t> </w:t>
      </w:r>
      <w:r>
        <w:rPr/>
        <w:t>various </w:t>
      </w:r>
      <w:r>
        <w:rPr>
          <w:spacing w:val="9"/>
        </w:rPr>
        <w:t>activities </w:t>
      </w:r>
      <w:r>
        <w:rPr/>
        <w:t>carried out in the Oil and </w:t>
      </w:r>
      <w:r>
        <w:rPr>
          <w:spacing w:val="9"/>
        </w:rPr>
        <w:t>gas </w:t>
      </w:r>
      <w:r>
        <w:rPr/>
        <w:t>industry. </w:t>
      </w:r>
      <w:r>
        <w:rPr>
          <w:spacing w:val="9"/>
        </w:rPr>
        <w:t>Section </w:t>
      </w:r>
      <w:r>
        <w:rPr/>
        <w:t>11 of the Act states that the "minimum Nigerian content in any project to be executed in the</w:t>
      </w:r>
      <w:r>
        <w:rPr>
          <w:spacing w:val="40"/>
        </w:rPr>
        <w:t> </w:t>
      </w:r>
      <w:r>
        <w:rPr/>
        <w:t>Nigerian Oil and Gas industry shall be consistent with the level set out in the Schedule</w:t>
      </w:r>
      <w:r>
        <w:rPr>
          <w:spacing w:val="29"/>
        </w:rPr>
        <w:t> </w:t>
      </w:r>
      <w:r>
        <w:rPr/>
        <w:t>to the Act" The promotion of</w:t>
      </w:r>
      <w:r>
        <w:rPr>
          <w:spacing w:val="40"/>
        </w:rPr>
        <w:t> </w:t>
      </w:r>
      <w:r>
        <w:rPr/>
        <w:t>“Nigerian</w:t>
      </w:r>
      <w:r>
        <w:rPr>
          <w:spacing w:val="40"/>
        </w:rPr>
        <w:t> </w:t>
      </w:r>
      <w:r>
        <w:rPr/>
        <w:t>human</w:t>
      </w:r>
      <w:r>
        <w:rPr>
          <w:spacing w:val="40"/>
        </w:rPr>
        <w:t> </w:t>
      </w:r>
      <w:r>
        <w:rPr/>
        <w:t>material”</w:t>
      </w:r>
      <w:r>
        <w:rPr>
          <w:spacing w:val="40"/>
        </w:rPr>
        <w:t> </w:t>
      </w:r>
      <w:r>
        <w:rPr/>
        <w:t>as</w:t>
      </w:r>
      <w:r>
        <w:rPr>
          <w:spacing w:val="40"/>
        </w:rPr>
        <w:t> </w:t>
      </w:r>
      <w:r>
        <w:rPr/>
        <w:t>an</w:t>
      </w:r>
      <w:r>
        <w:rPr>
          <w:spacing w:val="40"/>
        </w:rPr>
        <w:t> </w:t>
      </w:r>
      <w:r>
        <w:rPr/>
        <w:t>aspect</w:t>
      </w:r>
      <w:r>
        <w:rPr>
          <w:spacing w:val="40"/>
        </w:rPr>
        <w:t> </w:t>
      </w:r>
      <w:r>
        <w:rPr/>
        <w:t>of</w:t>
      </w:r>
      <w:r>
        <w:rPr>
          <w:spacing w:val="40"/>
        </w:rPr>
        <w:t> </w:t>
      </w:r>
      <w:r>
        <w:rPr/>
        <w:t>Nigerian</w:t>
      </w:r>
      <w:r>
        <w:rPr>
          <w:spacing w:val="40"/>
        </w:rPr>
        <w:t> </w:t>
      </w:r>
      <w:r>
        <w:rPr/>
        <w:t>Content</w:t>
      </w:r>
      <w:r>
        <w:rPr>
          <w:spacing w:val="40"/>
        </w:rPr>
        <w:t> </w:t>
      </w:r>
      <w:r>
        <w:rPr/>
        <w:t>is</w:t>
      </w:r>
      <w:r>
        <w:rPr>
          <w:spacing w:val="40"/>
        </w:rPr>
        <w:t> </w:t>
      </w:r>
      <w:r>
        <w:rPr/>
        <w:t>dealt</w:t>
      </w:r>
      <w:r>
        <w:rPr>
          <w:spacing w:val="40"/>
        </w:rPr>
        <w:t> </w:t>
      </w:r>
      <w:r>
        <w:rPr/>
        <w:t>with</w:t>
      </w:r>
      <w:r>
        <w:rPr>
          <w:spacing w:val="40"/>
        </w:rPr>
        <w:t> </w:t>
      </w:r>
      <w:r>
        <w:rPr/>
        <w:t>in</w:t>
      </w:r>
      <w:r>
        <w:rPr>
          <w:spacing w:val="40"/>
        </w:rPr>
        <w:t> </w:t>
      </w:r>
      <w:r>
        <w:rPr/>
        <w:t>Section 28</w:t>
      </w:r>
      <w:r>
        <w:rPr>
          <w:spacing w:val="40"/>
        </w:rPr>
        <w:t> </w:t>
      </w:r>
      <w:r>
        <w:rPr/>
        <w:t>to</w:t>
      </w:r>
      <w:r>
        <w:rPr>
          <w:spacing w:val="40"/>
        </w:rPr>
        <w:t> </w:t>
      </w:r>
      <w:r>
        <w:rPr/>
        <w:t>35</w:t>
      </w:r>
      <w:r>
        <w:rPr>
          <w:spacing w:val="40"/>
        </w:rPr>
        <w:t> </w:t>
      </w:r>
      <w:r>
        <w:rPr/>
        <w:t>of</w:t>
      </w:r>
      <w:r>
        <w:rPr>
          <w:spacing w:val="40"/>
        </w:rPr>
        <w:t> </w:t>
      </w:r>
      <w:r>
        <w:rPr/>
        <w:t>the</w:t>
      </w:r>
      <w:r>
        <w:rPr>
          <w:spacing w:val="40"/>
        </w:rPr>
        <w:t> </w:t>
      </w:r>
      <w:r>
        <w:rPr/>
        <w:t>Act.</w:t>
      </w:r>
      <w:r>
        <w:rPr>
          <w:spacing w:val="40"/>
        </w:rPr>
        <w:t> </w:t>
      </w:r>
      <w:r>
        <w:rPr/>
        <w:t>The</w:t>
      </w:r>
      <w:r>
        <w:rPr>
          <w:spacing w:val="40"/>
        </w:rPr>
        <w:t> </w:t>
      </w:r>
      <w:r>
        <w:rPr/>
        <w:t>general</w:t>
      </w:r>
      <w:r>
        <w:rPr>
          <w:spacing w:val="40"/>
        </w:rPr>
        <w:t> </w:t>
      </w:r>
      <w:r>
        <w:rPr/>
        <w:t>clause</w:t>
      </w:r>
      <w:r>
        <w:rPr>
          <w:spacing w:val="80"/>
        </w:rPr>
        <w:t> </w:t>
      </w:r>
      <w:r>
        <w:rPr/>
        <w:t>in</w:t>
      </w:r>
      <w:r>
        <w:rPr>
          <w:spacing w:val="40"/>
        </w:rPr>
        <w:t> </w:t>
      </w:r>
      <w:r>
        <w:rPr/>
        <w:t>this</w:t>
      </w:r>
      <w:r>
        <w:rPr>
          <w:spacing w:val="40"/>
        </w:rPr>
        <w:t> </w:t>
      </w:r>
      <w:r>
        <w:rPr/>
        <w:t>regard</w:t>
      </w:r>
      <w:r>
        <w:rPr>
          <w:spacing w:val="40"/>
        </w:rPr>
        <w:t> </w:t>
      </w:r>
      <w:r>
        <w:rPr/>
        <w:t>is</w:t>
      </w:r>
      <w:r>
        <w:rPr>
          <w:spacing w:val="40"/>
        </w:rPr>
        <w:t> </w:t>
      </w:r>
      <w:r>
        <w:rPr>
          <w:spacing w:val="9"/>
        </w:rPr>
        <w:t>Section</w:t>
      </w:r>
      <w:r>
        <w:rPr>
          <w:spacing w:val="40"/>
        </w:rPr>
        <w:t> </w:t>
      </w:r>
      <w:r>
        <w:rPr/>
        <w:t>28(1)</w:t>
      </w:r>
      <w:r>
        <w:rPr>
          <w:spacing w:val="40"/>
        </w:rPr>
        <w:t> </w:t>
      </w:r>
      <w:r>
        <w:rPr/>
        <w:t>of</w:t>
      </w:r>
      <w:r>
        <w:rPr>
          <w:spacing w:val="40"/>
        </w:rPr>
        <w:t> </w:t>
      </w:r>
      <w:r>
        <w:rPr/>
        <w:t>the</w:t>
      </w:r>
      <w:r>
        <w:rPr>
          <w:spacing w:val="40"/>
        </w:rPr>
        <w:t> </w:t>
      </w:r>
      <w:r>
        <w:rPr/>
        <w:t>Act which </w:t>
      </w:r>
      <w:r>
        <w:rPr>
          <w:spacing w:val="10"/>
        </w:rPr>
        <w:t>stipulates</w:t>
      </w:r>
      <w:r>
        <w:rPr>
          <w:spacing w:val="10"/>
        </w:rPr>
        <w:t> </w:t>
      </w:r>
      <w:r>
        <w:rPr/>
        <w:t>that </w:t>
      </w:r>
      <w:r>
        <w:rPr>
          <w:spacing w:val="9"/>
        </w:rPr>
        <w:t>“Nigerians</w:t>
      </w:r>
      <w:r>
        <w:rPr>
          <w:spacing w:val="9"/>
        </w:rPr>
        <w:t> </w:t>
      </w:r>
      <w:r>
        <w:rPr/>
        <w:t>shall be given first consideration for employment and training</w:t>
      </w:r>
      <w:r>
        <w:rPr>
          <w:spacing w:val="40"/>
        </w:rPr>
        <w:t> </w:t>
      </w:r>
      <w:r>
        <w:rPr/>
        <w:t>in</w:t>
      </w:r>
      <w:r>
        <w:rPr>
          <w:spacing w:val="40"/>
        </w:rPr>
        <w:t> </w:t>
      </w:r>
      <w:r>
        <w:rPr/>
        <w:t>any</w:t>
      </w:r>
      <w:r>
        <w:rPr>
          <w:spacing w:val="40"/>
        </w:rPr>
        <w:t> </w:t>
      </w:r>
      <w:r>
        <w:rPr/>
        <w:t>project</w:t>
      </w:r>
      <w:r>
        <w:rPr>
          <w:spacing w:val="40"/>
        </w:rPr>
        <w:t> </w:t>
      </w:r>
      <w:r>
        <w:rPr/>
        <w:t>executed</w:t>
      </w:r>
      <w:r>
        <w:rPr>
          <w:spacing w:val="40"/>
        </w:rPr>
        <w:t> </w:t>
      </w:r>
      <w:r>
        <w:rPr/>
        <w:t>by</w:t>
      </w:r>
      <w:r>
        <w:rPr>
          <w:spacing w:val="40"/>
        </w:rPr>
        <w:t> </w:t>
      </w:r>
      <w:r>
        <w:rPr/>
        <w:t>any</w:t>
      </w:r>
      <w:r>
        <w:rPr>
          <w:spacing w:val="40"/>
        </w:rPr>
        <w:t> </w:t>
      </w:r>
      <w:r>
        <w:rPr/>
        <w:t>operator</w:t>
      </w:r>
      <w:r>
        <w:rPr>
          <w:spacing w:val="40"/>
        </w:rPr>
        <w:t> </w:t>
      </w:r>
      <w:r>
        <w:rPr/>
        <w:t>or</w:t>
      </w:r>
      <w:r>
        <w:rPr>
          <w:spacing w:val="40"/>
        </w:rPr>
        <w:t> </w:t>
      </w:r>
      <w:r>
        <w:rPr/>
        <w:t>project</w:t>
      </w:r>
      <w:r>
        <w:rPr>
          <w:spacing w:val="40"/>
        </w:rPr>
        <w:t> </w:t>
      </w:r>
      <w:r>
        <w:rPr/>
        <w:t>promoter”.</w:t>
      </w:r>
      <w:r>
        <w:rPr>
          <w:spacing w:val="40"/>
        </w:rPr>
        <w:t> </w:t>
      </w:r>
      <w:r>
        <w:rPr/>
        <w:t>Based</w:t>
      </w:r>
      <w:r>
        <w:rPr>
          <w:spacing w:val="40"/>
        </w:rPr>
        <w:t> </w:t>
      </w:r>
      <w:r>
        <w:rPr/>
        <w:t>on</w:t>
      </w:r>
      <w:r>
        <w:rPr>
          <w:spacing w:val="40"/>
        </w:rPr>
        <w:t> </w:t>
      </w:r>
      <w:r>
        <w:rPr/>
        <w:t>the above</w:t>
      </w:r>
      <w:r>
        <w:rPr>
          <w:spacing w:val="40"/>
        </w:rPr>
        <w:t> </w:t>
      </w:r>
      <w:r>
        <w:rPr/>
        <w:t>foundation</w:t>
      </w:r>
      <w:r>
        <w:rPr>
          <w:spacing w:val="40"/>
        </w:rPr>
        <w:t> </w:t>
      </w:r>
      <w:r>
        <w:rPr/>
        <w:t>the</w:t>
      </w:r>
      <w:r>
        <w:rPr>
          <w:spacing w:val="40"/>
        </w:rPr>
        <w:t> </w:t>
      </w:r>
      <w:r>
        <w:rPr/>
        <w:t>Act</w:t>
      </w:r>
      <w:r>
        <w:rPr>
          <w:spacing w:val="40"/>
        </w:rPr>
        <w:t> </w:t>
      </w:r>
      <w:r>
        <w:rPr/>
        <w:t>requires</w:t>
      </w:r>
      <w:r>
        <w:rPr>
          <w:spacing w:val="40"/>
        </w:rPr>
        <w:t> </w:t>
      </w:r>
      <w:r>
        <w:rPr/>
        <w:t>that</w:t>
      </w:r>
      <w:r>
        <w:rPr>
          <w:spacing w:val="40"/>
        </w:rPr>
        <w:t> </w:t>
      </w:r>
      <w:r>
        <w:rPr/>
        <w:t>the</w:t>
      </w:r>
      <w:r>
        <w:rPr>
          <w:spacing w:val="40"/>
        </w:rPr>
        <w:t> </w:t>
      </w:r>
      <w:r>
        <w:rPr/>
        <w:t>Nigerian</w:t>
      </w:r>
      <w:r>
        <w:rPr>
          <w:spacing w:val="40"/>
        </w:rPr>
        <w:t> </w:t>
      </w:r>
      <w:r>
        <w:rPr/>
        <w:t>Content</w:t>
      </w:r>
      <w:r>
        <w:rPr>
          <w:spacing w:val="40"/>
        </w:rPr>
        <w:t> </w:t>
      </w:r>
      <w:r>
        <w:rPr/>
        <w:t>Plan</w:t>
      </w:r>
      <w:r>
        <w:rPr>
          <w:spacing w:val="40"/>
        </w:rPr>
        <w:t> </w:t>
      </w:r>
      <w:r>
        <w:rPr/>
        <w:t>submitted</w:t>
      </w:r>
      <w:r>
        <w:rPr>
          <w:spacing w:val="40"/>
        </w:rPr>
        <w:t> </w:t>
      </w:r>
      <w:r>
        <w:rPr/>
        <w:t>by</w:t>
      </w:r>
      <w:r>
        <w:rPr>
          <w:spacing w:val="40"/>
        </w:rPr>
        <w:t> </w:t>
      </w:r>
      <w:r>
        <w:rPr/>
        <w:t>operator or project promoter shall include and employment and training Plan which complies with Section</w:t>
      </w:r>
      <w:r>
        <w:rPr>
          <w:spacing w:val="40"/>
        </w:rPr>
        <w:t> </w:t>
      </w:r>
      <w:r>
        <w:rPr/>
        <w:t>29</w:t>
      </w:r>
      <w:r>
        <w:rPr>
          <w:spacing w:val="40"/>
        </w:rPr>
        <w:t> </w:t>
      </w:r>
      <w:r>
        <w:rPr/>
        <w:t>of</w:t>
      </w:r>
      <w:r>
        <w:rPr>
          <w:spacing w:val="40"/>
        </w:rPr>
        <w:t> </w:t>
      </w:r>
      <w:r>
        <w:rPr/>
        <w:t>the</w:t>
      </w:r>
      <w:r>
        <w:rPr>
          <w:spacing w:val="40"/>
        </w:rPr>
        <w:t> </w:t>
      </w:r>
      <w:r>
        <w:rPr/>
        <w:t>Act.</w:t>
      </w:r>
      <w:r>
        <w:rPr>
          <w:spacing w:val="40"/>
        </w:rPr>
        <w:t> </w:t>
      </w:r>
      <w:r>
        <w:rPr/>
        <w:t>Section</w:t>
      </w:r>
      <w:r>
        <w:rPr>
          <w:spacing w:val="40"/>
        </w:rPr>
        <w:t> </w:t>
      </w:r>
      <w:r>
        <w:rPr/>
        <w:t>30</w:t>
      </w:r>
      <w:r>
        <w:rPr>
          <w:spacing w:val="40"/>
        </w:rPr>
        <w:t> </w:t>
      </w:r>
      <w:r>
        <w:rPr/>
        <w:t>and</w:t>
      </w:r>
      <w:r>
        <w:rPr>
          <w:spacing w:val="40"/>
        </w:rPr>
        <w:t> </w:t>
      </w:r>
      <w:r>
        <w:rPr/>
        <w:t>31</w:t>
      </w:r>
      <w:r>
        <w:rPr>
          <w:spacing w:val="40"/>
        </w:rPr>
        <w:t> </w:t>
      </w:r>
      <w:r>
        <w:rPr/>
        <w:t>also</w:t>
      </w:r>
      <w:r>
        <w:rPr>
          <w:spacing w:val="40"/>
        </w:rPr>
        <w:t> </w:t>
      </w:r>
      <w:r>
        <w:rPr/>
        <w:t>make</w:t>
      </w:r>
      <w:r>
        <w:rPr>
          <w:spacing w:val="40"/>
        </w:rPr>
        <w:t> </w:t>
      </w:r>
      <w:r>
        <w:rPr/>
        <w:t>it</w:t>
      </w:r>
      <w:r>
        <w:rPr>
          <w:spacing w:val="40"/>
        </w:rPr>
        <w:t> </w:t>
      </w:r>
      <w:r>
        <w:rPr/>
        <w:t>an</w:t>
      </w:r>
      <w:r>
        <w:rPr>
          <w:spacing w:val="40"/>
        </w:rPr>
        <w:t> </w:t>
      </w:r>
      <w:r>
        <w:rPr/>
        <w:t>obligation</w:t>
      </w:r>
      <w:r>
        <w:rPr>
          <w:spacing w:val="40"/>
        </w:rPr>
        <w:t> </w:t>
      </w:r>
      <w:r>
        <w:rPr/>
        <w:t>on</w:t>
      </w:r>
      <w:r>
        <w:rPr>
          <w:spacing w:val="40"/>
        </w:rPr>
        <w:t> </w:t>
      </w:r>
      <w:r>
        <w:rPr/>
        <w:t>operators</w:t>
      </w:r>
      <w:r>
        <w:rPr>
          <w:spacing w:val="40"/>
        </w:rPr>
        <w:t> </w:t>
      </w:r>
      <w:r>
        <w:rPr/>
        <w:t>to provide</w:t>
      </w:r>
      <w:r>
        <w:rPr>
          <w:spacing w:val="40"/>
        </w:rPr>
        <w:t> </w:t>
      </w:r>
      <w:r>
        <w:rPr/>
        <w:t>training</w:t>
      </w:r>
      <w:r>
        <w:rPr>
          <w:spacing w:val="40"/>
        </w:rPr>
        <w:t> </w:t>
      </w:r>
      <w:r>
        <w:rPr/>
        <w:t>to</w:t>
      </w:r>
      <w:r>
        <w:rPr>
          <w:spacing w:val="40"/>
        </w:rPr>
        <w:t> </w:t>
      </w:r>
      <w:r>
        <w:rPr/>
        <w:t>Nigerians</w:t>
      </w:r>
      <w:r>
        <w:rPr>
          <w:spacing w:val="40"/>
        </w:rPr>
        <w:t> </w:t>
      </w:r>
      <w:r>
        <w:rPr/>
        <w:t>where</w:t>
      </w:r>
      <w:r>
        <w:rPr>
          <w:spacing w:val="40"/>
        </w:rPr>
        <w:t> </w:t>
      </w:r>
      <w:r>
        <w:rPr/>
        <w:t>Nigerians</w:t>
      </w:r>
      <w:r>
        <w:rPr>
          <w:spacing w:val="40"/>
        </w:rPr>
        <w:t> </w:t>
      </w:r>
      <w:r>
        <w:rPr/>
        <w:t>are</w:t>
      </w:r>
      <w:r>
        <w:rPr>
          <w:spacing w:val="40"/>
        </w:rPr>
        <w:t> </w:t>
      </w:r>
      <w:r>
        <w:rPr/>
        <w:t>not</w:t>
      </w:r>
      <w:r>
        <w:rPr>
          <w:spacing w:val="40"/>
        </w:rPr>
        <w:t> </w:t>
      </w:r>
      <w:r>
        <w:rPr/>
        <w:t>employed</w:t>
      </w:r>
      <w:r>
        <w:rPr>
          <w:spacing w:val="40"/>
        </w:rPr>
        <w:t> </w:t>
      </w:r>
      <w:r>
        <w:rPr/>
        <w:t>because</w:t>
      </w:r>
      <w:r>
        <w:rPr>
          <w:spacing w:val="40"/>
        </w:rPr>
        <w:t> </w:t>
      </w:r>
      <w:r>
        <w:rPr/>
        <w:t>of</w:t>
      </w:r>
      <w:r>
        <w:rPr>
          <w:spacing w:val="40"/>
        </w:rPr>
        <w:t> </w:t>
      </w:r>
      <w:r>
        <w:rPr/>
        <w:t>lack</w:t>
      </w:r>
      <w:r>
        <w:rPr>
          <w:spacing w:val="40"/>
        </w:rPr>
        <w:t> </w:t>
      </w:r>
      <w:r>
        <w:rPr/>
        <w:t>of training</w:t>
      </w:r>
      <w:r>
        <w:rPr>
          <w:spacing w:val="80"/>
        </w:rPr>
        <w:t> </w:t>
      </w:r>
      <w:r>
        <w:rPr/>
        <w:t>and</w:t>
      </w:r>
      <w:r>
        <w:rPr>
          <w:spacing w:val="80"/>
        </w:rPr>
        <w:t> </w:t>
      </w:r>
      <w:r>
        <w:rPr/>
        <w:t>to</w:t>
      </w:r>
      <w:r>
        <w:rPr>
          <w:spacing w:val="80"/>
        </w:rPr>
        <w:t> </w:t>
      </w:r>
      <w:r>
        <w:rPr/>
        <w:t>provide</w:t>
      </w:r>
      <w:r>
        <w:rPr>
          <w:spacing w:val="80"/>
        </w:rPr>
        <w:t> </w:t>
      </w:r>
      <w:r>
        <w:rPr/>
        <w:t>a</w:t>
      </w:r>
      <w:r>
        <w:rPr>
          <w:spacing w:val="80"/>
        </w:rPr>
        <w:t> </w:t>
      </w:r>
      <w:r>
        <w:rPr/>
        <w:t>succession</w:t>
      </w:r>
      <w:r>
        <w:rPr>
          <w:spacing w:val="80"/>
        </w:rPr>
        <w:t> </w:t>
      </w:r>
      <w:r>
        <w:rPr/>
        <w:t>plan</w:t>
      </w:r>
      <w:r>
        <w:rPr>
          <w:spacing w:val="80"/>
        </w:rPr>
        <w:t> </w:t>
      </w:r>
      <w:r>
        <w:rPr/>
        <w:t>for</w:t>
      </w:r>
      <w:r>
        <w:rPr>
          <w:spacing w:val="80"/>
        </w:rPr>
        <w:t> </w:t>
      </w:r>
      <w:r>
        <w:rPr/>
        <w:t>a</w:t>
      </w:r>
      <w:r>
        <w:rPr>
          <w:spacing w:val="80"/>
        </w:rPr>
        <w:t> </w:t>
      </w:r>
      <w:r>
        <w:rPr/>
        <w:t>Nigerian</w:t>
      </w:r>
      <w:r>
        <w:rPr>
          <w:spacing w:val="80"/>
        </w:rPr>
        <w:t> </w:t>
      </w:r>
      <w:r>
        <w:rPr/>
        <w:t>to</w:t>
      </w:r>
      <w:r>
        <w:rPr>
          <w:spacing w:val="80"/>
        </w:rPr>
        <w:t> </w:t>
      </w:r>
      <w:r>
        <w:rPr/>
        <w:t>understudy</w:t>
      </w:r>
      <w:r>
        <w:rPr>
          <w:spacing w:val="80"/>
        </w:rPr>
        <w:t> </w:t>
      </w:r>
      <w:r>
        <w:rPr/>
        <w:t>to</w:t>
      </w:r>
      <w:r>
        <w:rPr>
          <w:spacing w:val="80"/>
        </w:rPr>
        <w:t> </w:t>
      </w:r>
      <w:r>
        <w:rPr/>
        <w:t>an expatriate</w:t>
      </w:r>
      <w:r>
        <w:rPr>
          <w:spacing w:val="40"/>
        </w:rPr>
        <w:t> </w:t>
      </w:r>
      <w:r>
        <w:rPr/>
        <w:t>for</w:t>
      </w:r>
      <w:r>
        <w:rPr>
          <w:spacing w:val="40"/>
        </w:rPr>
        <w:t> </w:t>
      </w:r>
      <w:r>
        <w:rPr/>
        <w:t>a</w:t>
      </w:r>
      <w:r>
        <w:rPr>
          <w:spacing w:val="40"/>
        </w:rPr>
        <w:t> </w:t>
      </w:r>
      <w:r>
        <w:rPr/>
        <w:t>maximum</w:t>
      </w:r>
      <w:r>
        <w:rPr>
          <w:spacing w:val="40"/>
        </w:rPr>
        <w:t> </w:t>
      </w:r>
      <w:r>
        <w:rPr/>
        <w:t>period</w:t>
      </w:r>
      <w:r>
        <w:rPr>
          <w:spacing w:val="40"/>
        </w:rPr>
        <w:t> </w:t>
      </w:r>
      <w:r>
        <w:rPr/>
        <w:t>of</w:t>
      </w:r>
      <w:r>
        <w:rPr>
          <w:spacing w:val="40"/>
        </w:rPr>
        <w:t> </w:t>
      </w:r>
      <w:r>
        <w:rPr/>
        <w:t>4</w:t>
      </w:r>
      <w:r>
        <w:rPr>
          <w:spacing w:val="40"/>
        </w:rPr>
        <w:t> </w:t>
      </w:r>
      <w:r>
        <w:rPr/>
        <w:t>years.</w:t>
      </w:r>
      <w:r>
        <w:rPr>
          <w:spacing w:val="40"/>
        </w:rPr>
        <w:t> </w:t>
      </w:r>
      <w:r>
        <w:rPr/>
        <w:t>By</w:t>
      </w:r>
      <w:r>
        <w:rPr>
          <w:spacing w:val="37"/>
        </w:rPr>
        <w:t> </w:t>
      </w:r>
      <w:r>
        <w:rPr/>
        <w:t>Section</w:t>
      </w:r>
      <w:r>
        <w:rPr>
          <w:spacing w:val="40"/>
        </w:rPr>
        <w:t> </w:t>
      </w:r>
      <w:r>
        <w:rPr/>
        <w:t>32</w:t>
      </w:r>
      <w:r>
        <w:rPr>
          <w:spacing w:val="40"/>
        </w:rPr>
        <w:t> </w:t>
      </w:r>
      <w:r>
        <w:rPr/>
        <w:t>the</w:t>
      </w:r>
      <w:r>
        <w:rPr>
          <w:spacing w:val="40"/>
        </w:rPr>
        <w:t> </w:t>
      </w:r>
      <w:r>
        <w:rPr/>
        <w:t>expatriate</w:t>
      </w:r>
      <w:r>
        <w:rPr>
          <w:spacing w:val="36"/>
        </w:rPr>
        <w:t> </w:t>
      </w:r>
      <w:r>
        <w:rPr/>
        <w:t>workforce</w:t>
      </w:r>
      <w:r>
        <w:rPr>
          <w:spacing w:val="40"/>
        </w:rPr>
        <w:t> </w:t>
      </w:r>
      <w:r>
        <w:rPr/>
        <w:t>for an</w:t>
      </w:r>
      <w:r>
        <w:rPr>
          <w:spacing w:val="40"/>
        </w:rPr>
        <w:t> </w:t>
      </w:r>
      <w:r>
        <w:rPr/>
        <w:t>operator</w:t>
      </w:r>
      <w:r>
        <w:rPr>
          <w:spacing w:val="40"/>
        </w:rPr>
        <w:t> </w:t>
      </w:r>
      <w:r>
        <w:rPr/>
        <w:t>or</w:t>
      </w:r>
      <w:r>
        <w:rPr>
          <w:spacing w:val="40"/>
        </w:rPr>
        <w:t> </w:t>
      </w:r>
      <w:r>
        <w:rPr/>
        <w:t>project</w:t>
      </w:r>
      <w:r>
        <w:rPr>
          <w:spacing w:val="40"/>
        </w:rPr>
        <w:t> </w:t>
      </w:r>
      <w:r>
        <w:rPr/>
        <w:t>promoter</w:t>
      </w:r>
      <w:r>
        <w:rPr>
          <w:spacing w:val="40"/>
        </w:rPr>
        <w:t> </w:t>
      </w:r>
      <w:r>
        <w:rPr/>
        <w:t>is</w:t>
      </w:r>
      <w:r>
        <w:rPr>
          <w:spacing w:val="40"/>
        </w:rPr>
        <w:t> </w:t>
      </w:r>
      <w:r>
        <w:rPr/>
        <w:t>limited</w:t>
      </w:r>
      <w:r>
        <w:rPr>
          <w:spacing w:val="40"/>
        </w:rPr>
        <w:t> </w:t>
      </w:r>
      <w:r>
        <w:rPr/>
        <w:t>to</w:t>
      </w:r>
      <w:r>
        <w:rPr>
          <w:spacing w:val="40"/>
        </w:rPr>
        <w:t> </w:t>
      </w:r>
      <w:r>
        <w:rPr/>
        <w:t>a</w:t>
      </w:r>
      <w:r>
        <w:rPr>
          <w:spacing w:val="40"/>
        </w:rPr>
        <w:t> </w:t>
      </w:r>
      <w:r>
        <w:rPr/>
        <w:t>maximum</w:t>
      </w:r>
      <w:r>
        <w:rPr>
          <w:spacing w:val="40"/>
        </w:rPr>
        <w:t> </w:t>
      </w:r>
      <w:r>
        <w:rPr/>
        <w:t>of</w:t>
      </w:r>
      <w:r>
        <w:rPr>
          <w:spacing w:val="40"/>
        </w:rPr>
        <w:t> </w:t>
      </w:r>
      <w:r>
        <w:rPr/>
        <w:t>5%</w:t>
      </w:r>
      <w:r>
        <w:rPr>
          <w:spacing w:val="40"/>
        </w:rPr>
        <w:t> </w:t>
      </w:r>
      <w:r>
        <w:rPr/>
        <w:t>of</w:t>
      </w:r>
      <w:r>
        <w:rPr>
          <w:spacing w:val="40"/>
        </w:rPr>
        <w:t> </w:t>
      </w:r>
      <w:r>
        <w:rPr/>
        <w:t>its</w:t>
      </w:r>
      <w:r>
        <w:rPr>
          <w:spacing w:val="40"/>
        </w:rPr>
        <w:t> </w:t>
      </w:r>
      <w:r>
        <w:rPr/>
        <w:t>management positions</w:t>
      </w:r>
      <w:r>
        <w:rPr>
          <w:spacing w:val="40"/>
        </w:rPr>
        <w:t> </w:t>
      </w:r>
      <w:r>
        <w:rPr/>
        <w:t>as</w:t>
      </w:r>
      <w:r>
        <w:rPr>
          <w:spacing w:val="40"/>
        </w:rPr>
        <w:t> </w:t>
      </w:r>
      <w:r>
        <w:rPr/>
        <w:t>may</w:t>
      </w:r>
      <w:r>
        <w:rPr>
          <w:spacing w:val="40"/>
        </w:rPr>
        <w:t> </w:t>
      </w:r>
      <w:r>
        <w:rPr/>
        <w:t>be</w:t>
      </w:r>
      <w:r>
        <w:rPr>
          <w:spacing w:val="40"/>
        </w:rPr>
        <w:t> </w:t>
      </w:r>
      <w:r>
        <w:rPr/>
        <w:t>approved</w:t>
      </w:r>
      <w:r>
        <w:rPr>
          <w:spacing w:val="40"/>
        </w:rPr>
        <w:t> </w:t>
      </w:r>
      <w:r>
        <w:rPr/>
        <w:t>by</w:t>
      </w:r>
      <w:r>
        <w:rPr>
          <w:spacing w:val="40"/>
        </w:rPr>
        <w:t> </w:t>
      </w:r>
      <w:r>
        <w:rPr/>
        <w:t>the</w:t>
      </w:r>
      <w:r>
        <w:rPr>
          <w:spacing w:val="40"/>
        </w:rPr>
        <w:t> </w:t>
      </w:r>
      <w:r>
        <w:rPr/>
        <w:t>Board.</w:t>
      </w:r>
      <w:r>
        <w:rPr>
          <w:spacing w:val="40"/>
        </w:rPr>
        <w:t> </w:t>
      </w:r>
      <w:r>
        <w:rPr/>
        <w:t>Further</w:t>
      </w:r>
      <w:r>
        <w:rPr>
          <w:spacing w:val="40"/>
        </w:rPr>
        <w:t> </w:t>
      </w:r>
      <w:r>
        <w:rPr/>
        <w:t>in</w:t>
      </w:r>
      <w:r>
        <w:rPr>
          <w:spacing w:val="40"/>
        </w:rPr>
        <w:t> </w:t>
      </w:r>
      <w:r>
        <w:rPr/>
        <w:t>this</w:t>
      </w:r>
      <w:r>
        <w:rPr>
          <w:spacing w:val="40"/>
        </w:rPr>
        <w:t> </w:t>
      </w:r>
      <w:r>
        <w:rPr/>
        <w:t>regard,</w:t>
      </w:r>
      <w:r>
        <w:rPr>
          <w:spacing w:val="40"/>
        </w:rPr>
        <w:t> </w:t>
      </w:r>
      <w:r>
        <w:rPr/>
        <w:t>Section</w:t>
      </w:r>
      <w:r>
        <w:rPr>
          <w:spacing w:val="40"/>
        </w:rPr>
        <w:t> </w:t>
      </w:r>
      <w:r>
        <w:rPr/>
        <w:t>33</w:t>
      </w:r>
      <w:r>
        <w:rPr>
          <w:spacing w:val="40"/>
        </w:rPr>
        <w:t> </w:t>
      </w:r>
      <w:r>
        <w:rPr/>
        <w:t>requires that</w:t>
      </w:r>
      <w:r>
        <w:rPr>
          <w:spacing w:val="40"/>
        </w:rPr>
        <w:t> </w:t>
      </w:r>
      <w:r>
        <w:rPr/>
        <w:t>all</w:t>
      </w:r>
      <w:r>
        <w:rPr>
          <w:spacing w:val="40"/>
        </w:rPr>
        <w:t> </w:t>
      </w:r>
      <w:r>
        <w:rPr/>
        <w:t>applications</w:t>
      </w:r>
      <w:r>
        <w:rPr>
          <w:spacing w:val="40"/>
        </w:rPr>
        <w:t> </w:t>
      </w:r>
      <w:r>
        <w:rPr/>
        <w:t>for</w:t>
      </w:r>
      <w:r>
        <w:rPr>
          <w:spacing w:val="40"/>
        </w:rPr>
        <w:t> </w:t>
      </w:r>
      <w:r>
        <w:rPr/>
        <w:t>expatriate</w:t>
      </w:r>
      <w:r>
        <w:rPr>
          <w:spacing w:val="40"/>
        </w:rPr>
        <w:t> </w:t>
      </w:r>
      <w:r>
        <w:rPr/>
        <w:t>quota</w:t>
      </w:r>
      <w:r>
        <w:rPr>
          <w:spacing w:val="40"/>
        </w:rPr>
        <w:t> </w:t>
      </w:r>
      <w:r>
        <w:rPr/>
        <w:t>must</w:t>
      </w:r>
      <w:r>
        <w:rPr>
          <w:spacing w:val="40"/>
        </w:rPr>
        <w:t> </w:t>
      </w:r>
      <w:r>
        <w:rPr/>
        <w:t>first</w:t>
      </w:r>
      <w:r>
        <w:rPr>
          <w:spacing w:val="40"/>
        </w:rPr>
        <w:t> </w:t>
      </w:r>
      <w:r>
        <w:rPr/>
        <w:t>be</w:t>
      </w:r>
      <w:r>
        <w:rPr>
          <w:spacing w:val="40"/>
        </w:rPr>
        <w:t> </w:t>
      </w:r>
      <w:r>
        <w:rPr/>
        <w:t>referred</w:t>
      </w:r>
      <w:r>
        <w:rPr>
          <w:spacing w:val="40"/>
        </w:rPr>
        <w:t> </w:t>
      </w:r>
      <w:r>
        <w:rPr/>
        <w:t>to</w:t>
      </w:r>
      <w:r>
        <w:rPr>
          <w:spacing w:val="40"/>
        </w:rPr>
        <w:t> </w:t>
      </w:r>
      <w:r>
        <w:rPr/>
        <w:t>the</w:t>
      </w:r>
      <w:r>
        <w:rPr>
          <w:spacing w:val="40"/>
        </w:rPr>
        <w:t> </w:t>
      </w:r>
      <w:r>
        <w:rPr/>
        <w:t>Board.</w:t>
      </w:r>
      <w:r>
        <w:rPr>
          <w:spacing w:val="40"/>
        </w:rPr>
        <w:t> </w:t>
      </w:r>
      <w:r>
        <w:rPr/>
        <w:t>The</w:t>
      </w:r>
      <w:r>
        <w:rPr>
          <w:spacing w:val="40"/>
        </w:rPr>
        <w:t> </w:t>
      </w:r>
      <w:r>
        <w:rPr/>
        <w:t>Act requires in Section 34</w:t>
      </w:r>
      <w:r>
        <w:rPr>
          <w:spacing w:val="40"/>
        </w:rPr>
        <w:t> </w:t>
      </w:r>
      <w:r>
        <w:rPr/>
        <w:t>that a "Labour Clause" be inserted in</w:t>
      </w:r>
      <w:r>
        <w:rPr>
          <w:spacing w:val="40"/>
        </w:rPr>
        <w:t> </w:t>
      </w:r>
      <w:r>
        <w:rPr/>
        <w:t>"projects</w:t>
      </w:r>
      <w:r>
        <w:rPr>
          <w:spacing w:val="40"/>
        </w:rPr>
        <w:t> </w:t>
      </w:r>
      <w:r>
        <w:rPr/>
        <w:t>or</w:t>
      </w:r>
      <w:r>
        <w:rPr>
          <w:spacing w:val="40"/>
        </w:rPr>
        <w:t> </w:t>
      </w:r>
      <w:r>
        <w:rPr/>
        <w:t>contracts" mandating</w:t>
      </w:r>
      <w:r>
        <w:rPr>
          <w:spacing w:val="40"/>
        </w:rPr>
        <w:t> </w:t>
      </w:r>
      <w:r>
        <w:rPr/>
        <w:t>the</w:t>
      </w:r>
      <w:r>
        <w:rPr>
          <w:spacing w:val="40"/>
        </w:rPr>
        <w:t> </w:t>
      </w:r>
      <w:r>
        <w:rPr/>
        <w:t>use</w:t>
      </w:r>
      <w:r>
        <w:rPr>
          <w:spacing w:val="40"/>
        </w:rPr>
        <w:t> </w:t>
      </w:r>
      <w:r>
        <w:rPr/>
        <w:t>of</w:t>
      </w:r>
      <w:r>
        <w:rPr>
          <w:spacing w:val="40"/>
        </w:rPr>
        <w:t> </w:t>
      </w:r>
      <w:r>
        <w:rPr/>
        <w:t>a</w:t>
      </w:r>
      <w:r>
        <w:rPr>
          <w:spacing w:val="40"/>
        </w:rPr>
        <w:t> </w:t>
      </w:r>
      <w:r>
        <w:rPr/>
        <w:t>minimum</w:t>
      </w:r>
      <w:r>
        <w:rPr>
          <w:spacing w:val="40"/>
        </w:rPr>
        <w:t> </w:t>
      </w:r>
      <w:r>
        <w:rPr/>
        <w:t>percentage</w:t>
      </w:r>
      <w:r>
        <w:rPr>
          <w:spacing w:val="40"/>
        </w:rPr>
        <w:t> </w:t>
      </w:r>
      <w:r>
        <w:rPr/>
        <w:t>of</w:t>
      </w:r>
      <w:r>
        <w:rPr>
          <w:spacing w:val="40"/>
        </w:rPr>
        <w:t> </w:t>
      </w:r>
      <w:r>
        <w:rPr/>
        <w:t>Nigerian</w:t>
      </w:r>
      <w:r>
        <w:rPr>
          <w:spacing w:val="40"/>
        </w:rPr>
        <w:t> </w:t>
      </w:r>
      <w:r>
        <w:rPr/>
        <w:t>workers</w:t>
      </w:r>
      <w:r>
        <w:rPr>
          <w:spacing w:val="40"/>
        </w:rPr>
        <w:t> </w:t>
      </w:r>
      <w:r>
        <w:rPr/>
        <w:t>as</w:t>
      </w:r>
      <w:r>
        <w:rPr>
          <w:spacing w:val="40"/>
        </w:rPr>
        <w:t> </w:t>
      </w:r>
      <w:r>
        <w:rPr/>
        <w:t>may</w:t>
      </w:r>
      <w:r>
        <w:rPr>
          <w:spacing w:val="40"/>
        </w:rPr>
        <w:t> </w:t>
      </w:r>
      <w:r>
        <w:rPr/>
        <w:t>be</w:t>
      </w:r>
      <w:r>
        <w:rPr>
          <w:spacing w:val="40"/>
        </w:rPr>
        <w:t> </w:t>
      </w:r>
      <w:r>
        <w:rPr>
          <w:spacing w:val="10"/>
        </w:rPr>
        <w:t>stipulated </w:t>
      </w:r>
      <w:r>
        <w:rPr/>
        <w:t>by</w:t>
      </w:r>
      <w:r>
        <w:rPr>
          <w:spacing w:val="40"/>
        </w:rPr>
        <w:t> </w:t>
      </w:r>
      <w:r>
        <w:rPr/>
        <w:t>the</w:t>
      </w:r>
      <w:r>
        <w:rPr>
          <w:spacing w:val="72"/>
        </w:rPr>
        <w:t> </w:t>
      </w:r>
      <w:r>
        <w:rPr>
          <w:spacing w:val="9"/>
        </w:rPr>
        <w:t>board.</w:t>
      </w:r>
      <w:r>
        <w:rPr>
          <w:spacing w:val="73"/>
        </w:rPr>
        <w:t> </w:t>
      </w:r>
      <w:r>
        <w:rPr>
          <w:spacing w:val="10"/>
        </w:rPr>
        <w:t>Finally</w:t>
      </w:r>
      <w:r>
        <w:rPr>
          <w:spacing w:val="40"/>
        </w:rPr>
        <w:t> </w:t>
      </w:r>
      <w:r>
        <w:rPr/>
        <w:t>all</w:t>
      </w:r>
      <w:r>
        <w:rPr>
          <w:spacing w:val="73"/>
        </w:rPr>
        <w:t> </w:t>
      </w:r>
      <w:r>
        <w:rPr>
          <w:spacing w:val="9"/>
        </w:rPr>
        <w:t>operators</w:t>
      </w:r>
      <w:r>
        <w:rPr>
          <w:spacing w:val="73"/>
        </w:rPr>
        <w:t> </w:t>
      </w:r>
      <w:r>
        <w:rPr/>
        <w:t>and</w:t>
      </w:r>
      <w:r>
        <w:rPr>
          <w:spacing w:val="73"/>
        </w:rPr>
        <w:t> </w:t>
      </w:r>
      <w:r>
        <w:rPr>
          <w:spacing w:val="9"/>
        </w:rPr>
        <w:t>companies</w:t>
      </w:r>
      <w:r>
        <w:rPr>
          <w:spacing w:val="73"/>
        </w:rPr>
        <w:t> </w:t>
      </w:r>
      <w:r>
        <w:rPr/>
        <w:t>operating</w:t>
      </w:r>
      <w:r>
        <w:rPr>
          <w:spacing w:val="40"/>
        </w:rPr>
        <w:t> </w:t>
      </w:r>
      <w:r>
        <w:rPr/>
        <w:t>in</w:t>
      </w:r>
      <w:r>
        <w:rPr>
          <w:spacing w:val="40"/>
        </w:rPr>
        <w:t> </w:t>
      </w:r>
      <w:r>
        <w:rPr/>
        <w:t>the</w:t>
      </w:r>
      <w:r>
        <w:rPr>
          <w:spacing w:val="40"/>
        </w:rPr>
        <w:t> </w:t>
      </w:r>
      <w:r>
        <w:rPr/>
        <w:t>Nigeria</w:t>
      </w:r>
      <w:r>
        <w:rPr>
          <w:spacing w:val="40"/>
        </w:rPr>
        <w:t> </w:t>
      </w:r>
      <w:r>
        <w:rPr/>
        <w:t>oil</w:t>
      </w:r>
      <w:r>
        <w:rPr>
          <w:spacing w:val="40"/>
        </w:rPr>
        <w:t> </w:t>
      </w:r>
      <w:r>
        <w:rPr/>
        <w:t>and gas</w:t>
      </w:r>
      <w:r>
        <w:rPr>
          <w:spacing w:val="40"/>
        </w:rPr>
        <w:t> </w:t>
      </w:r>
      <w:r>
        <w:rPr/>
        <w:t>industry</w:t>
      </w:r>
      <w:r>
        <w:rPr>
          <w:spacing w:val="40"/>
        </w:rPr>
        <w:t> </w:t>
      </w:r>
      <w:r>
        <w:rPr/>
        <w:t>shall</w:t>
      </w:r>
      <w:r>
        <w:rPr>
          <w:spacing w:val="40"/>
        </w:rPr>
        <w:t> </w:t>
      </w:r>
      <w:r>
        <w:rPr/>
        <w:t>employ</w:t>
      </w:r>
      <w:r>
        <w:rPr>
          <w:spacing w:val="40"/>
        </w:rPr>
        <w:t> </w:t>
      </w:r>
      <w:r>
        <w:rPr/>
        <w:t>only</w:t>
      </w:r>
      <w:r>
        <w:rPr>
          <w:spacing w:val="40"/>
        </w:rPr>
        <w:t> </w:t>
      </w:r>
      <w:r>
        <w:rPr/>
        <w:t>Nigerians</w:t>
      </w:r>
      <w:r>
        <w:rPr>
          <w:spacing w:val="40"/>
        </w:rPr>
        <w:t> </w:t>
      </w:r>
      <w:r>
        <w:rPr/>
        <w:t>in</w:t>
      </w:r>
      <w:r>
        <w:rPr>
          <w:spacing w:val="40"/>
        </w:rPr>
        <w:t> </w:t>
      </w:r>
      <w:r>
        <w:rPr/>
        <w:t>their</w:t>
      </w:r>
      <w:r>
        <w:rPr>
          <w:spacing w:val="40"/>
        </w:rPr>
        <w:t> </w:t>
      </w:r>
      <w:r>
        <w:rPr/>
        <w:t>junior and</w:t>
      </w:r>
      <w:r>
        <w:rPr>
          <w:spacing w:val="40"/>
        </w:rPr>
        <w:t> </w:t>
      </w:r>
      <w:r>
        <w:rPr/>
        <w:t>intermediate cadre.</w:t>
      </w:r>
      <w:r>
        <w:rPr>
          <w:spacing w:val="40"/>
        </w:rPr>
        <w:t> </w:t>
      </w:r>
      <w:r>
        <w:rPr/>
        <w:t>With regards to legal and financial services Section 51 provides that the operators and other investors in any operations, business or transaction in Nigeria oil and gas industry can only retain</w:t>
      </w:r>
      <w:r>
        <w:rPr>
          <w:spacing w:val="40"/>
        </w:rPr>
        <w:t> </w:t>
      </w:r>
      <w:r>
        <w:rPr/>
        <w:t>a</w:t>
      </w:r>
      <w:r>
        <w:rPr>
          <w:spacing w:val="40"/>
        </w:rPr>
        <w:t> </w:t>
      </w:r>
      <w:r>
        <w:rPr/>
        <w:t>Practitioner</w:t>
      </w:r>
      <w:r>
        <w:rPr>
          <w:spacing w:val="80"/>
        </w:rPr>
        <w:t> </w:t>
      </w:r>
      <w:r>
        <w:rPr/>
        <w:t>or</w:t>
      </w:r>
      <w:r>
        <w:rPr>
          <w:spacing w:val="80"/>
        </w:rPr>
        <w:t> </w:t>
      </w:r>
      <w:r>
        <w:rPr/>
        <w:t>a</w:t>
      </w:r>
      <w:r>
        <w:rPr>
          <w:spacing w:val="80"/>
        </w:rPr>
        <w:t> </w:t>
      </w:r>
      <w:r>
        <w:rPr/>
        <w:t>firm</w:t>
      </w:r>
      <w:r>
        <w:rPr>
          <w:spacing w:val="80"/>
        </w:rPr>
        <w:t> </w:t>
      </w:r>
      <w:r>
        <w:rPr/>
        <w:t>of</w:t>
      </w:r>
      <w:r>
        <w:rPr>
          <w:spacing w:val="80"/>
        </w:rPr>
        <w:t> </w:t>
      </w:r>
      <w:r>
        <w:rPr/>
        <w:t>Legal</w:t>
      </w:r>
      <w:r>
        <w:rPr>
          <w:spacing w:val="80"/>
        </w:rPr>
        <w:t> </w:t>
      </w:r>
      <w:r>
        <w:rPr/>
        <w:t>Practitioners</w:t>
      </w:r>
      <w:r>
        <w:rPr>
          <w:spacing w:val="80"/>
        </w:rPr>
        <w:t> </w:t>
      </w:r>
      <w:r>
        <w:rPr/>
        <w:t>located</w:t>
      </w:r>
      <w:r>
        <w:rPr>
          <w:spacing w:val="80"/>
        </w:rPr>
        <w:t> </w:t>
      </w:r>
      <w:r>
        <w:rPr/>
        <w:t>in</w:t>
      </w:r>
      <w:r>
        <w:rPr>
          <w:spacing w:val="80"/>
        </w:rPr>
        <w:t> </w:t>
      </w:r>
      <w:r>
        <w:rPr/>
        <w:t>Nigeria,</w:t>
      </w:r>
      <w:r>
        <w:rPr>
          <w:spacing w:val="80"/>
        </w:rPr>
        <w:t> </w:t>
      </w:r>
      <w:r>
        <w:rPr/>
        <w:t>whereas Section</w:t>
      </w:r>
      <w:r>
        <w:rPr>
          <w:spacing w:val="80"/>
        </w:rPr>
        <w:t> </w:t>
      </w:r>
      <w:r>
        <w:rPr/>
        <w:t>52</w:t>
      </w:r>
      <w:r>
        <w:rPr>
          <w:spacing w:val="72"/>
        </w:rPr>
        <w:t> </w:t>
      </w:r>
      <w:r>
        <w:rPr/>
        <w:t>provides</w:t>
      </w:r>
      <w:r>
        <w:rPr>
          <w:spacing w:val="68"/>
        </w:rPr>
        <w:t> </w:t>
      </w:r>
      <w:r>
        <w:rPr/>
        <w:t>that</w:t>
      </w:r>
      <w:r>
        <w:rPr>
          <w:spacing w:val="72"/>
        </w:rPr>
        <w:t> </w:t>
      </w:r>
      <w:r>
        <w:rPr/>
        <w:t>all</w:t>
      </w:r>
      <w:r>
        <w:rPr>
          <w:spacing w:val="72"/>
        </w:rPr>
        <w:t> </w:t>
      </w:r>
      <w:r>
        <w:rPr/>
        <w:t>operators</w:t>
      </w:r>
      <w:r>
        <w:rPr>
          <w:spacing w:val="72"/>
        </w:rPr>
        <w:t> </w:t>
      </w:r>
      <w:r>
        <w:rPr/>
        <w:t>and</w:t>
      </w:r>
      <w:r>
        <w:rPr>
          <w:spacing w:val="72"/>
        </w:rPr>
        <w:t> </w:t>
      </w:r>
      <w:r>
        <w:rPr/>
        <w:t>investors</w:t>
      </w:r>
      <w:r>
        <w:rPr>
          <w:spacing w:val="68"/>
        </w:rPr>
        <w:t> </w:t>
      </w:r>
      <w:r>
        <w:rPr/>
        <w:t>in</w:t>
      </w:r>
      <w:r>
        <w:rPr>
          <w:spacing w:val="72"/>
        </w:rPr>
        <w:t> </w:t>
      </w:r>
      <w:r>
        <w:rPr/>
        <w:t>need</w:t>
      </w:r>
      <w:r>
        <w:rPr>
          <w:spacing w:val="72"/>
        </w:rPr>
        <w:t> </w:t>
      </w:r>
      <w:r>
        <w:rPr/>
        <w:t>of</w:t>
      </w:r>
      <w:r>
        <w:rPr>
          <w:spacing w:val="71"/>
        </w:rPr>
        <w:t> </w:t>
      </w:r>
      <w:r>
        <w:rPr/>
        <w:t>financial</w:t>
      </w:r>
      <w:r>
        <w:rPr>
          <w:spacing w:val="72"/>
        </w:rPr>
        <w:t> </w:t>
      </w:r>
      <w:r>
        <w:rPr/>
        <w:t>services</w:t>
      </w:r>
      <w:r>
        <w:rPr>
          <w:spacing w:val="72"/>
        </w:rPr>
        <w:t> </w:t>
      </w:r>
      <w:r>
        <w:rPr/>
        <w:t>can</w:t>
      </w:r>
    </w:p>
    <w:p>
      <w:pPr>
        <w:spacing w:after="0" w:line="480" w:lineRule="auto"/>
        <w:jc w:val="both"/>
        <w:sectPr>
          <w:pgSz w:w="11910" w:h="16840"/>
          <w:pgMar w:header="0" w:footer="1000" w:top="1340" w:bottom="1200" w:left="1080" w:right="1280"/>
        </w:sectPr>
      </w:pPr>
    </w:p>
    <w:p>
      <w:pPr>
        <w:pStyle w:val="BodyText"/>
        <w:spacing w:line="480" w:lineRule="auto" w:before="74"/>
        <w:ind w:left="360" w:right="159"/>
        <w:jc w:val="both"/>
      </w:pPr>
      <w:r>
        <w:rPr/>
        <w:t>only retain the services of Nigerian financial institutions expect in situations to the</w:t>
      </w:r>
      <w:r>
        <w:rPr>
          <w:spacing w:val="40"/>
        </w:rPr>
        <w:t> </w:t>
      </w:r>
      <w:r>
        <w:rPr/>
        <w:t>satisfaction of the Board it is impracticable to do so. Section 53 on the other hand provides that all operators and investors engaged in Nigerian oil and gas industry must carry out all fabrications and welding activities in the country.</w:t>
      </w:r>
    </w:p>
    <w:p>
      <w:pPr>
        <w:pStyle w:val="Heading2"/>
        <w:numPr>
          <w:ilvl w:val="1"/>
          <w:numId w:val="7"/>
        </w:numPr>
        <w:tabs>
          <w:tab w:pos="1079" w:val="left" w:leader="none"/>
        </w:tabs>
        <w:spacing w:line="240" w:lineRule="auto" w:before="5" w:after="0"/>
        <w:ind w:left="1079" w:right="0" w:hanging="719"/>
        <w:jc w:val="both"/>
      </w:pPr>
      <w:bookmarkStart w:name="_TOC_250009" w:id="16"/>
      <w:r>
        <w:rPr/>
        <w:t>Companies</w:t>
      </w:r>
      <w:r>
        <w:rPr>
          <w:spacing w:val="-3"/>
        </w:rPr>
        <w:t> </w:t>
      </w:r>
      <w:r>
        <w:rPr/>
        <w:t>Income</w:t>
      </w:r>
      <w:r>
        <w:rPr>
          <w:spacing w:val="-3"/>
        </w:rPr>
        <w:t> </w:t>
      </w:r>
      <w:r>
        <w:rPr/>
        <w:t>Tax</w:t>
      </w:r>
      <w:r>
        <w:rPr>
          <w:spacing w:val="-1"/>
        </w:rPr>
        <w:t> </w:t>
      </w:r>
      <w:r>
        <w:rPr/>
        <w:t>Act</w:t>
      </w:r>
      <w:bookmarkEnd w:id="16"/>
      <w:r>
        <w:rPr>
          <w:spacing w:val="-2"/>
        </w:rPr>
        <w:t> (CITA):</w:t>
      </w:r>
    </w:p>
    <w:p>
      <w:pPr>
        <w:pStyle w:val="BodyText"/>
        <w:spacing w:line="480" w:lineRule="auto" w:before="271"/>
        <w:ind w:left="360" w:right="156" w:firstLine="719"/>
        <w:jc w:val="both"/>
      </w:pPr>
      <w:r>
        <w:rPr/>
        <w:t>Companies operating in all other segments of the oil and gas sector are assessed to Companies Income Tax at 30% of taxable profit under CITA. Also non-crude oil related income/profits earned by petroleum operations are liable to CIT, separately.</w:t>
      </w:r>
    </w:p>
    <w:p>
      <w:pPr>
        <w:pStyle w:val="BodyText"/>
        <w:spacing w:line="480" w:lineRule="auto" w:before="1"/>
        <w:ind w:left="360" w:right="158" w:firstLine="719"/>
        <w:jc w:val="both"/>
      </w:pPr>
      <w:r>
        <w:rPr/>
        <w:t>In practice, nonresident companies are taxed on a deemed profit basis at an effective tax rate of 6% of total revenue (i.e. 30% of 20% deemed profit).the FIRS have indicated its intention to begin to assess them to tax on actual profits basis (based on audited accounts), like a typical Nigerian company.</w:t>
      </w:r>
    </w:p>
    <w:p>
      <w:pPr>
        <w:spacing w:after="0" w:line="480" w:lineRule="auto"/>
        <w:jc w:val="both"/>
        <w:sectPr>
          <w:pgSz w:w="11910" w:h="16840"/>
          <w:pgMar w:header="0" w:footer="1000" w:top="1340" w:bottom="1200" w:left="1080" w:right="1280"/>
        </w:sectPr>
      </w:pPr>
    </w:p>
    <w:p>
      <w:pPr>
        <w:pStyle w:val="Heading1"/>
        <w:spacing w:before="78"/>
        <w:ind w:right="240"/>
      </w:pPr>
      <w:bookmarkStart w:name="_TOC_250008" w:id="17"/>
      <w:r>
        <w:rPr/>
        <w:t>CHAPTER</w:t>
      </w:r>
      <w:r>
        <w:rPr>
          <w:spacing w:val="-4"/>
        </w:rPr>
        <w:t> </w:t>
      </w:r>
      <w:bookmarkEnd w:id="17"/>
      <w:r>
        <w:rPr>
          <w:spacing w:val="-2"/>
        </w:rPr>
        <w:t>THREE</w:t>
      </w:r>
    </w:p>
    <w:p>
      <w:pPr>
        <w:pStyle w:val="BodyText"/>
        <w:rPr>
          <w:b/>
        </w:rPr>
      </w:pPr>
    </w:p>
    <w:p>
      <w:pPr>
        <w:pStyle w:val="Heading1"/>
        <w:spacing w:line="480" w:lineRule="auto"/>
      </w:pPr>
      <w:bookmarkStart w:name="_TOC_250007" w:id="18"/>
      <w:r>
        <w:rPr/>
        <w:t>PETROLEUM</w:t>
      </w:r>
      <w:r>
        <w:rPr>
          <w:spacing w:val="-6"/>
        </w:rPr>
        <w:t> </w:t>
      </w:r>
      <w:r>
        <w:rPr/>
        <w:t>PROFIT</w:t>
      </w:r>
      <w:r>
        <w:rPr>
          <w:spacing w:val="-6"/>
        </w:rPr>
        <w:t> </w:t>
      </w:r>
      <w:r>
        <w:rPr/>
        <w:t>UNDER</w:t>
      </w:r>
      <w:r>
        <w:rPr>
          <w:spacing w:val="-6"/>
        </w:rPr>
        <w:t> </w:t>
      </w:r>
      <w:r>
        <w:rPr/>
        <w:t>THE</w:t>
      </w:r>
      <w:r>
        <w:rPr>
          <w:spacing w:val="-6"/>
        </w:rPr>
        <w:t> </w:t>
      </w:r>
      <w:r>
        <w:rPr/>
        <w:t>NIGERIA’S</w:t>
      </w:r>
      <w:r>
        <w:rPr>
          <w:spacing w:val="-6"/>
        </w:rPr>
        <w:t> </w:t>
      </w:r>
      <w:r>
        <w:rPr/>
        <w:t>PETROLEUM</w:t>
      </w:r>
      <w:r>
        <w:rPr>
          <w:spacing w:val="-6"/>
        </w:rPr>
        <w:t> </w:t>
      </w:r>
      <w:r>
        <w:rPr/>
        <w:t>PROFIT</w:t>
      </w:r>
      <w:r>
        <w:rPr>
          <w:spacing w:val="-6"/>
        </w:rPr>
        <w:t> </w:t>
      </w:r>
      <w:r>
        <w:rPr/>
        <w:t>TAX </w:t>
      </w:r>
      <w:bookmarkEnd w:id="18"/>
      <w:r>
        <w:rPr>
          <w:spacing w:val="-4"/>
        </w:rPr>
        <w:t>ACT</w:t>
      </w:r>
    </w:p>
    <w:p>
      <w:pPr>
        <w:pStyle w:val="Heading2"/>
        <w:numPr>
          <w:ilvl w:val="1"/>
          <w:numId w:val="8"/>
        </w:numPr>
        <w:tabs>
          <w:tab w:pos="1079" w:val="left" w:leader="none"/>
        </w:tabs>
        <w:spacing w:line="240" w:lineRule="auto" w:before="1" w:after="0"/>
        <w:ind w:left="1079" w:right="0" w:hanging="719"/>
        <w:jc w:val="both"/>
      </w:pPr>
      <w:bookmarkStart w:name="_TOC_250006" w:id="19"/>
      <w:bookmarkEnd w:id="19"/>
      <w:r>
        <w:rPr>
          <w:spacing w:val="-2"/>
        </w:rPr>
        <w:t>Introduction</w:t>
      </w:r>
    </w:p>
    <w:p>
      <w:pPr>
        <w:pStyle w:val="BodyText"/>
        <w:spacing w:line="480" w:lineRule="auto" w:before="271"/>
        <w:ind w:left="360" w:right="156" w:firstLine="719"/>
        <w:jc w:val="both"/>
      </w:pPr>
      <w:r>
        <w:rPr/>
        <w:t>Taxation can simply be described as a compulsory sum levied by a sovereign Power on the incomes, profits, goods and services or properties of individuals or corporate bodies.</w:t>
      </w:r>
      <w:r>
        <w:rPr>
          <w:spacing w:val="80"/>
        </w:rPr>
        <w:t> </w:t>
      </w:r>
      <w:r>
        <w:rPr/>
        <w:t>In most countries of the world the primary objective of taxation is essentially to generate money for government expenditures on social welfare. The rationale for imposing taxes in a market economy</w:t>
      </w:r>
      <w:r>
        <w:rPr>
          <w:spacing w:val="-5"/>
        </w:rPr>
        <w:t> </w:t>
      </w:r>
      <w:r>
        <w:rPr/>
        <w:t>includes provisions of</w:t>
      </w:r>
      <w:r>
        <w:rPr>
          <w:spacing w:val="-1"/>
        </w:rPr>
        <w:t> </w:t>
      </w:r>
      <w:r>
        <w:rPr/>
        <w:t>basic amenities</w:t>
      </w:r>
      <w:r>
        <w:rPr>
          <w:spacing w:val="-1"/>
        </w:rPr>
        <w:t> </w:t>
      </w:r>
      <w:r>
        <w:rPr/>
        <w:t>for</w:t>
      </w:r>
      <w:r>
        <w:rPr>
          <w:spacing w:val="-2"/>
        </w:rPr>
        <w:t> </w:t>
      </w:r>
      <w:r>
        <w:rPr/>
        <w:t>the</w:t>
      </w:r>
      <w:r>
        <w:rPr>
          <w:spacing w:val="-1"/>
        </w:rPr>
        <w:t> </w:t>
      </w:r>
      <w:r>
        <w:rPr/>
        <w:t>people, defence, redistribution of incomes, etc. In the past, Nigeria boasts of its resources from export of cocoa, cotton, rubber and groundnut. Before independence in 1960, agriculture was the mainstay of Nigeria economy, providing cash crops as well as food to the entire economy</w:t>
      </w:r>
      <w:r>
        <w:rPr>
          <w:vertAlign w:val="superscript"/>
        </w:rPr>
        <w:t>1</w:t>
      </w:r>
      <w:r>
        <w:rPr>
          <w:vertAlign w:val="baseline"/>
        </w:rPr>
        <w:t>. The history of oil production in Nigeria dates back to 1908 when an affiliate of a German Exploration Company, the Nigerian bitumen company came to present day Ondo State to venture for Bitumen (tar sand)</w:t>
      </w:r>
      <w:r>
        <w:rPr>
          <w:vertAlign w:val="superscript"/>
        </w:rPr>
        <w:t>2</w:t>
      </w:r>
      <w:r>
        <w:rPr>
          <w:vertAlign w:val="baseline"/>
        </w:rPr>
        <w:t>.</w:t>
      </w:r>
    </w:p>
    <w:p>
      <w:pPr>
        <w:pStyle w:val="BodyText"/>
        <w:spacing w:line="480" w:lineRule="auto" w:before="1"/>
        <w:ind w:left="360" w:right="157" w:firstLine="719"/>
        <w:jc w:val="both"/>
      </w:pPr>
      <w:r>
        <w:rPr/>
        <w:t>By 1971, a year after the Civil War, oil had started becoming more important to the economy. With the boom in the late seventies of oil, attention shifted completely from the agricultural sector to the oil sector of the economy. The structure of Government‟s participation, as well as its impacts on the entire sector of the economy, changed from been a mere</w:t>
      </w:r>
      <w:r>
        <w:rPr>
          <w:spacing w:val="-7"/>
        </w:rPr>
        <w:t> </w:t>
      </w:r>
      <w:r>
        <w:rPr/>
        <w:t>„supportive‟</w:t>
      </w:r>
      <w:r>
        <w:rPr>
          <w:spacing w:val="-6"/>
        </w:rPr>
        <w:t> </w:t>
      </w:r>
      <w:r>
        <w:rPr/>
        <w:t>sector</w:t>
      </w:r>
      <w:r>
        <w:rPr>
          <w:spacing w:val="-6"/>
        </w:rPr>
        <w:t> </w:t>
      </w:r>
      <w:r>
        <w:rPr/>
        <w:t>it</w:t>
      </w:r>
      <w:r>
        <w:rPr>
          <w:spacing w:val="-6"/>
        </w:rPr>
        <w:t> </w:t>
      </w:r>
      <w:r>
        <w:rPr/>
        <w:t>was</w:t>
      </w:r>
      <w:r>
        <w:rPr>
          <w:spacing w:val="-7"/>
        </w:rPr>
        <w:t> </w:t>
      </w:r>
      <w:r>
        <w:rPr/>
        <w:t>in</w:t>
      </w:r>
      <w:r>
        <w:rPr>
          <w:spacing w:val="-6"/>
        </w:rPr>
        <w:t> </w:t>
      </w:r>
      <w:r>
        <w:rPr/>
        <w:t>60s</w:t>
      </w:r>
      <w:r>
        <w:rPr>
          <w:spacing w:val="-7"/>
        </w:rPr>
        <w:t> </w:t>
      </w:r>
      <w:r>
        <w:rPr/>
        <w:t>to</w:t>
      </w:r>
      <w:r>
        <w:rPr>
          <w:spacing w:val="-6"/>
        </w:rPr>
        <w:t> </w:t>
      </w:r>
      <w:r>
        <w:rPr/>
        <w:t>the</w:t>
      </w:r>
      <w:r>
        <w:rPr>
          <w:spacing w:val="-6"/>
        </w:rPr>
        <w:t> </w:t>
      </w:r>
      <w:r>
        <w:rPr/>
        <w:t>predominant</w:t>
      </w:r>
      <w:r>
        <w:rPr>
          <w:spacing w:val="-6"/>
        </w:rPr>
        <w:t> </w:t>
      </w:r>
      <w:r>
        <w:rPr/>
        <w:t>source</w:t>
      </w:r>
      <w:r>
        <w:rPr>
          <w:spacing w:val="-7"/>
        </w:rPr>
        <w:t> </w:t>
      </w:r>
      <w:r>
        <w:rPr/>
        <w:t>of</w:t>
      </w:r>
      <w:r>
        <w:rPr>
          <w:spacing w:val="-6"/>
        </w:rPr>
        <w:t> </w:t>
      </w:r>
      <w:r>
        <w:rPr/>
        <w:t>foreign</w:t>
      </w:r>
      <w:r>
        <w:rPr>
          <w:spacing w:val="-5"/>
        </w:rPr>
        <w:t> </w:t>
      </w:r>
      <w:r>
        <w:rPr/>
        <w:t>exchange</w:t>
      </w:r>
      <w:r>
        <w:rPr>
          <w:spacing w:val="-7"/>
        </w:rPr>
        <w:t> </w:t>
      </w:r>
      <w:r>
        <w:rPr/>
        <w:t>earnings and development finance as well as a viable access to international development</w:t>
      </w:r>
      <w:r>
        <w:rPr>
          <w:spacing w:val="40"/>
        </w:rPr>
        <w:t> </w:t>
      </w:r>
      <w:r>
        <w:rPr>
          <w:spacing w:val="-2"/>
        </w:rPr>
        <w:t>opportunities.</w:t>
      </w:r>
    </w:p>
    <w:p>
      <w:pPr>
        <w:pStyle w:val="BodyText"/>
        <w:spacing w:before="11"/>
        <w:rPr>
          <w:sz w:val="18"/>
        </w:rPr>
      </w:pPr>
      <w:r>
        <w:rPr/>
        <mc:AlternateContent>
          <mc:Choice Requires="wps">
            <w:drawing>
              <wp:anchor distT="0" distB="0" distL="0" distR="0" allowOverlap="1" layoutInCell="1" locked="0" behindDoc="1" simplePos="0" relativeHeight="487604224">
                <wp:simplePos x="0" y="0"/>
                <wp:positionH relativeFrom="page">
                  <wp:posOffset>914704</wp:posOffset>
                </wp:positionH>
                <wp:positionV relativeFrom="paragraph">
                  <wp:posOffset>153929</wp:posOffset>
                </wp:positionV>
                <wp:extent cx="1829435" cy="9525"/>
                <wp:effectExtent l="0" t="0" r="0" b="0"/>
                <wp:wrapTopAndBottom/>
                <wp:docPr id="36" name="Graphic 36"/>
                <wp:cNvGraphicFramePr>
                  <a:graphicFrameLocks/>
                </wp:cNvGraphicFramePr>
                <a:graphic>
                  <a:graphicData uri="http://schemas.microsoft.com/office/word/2010/wordprocessingShape">
                    <wps:wsp>
                      <wps:cNvPr id="36" name="Graphic 36"/>
                      <wps:cNvSpPr/>
                      <wps:spPr>
                        <a:xfrm>
                          <a:off x="0" y="0"/>
                          <a:ext cx="1829435" cy="9525"/>
                        </a:xfrm>
                        <a:custGeom>
                          <a:avLst/>
                          <a:gdLst/>
                          <a:ahLst/>
                          <a:cxnLst/>
                          <a:rect l="l" t="t" r="r" b="b"/>
                          <a:pathLst>
                            <a:path w="1829435" h="9525">
                              <a:moveTo>
                                <a:pt x="1829054" y="0"/>
                              </a:moveTo>
                              <a:lnTo>
                                <a:pt x="0" y="0"/>
                              </a:lnTo>
                              <a:lnTo>
                                <a:pt x="0" y="9143"/>
                              </a:lnTo>
                              <a:lnTo>
                                <a:pt x="1829054" y="9143"/>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12.12042pt;width:144.020pt;height:.71997pt;mso-position-horizontal-relative:page;mso-position-vertical-relative:paragraph;z-index:-15712256;mso-wrap-distance-left:0;mso-wrap-distance-right:0" id="docshape36" filled="true" fillcolor="#000000" stroked="false">
                <v:fill type="solid"/>
                <w10:wrap type="topAndBottom"/>
              </v:rect>
            </w:pict>
          </mc:Fallback>
        </mc:AlternateContent>
      </w:r>
    </w:p>
    <w:p>
      <w:pPr>
        <w:spacing w:before="100"/>
        <w:ind w:left="360" w:right="0" w:firstLine="0"/>
        <w:jc w:val="left"/>
        <w:rPr>
          <w:rFonts w:ascii="Calibri"/>
          <w:sz w:val="20"/>
        </w:rPr>
      </w:pPr>
      <w:r>
        <w:rPr>
          <w:rFonts w:ascii="Calibri"/>
          <w:sz w:val="20"/>
          <w:vertAlign w:val="superscript"/>
        </w:rPr>
        <w:t>1</w:t>
      </w:r>
      <w:r>
        <w:rPr>
          <w:rFonts w:ascii="Calibri"/>
          <w:sz w:val="20"/>
          <w:vertAlign w:val="baseline"/>
        </w:rPr>
        <w:t>Afolabi Khadijat, </w:t>
      </w:r>
      <w:r>
        <w:rPr>
          <w:rFonts w:ascii="Calibri"/>
          <w:i/>
          <w:sz w:val="20"/>
          <w:vertAlign w:val="baseline"/>
        </w:rPr>
        <w:t>Impact of Oil export on Economic Growth in Nigeria from 1970- 2006</w:t>
      </w:r>
      <w:r>
        <w:rPr>
          <w:rFonts w:ascii="Calibri"/>
          <w:sz w:val="20"/>
          <w:vertAlign w:val="baseline"/>
        </w:rPr>
        <w:t>. from: </w:t>
      </w:r>
      <w:hyperlink r:id="rId11">
        <w:r>
          <w:rPr>
            <w:rFonts w:ascii="Calibri"/>
            <w:i/>
            <w:color w:val="0000FF"/>
            <w:sz w:val="20"/>
            <w:u w:val="single" w:color="0000FF"/>
            <w:vertAlign w:val="baseline"/>
          </w:rPr>
          <w:t>http://www.abdulhamidmustapha.wordpress.com/2011/12/29</w:t>
        </w:r>
      </w:hyperlink>
      <w:r>
        <w:rPr>
          <w:rFonts w:ascii="Calibri"/>
          <w:sz w:val="20"/>
          <w:vertAlign w:val="baseline"/>
        </w:rPr>
        <w:t>Retrieved on Saturday 22nd June, 2013 </w:t>
      </w:r>
      <w:r>
        <w:rPr>
          <w:rFonts w:ascii="Calibri"/>
          <w:sz w:val="20"/>
          <w:vertAlign w:val="superscript"/>
        </w:rPr>
        <w:t>2</w:t>
      </w:r>
      <w:r>
        <w:rPr>
          <w:rFonts w:ascii="Calibri"/>
          <w:sz w:val="20"/>
          <w:vertAlign w:val="baseline"/>
        </w:rPr>
        <w:t>Olanrewaju</w:t>
      </w:r>
      <w:r>
        <w:rPr>
          <w:rFonts w:ascii="Calibri"/>
          <w:spacing w:val="-3"/>
          <w:sz w:val="20"/>
          <w:vertAlign w:val="baseline"/>
        </w:rPr>
        <w:t> </w:t>
      </w:r>
      <w:r>
        <w:rPr>
          <w:rFonts w:ascii="Calibri"/>
          <w:sz w:val="20"/>
          <w:vertAlign w:val="baseline"/>
        </w:rPr>
        <w:t>Fagbohun</w:t>
      </w:r>
      <w:r>
        <w:rPr>
          <w:rFonts w:ascii="Calibri"/>
          <w:spacing w:val="-3"/>
          <w:sz w:val="20"/>
          <w:vertAlign w:val="baseline"/>
        </w:rPr>
        <w:t> </w:t>
      </w:r>
      <w:r>
        <w:rPr>
          <w:rFonts w:ascii="Calibri"/>
          <w:sz w:val="20"/>
          <w:vertAlign w:val="baseline"/>
        </w:rPr>
        <w:t>(2010), </w:t>
      </w:r>
      <w:r>
        <w:rPr>
          <w:rFonts w:ascii="Calibri"/>
          <w:i/>
          <w:sz w:val="20"/>
          <w:vertAlign w:val="baseline"/>
        </w:rPr>
        <w:t>The</w:t>
      </w:r>
      <w:r>
        <w:rPr>
          <w:rFonts w:ascii="Calibri"/>
          <w:i/>
          <w:spacing w:val="-3"/>
          <w:sz w:val="20"/>
          <w:vertAlign w:val="baseline"/>
        </w:rPr>
        <w:t> </w:t>
      </w:r>
      <w:r>
        <w:rPr>
          <w:rFonts w:ascii="Calibri"/>
          <w:i/>
          <w:sz w:val="20"/>
          <w:vertAlign w:val="baseline"/>
        </w:rPr>
        <w:t>Law</w:t>
      </w:r>
      <w:r>
        <w:rPr>
          <w:rFonts w:ascii="Calibri"/>
          <w:i/>
          <w:spacing w:val="-4"/>
          <w:sz w:val="20"/>
          <w:vertAlign w:val="baseline"/>
        </w:rPr>
        <w:t> </w:t>
      </w:r>
      <w:r>
        <w:rPr>
          <w:rFonts w:ascii="Calibri"/>
          <w:i/>
          <w:sz w:val="20"/>
          <w:vertAlign w:val="baseline"/>
        </w:rPr>
        <w:t>of</w:t>
      </w:r>
      <w:r>
        <w:rPr>
          <w:rFonts w:ascii="Calibri"/>
          <w:i/>
          <w:spacing w:val="-5"/>
          <w:sz w:val="20"/>
          <w:vertAlign w:val="baseline"/>
        </w:rPr>
        <w:t> </w:t>
      </w:r>
      <w:r>
        <w:rPr>
          <w:rFonts w:ascii="Calibri"/>
          <w:i/>
          <w:sz w:val="20"/>
          <w:vertAlign w:val="baseline"/>
        </w:rPr>
        <w:t>Oil</w:t>
      </w:r>
      <w:r>
        <w:rPr>
          <w:rFonts w:ascii="Calibri"/>
          <w:i/>
          <w:spacing w:val="-4"/>
          <w:sz w:val="20"/>
          <w:vertAlign w:val="baseline"/>
        </w:rPr>
        <w:t> </w:t>
      </w:r>
      <w:r>
        <w:rPr>
          <w:rFonts w:ascii="Calibri"/>
          <w:i/>
          <w:sz w:val="20"/>
          <w:vertAlign w:val="baseline"/>
        </w:rPr>
        <w:t>Pollution</w:t>
      </w:r>
      <w:r>
        <w:rPr>
          <w:rFonts w:ascii="Calibri"/>
          <w:i/>
          <w:spacing w:val="-3"/>
          <w:sz w:val="20"/>
          <w:vertAlign w:val="baseline"/>
        </w:rPr>
        <w:t> </w:t>
      </w:r>
      <w:r>
        <w:rPr>
          <w:rFonts w:ascii="Calibri"/>
          <w:i/>
          <w:sz w:val="20"/>
          <w:vertAlign w:val="baseline"/>
        </w:rPr>
        <w:t>and</w:t>
      </w:r>
      <w:r>
        <w:rPr>
          <w:rFonts w:ascii="Calibri"/>
          <w:i/>
          <w:spacing w:val="-3"/>
          <w:sz w:val="20"/>
          <w:vertAlign w:val="baseline"/>
        </w:rPr>
        <w:t> </w:t>
      </w:r>
      <w:r>
        <w:rPr>
          <w:rFonts w:ascii="Calibri"/>
          <w:i/>
          <w:sz w:val="20"/>
          <w:vertAlign w:val="baseline"/>
        </w:rPr>
        <w:t>Environmental</w:t>
      </w:r>
      <w:r>
        <w:rPr>
          <w:rFonts w:ascii="Calibri"/>
          <w:i/>
          <w:spacing w:val="-4"/>
          <w:sz w:val="20"/>
          <w:vertAlign w:val="baseline"/>
        </w:rPr>
        <w:t> </w:t>
      </w:r>
      <w:r>
        <w:rPr>
          <w:rFonts w:ascii="Calibri"/>
          <w:i/>
          <w:sz w:val="20"/>
          <w:vertAlign w:val="baseline"/>
        </w:rPr>
        <w:t>Restoration:</w:t>
      </w:r>
      <w:r>
        <w:rPr>
          <w:rFonts w:ascii="Calibri"/>
          <w:i/>
          <w:spacing w:val="-4"/>
          <w:sz w:val="20"/>
          <w:vertAlign w:val="baseline"/>
        </w:rPr>
        <w:t> </w:t>
      </w:r>
      <w:r>
        <w:rPr>
          <w:rFonts w:ascii="Calibri"/>
          <w:i/>
          <w:sz w:val="20"/>
          <w:vertAlign w:val="baseline"/>
        </w:rPr>
        <w:t>A</w:t>
      </w:r>
      <w:r>
        <w:rPr>
          <w:rFonts w:ascii="Calibri"/>
          <w:i/>
          <w:spacing w:val="-4"/>
          <w:sz w:val="20"/>
          <w:vertAlign w:val="baseline"/>
        </w:rPr>
        <w:t> </w:t>
      </w:r>
      <w:r>
        <w:rPr>
          <w:rFonts w:ascii="Calibri"/>
          <w:i/>
          <w:sz w:val="20"/>
          <w:vertAlign w:val="baseline"/>
        </w:rPr>
        <w:t>Comparative</w:t>
      </w:r>
      <w:r>
        <w:rPr>
          <w:rFonts w:ascii="Calibri"/>
          <w:i/>
          <w:spacing w:val="-3"/>
          <w:sz w:val="20"/>
          <w:vertAlign w:val="baseline"/>
        </w:rPr>
        <w:t> </w:t>
      </w:r>
      <w:r>
        <w:rPr>
          <w:rFonts w:ascii="Calibri"/>
          <w:i/>
          <w:sz w:val="20"/>
          <w:vertAlign w:val="baseline"/>
        </w:rPr>
        <w:t>Review</w:t>
      </w:r>
      <w:r>
        <w:rPr>
          <w:rFonts w:ascii="Calibri"/>
          <w:sz w:val="20"/>
          <w:vertAlign w:val="baseline"/>
        </w:rPr>
        <w:t>, Odade</w:t>
      </w:r>
      <w:r>
        <w:rPr>
          <w:rFonts w:ascii="Calibri"/>
          <w:spacing w:val="-3"/>
          <w:sz w:val="20"/>
          <w:vertAlign w:val="baseline"/>
        </w:rPr>
        <w:t> </w:t>
      </w:r>
      <w:r>
        <w:rPr>
          <w:rFonts w:ascii="Calibri"/>
          <w:sz w:val="20"/>
          <w:vertAlign w:val="baseline"/>
        </w:rPr>
        <w:t>Publishers,</w:t>
      </w:r>
      <w:r>
        <w:rPr>
          <w:rFonts w:ascii="Calibri"/>
          <w:spacing w:val="-3"/>
          <w:sz w:val="20"/>
          <w:vertAlign w:val="baseline"/>
        </w:rPr>
        <w:t> </w:t>
      </w:r>
      <w:r>
        <w:rPr>
          <w:rFonts w:ascii="Calibri"/>
          <w:sz w:val="20"/>
          <w:vertAlign w:val="baseline"/>
        </w:rPr>
        <w:t>Nigeria,</w:t>
      </w:r>
      <w:r>
        <w:rPr>
          <w:rFonts w:ascii="Calibri"/>
          <w:spacing w:val="-3"/>
          <w:sz w:val="20"/>
          <w:vertAlign w:val="baseline"/>
        </w:rPr>
        <w:t> </w:t>
      </w:r>
      <w:r>
        <w:rPr>
          <w:rFonts w:ascii="Calibri"/>
          <w:sz w:val="20"/>
          <w:vertAlign w:val="baseline"/>
        </w:rPr>
        <w:t>p.</w:t>
      </w:r>
      <w:r>
        <w:rPr>
          <w:rFonts w:ascii="Calibri"/>
          <w:spacing w:val="-3"/>
          <w:sz w:val="20"/>
          <w:vertAlign w:val="baseline"/>
        </w:rPr>
        <w:t> </w:t>
      </w:r>
      <w:r>
        <w:rPr>
          <w:rFonts w:ascii="Calibri"/>
          <w:sz w:val="20"/>
          <w:vertAlign w:val="baseline"/>
        </w:rPr>
        <w:t>153.</w:t>
      </w:r>
      <w:r>
        <w:rPr>
          <w:rFonts w:ascii="Calibri"/>
          <w:spacing w:val="-4"/>
          <w:sz w:val="20"/>
          <w:vertAlign w:val="baseline"/>
        </w:rPr>
        <w:t> </w:t>
      </w:r>
      <w:r>
        <w:rPr>
          <w:rFonts w:ascii="Calibri"/>
          <w:sz w:val="20"/>
          <w:vertAlign w:val="baseline"/>
        </w:rPr>
        <w:t>See</w:t>
      </w:r>
      <w:r>
        <w:rPr>
          <w:rFonts w:ascii="Calibri"/>
          <w:spacing w:val="-4"/>
          <w:sz w:val="20"/>
          <w:vertAlign w:val="baseline"/>
        </w:rPr>
        <w:t> </w:t>
      </w:r>
      <w:r>
        <w:rPr>
          <w:rFonts w:ascii="Calibri"/>
          <w:sz w:val="20"/>
          <w:vertAlign w:val="baseline"/>
        </w:rPr>
        <w:t>also</w:t>
      </w:r>
      <w:r>
        <w:rPr>
          <w:rFonts w:ascii="Calibri"/>
          <w:spacing w:val="-3"/>
          <w:sz w:val="20"/>
          <w:vertAlign w:val="baseline"/>
        </w:rPr>
        <w:t> </w:t>
      </w:r>
      <w:r>
        <w:rPr>
          <w:rFonts w:ascii="Calibri"/>
          <w:sz w:val="20"/>
          <w:vertAlign w:val="baseline"/>
        </w:rPr>
        <w:t>Online</w:t>
      </w:r>
      <w:r>
        <w:rPr>
          <w:rFonts w:ascii="Calibri"/>
          <w:spacing w:val="-4"/>
          <w:sz w:val="20"/>
          <w:vertAlign w:val="baseline"/>
        </w:rPr>
        <w:t> </w:t>
      </w:r>
      <w:r>
        <w:rPr>
          <w:rFonts w:ascii="Calibri"/>
          <w:sz w:val="20"/>
          <w:vertAlign w:val="baseline"/>
        </w:rPr>
        <w:t>Nigeria, </w:t>
      </w:r>
      <w:r>
        <w:rPr>
          <w:rFonts w:ascii="Calibri"/>
          <w:i/>
          <w:sz w:val="20"/>
          <w:vertAlign w:val="baseline"/>
        </w:rPr>
        <w:t>Petroleum</w:t>
      </w:r>
      <w:r>
        <w:rPr>
          <w:rFonts w:ascii="Calibri"/>
          <w:i/>
          <w:spacing w:val="-3"/>
          <w:sz w:val="20"/>
          <w:vertAlign w:val="baseline"/>
        </w:rPr>
        <w:t> </w:t>
      </w:r>
      <w:r>
        <w:rPr>
          <w:rFonts w:ascii="Calibri"/>
          <w:i/>
          <w:sz w:val="20"/>
          <w:vertAlign w:val="baseline"/>
        </w:rPr>
        <w:t>Exploration</w:t>
      </w:r>
      <w:r>
        <w:rPr>
          <w:rFonts w:ascii="Calibri"/>
          <w:i/>
          <w:spacing w:val="-3"/>
          <w:sz w:val="20"/>
          <w:vertAlign w:val="baseline"/>
        </w:rPr>
        <w:t> </w:t>
      </w:r>
      <w:r>
        <w:rPr>
          <w:rFonts w:ascii="Calibri"/>
          <w:i/>
          <w:sz w:val="20"/>
          <w:vertAlign w:val="baseline"/>
        </w:rPr>
        <w:t>and</w:t>
      </w:r>
      <w:r>
        <w:rPr>
          <w:rFonts w:ascii="Calibri"/>
          <w:i/>
          <w:spacing w:val="-5"/>
          <w:sz w:val="20"/>
          <w:vertAlign w:val="baseline"/>
        </w:rPr>
        <w:t> </w:t>
      </w:r>
      <w:r>
        <w:rPr>
          <w:rFonts w:ascii="Calibri"/>
          <w:i/>
          <w:sz w:val="20"/>
          <w:vertAlign w:val="baseline"/>
        </w:rPr>
        <w:t>Production</w:t>
      </w:r>
      <w:r>
        <w:rPr>
          <w:rFonts w:ascii="Calibri"/>
          <w:sz w:val="20"/>
          <w:vertAlign w:val="baseline"/>
        </w:rPr>
        <w:t>.</w:t>
      </w:r>
      <w:r>
        <w:rPr>
          <w:rFonts w:ascii="Calibri"/>
          <w:spacing w:val="-3"/>
          <w:sz w:val="20"/>
          <w:vertAlign w:val="baseline"/>
        </w:rPr>
        <w:t> </w:t>
      </w:r>
      <w:r>
        <w:rPr>
          <w:rFonts w:ascii="Calibri"/>
          <w:sz w:val="20"/>
          <w:vertAlign w:val="baseline"/>
        </w:rPr>
        <w:t>Retrieved</w:t>
      </w:r>
      <w:r>
        <w:rPr>
          <w:rFonts w:ascii="Calibri"/>
          <w:spacing w:val="-3"/>
          <w:sz w:val="20"/>
          <w:vertAlign w:val="baseline"/>
        </w:rPr>
        <w:t> </w:t>
      </w:r>
      <w:r>
        <w:rPr>
          <w:rFonts w:ascii="Calibri"/>
          <w:sz w:val="20"/>
          <w:vertAlign w:val="baseline"/>
        </w:rPr>
        <w:t>on Tuesday 6</w:t>
      </w:r>
      <w:r>
        <w:rPr>
          <w:rFonts w:ascii="Calibri"/>
          <w:sz w:val="20"/>
          <w:vertAlign w:val="superscript"/>
        </w:rPr>
        <w:t>th</w:t>
      </w:r>
      <w:r>
        <w:rPr>
          <w:rFonts w:ascii="Calibri"/>
          <w:sz w:val="20"/>
          <w:vertAlign w:val="baseline"/>
        </w:rPr>
        <w:t>August, 2013 from : </w:t>
      </w:r>
      <w:hyperlink r:id="rId12">
        <w:r>
          <w:rPr>
            <w:rFonts w:ascii="Calibri"/>
            <w:color w:val="0000FF"/>
            <w:sz w:val="20"/>
            <w:u w:val="single" w:color="0000FF"/>
            <w:vertAlign w:val="baseline"/>
          </w:rPr>
          <w:t>http://onlinenigeria.com</w:t>
        </w:r>
      </w:hyperlink>
    </w:p>
    <w:p>
      <w:pPr>
        <w:spacing w:after="0"/>
        <w:jc w:val="left"/>
        <w:rPr>
          <w:rFonts w:ascii="Calibri"/>
          <w:sz w:val="20"/>
        </w:rPr>
        <w:sectPr>
          <w:pgSz w:w="11910" w:h="16840"/>
          <w:pgMar w:header="0" w:footer="1000" w:top="1340" w:bottom="1200" w:left="1080" w:right="1280"/>
        </w:sectPr>
      </w:pPr>
    </w:p>
    <w:p>
      <w:pPr>
        <w:pStyle w:val="BodyText"/>
        <w:spacing w:line="480" w:lineRule="auto" w:before="74"/>
        <w:ind w:left="360" w:right="157" w:firstLine="719"/>
        <w:jc w:val="both"/>
      </w:pPr>
      <w:r>
        <w:rPr/>
        <w:t>The very vital importance of oil to Nigeria dictates government‟s involvement in the regulation of the Nigerian oil sector. It is noteworthy that prior to 1971, all of the multinational companies were wholly owned by their foreign parent companies. In that same year, government started acquisition of participating interest in the operation of these companies while citizens also acquired varied shareholding interests in the assets of these companies</w:t>
      </w:r>
      <w:r>
        <w:rPr>
          <w:spacing w:val="-5"/>
        </w:rPr>
        <w:t> </w:t>
      </w:r>
      <w:r>
        <w:rPr>
          <w:vertAlign w:val="superscript"/>
        </w:rPr>
        <w:t>3</w:t>
      </w:r>
      <w:r>
        <w:rPr>
          <w:spacing w:val="-4"/>
          <w:vertAlign w:val="baseline"/>
        </w:rPr>
        <w:t> </w:t>
      </w:r>
      <w:r>
        <w:rPr>
          <w:vertAlign w:val="baseline"/>
        </w:rPr>
        <w:t>. To strengthen Government control in the sector, the Nigerian National Petroleum Corporation (NNPC) was established by a decree in 1971</w:t>
      </w:r>
      <w:r>
        <w:rPr>
          <w:vertAlign w:val="superscript"/>
        </w:rPr>
        <w:t>4</w:t>
      </w:r>
      <w:r>
        <w:rPr>
          <w:vertAlign w:val="baseline"/>
        </w:rPr>
        <w:t>. Petroleum is a generic name for combustible hydrocarbon compound found in the earth, and occurring in nature in the gaseous, liquid and solid state</w:t>
      </w:r>
      <w:r>
        <w:rPr>
          <w:vertAlign w:val="superscript"/>
        </w:rPr>
        <w:t>5</w:t>
      </w:r>
      <w:r>
        <w:rPr>
          <w:vertAlign w:val="baseline"/>
        </w:rPr>
        <w:t>. Taxation of petroleum profit started in 1959 with the enactment of the Petroleum Profit Tax Act 1959 which was meant to have a retrospective effective date of 1st January, 1958.</w:t>
      </w:r>
    </w:p>
    <w:p>
      <w:pPr>
        <w:pStyle w:val="BodyText"/>
        <w:spacing w:line="480" w:lineRule="auto" w:before="1"/>
        <w:ind w:left="360" w:right="158" w:firstLine="719"/>
        <w:jc w:val="both"/>
      </w:pPr>
      <w:r>
        <w:rPr/>
        <w:t>This Act serves as a</w:t>
      </w:r>
      <w:r>
        <w:rPr>
          <w:spacing w:val="-1"/>
        </w:rPr>
        <w:t> </w:t>
      </w:r>
      <w:r>
        <w:rPr/>
        <w:t>foundation for</w:t>
      </w:r>
      <w:r>
        <w:rPr>
          <w:spacing w:val="-2"/>
        </w:rPr>
        <w:t> </w:t>
      </w:r>
      <w:r>
        <w:rPr/>
        <w:t>the</w:t>
      </w:r>
      <w:r>
        <w:rPr>
          <w:spacing w:val="-1"/>
        </w:rPr>
        <w:t> </w:t>
      </w:r>
      <w:r>
        <w:rPr/>
        <w:t>present Petroleum Profit Tax Act, 2004; which was further amended in 2007. The objective of this Act can be gleaned from its preamble which reads:</w:t>
      </w:r>
    </w:p>
    <w:p>
      <w:pPr>
        <w:pStyle w:val="BodyText"/>
        <w:spacing w:line="480" w:lineRule="auto"/>
        <w:ind w:left="360" w:right="165" w:firstLine="719"/>
        <w:jc w:val="both"/>
      </w:pPr>
      <w:r>
        <w:rPr/>
        <w:t>An Act to impose a tax upon profits from the winning of Petroleum in Nigeria, to provide for the assessment and collection thereof and for purposes connected therewith.</w:t>
      </w:r>
    </w:p>
    <w:p>
      <w:pPr>
        <w:pStyle w:val="BodyText"/>
        <w:spacing w:line="480" w:lineRule="auto"/>
        <w:ind w:left="360" w:right="164" w:firstLine="719"/>
        <w:jc w:val="both"/>
      </w:pPr>
      <w:r>
        <w:rPr/>
        <w:t>In line</w:t>
      </w:r>
      <w:r>
        <w:rPr>
          <w:spacing w:val="-1"/>
        </w:rPr>
        <w:t> </w:t>
      </w:r>
      <w:r>
        <w:rPr/>
        <w:t>with its objective, the</w:t>
      </w:r>
      <w:r>
        <w:rPr>
          <w:spacing w:val="-1"/>
        </w:rPr>
        <w:t> </w:t>
      </w:r>
      <w:r>
        <w:rPr/>
        <w:t>Act in Section 3 thereon establishes</w:t>
      </w:r>
      <w:r>
        <w:rPr>
          <w:spacing w:val="-1"/>
        </w:rPr>
        <w:t> </w:t>
      </w:r>
      <w:r>
        <w:rPr/>
        <w:t>a</w:t>
      </w:r>
      <w:r>
        <w:rPr>
          <w:spacing w:val="-1"/>
        </w:rPr>
        <w:t> </w:t>
      </w:r>
      <w:r>
        <w:rPr/>
        <w:t>body</w:t>
      </w:r>
      <w:r>
        <w:rPr>
          <w:spacing w:val="-5"/>
        </w:rPr>
        <w:t> </w:t>
      </w:r>
      <w:r>
        <w:rPr/>
        <w:t>known</w:t>
      </w:r>
      <w:r>
        <w:rPr>
          <w:spacing w:val="-1"/>
        </w:rPr>
        <w:t> </w:t>
      </w:r>
      <w:r>
        <w:rPr/>
        <w:t>as the Board and saddled with the responsibility of assessment and collection of the petroleum</w:t>
      </w:r>
      <w:r>
        <w:rPr>
          <w:spacing w:val="40"/>
        </w:rPr>
        <w:t> </w:t>
      </w:r>
      <w:r>
        <w:rPr/>
        <w:t>profit tax.</w:t>
      </w:r>
    </w:p>
    <w:p>
      <w:pPr>
        <w:pStyle w:val="Heading2"/>
        <w:numPr>
          <w:ilvl w:val="1"/>
          <w:numId w:val="8"/>
        </w:numPr>
        <w:tabs>
          <w:tab w:pos="1079" w:val="left" w:leader="none"/>
        </w:tabs>
        <w:spacing w:line="240" w:lineRule="auto" w:before="6" w:after="0"/>
        <w:ind w:left="1079" w:right="0" w:hanging="719"/>
        <w:jc w:val="both"/>
      </w:pPr>
      <w:bookmarkStart w:name="_TOC_250005" w:id="20"/>
      <w:r>
        <w:rPr/>
        <w:t>1999</w:t>
      </w:r>
      <w:r>
        <w:rPr>
          <w:spacing w:val="-1"/>
        </w:rPr>
        <w:t> </w:t>
      </w:r>
      <w:r>
        <w:rPr/>
        <w:t>Constitution</w:t>
      </w:r>
      <w:r>
        <w:rPr>
          <w:spacing w:val="-1"/>
        </w:rPr>
        <w:t> </w:t>
      </w:r>
      <w:r>
        <w:rPr/>
        <w:t>and</w:t>
      </w:r>
      <w:r>
        <w:rPr>
          <w:spacing w:val="-1"/>
        </w:rPr>
        <w:t> </w:t>
      </w:r>
      <w:r>
        <w:rPr/>
        <w:t>the</w:t>
      </w:r>
      <w:r>
        <w:rPr>
          <w:spacing w:val="-1"/>
        </w:rPr>
        <w:t> </w:t>
      </w:r>
      <w:r>
        <w:rPr/>
        <w:t>Oil</w:t>
      </w:r>
      <w:r>
        <w:rPr>
          <w:spacing w:val="-1"/>
        </w:rPr>
        <w:t> </w:t>
      </w:r>
      <w:r>
        <w:rPr/>
        <w:t>and</w:t>
      </w:r>
      <w:r>
        <w:rPr>
          <w:spacing w:val="-1"/>
        </w:rPr>
        <w:t> </w:t>
      </w:r>
      <w:r>
        <w:rPr/>
        <w:t>Gas </w:t>
      </w:r>
      <w:bookmarkEnd w:id="20"/>
      <w:r>
        <w:rPr>
          <w:spacing w:val="-2"/>
        </w:rPr>
        <w:t>Sector</w:t>
      </w:r>
    </w:p>
    <w:p>
      <w:pPr>
        <w:spacing w:line="480" w:lineRule="auto" w:before="271"/>
        <w:ind w:left="360" w:right="152" w:firstLine="719"/>
        <w:jc w:val="both"/>
        <w:rPr>
          <w:b/>
          <w:sz w:val="24"/>
        </w:rPr>
      </w:pPr>
      <w:r>
        <w:rPr>
          <w:sz w:val="24"/>
        </w:rPr>
        <w:t>In Nigeria, like in any other countries, Constitution is the organic law from which all other</w:t>
      </w:r>
      <w:r>
        <w:rPr>
          <w:spacing w:val="-4"/>
          <w:sz w:val="24"/>
        </w:rPr>
        <w:t> </w:t>
      </w:r>
      <w:r>
        <w:rPr>
          <w:sz w:val="24"/>
        </w:rPr>
        <w:t>laws</w:t>
      </w:r>
      <w:r>
        <w:rPr>
          <w:spacing w:val="-1"/>
          <w:sz w:val="24"/>
        </w:rPr>
        <w:t> </w:t>
      </w:r>
      <w:r>
        <w:rPr>
          <w:sz w:val="24"/>
        </w:rPr>
        <w:t>derived</w:t>
      </w:r>
      <w:r>
        <w:rPr>
          <w:spacing w:val="-1"/>
          <w:sz w:val="24"/>
        </w:rPr>
        <w:t> </w:t>
      </w:r>
      <w:r>
        <w:rPr>
          <w:sz w:val="24"/>
        </w:rPr>
        <w:t>their</w:t>
      </w:r>
      <w:r>
        <w:rPr>
          <w:spacing w:val="-2"/>
          <w:sz w:val="24"/>
        </w:rPr>
        <w:t> </w:t>
      </w:r>
      <w:r>
        <w:rPr>
          <w:sz w:val="24"/>
        </w:rPr>
        <w:t>validity. </w:t>
      </w:r>
      <w:r>
        <w:rPr>
          <w:b/>
          <w:sz w:val="24"/>
        </w:rPr>
        <w:t>Njikonye</w:t>
      </w:r>
      <w:r>
        <w:rPr>
          <w:b/>
          <w:spacing w:val="2"/>
          <w:sz w:val="24"/>
        </w:rPr>
        <w:t> </w:t>
      </w:r>
      <w:r>
        <w:rPr>
          <w:b/>
          <w:sz w:val="24"/>
        </w:rPr>
        <w:t>v.</w:t>
      </w:r>
      <w:r>
        <w:rPr>
          <w:b/>
          <w:spacing w:val="2"/>
          <w:sz w:val="24"/>
        </w:rPr>
        <w:t> </w:t>
      </w:r>
      <w:r>
        <w:rPr>
          <w:b/>
          <w:sz w:val="24"/>
        </w:rPr>
        <w:t>MTN</w:t>
      </w:r>
      <w:r>
        <w:rPr>
          <w:b/>
          <w:spacing w:val="3"/>
          <w:sz w:val="24"/>
        </w:rPr>
        <w:t> </w:t>
      </w:r>
      <w:r>
        <w:rPr>
          <w:b/>
          <w:sz w:val="24"/>
        </w:rPr>
        <w:t>Nig.</w:t>
      </w:r>
      <w:r>
        <w:rPr>
          <w:b/>
          <w:spacing w:val="3"/>
          <w:sz w:val="24"/>
        </w:rPr>
        <w:t> </w:t>
      </w:r>
      <w:r>
        <w:rPr>
          <w:b/>
          <w:sz w:val="24"/>
        </w:rPr>
        <w:t>Comm.</w:t>
      </w:r>
      <w:r>
        <w:rPr>
          <w:b/>
          <w:spacing w:val="3"/>
          <w:sz w:val="24"/>
        </w:rPr>
        <w:t> </w:t>
      </w:r>
      <w:r>
        <w:rPr>
          <w:b/>
          <w:sz w:val="24"/>
        </w:rPr>
        <w:t>Ltd.;</w:t>
      </w:r>
      <w:r>
        <w:rPr>
          <w:b/>
          <w:spacing w:val="4"/>
          <w:sz w:val="24"/>
        </w:rPr>
        <w:t> </w:t>
      </w:r>
      <w:r>
        <w:rPr>
          <w:b/>
          <w:sz w:val="24"/>
        </w:rPr>
        <w:t>Famfa</w:t>
      </w:r>
      <w:r>
        <w:rPr>
          <w:b/>
          <w:spacing w:val="3"/>
          <w:sz w:val="24"/>
        </w:rPr>
        <w:t> </w:t>
      </w:r>
      <w:r>
        <w:rPr>
          <w:b/>
          <w:sz w:val="24"/>
        </w:rPr>
        <w:t>Oil</w:t>
      </w:r>
      <w:r>
        <w:rPr>
          <w:b/>
          <w:spacing w:val="4"/>
          <w:sz w:val="24"/>
        </w:rPr>
        <w:t> </w:t>
      </w:r>
      <w:r>
        <w:rPr>
          <w:b/>
          <w:sz w:val="24"/>
        </w:rPr>
        <w:t>Ltd.</w:t>
      </w:r>
      <w:r>
        <w:rPr>
          <w:b/>
          <w:spacing w:val="-1"/>
          <w:sz w:val="24"/>
        </w:rPr>
        <w:t> </w:t>
      </w:r>
      <w:r>
        <w:rPr>
          <w:b/>
          <w:sz w:val="24"/>
        </w:rPr>
        <w:t>v.</w:t>
      </w:r>
      <w:r>
        <w:rPr>
          <w:b/>
          <w:spacing w:val="-2"/>
          <w:sz w:val="24"/>
        </w:rPr>
        <w:t> </w:t>
      </w:r>
      <w:r>
        <w:rPr>
          <w:b/>
          <w:spacing w:val="-5"/>
          <w:sz w:val="24"/>
        </w:rPr>
        <w:t>A-</w:t>
      </w:r>
    </w:p>
    <w:p>
      <w:pPr>
        <w:pStyle w:val="BodyText"/>
        <w:rPr>
          <w:b/>
          <w:sz w:val="20"/>
        </w:rPr>
      </w:pPr>
    </w:p>
    <w:p>
      <w:pPr>
        <w:pStyle w:val="BodyText"/>
        <w:rPr>
          <w:b/>
          <w:sz w:val="20"/>
        </w:rPr>
      </w:pPr>
    </w:p>
    <w:p>
      <w:pPr>
        <w:pStyle w:val="BodyText"/>
        <w:spacing w:before="15"/>
        <w:rPr>
          <w:b/>
          <w:sz w:val="20"/>
        </w:rPr>
      </w:pPr>
      <w:r>
        <w:rPr/>
        <mc:AlternateContent>
          <mc:Choice Requires="wps">
            <w:drawing>
              <wp:anchor distT="0" distB="0" distL="0" distR="0" allowOverlap="1" layoutInCell="1" locked="0" behindDoc="1" simplePos="0" relativeHeight="487604736">
                <wp:simplePos x="0" y="0"/>
                <wp:positionH relativeFrom="page">
                  <wp:posOffset>914704</wp:posOffset>
                </wp:positionH>
                <wp:positionV relativeFrom="paragraph">
                  <wp:posOffset>170845</wp:posOffset>
                </wp:positionV>
                <wp:extent cx="1829435" cy="9525"/>
                <wp:effectExtent l="0" t="0" r="0" b="0"/>
                <wp:wrapTopAndBottom/>
                <wp:docPr id="37" name="Graphic 37"/>
                <wp:cNvGraphicFramePr>
                  <a:graphicFrameLocks/>
                </wp:cNvGraphicFramePr>
                <a:graphic>
                  <a:graphicData uri="http://schemas.microsoft.com/office/word/2010/wordprocessingShape">
                    <wps:wsp>
                      <wps:cNvPr id="37" name="Graphic 37"/>
                      <wps:cNvSpPr/>
                      <wps:spPr>
                        <a:xfrm>
                          <a:off x="0" y="0"/>
                          <a:ext cx="1829435" cy="9525"/>
                        </a:xfrm>
                        <a:custGeom>
                          <a:avLst/>
                          <a:gdLst/>
                          <a:ahLst/>
                          <a:cxnLst/>
                          <a:rect l="l" t="t" r="r" b="b"/>
                          <a:pathLst>
                            <a:path w="1829435" h="9525">
                              <a:moveTo>
                                <a:pt x="1829054" y="0"/>
                              </a:moveTo>
                              <a:lnTo>
                                <a:pt x="0" y="0"/>
                              </a:lnTo>
                              <a:lnTo>
                                <a:pt x="0" y="9143"/>
                              </a:lnTo>
                              <a:lnTo>
                                <a:pt x="1829054" y="9143"/>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13.452374pt;width:144.020pt;height:.71997pt;mso-position-horizontal-relative:page;mso-position-vertical-relative:paragraph;z-index:-15711744;mso-wrap-distance-left:0;mso-wrap-distance-right:0" id="docshape37" filled="true" fillcolor="#000000" stroked="false">
                <v:fill type="solid"/>
                <w10:wrap type="topAndBottom"/>
              </v:rect>
            </w:pict>
          </mc:Fallback>
        </mc:AlternateContent>
      </w:r>
    </w:p>
    <w:p>
      <w:pPr>
        <w:spacing w:before="102"/>
        <w:ind w:left="360" w:right="0" w:firstLine="0"/>
        <w:jc w:val="left"/>
        <w:rPr>
          <w:rFonts w:ascii="Calibri"/>
          <w:sz w:val="20"/>
        </w:rPr>
      </w:pPr>
      <w:r>
        <w:rPr>
          <w:rFonts w:ascii="Calibri"/>
          <w:sz w:val="20"/>
          <w:vertAlign w:val="superscript"/>
        </w:rPr>
        <w:t>3</w:t>
      </w:r>
      <w:r>
        <w:rPr>
          <w:rFonts w:ascii="Calibri"/>
          <w:sz w:val="20"/>
          <w:vertAlign w:val="baseline"/>
        </w:rPr>
        <w:t>Olanrewaju</w:t>
      </w:r>
      <w:r>
        <w:rPr>
          <w:rFonts w:ascii="Calibri"/>
          <w:spacing w:val="-8"/>
          <w:sz w:val="20"/>
          <w:vertAlign w:val="baseline"/>
        </w:rPr>
        <w:t> </w:t>
      </w:r>
      <w:r>
        <w:rPr>
          <w:rFonts w:ascii="Calibri"/>
          <w:sz w:val="20"/>
          <w:vertAlign w:val="baseline"/>
        </w:rPr>
        <w:t>Fagbohun,</w:t>
      </w:r>
      <w:r>
        <w:rPr>
          <w:rFonts w:ascii="Calibri"/>
          <w:spacing w:val="-7"/>
          <w:sz w:val="20"/>
          <w:vertAlign w:val="baseline"/>
        </w:rPr>
        <w:t> </w:t>
      </w:r>
      <w:r>
        <w:rPr>
          <w:rFonts w:ascii="Calibri"/>
          <w:sz w:val="20"/>
          <w:vertAlign w:val="baseline"/>
        </w:rPr>
        <w:t>op.</w:t>
      </w:r>
      <w:r>
        <w:rPr>
          <w:rFonts w:ascii="Calibri"/>
          <w:spacing w:val="-7"/>
          <w:sz w:val="20"/>
          <w:vertAlign w:val="baseline"/>
        </w:rPr>
        <w:t> </w:t>
      </w:r>
      <w:r>
        <w:rPr>
          <w:rFonts w:ascii="Calibri"/>
          <w:sz w:val="20"/>
          <w:vertAlign w:val="baseline"/>
        </w:rPr>
        <w:t>cit.</w:t>
      </w:r>
      <w:r>
        <w:rPr>
          <w:rFonts w:ascii="Calibri"/>
          <w:spacing w:val="-7"/>
          <w:sz w:val="20"/>
          <w:vertAlign w:val="baseline"/>
        </w:rPr>
        <w:t> </w:t>
      </w:r>
      <w:r>
        <w:rPr>
          <w:rFonts w:ascii="Calibri"/>
          <w:sz w:val="20"/>
          <w:vertAlign w:val="baseline"/>
        </w:rPr>
        <w:t>p.</w:t>
      </w:r>
      <w:r>
        <w:rPr>
          <w:rFonts w:ascii="Calibri"/>
          <w:spacing w:val="-7"/>
          <w:sz w:val="20"/>
          <w:vertAlign w:val="baseline"/>
        </w:rPr>
        <w:t> </w:t>
      </w:r>
      <w:r>
        <w:rPr>
          <w:rFonts w:ascii="Calibri"/>
          <w:spacing w:val="-4"/>
          <w:sz w:val="20"/>
          <w:vertAlign w:val="baseline"/>
        </w:rPr>
        <w:t>156.</w:t>
      </w:r>
    </w:p>
    <w:p>
      <w:pPr>
        <w:spacing w:before="1"/>
        <w:ind w:left="360" w:right="0" w:firstLine="0"/>
        <w:jc w:val="left"/>
        <w:rPr>
          <w:rFonts w:ascii="Calibri"/>
          <w:i/>
          <w:sz w:val="20"/>
        </w:rPr>
      </w:pPr>
      <w:r>
        <w:rPr>
          <w:rFonts w:ascii="Calibri"/>
          <w:sz w:val="20"/>
          <w:vertAlign w:val="superscript"/>
        </w:rPr>
        <w:t>4</w:t>
      </w:r>
      <w:r>
        <w:rPr>
          <w:rFonts w:ascii="Calibri"/>
          <w:i/>
          <w:sz w:val="20"/>
          <w:vertAlign w:val="baseline"/>
        </w:rPr>
        <w:t>Performance</w:t>
      </w:r>
      <w:r>
        <w:rPr>
          <w:rFonts w:ascii="Calibri"/>
          <w:i/>
          <w:spacing w:val="-2"/>
          <w:sz w:val="20"/>
          <w:vertAlign w:val="baseline"/>
        </w:rPr>
        <w:t> </w:t>
      </w:r>
      <w:r>
        <w:rPr>
          <w:rFonts w:ascii="Calibri"/>
          <w:i/>
          <w:sz w:val="20"/>
          <w:vertAlign w:val="baseline"/>
        </w:rPr>
        <w:t>of</w:t>
      </w:r>
      <w:r>
        <w:rPr>
          <w:rFonts w:ascii="Calibri"/>
          <w:i/>
          <w:spacing w:val="-1"/>
          <w:sz w:val="20"/>
          <w:vertAlign w:val="baseline"/>
        </w:rPr>
        <w:t> </w:t>
      </w:r>
      <w:r>
        <w:rPr>
          <w:rFonts w:ascii="Calibri"/>
          <w:i/>
          <w:sz w:val="20"/>
          <w:vertAlign w:val="baseline"/>
        </w:rPr>
        <w:t>Economic</w:t>
      </w:r>
      <w:r>
        <w:rPr>
          <w:rFonts w:ascii="Calibri"/>
          <w:i/>
          <w:spacing w:val="-4"/>
          <w:sz w:val="20"/>
          <w:vertAlign w:val="baseline"/>
        </w:rPr>
        <w:t> </w:t>
      </w:r>
      <w:r>
        <w:rPr>
          <w:rFonts w:ascii="Calibri"/>
          <w:i/>
          <w:sz w:val="20"/>
          <w:vertAlign w:val="baseline"/>
        </w:rPr>
        <w:t>Growth</w:t>
      </w:r>
      <w:r>
        <w:rPr>
          <w:rFonts w:ascii="Calibri"/>
          <w:i/>
          <w:spacing w:val="-2"/>
          <w:sz w:val="20"/>
          <w:vertAlign w:val="baseline"/>
        </w:rPr>
        <w:t> </w:t>
      </w:r>
      <w:r>
        <w:rPr>
          <w:rFonts w:ascii="Calibri"/>
          <w:i/>
          <w:sz w:val="20"/>
          <w:vertAlign w:val="baseline"/>
        </w:rPr>
        <w:t>in</w:t>
      </w:r>
      <w:r>
        <w:rPr>
          <w:rFonts w:ascii="Calibri"/>
          <w:i/>
          <w:spacing w:val="-2"/>
          <w:sz w:val="20"/>
          <w:vertAlign w:val="baseline"/>
        </w:rPr>
        <w:t> </w:t>
      </w:r>
      <w:r>
        <w:rPr>
          <w:rFonts w:ascii="Calibri"/>
          <w:i/>
          <w:sz w:val="20"/>
          <w:vertAlign w:val="baseline"/>
        </w:rPr>
        <w:t>Nigeria</w:t>
      </w:r>
      <w:r>
        <w:rPr>
          <w:rFonts w:ascii="Calibri"/>
          <w:i/>
          <w:spacing w:val="-2"/>
          <w:sz w:val="20"/>
          <w:vertAlign w:val="baseline"/>
        </w:rPr>
        <w:t> </w:t>
      </w:r>
      <w:r>
        <w:rPr>
          <w:rFonts w:ascii="Calibri"/>
          <w:i/>
          <w:sz w:val="20"/>
          <w:vertAlign w:val="baseline"/>
        </w:rPr>
        <w:t>(1979-2000):</w:t>
      </w:r>
      <w:r>
        <w:rPr>
          <w:rFonts w:ascii="Calibri"/>
          <w:i/>
          <w:spacing w:val="-4"/>
          <w:sz w:val="20"/>
          <w:vertAlign w:val="baseline"/>
        </w:rPr>
        <w:t> </w:t>
      </w:r>
      <w:r>
        <w:rPr>
          <w:rFonts w:ascii="Calibri"/>
          <w:i/>
          <w:sz w:val="20"/>
          <w:vertAlign w:val="baseline"/>
        </w:rPr>
        <w:t>Impact</w:t>
      </w:r>
      <w:r>
        <w:rPr>
          <w:rFonts w:ascii="Calibri"/>
          <w:i/>
          <w:spacing w:val="-2"/>
          <w:sz w:val="20"/>
          <w:vertAlign w:val="baseline"/>
        </w:rPr>
        <w:t> </w:t>
      </w:r>
      <w:r>
        <w:rPr>
          <w:rFonts w:ascii="Calibri"/>
          <w:i/>
          <w:sz w:val="20"/>
          <w:vertAlign w:val="baseline"/>
        </w:rPr>
        <w:t>of</w:t>
      </w:r>
      <w:r>
        <w:rPr>
          <w:rFonts w:ascii="Calibri"/>
          <w:i/>
          <w:spacing w:val="-4"/>
          <w:sz w:val="20"/>
          <w:vertAlign w:val="baseline"/>
        </w:rPr>
        <w:t> </w:t>
      </w:r>
      <w:r>
        <w:rPr>
          <w:rFonts w:ascii="Calibri"/>
          <w:i/>
          <w:sz w:val="20"/>
          <w:vertAlign w:val="baseline"/>
        </w:rPr>
        <w:t>Oil</w:t>
      </w:r>
      <w:r>
        <w:rPr>
          <w:rFonts w:ascii="Calibri"/>
          <w:i/>
          <w:spacing w:val="-3"/>
          <w:sz w:val="20"/>
          <w:vertAlign w:val="baseline"/>
        </w:rPr>
        <w:t> </w:t>
      </w:r>
      <w:r>
        <w:rPr>
          <w:rFonts w:ascii="Calibri"/>
          <w:i/>
          <w:sz w:val="20"/>
          <w:vertAlign w:val="baseline"/>
        </w:rPr>
        <w:t>Industry</w:t>
      </w:r>
      <w:r>
        <w:rPr>
          <w:rFonts w:ascii="Calibri"/>
          <w:sz w:val="20"/>
          <w:vertAlign w:val="baseline"/>
        </w:rPr>
        <w:t>.</w:t>
      </w:r>
      <w:r>
        <w:rPr>
          <w:rFonts w:ascii="Calibri"/>
          <w:spacing w:val="-2"/>
          <w:sz w:val="20"/>
          <w:vertAlign w:val="baseline"/>
        </w:rPr>
        <w:t> </w:t>
      </w:r>
      <w:r>
        <w:rPr>
          <w:rFonts w:ascii="Calibri"/>
          <w:sz w:val="20"/>
          <w:vertAlign w:val="baseline"/>
        </w:rPr>
        <w:t>Retrieved</w:t>
      </w:r>
      <w:r>
        <w:rPr>
          <w:rFonts w:ascii="Calibri"/>
          <w:spacing w:val="-2"/>
          <w:sz w:val="20"/>
          <w:vertAlign w:val="baseline"/>
        </w:rPr>
        <w:t> </w:t>
      </w:r>
      <w:r>
        <w:rPr>
          <w:rFonts w:ascii="Calibri"/>
          <w:sz w:val="20"/>
          <w:vertAlign w:val="baseline"/>
        </w:rPr>
        <w:t>on</w:t>
      </w:r>
      <w:r>
        <w:rPr>
          <w:rFonts w:ascii="Calibri"/>
          <w:spacing w:val="-2"/>
          <w:sz w:val="20"/>
          <w:vertAlign w:val="baseline"/>
        </w:rPr>
        <w:t> </w:t>
      </w:r>
      <w:r>
        <w:rPr>
          <w:rFonts w:ascii="Calibri"/>
          <w:sz w:val="20"/>
          <w:vertAlign w:val="baseline"/>
        </w:rPr>
        <w:t>Saturday</w:t>
      </w:r>
      <w:r>
        <w:rPr>
          <w:rFonts w:ascii="Calibri"/>
          <w:spacing w:val="-1"/>
          <w:sz w:val="20"/>
          <w:vertAlign w:val="baseline"/>
        </w:rPr>
        <w:t> </w:t>
      </w:r>
      <w:r>
        <w:rPr>
          <w:rFonts w:ascii="Calibri"/>
          <w:sz w:val="20"/>
          <w:vertAlign w:val="baseline"/>
        </w:rPr>
        <w:t>22nd June , 2013 from: </w:t>
      </w:r>
      <w:hyperlink r:id="rId13">
        <w:r>
          <w:rPr>
            <w:rFonts w:ascii="Calibri"/>
            <w:i/>
            <w:color w:val="0000FF"/>
            <w:sz w:val="20"/>
            <w:u w:val="single" w:color="0000FF"/>
            <w:vertAlign w:val="baseline"/>
          </w:rPr>
          <w:t>http://www.doublegist.com/economicgrowth-nigeria-impact-oil-industry</w:t>
        </w:r>
      </w:hyperlink>
    </w:p>
    <w:p>
      <w:pPr>
        <w:spacing w:line="243" w:lineRule="exact" w:before="0"/>
        <w:ind w:left="360" w:right="0" w:firstLine="0"/>
        <w:jc w:val="left"/>
        <w:rPr>
          <w:rFonts w:ascii="Calibri"/>
          <w:sz w:val="20"/>
        </w:rPr>
      </w:pPr>
      <w:r>
        <w:rPr>
          <w:rFonts w:ascii="Calibri"/>
          <w:sz w:val="20"/>
          <w:vertAlign w:val="superscript"/>
        </w:rPr>
        <w:t>5</w:t>
      </w:r>
      <w:r>
        <w:rPr>
          <w:rFonts w:ascii="Calibri"/>
          <w:sz w:val="20"/>
          <w:vertAlign w:val="baseline"/>
        </w:rPr>
        <w:t>Williams</w:t>
      </w:r>
      <w:r>
        <w:rPr>
          <w:rFonts w:ascii="Calibri"/>
          <w:spacing w:val="-7"/>
          <w:sz w:val="20"/>
          <w:vertAlign w:val="baseline"/>
        </w:rPr>
        <w:t> </w:t>
      </w:r>
      <w:r>
        <w:rPr>
          <w:rFonts w:ascii="Calibri"/>
          <w:sz w:val="20"/>
          <w:vertAlign w:val="baseline"/>
        </w:rPr>
        <w:t>&amp;</w:t>
      </w:r>
      <w:r>
        <w:rPr>
          <w:rFonts w:ascii="Calibri"/>
          <w:spacing w:val="-5"/>
          <w:sz w:val="20"/>
          <w:vertAlign w:val="baseline"/>
        </w:rPr>
        <w:t> </w:t>
      </w:r>
      <w:r>
        <w:rPr>
          <w:rFonts w:ascii="Calibri"/>
          <w:sz w:val="20"/>
          <w:vertAlign w:val="baseline"/>
        </w:rPr>
        <w:t>Meyers</w:t>
      </w:r>
      <w:r>
        <w:rPr>
          <w:rFonts w:ascii="Calibri"/>
          <w:spacing w:val="-5"/>
          <w:sz w:val="20"/>
          <w:vertAlign w:val="baseline"/>
        </w:rPr>
        <w:t> </w:t>
      </w:r>
      <w:r>
        <w:rPr>
          <w:rFonts w:ascii="Calibri"/>
          <w:sz w:val="20"/>
          <w:vertAlign w:val="baseline"/>
        </w:rPr>
        <w:t>(2007)</w:t>
      </w:r>
      <w:r>
        <w:rPr>
          <w:rFonts w:ascii="Calibri"/>
          <w:i/>
          <w:sz w:val="20"/>
          <w:vertAlign w:val="baseline"/>
        </w:rPr>
        <w:t>Oil</w:t>
      </w:r>
      <w:r>
        <w:rPr>
          <w:rFonts w:ascii="Calibri"/>
          <w:i/>
          <w:spacing w:val="-3"/>
          <w:sz w:val="20"/>
          <w:vertAlign w:val="baseline"/>
        </w:rPr>
        <w:t> </w:t>
      </w:r>
      <w:r>
        <w:rPr>
          <w:rFonts w:ascii="Calibri"/>
          <w:i/>
          <w:sz w:val="20"/>
          <w:vertAlign w:val="baseline"/>
        </w:rPr>
        <w:t>and</w:t>
      </w:r>
      <w:r>
        <w:rPr>
          <w:rFonts w:ascii="Calibri"/>
          <w:i/>
          <w:spacing w:val="-5"/>
          <w:sz w:val="20"/>
          <w:vertAlign w:val="baseline"/>
        </w:rPr>
        <w:t> </w:t>
      </w:r>
      <w:r>
        <w:rPr>
          <w:rFonts w:ascii="Calibri"/>
          <w:i/>
          <w:sz w:val="20"/>
          <w:vertAlign w:val="baseline"/>
        </w:rPr>
        <w:t>Gas</w:t>
      </w:r>
      <w:r>
        <w:rPr>
          <w:rFonts w:ascii="Calibri"/>
          <w:i/>
          <w:spacing w:val="-6"/>
          <w:sz w:val="20"/>
          <w:vertAlign w:val="baseline"/>
        </w:rPr>
        <w:t> </w:t>
      </w:r>
      <w:r>
        <w:rPr>
          <w:rFonts w:ascii="Calibri"/>
          <w:i/>
          <w:sz w:val="20"/>
          <w:vertAlign w:val="baseline"/>
        </w:rPr>
        <w:t>Law,</w:t>
      </w:r>
      <w:r>
        <w:rPr>
          <w:rFonts w:ascii="Calibri"/>
          <w:i/>
          <w:spacing w:val="-4"/>
          <w:sz w:val="20"/>
          <w:vertAlign w:val="baseline"/>
        </w:rPr>
        <w:t> </w:t>
      </w:r>
      <w:r>
        <w:rPr>
          <w:rFonts w:ascii="Calibri"/>
          <w:sz w:val="20"/>
          <w:vertAlign w:val="baseline"/>
        </w:rPr>
        <w:t>Lexis</w:t>
      </w:r>
      <w:r>
        <w:rPr>
          <w:rFonts w:ascii="Calibri"/>
          <w:spacing w:val="-7"/>
          <w:sz w:val="20"/>
          <w:vertAlign w:val="baseline"/>
        </w:rPr>
        <w:t> </w:t>
      </w:r>
      <w:r>
        <w:rPr>
          <w:rFonts w:ascii="Calibri"/>
          <w:sz w:val="20"/>
          <w:vertAlign w:val="baseline"/>
        </w:rPr>
        <w:t>Nexis,</w:t>
      </w:r>
      <w:r>
        <w:rPr>
          <w:rFonts w:ascii="Calibri"/>
          <w:spacing w:val="-3"/>
          <w:sz w:val="20"/>
          <w:vertAlign w:val="baseline"/>
        </w:rPr>
        <w:t> </w:t>
      </w:r>
      <w:r>
        <w:rPr>
          <w:rFonts w:ascii="Calibri"/>
          <w:sz w:val="20"/>
          <w:vertAlign w:val="baseline"/>
        </w:rPr>
        <w:t>vol.1</w:t>
      </w:r>
      <w:r>
        <w:rPr>
          <w:rFonts w:ascii="Calibri"/>
          <w:spacing w:val="-6"/>
          <w:sz w:val="20"/>
          <w:vertAlign w:val="baseline"/>
        </w:rPr>
        <w:t> </w:t>
      </w:r>
      <w:r>
        <w:rPr>
          <w:rFonts w:ascii="Calibri"/>
          <w:spacing w:val="-4"/>
          <w:sz w:val="20"/>
          <w:vertAlign w:val="baseline"/>
        </w:rPr>
        <w:t>p.1.</w:t>
      </w:r>
    </w:p>
    <w:p>
      <w:pPr>
        <w:spacing w:after="0" w:line="243" w:lineRule="exact"/>
        <w:jc w:val="left"/>
        <w:rPr>
          <w:rFonts w:ascii="Calibri"/>
          <w:sz w:val="20"/>
        </w:rPr>
        <w:sectPr>
          <w:pgSz w:w="11910" w:h="16840"/>
          <w:pgMar w:header="0" w:footer="1000" w:top="1340" w:bottom="1200" w:left="1080" w:right="1280"/>
        </w:sectPr>
      </w:pPr>
    </w:p>
    <w:p>
      <w:pPr>
        <w:spacing w:line="480" w:lineRule="auto" w:before="114"/>
        <w:ind w:left="360" w:right="156" w:firstLine="0"/>
        <w:jc w:val="both"/>
        <w:rPr>
          <w:sz w:val="24"/>
        </w:rPr>
      </w:pPr>
      <w:r>
        <w:rPr>
          <w:b/>
          <w:sz w:val="24"/>
        </w:rPr>
        <w:t>G Federation &amp; NNPC</w:t>
      </w:r>
      <w:r>
        <w:rPr>
          <w:sz w:val="24"/>
          <w:vertAlign w:val="superscript"/>
        </w:rPr>
        <w:t>6</w:t>
      </w:r>
      <w:r>
        <w:rPr>
          <w:sz w:val="24"/>
          <w:vertAlign w:val="baseline"/>
        </w:rPr>
        <w:t>; </w:t>
      </w:r>
      <w:r>
        <w:rPr>
          <w:b/>
          <w:sz w:val="24"/>
          <w:vertAlign w:val="baseline"/>
        </w:rPr>
        <w:t>Attorney-General, Federation v. A-G Abia State &amp; 35 Ors.</w:t>
      </w:r>
      <w:r>
        <w:rPr>
          <w:b/>
          <w:spacing w:val="40"/>
          <w:sz w:val="24"/>
          <w:vertAlign w:val="baseline"/>
        </w:rPr>
        <w:t> </w:t>
      </w:r>
      <w:r>
        <w:rPr>
          <w:b/>
          <w:sz w:val="24"/>
          <w:vertAlign w:val="baseline"/>
        </w:rPr>
        <w:t>(No. 2).</w:t>
      </w:r>
      <w:r>
        <w:rPr>
          <w:sz w:val="24"/>
          <w:vertAlign w:val="superscript"/>
        </w:rPr>
        <w:t>7</w:t>
      </w:r>
      <w:r>
        <w:rPr>
          <w:sz w:val="24"/>
          <w:vertAlign w:val="baseline"/>
        </w:rPr>
        <w:t>In other words, it is the basis upon which the existence of other laws rest. The Court of Appeal, per Omoleye, JCA, put the position as:</w:t>
      </w:r>
    </w:p>
    <w:p>
      <w:pPr>
        <w:pStyle w:val="BodyText"/>
        <w:ind w:left="1800" w:right="1601"/>
        <w:jc w:val="both"/>
      </w:pPr>
      <w:r>
        <w:rPr/>
        <w:t>“The Constitution of the Federal Republic of Nigeria, 1999, is the organic law from which all other laws flow and derive International Journal of Advanced Legal Studies and Governance, Vol. 4, No. 2, August 2013 3 their validity”</w:t>
      </w:r>
      <w:r>
        <w:rPr>
          <w:vertAlign w:val="superscript"/>
        </w:rPr>
        <w:t>8</w:t>
      </w:r>
      <w:r>
        <w:rPr>
          <w:vertAlign w:val="baseline"/>
        </w:rPr>
        <w:t>.</w:t>
      </w:r>
    </w:p>
    <w:p>
      <w:pPr>
        <w:pStyle w:val="BodyText"/>
      </w:pPr>
    </w:p>
    <w:p>
      <w:pPr>
        <w:pStyle w:val="BodyText"/>
      </w:pPr>
    </w:p>
    <w:p>
      <w:pPr>
        <w:pStyle w:val="BodyText"/>
        <w:spacing w:line="480" w:lineRule="auto" w:before="1"/>
        <w:ind w:left="360" w:right="158" w:firstLine="719"/>
        <w:jc w:val="both"/>
      </w:pPr>
      <w:r>
        <w:rPr/>
        <w:t>In the oil and gas sector of the economy, the 1999 Constitution (as amended) is the supreme law in relation to Nigeria‟s oil and gas sector.</w:t>
      </w:r>
    </w:p>
    <w:p>
      <w:pPr>
        <w:pStyle w:val="BodyText"/>
        <w:spacing w:line="480" w:lineRule="auto"/>
        <w:ind w:left="360" w:right="159" w:firstLine="719"/>
        <w:jc w:val="both"/>
      </w:pPr>
      <w:r>
        <w:rPr/>
        <w:t>Section 1 (1) of the Constitution provides for its supremacy as follows: “This Constitution is supreme and its provisions shall have binding force on all authorities and persons</w:t>
      </w:r>
      <w:r>
        <w:rPr>
          <w:spacing w:val="-4"/>
        </w:rPr>
        <w:t> </w:t>
      </w:r>
      <w:r>
        <w:rPr/>
        <w:t>throughout</w:t>
      </w:r>
      <w:r>
        <w:rPr>
          <w:spacing w:val="-3"/>
        </w:rPr>
        <w:t> </w:t>
      </w:r>
      <w:r>
        <w:rPr/>
        <w:t>the</w:t>
      </w:r>
      <w:r>
        <w:rPr>
          <w:spacing w:val="-2"/>
        </w:rPr>
        <w:t> </w:t>
      </w:r>
      <w:r>
        <w:rPr/>
        <w:t>Federal</w:t>
      </w:r>
      <w:r>
        <w:rPr>
          <w:spacing w:val="-1"/>
        </w:rPr>
        <w:t> </w:t>
      </w:r>
      <w:r>
        <w:rPr/>
        <w:t>Republic</w:t>
      </w:r>
      <w:r>
        <w:rPr>
          <w:spacing w:val="-4"/>
        </w:rPr>
        <w:t> </w:t>
      </w:r>
      <w:r>
        <w:rPr/>
        <w:t>of</w:t>
      </w:r>
      <w:r>
        <w:rPr>
          <w:spacing w:val="-2"/>
        </w:rPr>
        <w:t> </w:t>
      </w:r>
      <w:r>
        <w:rPr/>
        <w:t>Nigeria.”</w:t>
      </w:r>
      <w:r>
        <w:rPr>
          <w:spacing w:val="-4"/>
        </w:rPr>
        <w:t> </w:t>
      </w:r>
      <w:r>
        <w:rPr/>
        <w:t>The</w:t>
      </w:r>
      <w:r>
        <w:rPr>
          <w:spacing w:val="-1"/>
        </w:rPr>
        <w:t> </w:t>
      </w:r>
      <w:r>
        <w:rPr/>
        <w:t>Constitution</w:t>
      </w:r>
      <w:r>
        <w:rPr>
          <w:spacing w:val="-3"/>
        </w:rPr>
        <w:t> </w:t>
      </w:r>
      <w:r>
        <w:rPr/>
        <w:t>further</w:t>
      </w:r>
      <w:r>
        <w:rPr>
          <w:spacing w:val="-3"/>
        </w:rPr>
        <w:t> </w:t>
      </w:r>
      <w:r>
        <w:rPr/>
        <w:t>provides</w:t>
      </w:r>
      <w:r>
        <w:rPr>
          <w:spacing w:val="-2"/>
        </w:rPr>
        <w:t> </w:t>
      </w:r>
      <w:r>
        <w:rPr/>
        <w:t>that</w:t>
      </w:r>
      <w:r>
        <w:rPr>
          <w:spacing w:val="-3"/>
        </w:rPr>
        <w:t> </w:t>
      </w:r>
      <w:r>
        <w:rPr/>
        <w:t>if any other law is inconsistent with the provisions of the constitution, the constitution shall prevail and that other law shall to the extent of its inconsistency be void</w:t>
      </w:r>
      <w:r>
        <w:rPr>
          <w:vertAlign w:val="superscript"/>
        </w:rPr>
        <w:t>9</w:t>
      </w:r>
      <w:r>
        <w:rPr>
          <w:vertAlign w:val="baseline"/>
        </w:rPr>
        <w:t>.</w:t>
      </w:r>
    </w:p>
    <w:p>
      <w:pPr>
        <w:pStyle w:val="BodyText"/>
        <w:spacing w:line="480" w:lineRule="auto"/>
        <w:ind w:left="360" w:right="164" w:firstLine="719"/>
        <w:jc w:val="both"/>
      </w:pPr>
      <w:r>
        <w:rPr/>
        <w:t>Section 44 (3) of the Constitution vests the ownership and control of mineral oil and natural gas in the Federal government of Nigeria. The Constitution provides:</w:t>
      </w:r>
    </w:p>
    <w:p>
      <w:pPr>
        <w:pStyle w:val="BodyText"/>
        <w:ind w:left="1800" w:right="1598"/>
        <w:jc w:val="both"/>
      </w:pPr>
      <w:r>
        <w:rPr/>
        <w:t>“Notwithstanding the foregoing provisions of this section, </w:t>
      </w:r>
      <w:r>
        <w:rPr/>
        <w:t>the entire property in and control of all minerals, mineral oils and natural gas in, under or upon any</w:t>
      </w:r>
      <w:r>
        <w:rPr>
          <w:spacing w:val="-6"/>
        </w:rPr>
        <w:t> </w:t>
      </w:r>
      <w:r>
        <w:rPr/>
        <w:t>land in Nigeria or in, under or upon the territorial waters and the Exclusive Economic Zone of Nigeria</w:t>
      </w:r>
      <w:r>
        <w:rPr>
          <w:spacing w:val="-1"/>
        </w:rPr>
        <w:t> </w:t>
      </w:r>
      <w:r>
        <w:rPr/>
        <w:t>shall vest in the</w:t>
      </w:r>
      <w:r>
        <w:rPr>
          <w:spacing w:val="-2"/>
        </w:rPr>
        <w:t> </w:t>
      </w:r>
      <w:r>
        <w:rPr/>
        <w:t>Government of</w:t>
      </w:r>
      <w:r>
        <w:rPr>
          <w:spacing w:val="-1"/>
        </w:rPr>
        <w:t> </w:t>
      </w:r>
      <w:r>
        <w:rPr/>
        <w:t>the federation and shall be managed in such manner as may be prescribed by the National Assembly.”</w:t>
      </w:r>
    </w:p>
    <w:p>
      <w:pPr>
        <w:pStyle w:val="BodyText"/>
      </w:pPr>
    </w:p>
    <w:p>
      <w:pPr>
        <w:pStyle w:val="BodyText"/>
        <w:spacing w:before="1"/>
      </w:pPr>
    </w:p>
    <w:p>
      <w:pPr>
        <w:pStyle w:val="BodyText"/>
        <w:spacing w:line="480" w:lineRule="auto"/>
        <w:ind w:left="360" w:right="154" w:firstLine="719"/>
        <w:jc w:val="both"/>
      </w:pPr>
      <w:r>
        <w:rPr/>
        <w:t>In line with these provisions of the Constitution, the National Assembly, through its Standing Committees on Oil and Gas Matter, has as one of its constitutional duties, the responsibility</w:t>
      </w:r>
      <w:r>
        <w:rPr>
          <w:spacing w:val="23"/>
        </w:rPr>
        <w:t> </w:t>
      </w:r>
      <w:r>
        <w:rPr/>
        <w:t>to</w:t>
      </w:r>
      <w:r>
        <w:rPr>
          <w:spacing w:val="31"/>
        </w:rPr>
        <w:t> </w:t>
      </w:r>
      <w:r>
        <w:rPr/>
        <w:t>monitor</w:t>
      </w:r>
      <w:r>
        <w:rPr>
          <w:spacing w:val="30"/>
        </w:rPr>
        <w:t> </w:t>
      </w:r>
      <w:r>
        <w:rPr/>
        <w:t>the</w:t>
      </w:r>
      <w:r>
        <w:rPr>
          <w:spacing w:val="30"/>
        </w:rPr>
        <w:t> </w:t>
      </w:r>
      <w:r>
        <w:rPr/>
        <w:t>activities</w:t>
      </w:r>
      <w:r>
        <w:rPr>
          <w:spacing w:val="30"/>
        </w:rPr>
        <w:t> </w:t>
      </w:r>
      <w:r>
        <w:rPr/>
        <w:t>in</w:t>
      </w:r>
      <w:r>
        <w:rPr>
          <w:spacing w:val="31"/>
        </w:rPr>
        <w:t> </w:t>
      </w:r>
      <w:r>
        <w:rPr/>
        <w:t>the</w:t>
      </w:r>
      <w:r>
        <w:rPr>
          <w:spacing w:val="29"/>
        </w:rPr>
        <w:t> </w:t>
      </w:r>
      <w:r>
        <w:rPr/>
        <w:t>Nigeria‟s</w:t>
      </w:r>
      <w:r>
        <w:rPr>
          <w:spacing w:val="30"/>
        </w:rPr>
        <w:t> </w:t>
      </w:r>
      <w:r>
        <w:rPr/>
        <w:t>oil</w:t>
      </w:r>
      <w:r>
        <w:rPr>
          <w:spacing w:val="31"/>
        </w:rPr>
        <w:t> </w:t>
      </w:r>
      <w:r>
        <w:rPr/>
        <w:t>and</w:t>
      </w:r>
      <w:r>
        <w:rPr>
          <w:spacing w:val="31"/>
        </w:rPr>
        <w:t> </w:t>
      </w:r>
      <w:r>
        <w:rPr/>
        <w:t>gas</w:t>
      </w:r>
      <w:r>
        <w:rPr>
          <w:spacing w:val="30"/>
        </w:rPr>
        <w:t> </w:t>
      </w:r>
      <w:r>
        <w:rPr/>
        <w:t>sector</w:t>
      </w:r>
      <w:r>
        <w:rPr>
          <w:vertAlign w:val="superscript"/>
        </w:rPr>
        <w:t>10</w:t>
      </w:r>
      <w:r>
        <w:rPr>
          <w:vertAlign w:val="baseline"/>
        </w:rPr>
        <w:t>.</w:t>
      </w:r>
      <w:r>
        <w:rPr>
          <w:spacing w:val="31"/>
          <w:vertAlign w:val="baseline"/>
        </w:rPr>
        <w:t> </w:t>
      </w:r>
      <w:r>
        <w:rPr>
          <w:vertAlign w:val="baseline"/>
        </w:rPr>
        <w:t>This</w:t>
      </w:r>
      <w:r>
        <w:rPr>
          <w:spacing w:val="30"/>
          <w:vertAlign w:val="baseline"/>
        </w:rPr>
        <w:t> </w:t>
      </w:r>
      <w:r>
        <w:rPr>
          <w:spacing w:val="-2"/>
          <w:vertAlign w:val="baseline"/>
        </w:rPr>
        <w:t>oversight</w:t>
      </w:r>
    </w:p>
    <w:p>
      <w:pPr>
        <w:pStyle w:val="BodyText"/>
        <w:spacing w:before="11"/>
        <w:rPr>
          <w:sz w:val="15"/>
        </w:rPr>
      </w:pPr>
      <w:r>
        <w:rPr/>
        <mc:AlternateContent>
          <mc:Choice Requires="wps">
            <w:drawing>
              <wp:anchor distT="0" distB="0" distL="0" distR="0" allowOverlap="1" layoutInCell="1" locked="0" behindDoc="1" simplePos="0" relativeHeight="487605248">
                <wp:simplePos x="0" y="0"/>
                <wp:positionH relativeFrom="page">
                  <wp:posOffset>914704</wp:posOffset>
                </wp:positionH>
                <wp:positionV relativeFrom="paragraph">
                  <wp:posOffset>131988</wp:posOffset>
                </wp:positionV>
                <wp:extent cx="1829435" cy="9525"/>
                <wp:effectExtent l="0" t="0" r="0" b="0"/>
                <wp:wrapTopAndBottom/>
                <wp:docPr id="38" name="Graphic 38"/>
                <wp:cNvGraphicFramePr>
                  <a:graphicFrameLocks/>
                </wp:cNvGraphicFramePr>
                <a:graphic>
                  <a:graphicData uri="http://schemas.microsoft.com/office/word/2010/wordprocessingShape">
                    <wps:wsp>
                      <wps:cNvPr id="38" name="Graphic 38"/>
                      <wps:cNvSpPr/>
                      <wps:spPr>
                        <a:xfrm>
                          <a:off x="0" y="0"/>
                          <a:ext cx="1829435" cy="9525"/>
                        </a:xfrm>
                        <a:custGeom>
                          <a:avLst/>
                          <a:gdLst/>
                          <a:ahLst/>
                          <a:cxnLst/>
                          <a:rect l="l" t="t" r="r" b="b"/>
                          <a:pathLst>
                            <a:path w="1829435" h="9525">
                              <a:moveTo>
                                <a:pt x="1829054" y="0"/>
                              </a:moveTo>
                              <a:lnTo>
                                <a:pt x="0" y="0"/>
                              </a:lnTo>
                              <a:lnTo>
                                <a:pt x="0" y="9143"/>
                              </a:lnTo>
                              <a:lnTo>
                                <a:pt x="1829054" y="9143"/>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10.392764pt;width:144.020pt;height:.71997pt;mso-position-horizontal-relative:page;mso-position-vertical-relative:paragraph;z-index:-15711232;mso-wrap-distance-left:0;mso-wrap-distance-right:0" id="docshape38" filled="true" fillcolor="#000000" stroked="false">
                <v:fill type="solid"/>
                <w10:wrap type="topAndBottom"/>
              </v:rect>
            </w:pict>
          </mc:Fallback>
        </mc:AlternateContent>
      </w:r>
    </w:p>
    <w:p>
      <w:pPr>
        <w:spacing w:before="102"/>
        <w:ind w:left="360" w:right="0" w:firstLine="0"/>
        <w:jc w:val="left"/>
        <w:rPr>
          <w:rFonts w:ascii="Calibri"/>
          <w:sz w:val="20"/>
        </w:rPr>
      </w:pPr>
      <w:r>
        <w:rPr>
          <w:rFonts w:ascii="Calibri"/>
          <w:sz w:val="20"/>
          <w:vertAlign w:val="superscript"/>
        </w:rPr>
        <w:t>6</w:t>
      </w:r>
      <w:r>
        <w:rPr>
          <w:rFonts w:ascii="Calibri"/>
          <w:sz w:val="20"/>
          <w:vertAlign w:val="baseline"/>
        </w:rPr>
        <w:t>[2003]</w:t>
      </w:r>
      <w:r>
        <w:rPr>
          <w:rFonts w:ascii="Calibri"/>
          <w:spacing w:val="-6"/>
          <w:sz w:val="20"/>
          <w:vertAlign w:val="baseline"/>
        </w:rPr>
        <w:t> </w:t>
      </w:r>
      <w:r>
        <w:rPr>
          <w:rFonts w:ascii="Calibri"/>
          <w:sz w:val="20"/>
          <w:vertAlign w:val="baseline"/>
        </w:rPr>
        <w:t>18</w:t>
      </w:r>
      <w:r>
        <w:rPr>
          <w:rFonts w:ascii="Calibri"/>
          <w:spacing w:val="-4"/>
          <w:sz w:val="20"/>
          <w:vertAlign w:val="baseline"/>
        </w:rPr>
        <w:t> </w:t>
      </w:r>
      <w:r>
        <w:rPr>
          <w:rFonts w:ascii="Calibri"/>
          <w:sz w:val="20"/>
          <w:vertAlign w:val="baseline"/>
        </w:rPr>
        <w:t>N.W.L.R</w:t>
      </w:r>
      <w:r>
        <w:rPr>
          <w:rFonts w:ascii="Calibri"/>
          <w:spacing w:val="-5"/>
          <w:sz w:val="20"/>
          <w:vertAlign w:val="baseline"/>
        </w:rPr>
        <w:t> </w:t>
      </w:r>
      <w:r>
        <w:rPr>
          <w:rFonts w:ascii="Calibri"/>
          <w:sz w:val="20"/>
          <w:vertAlign w:val="baseline"/>
        </w:rPr>
        <w:t>(Pt.</w:t>
      </w:r>
      <w:r>
        <w:rPr>
          <w:rFonts w:ascii="Calibri"/>
          <w:spacing w:val="-5"/>
          <w:sz w:val="20"/>
          <w:vertAlign w:val="baseline"/>
        </w:rPr>
        <w:t> </w:t>
      </w:r>
      <w:r>
        <w:rPr>
          <w:rFonts w:ascii="Calibri"/>
          <w:sz w:val="20"/>
          <w:vertAlign w:val="baseline"/>
        </w:rPr>
        <w:t>852)</w:t>
      </w:r>
      <w:r>
        <w:rPr>
          <w:rFonts w:ascii="Calibri"/>
          <w:spacing w:val="-4"/>
          <w:sz w:val="20"/>
          <w:vertAlign w:val="baseline"/>
        </w:rPr>
        <w:t> </w:t>
      </w:r>
      <w:r>
        <w:rPr>
          <w:rFonts w:ascii="Calibri"/>
          <w:sz w:val="20"/>
          <w:vertAlign w:val="baseline"/>
        </w:rPr>
        <w:t>453</w:t>
      </w:r>
      <w:r>
        <w:rPr>
          <w:rFonts w:ascii="Calibri"/>
          <w:spacing w:val="-5"/>
          <w:sz w:val="20"/>
          <w:vertAlign w:val="baseline"/>
        </w:rPr>
        <w:t> SC</w:t>
      </w:r>
    </w:p>
    <w:p>
      <w:pPr>
        <w:spacing w:before="1"/>
        <w:ind w:left="360" w:right="0" w:firstLine="0"/>
        <w:jc w:val="left"/>
        <w:rPr>
          <w:rFonts w:ascii="Calibri"/>
          <w:sz w:val="20"/>
        </w:rPr>
      </w:pPr>
      <w:r>
        <w:rPr>
          <w:rFonts w:ascii="Calibri"/>
          <w:sz w:val="20"/>
          <w:vertAlign w:val="superscript"/>
        </w:rPr>
        <w:t>7</w:t>
      </w:r>
      <w:r>
        <w:rPr>
          <w:rFonts w:ascii="Calibri"/>
          <w:sz w:val="20"/>
          <w:vertAlign w:val="baseline"/>
        </w:rPr>
        <w:t>[2002]</w:t>
      </w:r>
      <w:r>
        <w:rPr>
          <w:rFonts w:ascii="Calibri"/>
          <w:spacing w:val="-7"/>
          <w:sz w:val="20"/>
          <w:vertAlign w:val="baseline"/>
        </w:rPr>
        <w:t> </w:t>
      </w:r>
      <w:r>
        <w:rPr>
          <w:rFonts w:ascii="Calibri"/>
          <w:sz w:val="20"/>
          <w:vertAlign w:val="baseline"/>
        </w:rPr>
        <w:t>F.W.L.R</w:t>
      </w:r>
      <w:r>
        <w:rPr>
          <w:rFonts w:ascii="Calibri"/>
          <w:spacing w:val="-6"/>
          <w:sz w:val="20"/>
          <w:vertAlign w:val="baseline"/>
        </w:rPr>
        <w:t> </w:t>
      </w:r>
      <w:r>
        <w:rPr>
          <w:rFonts w:ascii="Calibri"/>
          <w:sz w:val="20"/>
          <w:vertAlign w:val="baseline"/>
        </w:rPr>
        <w:t>(Pt.</w:t>
      </w:r>
      <w:r>
        <w:rPr>
          <w:rFonts w:ascii="Calibri"/>
          <w:spacing w:val="-5"/>
          <w:sz w:val="20"/>
          <w:vertAlign w:val="baseline"/>
        </w:rPr>
        <w:t> </w:t>
      </w:r>
      <w:r>
        <w:rPr>
          <w:rFonts w:ascii="Calibri"/>
          <w:sz w:val="20"/>
          <w:vertAlign w:val="baseline"/>
        </w:rPr>
        <w:t>102)</w:t>
      </w:r>
      <w:r>
        <w:rPr>
          <w:rFonts w:ascii="Calibri"/>
          <w:spacing w:val="-6"/>
          <w:sz w:val="20"/>
          <w:vertAlign w:val="baseline"/>
        </w:rPr>
        <w:t> </w:t>
      </w:r>
      <w:r>
        <w:rPr>
          <w:rFonts w:ascii="Calibri"/>
          <w:spacing w:val="-10"/>
          <w:sz w:val="20"/>
          <w:vertAlign w:val="baseline"/>
        </w:rPr>
        <w:t>1</w:t>
      </w:r>
    </w:p>
    <w:p>
      <w:pPr>
        <w:spacing w:line="243" w:lineRule="exact" w:before="1"/>
        <w:ind w:left="360" w:right="0" w:firstLine="0"/>
        <w:jc w:val="left"/>
        <w:rPr>
          <w:rFonts w:ascii="Calibri"/>
          <w:i/>
          <w:sz w:val="20"/>
        </w:rPr>
      </w:pPr>
      <w:r>
        <w:rPr>
          <w:rFonts w:ascii="Calibri"/>
          <w:sz w:val="20"/>
          <w:vertAlign w:val="superscript"/>
        </w:rPr>
        <w:t>8</w:t>
      </w:r>
      <w:r>
        <w:rPr>
          <w:rFonts w:ascii="Calibri"/>
          <w:i/>
          <w:sz w:val="20"/>
          <w:vertAlign w:val="baseline"/>
        </w:rPr>
        <w:t>Njikonye</w:t>
      </w:r>
      <w:r>
        <w:rPr>
          <w:rFonts w:ascii="Calibri"/>
          <w:i/>
          <w:spacing w:val="-7"/>
          <w:sz w:val="20"/>
          <w:vertAlign w:val="baseline"/>
        </w:rPr>
        <w:t> </w:t>
      </w:r>
      <w:r>
        <w:rPr>
          <w:rFonts w:ascii="Calibri"/>
          <w:i/>
          <w:sz w:val="20"/>
          <w:vertAlign w:val="baseline"/>
        </w:rPr>
        <w:t>v.</w:t>
      </w:r>
      <w:r>
        <w:rPr>
          <w:rFonts w:ascii="Calibri"/>
          <w:i/>
          <w:spacing w:val="-7"/>
          <w:sz w:val="20"/>
          <w:vertAlign w:val="baseline"/>
        </w:rPr>
        <w:t> </w:t>
      </w:r>
      <w:r>
        <w:rPr>
          <w:rFonts w:ascii="Calibri"/>
          <w:i/>
          <w:sz w:val="20"/>
          <w:vertAlign w:val="baseline"/>
        </w:rPr>
        <w:t>MTN</w:t>
      </w:r>
      <w:r>
        <w:rPr>
          <w:rFonts w:ascii="Calibri"/>
          <w:i/>
          <w:spacing w:val="-6"/>
          <w:sz w:val="20"/>
          <w:vertAlign w:val="baseline"/>
        </w:rPr>
        <w:t> </w:t>
      </w:r>
      <w:r>
        <w:rPr>
          <w:rFonts w:ascii="Calibri"/>
          <w:i/>
          <w:sz w:val="20"/>
          <w:vertAlign w:val="baseline"/>
        </w:rPr>
        <w:t>Nig</w:t>
      </w:r>
      <w:r>
        <w:rPr>
          <w:rFonts w:ascii="Calibri"/>
          <w:i/>
          <w:spacing w:val="-7"/>
          <w:sz w:val="20"/>
          <w:vertAlign w:val="baseline"/>
        </w:rPr>
        <w:t> </w:t>
      </w:r>
      <w:r>
        <w:rPr>
          <w:rFonts w:ascii="Calibri"/>
          <w:i/>
          <w:sz w:val="20"/>
          <w:vertAlign w:val="baseline"/>
        </w:rPr>
        <w:t>.Communication</w:t>
      </w:r>
      <w:r>
        <w:rPr>
          <w:rFonts w:ascii="Calibri"/>
          <w:i/>
          <w:spacing w:val="-7"/>
          <w:sz w:val="20"/>
          <w:vertAlign w:val="baseline"/>
        </w:rPr>
        <w:t> </w:t>
      </w:r>
      <w:r>
        <w:rPr>
          <w:rFonts w:ascii="Calibri"/>
          <w:i/>
          <w:sz w:val="20"/>
          <w:vertAlign w:val="baseline"/>
        </w:rPr>
        <w:t>Ltd</w:t>
      </w:r>
      <w:r>
        <w:rPr>
          <w:rFonts w:ascii="Calibri"/>
          <w:i/>
          <w:spacing w:val="-6"/>
          <w:sz w:val="20"/>
          <w:vertAlign w:val="baseline"/>
        </w:rPr>
        <w:t> </w:t>
      </w:r>
      <w:r>
        <w:rPr>
          <w:rFonts w:ascii="Calibri"/>
          <w:i/>
          <w:spacing w:val="-2"/>
          <w:sz w:val="20"/>
          <w:vertAlign w:val="baseline"/>
        </w:rPr>
        <w:t>(</w:t>
      </w:r>
      <w:r>
        <w:rPr>
          <w:rFonts w:ascii="Calibri"/>
          <w:spacing w:val="-2"/>
          <w:sz w:val="20"/>
          <w:vertAlign w:val="baseline"/>
        </w:rPr>
        <w:t>supra</w:t>
      </w:r>
      <w:r>
        <w:rPr>
          <w:rFonts w:ascii="Calibri"/>
          <w:i/>
          <w:spacing w:val="-2"/>
          <w:sz w:val="20"/>
          <w:vertAlign w:val="baseline"/>
        </w:rPr>
        <w:t>)</w:t>
      </w:r>
    </w:p>
    <w:p>
      <w:pPr>
        <w:spacing w:line="243" w:lineRule="exact" w:before="0"/>
        <w:ind w:left="360" w:right="0" w:firstLine="0"/>
        <w:jc w:val="left"/>
        <w:rPr>
          <w:rFonts w:ascii="Calibri"/>
          <w:sz w:val="20"/>
        </w:rPr>
      </w:pPr>
      <w:r>
        <w:rPr>
          <w:rFonts w:ascii="Calibri"/>
          <w:sz w:val="20"/>
          <w:vertAlign w:val="superscript"/>
        </w:rPr>
        <w:t>9</w:t>
      </w:r>
      <w:r>
        <w:rPr>
          <w:rFonts w:ascii="Calibri"/>
          <w:sz w:val="20"/>
          <w:vertAlign w:val="baseline"/>
        </w:rPr>
        <w:t>Section</w:t>
      </w:r>
      <w:r>
        <w:rPr>
          <w:rFonts w:ascii="Calibri"/>
          <w:spacing w:val="-4"/>
          <w:sz w:val="20"/>
          <w:vertAlign w:val="baseline"/>
        </w:rPr>
        <w:t> </w:t>
      </w:r>
      <w:r>
        <w:rPr>
          <w:rFonts w:ascii="Calibri"/>
          <w:sz w:val="20"/>
          <w:vertAlign w:val="baseline"/>
        </w:rPr>
        <w:t>1</w:t>
      </w:r>
      <w:r>
        <w:rPr>
          <w:rFonts w:ascii="Calibri"/>
          <w:spacing w:val="-3"/>
          <w:sz w:val="20"/>
          <w:vertAlign w:val="baseline"/>
        </w:rPr>
        <w:t> </w:t>
      </w:r>
      <w:r>
        <w:rPr>
          <w:rFonts w:ascii="Calibri"/>
          <w:sz w:val="20"/>
          <w:vertAlign w:val="baseline"/>
        </w:rPr>
        <w:t>(3)</w:t>
      </w:r>
      <w:r>
        <w:rPr>
          <w:rFonts w:ascii="Calibri"/>
          <w:spacing w:val="-6"/>
          <w:sz w:val="20"/>
          <w:vertAlign w:val="baseline"/>
        </w:rPr>
        <w:t> </w:t>
      </w:r>
      <w:r>
        <w:rPr>
          <w:rFonts w:ascii="Calibri"/>
          <w:sz w:val="20"/>
          <w:vertAlign w:val="baseline"/>
        </w:rPr>
        <w:t>of</w:t>
      </w:r>
      <w:r>
        <w:rPr>
          <w:rFonts w:ascii="Calibri"/>
          <w:spacing w:val="-5"/>
          <w:sz w:val="20"/>
          <w:vertAlign w:val="baseline"/>
        </w:rPr>
        <w:t> </w:t>
      </w:r>
      <w:r>
        <w:rPr>
          <w:rFonts w:ascii="Calibri"/>
          <w:sz w:val="20"/>
          <w:vertAlign w:val="baseline"/>
        </w:rPr>
        <w:t>the</w:t>
      </w:r>
      <w:r>
        <w:rPr>
          <w:rFonts w:ascii="Calibri"/>
          <w:spacing w:val="-4"/>
          <w:sz w:val="20"/>
          <w:vertAlign w:val="baseline"/>
        </w:rPr>
        <w:t> </w:t>
      </w:r>
      <w:r>
        <w:rPr>
          <w:rFonts w:ascii="Calibri"/>
          <w:sz w:val="20"/>
          <w:vertAlign w:val="baseline"/>
        </w:rPr>
        <w:t>1999</w:t>
      </w:r>
      <w:r>
        <w:rPr>
          <w:rFonts w:ascii="Calibri"/>
          <w:spacing w:val="-5"/>
          <w:sz w:val="20"/>
          <w:vertAlign w:val="baseline"/>
        </w:rPr>
        <w:t> </w:t>
      </w:r>
      <w:r>
        <w:rPr>
          <w:rFonts w:ascii="Calibri"/>
          <w:spacing w:val="-2"/>
          <w:sz w:val="20"/>
          <w:vertAlign w:val="baseline"/>
        </w:rPr>
        <w:t>Constitution</w:t>
      </w:r>
    </w:p>
    <w:p>
      <w:pPr>
        <w:spacing w:before="0"/>
        <w:ind w:left="360" w:right="0" w:firstLine="0"/>
        <w:jc w:val="left"/>
        <w:rPr>
          <w:rFonts w:ascii="Calibri"/>
          <w:sz w:val="20"/>
        </w:rPr>
      </w:pPr>
      <w:r>
        <w:rPr>
          <w:rFonts w:ascii="Calibri"/>
          <w:sz w:val="20"/>
          <w:vertAlign w:val="superscript"/>
        </w:rPr>
        <w:t>10</w:t>
      </w:r>
      <w:r>
        <w:rPr>
          <w:rFonts w:ascii="Calibri"/>
          <w:sz w:val="20"/>
          <w:vertAlign w:val="baseline"/>
        </w:rPr>
        <w:t>See</w:t>
      </w:r>
      <w:r>
        <w:rPr>
          <w:rFonts w:ascii="Calibri"/>
          <w:spacing w:val="-6"/>
          <w:sz w:val="20"/>
          <w:vertAlign w:val="baseline"/>
        </w:rPr>
        <w:t> </w:t>
      </w:r>
      <w:r>
        <w:rPr>
          <w:rFonts w:ascii="Calibri"/>
          <w:sz w:val="20"/>
          <w:vertAlign w:val="baseline"/>
        </w:rPr>
        <w:t>Section</w:t>
      </w:r>
      <w:r>
        <w:rPr>
          <w:rFonts w:ascii="Calibri"/>
          <w:spacing w:val="-4"/>
          <w:sz w:val="20"/>
          <w:vertAlign w:val="baseline"/>
        </w:rPr>
        <w:t> </w:t>
      </w:r>
      <w:r>
        <w:rPr>
          <w:rFonts w:ascii="Calibri"/>
          <w:sz w:val="20"/>
          <w:vertAlign w:val="baseline"/>
        </w:rPr>
        <w:t>62,</w:t>
      </w:r>
      <w:r>
        <w:rPr>
          <w:rFonts w:ascii="Calibri"/>
          <w:spacing w:val="-4"/>
          <w:sz w:val="20"/>
          <w:vertAlign w:val="baseline"/>
        </w:rPr>
        <w:t> </w:t>
      </w:r>
      <w:r>
        <w:rPr>
          <w:rFonts w:ascii="Calibri"/>
          <w:sz w:val="20"/>
          <w:vertAlign w:val="baseline"/>
        </w:rPr>
        <w:t>88</w:t>
      </w:r>
      <w:r>
        <w:rPr>
          <w:rFonts w:ascii="Calibri"/>
          <w:spacing w:val="-5"/>
          <w:sz w:val="20"/>
          <w:vertAlign w:val="baseline"/>
        </w:rPr>
        <w:t> </w:t>
      </w:r>
      <w:r>
        <w:rPr>
          <w:rFonts w:ascii="Calibri"/>
          <w:sz w:val="20"/>
          <w:vertAlign w:val="baseline"/>
        </w:rPr>
        <w:t>and</w:t>
      </w:r>
      <w:r>
        <w:rPr>
          <w:rFonts w:ascii="Calibri"/>
          <w:spacing w:val="-4"/>
          <w:sz w:val="20"/>
          <w:vertAlign w:val="baseline"/>
        </w:rPr>
        <w:t> </w:t>
      </w:r>
      <w:r>
        <w:rPr>
          <w:rFonts w:ascii="Calibri"/>
          <w:sz w:val="20"/>
          <w:vertAlign w:val="baseline"/>
        </w:rPr>
        <w:t>89</w:t>
      </w:r>
      <w:r>
        <w:rPr>
          <w:rFonts w:ascii="Calibri"/>
          <w:spacing w:val="-4"/>
          <w:sz w:val="20"/>
          <w:vertAlign w:val="baseline"/>
        </w:rPr>
        <w:t> </w:t>
      </w:r>
      <w:r>
        <w:rPr>
          <w:rFonts w:ascii="Calibri"/>
          <w:sz w:val="20"/>
          <w:vertAlign w:val="baseline"/>
        </w:rPr>
        <w:t>of</w:t>
      </w:r>
      <w:r>
        <w:rPr>
          <w:rFonts w:ascii="Calibri"/>
          <w:spacing w:val="-3"/>
          <w:sz w:val="20"/>
          <w:vertAlign w:val="baseline"/>
        </w:rPr>
        <w:t> </w:t>
      </w:r>
      <w:r>
        <w:rPr>
          <w:rFonts w:ascii="Calibri"/>
          <w:sz w:val="20"/>
          <w:vertAlign w:val="baseline"/>
        </w:rPr>
        <w:t>the</w:t>
      </w:r>
      <w:r>
        <w:rPr>
          <w:rFonts w:ascii="Calibri"/>
          <w:spacing w:val="-6"/>
          <w:sz w:val="20"/>
          <w:vertAlign w:val="baseline"/>
        </w:rPr>
        <w:t> </w:t>
      </w:r>
      <w:r>
        <w:rPr>
          <w:rFonts w:ascii="Calibri"/>
          <w:sz w:val="20"/>
          <w:vertAlign w:val="baseline"/>
        </w:rPr>
        <w:t>1999</w:t>
      </w:r>
      <w:r>
        <w:rPr>
          <w:rFonts w:ascii="Calibri"/>
          <w:spacing w:val="-5"/>
          <w:sz w:val="20"/>
          <w:vertAlign w:val="baseline"/>
        </w:rPr>
        <w:t> </w:t>
      </w:r>
      <w:r>
        <w:rPr>
          <w:rFonts w:ascii="Calibri"/>
          <w:sz w:val="20"/>
          <w:vertAlign w:val="baseline"/>
        </w:rPr>
        <w:t>Constitution</w:t>
      </w:r>
      <w:r>
        <w:rPr>
          <w:rFonts w:ascii="Calibri"/>
          <w:spacing w:val="-4"/>
          <w:sz w:val="20"/>
          <w:vertAlign w:val="baseline"/>
        </w:rPr>
        <w:t> </w:t>
      </w:r>
      <w:r>
        <w:rPr>
          <w:rFonts w:ascii="Calibri"/>
          <w:sz w:val="20"/>
          <w:vertAlign w:val="baseline"/>
        </w:rPr>
        <w:t>(as</w:t>
      </w:r>
      <w:r>
        <w:rPr>
          <w:rFonts w:ascii="Calibri"/>
          <w:spacing w:val="-6"/>
          <w:sz w:val="20"/>
          <w:vertAlign w:val="baseline"/>
        </w:rPr>
        <w:t> </w:t>
      </w:r>
      <w:r>
        <w:rPr>
          <w:rFonts w:ascii="Calibri"/>
          <w:spacing w:val="-2"/>
          <w:sz w:val="20"/>
          <w:vertAlign w:val="baseline"/>
        </w:rPr>
        <w:t>amended)</w:t>
      </w:r>
    </w:p>
    <w:p>
      <w:pPr>
        <w:spacing w:after="0"/>
        <w:jc w:val="left"/>
        <w:rPr>
          <w:rFonts w:ascii="Calibri"/>
          <w:sz w:val="20"/>
        </w:rPr>
        <w:sectPr>
          <w:pgSz w:w="11910" w:h="16840"/>
          <w:pgMar w:header="0" w:footer="1000" w:top="1300" w:bottom="1200" w:left="1080" w:right="1280"/>
        </w:sectPr>
      </w:pPr>
    </w:p>
    <w:p>
      <w:pPr>
        <w:pStyle w:val="BodyText"/>
        <w:spacing w:line="480" w:lineRule="auto" w:before="74"/>
        <w:ind w:left="360" w:right="164"/>
        <w:jc w:val="both"/>
      </w:pPr>
      <w:r>
        <w:rPr/>
        <w:t>function has helped the Federal Government in saving several billions of naira in the oil and gas sector alone</w:t>
      </w:r>
      <w:r>
        <w:rPr>
          <w:vertAlign w:val="superscript"/>
        </w:rPr>
        <w:t>11</w:t>
      </w:r>
      <w:r>
        <w:rPr>
          <w:vertAlign w:val="baseline"/>
        </w:rPr>
        <w:t>.</w:t>
      </w:r>
    </w:p>
    <w:p>
      <w:pPr>
        <w:pStyle w:val="Heading2"/>
        <w:numPr>
          <w:ilvl w:val="1"/>
          <w:numId w:val="8"/>
        </w:numPr>
        <w:tabs>
          <w:tab w:pos="1079" w:val="left" w:leader="none"/>
        </w:tabs>
        <w:spacing w:line="240" w:lineRule="auto" w:before="5" w:after="0"/>
        <w:ind w:left="1079" w:right="0" w:hanging="719"/>
        <w:jc w:val="both"/>
      </w:pPr>
      <w:bookmarkStart w:name="_TOC_250004" w:id="21"/>
      <w:r>
        <w:rPr/>
        <w:t>Administration</w:t>
      </w:r>
      <w:r>
        <w:rPr>
          <w:spacing w:val="-1"/>
        </w:rPr>
        <w:t> </w:t>
      </w:r>
      <w:r>
        <w:rPr/>
        <w:t>of</w:t>
      </w:r>
      <w:r>
        <w:rPr>
          <w:spacing w:val="-1"/>
        </w:rPr>
        <w:t> </w:t>
      </w:r>
      <w:r>
        <w:rPr/>
        <w:t>Petroleum</w:t>
      </w:r>
      <w:r>
        <w:rPr>
          <w:spacing w:val="-3"/>
        </w:rPr>
        <w:t> </w:t>
      </w:r>
      <w:r>
        <w:rPr/>
        <w:t>Profit</w:t>
      </w:r>
      <w:r>
        <w:rPr>
          <w:spacing w:val="1"/>
        </w:rPr>
        <w:t> </w:t>
      </w:r>
      <w:bookmarkEnd w:id="21"/>
      <w:r>
        <w:rPr>
          <w:spacing w:val="-5"/>
        </w:rPr>
        <w:t>Tax</w:t>
      </w:r>
    </w:p>
    <w:p>
      <w:pPr>
        <w:pStyle w:val="BodyText"/>
        <w:spacing w:line="480" w:lineRule="auto" w:before="271"/>
        <w:ind w:left="360" w:right="156" w:firstLine="719"/>
        <w:jc w:val="both"/>
      </w:pPr>
      <w:r>
        <w:rPr/>
        <w:t>The administration of petroleum profit tax is vested in the Federal Inland Revenue Service (formerly Federal Board Inland Revenue). The FIRS</w:t>
      </w:r>
      <w:r>
        <w:rPr>
          <w:vertAlign w:val="superscript"/>
        </w:rPr>
        <w:t>12</w:t>
      </w:r>
      <w:r>
        <w:rPr>
          <w:spacing w:val="-1"/>
          <w:vertAlign w:val="baseline"/>
        </w:rPr>
        <w:t> </w:t>
      </w:r>
      <w:r>
        <w:rPr>
          <w:vertAlign w:val="baseline"/>
        </w:rPr>
        <w:t>is statutorily responsible for the assessment and collection of taxes in the oil and gas sector of the economy. Section 3 of the Petroleum Profit Tax Act vests the Board with the following powers, among others;</w:t>
      </w:r>
    </w:p>
    <w:p>
      <w:pPr>
        <w:pStyle w:val="BodyText"/>
        <w:spacing w:before="1"/>
        <w:ind w:left="360"/>
        <w:jc w:val="both"/>
      </w:pPr>
      <w:r>
        <w:rPr/>
        <w:t>Due</w:t>
      </w:r>
      <w:r>
        <w:rPr>
          <w:spacing w:val="-5"/>
        </w:rPr>
        <w:t> </w:t>
      </w:r>
      <w:r>
        <w:rPr/>
        <w:t>administration</w:t>
      </w:r>
      <w:r>
        <w:rPr>
          <w:spacing w:val="-1"/>
        </w:rPr>
        <w:t> </w:t>
      </w:r>
      <w:r>
        <w:rPr/>
        <w:t>of</w:t>
      </w:r>
      <w:r>
        <w:rPr>
          <w:spacing w:val="-2"/>
        </w:rPr>
        <w:t> </w:t>
      </w:r>
      <w:r>
        <w:rPr/>
        <w:t>the </w:t>
      </w:r>
      <w:r>
        <w:rPr>
          <w:spacing w:val="-4"/>
        </w:rPr>
        <w:t>Act;</w:t>
      </w:r>
    </w:p>
    <w:p>
      <w:pPr>
        <w:pStyle w:val="BodyText"/>
        <w:spacing w:line="480" w:lineRule="auto" w:before="276"/>
        <w:ind w:left="360" w:right="165" w:firstLine="719"/>
        <w:jc w:val="both"/>
      </w:pPr>
      <w:r>
        <w:rPr/>
        <w:t>Acquisition, holding and disposal of any property taking as a security for or in satisfaction of any tax or any judgment debt due in respect of any tax, etc.</w:t>
      </w:r>
    </w:p>
    <w:p>
      <w:pPr>
        <w:pStyle w:val="BodyText"/>
        <w:spacing w:line="480" w:lineRule="auto"/>
        <w:ind w:left="360" w:right="157" w:firstLine="719"/>
        <w:jc w:val="both"/>
      </w:pPr>
      <w:r>
        <w:rPr/>
        <w:t>The service may by notice in the Federal Gazette direct that any information, returns or documents required to be supplied, forwarded or given to the revenue service be supplied to such other person as the service may direct</w:t>
      </w:r>
      <w:r>
        <w:rPr>
          <w:vertAlign w:val="superscript"/>
        </w:rPr>
        <w:t>13</w:t>
      </w:r>
      <w:r>
        <w:rPr>
          <w:vertAlign w:val="baseline"/>
        </w:rPr>
        <w:t>; Specify from time to time, form of returns, claims, statement and notices under the Act</w:t>
      </w:r>
      <w:r>
        <w:rPr>
          <w:vertAlign w:val="superscript"/>
        </w:rPr>
        <w:t>14</w:t>
      </w:r>
      <w:r>
        <w:rPr>
          <w:vertAlign w:val="baseline"/>
        </w:rPr>
        <w:t>, etc.</w:t>
      </w:r>
    </w:p>
    <w:p>
      <w:pPr>
        <w:pStyle w:val="BodyText"/>
        <w:spacing w:line="480" w:lineRule="auto"/>
        <w:ind w:left="360" w:right="160" w:firstLine="719"/>
        <w:jc w:val="both"/>
      </w:pPr>
      <w:r>
        <w:rPr/>
        <w:t>The scope of FIRS</w:t>
      </w:r>
      <w:r>
        <w:rPr>
          <w:vertAlign w:val="superscript"/>
        </w:rPr>
        <w:t>15</w:t>
      </w:r>
      <w:r>
        <w:rPr>
          <w:vertAlign w:val="baseline"/>
        </w:rPr>
        <w:t> power over tax administration and enforcement covers three types of companies in the oil and gas industry, namely:</w:t>
      </w:r>
      <w:r>
        <w:rPr>
          <w:vertAlign w:val="superscript"/>
        </w:rPr>
        <w:t>16</w:t>
      </w:r>
    </w:p>
    <w:p>
      <w:pPr>
        <w:pStyle w:val="ListParagraph"/>
        <w:numPr>
          <w:ilvl w:val="0"/>
          <w:numId w:val="9"/>
        </w:numPr>
        <w:tabs>
          <w:tab w:pos="1078" w:val="left" w:leader="none"/>
        </w:tabs>
        <w:spacing w:line="240" w:lineRule="auto" w:before="0" w:after="0"/>
        <w:ind w:left="1078" w:right="0" w:hanging="485"/>
        <w:jc w:val="both"/>
        <w:rPr>
          <w:sz w:val="24"/>
        </w:rPr>
      </w:pPr>
      <w:r>
        <w:rPr>
          <w:sz w:val="24"/>
        </w:rPr>
        <w:t>Crude</w:t>
      </w:r>
      <w:r>
        <w:rPr>
          <w:spacing w:val="-3"/>
          <w:sz w:val="24"/>
        </w:rPr>
        <w:t> </w:t>
      </w:r>
      <w:r>
        <w:rPr>
          <w:sz w:val="24"/>
        </w:rPr>
        <w:t>Oil and natural</w:t>
      </w:r>
      <w:r>
        <w:rPr>
          <w:spacing w:val="-1"/>
          <w:sz w:val="24"/>
        </w:rPr>
        <w:t> </w:t>
      </w:r>
      <w:r>
        <w:rPr>
          <w:sz w:val="24"/>
        </w:rPr>
        <w:t>Gas producing</w:t>
      </w:r>
      <w:r>
        <w:rPr>
          <w:spacing w:val="-2"/>
          <w:sz w:val="24"/>
        </w:rPr>
        <w:t> Companies;</w:t>
      </w:r>
    </w:p>
    <w:p>
      <w:pPr>
        <w:pStyle w:val="BodyText"/>
        <w:spacing w:before="1"/>
      </w:pPr>
    </w:p>
    <w:p>
      <w:pPr>
        <w:pStyle w:val="ListParagraph"/>
        <w:numPr>
          <w:ilvl w:val="0"/>
          <w:numId w:val="9"/>
        </w:numPr>
        <w:tabs>
          <w:tab w:pos="1079" w:val="left" w:leader="none"/>
        </w:tabs>
        <w:spacing w:line="240" w:lineRule="auto" w:before="0" w:after="0"/>
        <w:ind w:left="1079" w:right="0" w:hanging="553"/>
        <w:jc w:val="both"/>
        <w:rPr>
          <w:sz w:val="24"/>
        </w:rPr>
      </w:pPr>
      <w:r>
        <w:rPr>
          <w:sz w:val="24"/>
        </w:rPr>
        <w:t>The</w:t>
      </w:r>
      <w:r>
        <w:rPr>
          <w:spacing w:val="-3"/>
          <w:sz w:val="24"/>
        </w:rPr>
        <w:t> </w:t>
      </w:r>
      <w:r>
        <w:rPr>
          <w:sz w:val="24"/>
        </w:rPr>
        <w:t>Petroleum</w:t>
      </w:r>
      <w:r>
        <w:rPr>
          <w:spacing w:val="-1"/>
          <w:sz w:val="24"/>
        </w:rPr>
        <w:t> </w:t>
      </w:r>
      <w:r>
        <w:rPr>
          <w:sz w:val="24"/>
        </w:rPr>
        <w:t>Marketing</w:t>
      </w:r>
      <w:r>
        <w:rPr>
          <w:spacing w:val="-4"/>
          <w:sz w:val="24"/>
        </w:rPr>
        <w:t> </w:t>
      </w:r>
      <w:r>
        <w:rPr>
          <w:sz w:val="24"/>
        </w:rPr>
        <w:t>Companies;</w:t>
      </w:r>
      <w:r>
        <w:rPr>
          <w:spacing w:val="-1"/>
          <w:sz w:val="24"/>
        </w:rPr>
        <w:t> </w:t>
      </w:r>
      <w:r>
        <w:rPr>
          <w:spacing w:val="-5"/>
          <w:sz w:val="24"/>
        </w:rPr>
        <w:t>and</w:t>
      </w:r>
    </w:p>
    <w:p>
      <w:pPr>
        <w:pStyle w:val="BodyText"/>
      </w:pPr>
    </w:p>
    <w:p>
      <w:pPr>
        <w:pStyle w:val="ListParagraph"/>
        <w:numPr>
          <w:ilvl w:val="0"/>
          <w:numId w:val="9"/>
        </w:numPr>
        <w:tabs>
          <w:tab w:pos="1078" w:val="left" w:leader="none"/>
        </w:tabs>
        <w:spacing w:line="240" w:lineRule="auto" w:before="0" w:after="0"/>
        <w:ind w:left="1078" w:right="0" w:hanging="617"/>
        <w:jc w:val="both"/>
        <w:rPr>
          <w:sz w:val="24"/>
        </w:rPr>
      </w:pPr>
      <w:r>
        <w:rPr>
          <w:sz w:val="24"/>
        </w:rPr>
        <w:t>Servicing</w:t>
      </w:r>
      <w:r>
        <w:rPr>
          <w:spacing w:val="-5"/>
          <w:sz w:val="24"/>
        </w:rPr>
        <w:t> </w:t>
      </w:r>
      <w:r>
        <w:rPr>
          <w:spacing w:val="-2"/>
          <w:sz w:val="24"/>
        </w:rPr>
        <w:t>Companies</w:t>
      </w:r>
      <w:r>
        <w:rPr>
          <w:spacing w:val="-2"/>
          <w:sz w:val="24"/>
          <w:vertAlign w:val="superscript"/>
        </w:rPr>
        <w:t>17</w:t>
      </w:r>
      <w:r>
        <w:rPr>
          <w:spacing w:val="-2"/>
          <w:sz w:val="24"/>
          <w:vertAlign w:val="baseline"/>
        </w:rPr>
        <w:t>;</w:t>
      </w:r>
    </w:p>
    <w:p>
      <w:pPr>
        <w:pStyle w:val="BodyText"/>
      </w:pPr>
    </w:p>
    <w:p>
      <w:pPr>
        <w:pStyle w:val="BodyText"/>
        <w:spacing w:line="480" w:lineRule="auto"/>
        <w:ind w:left="360" w:right="154" w:firstLine="719"/>
        <w:jc w:val="both"/>
      </w:pPr>
      <w:r>
        <w:rPr/>
        <mc:AlternateContent>
          <mc:Choice Requires="wps">
            <w:drawing>
              <wp:anchor distT="0" distB="0" distL="0" distR="0" allowOverlap="1" layoutInCell="1" locked="0" behindDoc="1" simplePos="0" relativeHeight="487605760">
                <wp:simplePos x="0" y="0"/>
                <wp:positionH relativeFrom="page">
                  <wp:posOffset>914704</wp:posOffset>
                </wp:positionH>
                <wp:positionV relativeFrom="paragraph">
                  <wp:posOffset>738405</wp:posOffset>
                </wp:positionV>
                <wp:extent cx="1829435" cy="9525"/>
                <wp:effectExtent l="0" t="0" r="0" b="0"/>
                <wp:wrapTopAndBottom/>
                <wp:docPr id="39" name="Graphic 39"/>
                <wp:cNvGraphicFramePr>
                  <a:graphicFrameLocks/>
                </wp:cNvGraphicFramePr>
                <a:graphic>
                  <a:graphicData uri="http://schemas.microsoft.com/office/word/2010/wordprocessingShape">
                    <wps:wsp>
                      <wps:cNvPr id="39" name="Graphic 39"/>
                      <wps:cNvSpPr/>
                      <wps:spPr>
                        <a:xfrm>
                          <a:off x="0" y="0"/>
                          <a:ext cx="1829435" cy="9525"/>
                        </a:xfrm>
                        <a:custGeom>
                          <a:avLst/>
                          <a:gdLst/>
                          <a:ahLst/>
                          <a:cxnLst/>
                          <a:rect l="l" t="t" r="r" b="b"/>
                          <a:pathLst>
                            <a:path w="1829435" h="9525">
                              <a:moveTo>
                                <a:pt x="1829054" y="0"/>
                              </a:moveTo>
                              <a:lnTo>
                                <a:pt x="0" y="0"/>
                              </a:lnTo>
                              <a:lnTo>
                                <a:pt x="0" y="9144"/>
                              </a:lnTo>
                              <a:lnTo>
                                <a:pt x="1829054" y="9144"/>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58.142159pt;width:144.020pt;height:.72003pt;mso-position-horizontal-relative:page;mso-position-vertical-relative:paragraph;z-index:-15710720;mso-wrap-distance-left:0;mso-wrap-distance-right:0" id="docshape39" filled="true" fillcolor="#000000" stroked="false">
                <v:fill type="solid"/>
                <w10:wrap type="topAndBottom"/>
              </v:rect>
            </w:pict>
          </mc:Fallback>
        </mc:AlternateContent>
      </w:r>
      <w:r>
        <w:rPr/>
        <w:t>The</w:t>
      </w:r>
      <w:r>
        <w:rPr>
          <w:spacing w:val="-4"/>
        </w:rPr>
        <w:t> </w:t>
      </w:r>
      <w:r>
        <w:rPr/>
        <w:t>Act</w:t>
      </w:r>
      <w:r>
        <w:rPr>
          <w:spacing w:val="-2"/>
        </w:rPr>
        <w:t> </w:t>
      </w:r>
      <w:r>
        <w:rPr/>
        <w:t>regulates</w:t>
      </w:r>
      <w:r>
        <w:rPr>
          <w:spacing w:val="-2"/>
        </w:rPr>
        <w:t> </w:t>
      </w:r>
      <w:r>
        <w:rPr/>
        <w:t>upstream</w:t>
      </w:r>
      <w:r>
        <w:rPr>
          <w:spacing w:val="-2"/>
        </w:rPr>
        <w:t> </w:t>
      </w:r>
      <w:r>
        <w:rPr/>
        <w:t>activities</w:t>
      </w:r>
      <w:r>
        <w:rPr>
          <w:spacing w:val="-3"/>
        </w:rPr>
        <w:t> </w:t>
      </w:r>
      <w:r>
        <w:rPr/>
        <w:t>as</w:t>
      </w:r>
      <w:r>
        <w:rPr>
          <w:spacing w:val="-2"/>
        </w:rPr>
        <w:t> </w:t>
      </w:r>
      <w:r>
        <w:rPr/>
        <w:t>opposed</w:t>
      </w:r>
      <w:r>
        <w:rPr>
          <w:spacing w:val="-2"/>
        </w:rPr>
        <w:t> </w:t>
      </w:r>
      <w:r>
        <w:rPr/>
        <w:t>to</w:t>
      </w:r>
      <w:r>
        <w:rPr>
          <w:spacing w:val="-2"/>
        </w:rPr>
        <w:t> </w:t>
      </w:r>
      <w:r>
        <w:rPr/>
        <w:t>downstream.</w:t>
      </w:r>
      <w:r>
        <w:rPr>
          <w:vertAlign w:val="superscript"/>
        </w:rPr>
        <w:t>18</w:t>
      </w:r>
      <w:r>
        <w:rPr>
          <w:vertAlign w:val="baseline"/>
        </w:rPr>
        <w:t>Upstream operation involves</w:t>
      </w:r>
      <w:r>
        <w:rPr>
          <w:spacing w:val="69"/>
          <w:vertAlign w:val="baseline"/>
        </w:rPr>
        <w:t> </w:t>
      </w:r>
      <w:r>
        <w:rPr>
          <w:vertAlign w:val="baseline"/>
        </w:rPr>
        <w:t>all</w:t>
      </w:r>
      <w:r>
        <w:rPr>
          <w:spacing w:val="71"/>
          <w:vertAlign w:val="baseline"/>
        </w:rPr>
        <w:t> </w:t>
      </w:r>
      <w:r>
        <w:rPr>
          <w:vertAlign w:val="baseline"/>
        </w:rPr>
        <w:t>activities</w:t>
      </w:r>
      <w:r>
        <w:rPr>
          <w:spacing w:val="70"/>
          <w:vertAlign w:val="baseline"/>
        </w:rPr>
        <w:t> </w:t>
      </w:r>
      <w:r>
        <w:rPr>
          <w:vertAlign w:val="baseline"/>
        </w:rPr>
        <w:t>carried</w:t>
      </w:r>
      <w:r>
        <w:rPr>
          <w:spacing w:val="70"/>
          <w:vertAlign w:val="baseline"/>
        </w:rPr>
        <w:t> </w:t>
      </w:r>
      <w:r>
        <w:rPr>
          <w:vertAlign w:val="baseline"/>
        </w:rPr>
        <w:t>out</w:t>
      </w:r>
      <w:r>
        <w:rPr>
          <w:spacing w:val="71"/>
          <w:vertAlign w:val="baseline"/>
        </w:rPr>
        <w:t> </w:t>
      </w:r>
      <w:r>
        <w:rPr>
          <w:vertAlign w:val="baseline"/>
        </w:rPr>
        <w:t>in</w:t>
      </w:r>
      <w:r>
        <w:rPr>
          <w:spacing w:val="70"/>
          <w:vertAlign w:val="baseline"/>
        </w:rPr>
        <w:t> </w:t>
      </w:r>
      <w:r>
        <w:rPr>
          <w:vertAlign w:val="baseline"/>
        </w:rPr>
        <w:t>the</w:t>
      </w:r>
      <w:r>
        <w:rPr>
          <w:spacing w:val="70"/>
          <w:vertAlign w:val="baseline"/>
        </w:rPr>
        <w:t> </w:t>
      </w:r>
      <w:r>
        <w:rPr>
          <w:vertAlign w:val="baseline"/>
        </w:rPr>
        <w:t>exploration,</w:t>
      </w:r>
      <w:r>
        <w:rPr>
          <w:spacing w:val="-22"/>
          <w:vertAlign w:val="baseline"/>
        </w:rPr>
        <w:t> </w:t>
      </w:r>
      <w:r>
        <w:rPr>
          <w:vertAlign w:val="superscript"/>
        </w:rPr>
        <w:t>19</w:t>
      </w:r>
      <w:r>
        <w:rPr>
          <w:spacing w:val="-23"/>
          <w:vertAlign w:val="baseline"/>
        </w:rPr>
        <w:t> </w:t>
      </w:r>
      <w:r>
        <w:rPr>
          <w:vertAlign w:val="baseline"/>
        </w:rPr>
        <w:t>drilling,</w:t>
      </w:r>
      <w:r>
        <w:rPr>
          <w:spacing w:val="70"/>
          <w:vertAlign w:val="baseline"/>
        </w:rPr>
        <w:t> </w:t>
      </w:r>
      <w:r>
        <w:rPr>
          <w:vertAlign w:val="baseline"/>
        </w:rPr>
        <w:t>extraction,</w:t>
      </w:r>
      <w:r>
        <w:rPr>
          <w:spacing w:val="69"/>
          <w:vertAlign w:val="baseline"/>
        </w:rPr>
        <w:t> </w:t>
      </w:r>
      <w:r>
        <w:rPr>
          <w:spacing w:val="-2"/>
          <w:vertAlign w:val="baseline"/>
        </w:rPr>
        <w:t>development,</w:t>
      </w:r>
    </w:p>
    <w:p>
      <w:pPr>
        <w:spacing w:before="102"/>
        <w:ind w:left="360" w:right="159" w:firstLine="0"/>
        <w:jc w:val="left"/>
        <w:rPr>
          <w:rFonts w:ascii="Calibri"/>
          <w:sz w:val="20"/>
        </w:rPr>
      </w:pPr>
      <w:r>
        <w:rPr>
          <w:rFonts w:ascii="Calibri"/>
          <w:sz w:val="20"/>
          <w:vertAlign w:val="superscript"/>
        </w:rPr>
        <w:t>11</w:t>
      </w:r>
      <w:r>
        <w:rPr>
          <w:rFonts w:ascii="Calibri"/>
          <w:sz w:val="20"/>
          <w:vertAlign w:val="baseline"/>
        </w:rPr>
        <w:t>Udo Jude Ilo, </w:t>
      </w:r>
      <w:r>
        <w:rPr>
          <w:rFonts w:ascii="Calibri"/>
          <w:i/>
          <w:sz w:val="20"/>
          <w:vertAlign w:val="baseline"/>
        </w:rPr>
        <w:t>Oil Subsidy Report: A Chance for New Democracy in Nigeria</w:t>
      </w:r>
      <w:r>
        <w:rPr>
          <w:rFonts w:ascii="Calibri"/>
          <w:sz w:val="20"/>
          <w:vertAlign w:val="baseline"/>
        </w:rPr>
        <w:t>. Retrieved on Tuesday 2nd July, 22013</w:t>
      </w:r>
      <w:r>
        <w:rPr>
          <w:rFonts w:ascii="Calibri"/>
          <w:spacing w:val="-12"/>
          <w:sz w:val="20"/>
          <w:vertAlign w:val="baseline"/>
        </w:rPr>
        <w:t> </w:t>
      </w:r>
      <w:r>
        <w:rPr>
          <w:rFonts w:ascii="Calibri"/>
          <w:sz w:val="20"/>
          <w:vertAlign w:val="baseline"/>
        </w:rPr>
        <w:t>from:</w:t>
      </w:r>
      <w:r>
        <w:rPr>
          <w:rFonts w:ascii="Calibri"/>
          <w:spacing w:val="-11"/>
          <w:sz w:val="20"/>
          <w:vertAlign w:val="baseline"/>
        </w:rPr>
        <w:t> </w:t>
      </w:r>
      <w:hyperlink r:id="rId14">
        <w:r>
          <w:rPr>
            <w:rFonts w:ascii="Calibri"/>
            <w:i/>
            <w:color w:val="0000FF"/>
            <w:sz w:val="20"/>
            <w:u w:val="single" w:color="0000FF"/>
            <w:vertAlign w:val="baseline"/>
          </w:rPr>
          <w:t>http://www.opensocietyfoundations.org/voices/oilsubsidy-report-chance-new-democracy-Nigeria</w:t>
        </w:r>
      </w:hyperlink>
      <w:r>
        <w:rPr>
          <w:rFonts w:ascii="Calibri"/>
          <w:i/>
          <w:color w:val="0000FF"/>
          <w:sz w:val="20"/>
          <w:vertAlign w:val="baseline"/>
        </w:rPr>
        <w:t> </w:t>
      </w:r>
      <w:r>
        <w:rPr>
          <w:rFonts w:ascii="Calibri"/>
          <w:sz w:val="20"/>
          <w:vertAlign w:val="superscript"/>
        </w:rPr>
        <w:t>12</w:t>
      </w:r>
      <w:r>
        <w:rPr>
          <w:rFonts w:ascii="Calibri"/>
          <w:sz w:val="20"/>
          <w:vertAlign w:val="baseline"/>
        </w:rPr>
        <w:t>The Service is established by virtue of Section 1 of the Federal Inland Revenue (Establishment) Act, 2007 </w:t>
      </w:r>
      <w:r>
        <w:rPr>
          <w:rFonts w:ascii="Calibri"/>
          <w:sz w:val="20"/>
          <w:vertAlign w:val="superscript"/>
        </w:rPr>
        <w:t>13</w:t>
      </w:r>
      <w:r>
        <w:rPr>
          <w:rFonts w:ascii="Calibri"/>
          <w:sz w:val="20"/>
          <w:vertAlign w:val="baseline"/>
        </w:rPr>
        <w:t>Section 3 (d) of the Petroleum Profit Tax Act</w:t>
      </w:r>
    </w:p>
    <w:p>
      <w:pPr>
        <w:spacing w:before="1"/>
        <w:ind w:left="360" w:right="0" w:firstLine="0"/>
        <w:jc w:val="left"/>
        <w:rPr>
          <w:rFonts w:ascii="Calibri"/>
          <w:sz w:val="20"/>
        </w:rPr>
      </w:pPr>
      <w:r>
        <w:rPr>
          <w:rFonts w:ascii="Calibri"/>
          <w:sz w:val="20"/>
          <w:vertAlign w:val="superscript"/>
        </w:rPr>
        <w:t>14</w:t>
      </w:r>
      <w:r>
        <w:rPr>
          <w:rFonts w:ascii="Calibri"/>
          <w:sz w:val="20"/>
          <w:vertAlign w:val="baseline"/>
        </w:rPr>
        <w:t>Section</w:t>
      </w:r>
      <w:r>
        <w:rPr>
          <w:rFonts w:ascii="Calibri"/>
          <w:spacing w:val="-6"/>
          <w:sz w:val="20"/>
          <w:vertAlign w:val="baseline"/>
        </w:rPr>
        <w:t> </w:t>
      </w:r>
      <w:r>
        <w:rPr>
          <w:rFonts w:ascii="Calibri"/>
          <w:sz w:val="20"/>
          <w:vertAlign w:val="baseline"/>
        </w:rPr>
        <w:t>6</w:t>
      </w:r>
      <w:r>
        <w:rPr>
          <w:rFonts w:ascii="Calibri"/>
          <w:spacing w:val="-7"/>
          <w:sz w:val="20"/>
          <w:vertAlign w:val="baseline"/>
        </w:rPr>
        <w:t> </w:t>
      </w:r>
      <w:r>
        <w:rPr>
          <w:rFonts w:ascii="Calibri"/>
          <w:sz w:val="20"/>
          <w:vertAlign w:val="baseline"/>
        </w:rPr>
        <w:t>(2)</w:t>
      </w:r>
      <w:r>
        <w:rPr>
          <w:rFonts w:ascii="Calibri"/>
          <w:spacing w:val="-7"/>
          <w:sz w:val="20"/>
          <w:vertAlign w:val="baseline"/>
        </w:rPr>
        <w:t> </w:t>
      </w:r>
      <w:r>
        <w:rPr>
          <w:rFonts w:ascii="Calibri"/>
          <w:spacing w:val="-4"/>
          <w:sz w:val="20"/>
          <w:vertAlign w:val="baseline"/>
        </w:rPr>
        <w:t>Ibid</w:t>
      </w:r>
    </w:p>
    <w:p>
      <w:pPr>
        <w:spacing w:before="0"/>
        <w:ind w:left="360" w:right="0" w:firstLine="0"/>
        <w:jc w:val="left"/>
        <w:rPr>
          <w:rFonts w:ascii="Calibri"/>
          <w:sz w:val="20"/>
        </w:rPr>
      </w:pPr>
      <w:r>
        <w:rPr>
          <w:rFonts w:ascii="Calibri"/>
          <w:sz w:val="20"/>
          <w:vertAlign w:val="superscript"/>
        </w:rPr>
        <w:t>15</w:t>
      </w:r>
      <w:r>
        <w:rPr>
          <w:rFonts w:ascii="Calibri"/>
          <w:sz w:val="20"/>
          <w:vertAlign w:val="baseline"/>
        </w:rPr>
        <w:t>The</w:t>
      </w:r>
      <w:r>
        <w:rPr>
          <w:rFonts w:ascii="Calibri"/>
          <w:spacing w:val="-3"/>
          <w:sz w:val="20"/>
          <w:vertAlign w:val="baseline"/>
        </w:rPr>
        <w:t> </w:t>
      </w:r>
      <w:r>
        <w:rPr>
          <w:rFonts w:ascii="Calibri"/>
          <w:sz w:val="20"/>
          <w:vertAlign w:val="baseline"/>
        </w:rPr>
        <w:t>powers</w:t>
      </w:r>
      <w:r>
        <w:rPr>
          <w:rFonts w:ascii="Calibri"/>
          <w:spacing w:val="-4"/>
          <w:sz w:val="20"/>
          <w:vertAlign w:val="baseline"/>
        </w:rPr>
        <w:t> </w:t>
      </w:r>
      <w:r>
        <w:rPr>
          <w:rFonts w:ascii="Calibri"/>
          <w:sz w:val="20"/>
          <w:vertAlign w:val="baseline"/>
        </w:rPr>
        <w:t>and</w:t>
      </w:r>
      <w:r>
        <w:rPr>
          <w:rFonts w:ascii="Calibri"/>
          <w:spacing w:val="-2"/>
          <w:sz w:val="20"/>
          <w:vertAlign w:val="baseline"/>
        </w:rPr>
        <w:t> </w:t>
      </w:r>
      <w:r>
        <w:rPr>
          <w:rFonts w:ascii="Calibri"/>
          <w:sz w:val="20"/>
          <w:vertAlign w:val="baseline"/>
        </w:rPr>
        <w:t>functions</w:t>
      </w:r>
      <w:r>
        <w:rPr>
          <w:rFonts w:ascii="Calibri"/>
          <w:spacing w:val="-4"/>
          <w:sz w:val="20"/>
          <w:vertAlign w:val="baseline"/>
        </w:rPr>
        <w:t> </w:t>
      </w:r>
      <w:r>
        <w:rPr>
          <w:rFonts w:ascii="Calibri"/>
          <w:sz w:val="20"/>
          <w:vertAlign w:val="baseline"/>
        </w:rPr>
        <w:t>of</w:t>
      </w:r>
      <w:r>
        <w:rPr>
          <w:rFonts w:ascii="Calibri"/>
          <w:spacing w:val="-4"/>
          <w:sz w:val="20"/>
          <w:vertAlign w:val="baseline"/>
        </w:rPr>
        <w:t> </w:t>
      </w:r>
      <w:r>
        <w:rPr>
          <w:rFonts w:ascii="Calibri"/>
          <w:sz w:val="20"/>
          <w:vertAlign w:val="baseline"/>
        </w:rPr>
        <w:t>the</w:t>
      </w:r>
      <w:r>
        <w:rPr>
          <w:rFonts w:ascii="Calibri"/>
          <w:spacing w:val="-3"/>
          <w:sz w:val="20"/>
          <w:vertAlign w:val="baseline"/>
        </w:rPr>
        <w:t> </w:t>
      </w:r>
      <w:r>
        <w:rPr>
          <w:rFonts w:ascii="Calibri"/>
          <w:sz w:val="20"/>
          <w:vertAlign w:val="baseline"/>
        </w:rPr>
        <w:t>Service</w:t>
      </w:r>
      <w:r>
        <w:rPr>
          <w:rFonts w:ascii="Calibri"/>
          <w:spacing w:val="-4"/>
          <w:sz w:val="20"/>
          <w:vertAlign w:val="baseline"/>
        </w:rPr>
        <w:t> </w:t>
      </w:r>
      <w:r>
        <w:rPr>
          <w:rFonts w:ascii="Calibri"/>
          <w:sz w:val="20"/>
          <w:vertAlign w:val="baseline"/>
        </w:rPr>
        <w:t>are</w:t>
      </w:r>
      <w:r>
        <w:rPr>
          <w:rFonts w:ascii="Calibri"/>
          <w:spacing w:val="-3"/>
          <w:sz w:val="20"/>
          <w:vertAlign w:val="baseline"/>
        </w:rPr>
        <w:t> </w:t>
      </w:r>
      <w:r>
        <w:rPr>
          <w:rFonts w:ascii="Calibri"/>
          <w:sz w:val="20"/>
          <w:vertAlign w:val="baseline"/>
        </w:rPr>
        <w:t>also</w:t>
      </w:r>
      <w:r>
        <w:rPr>
          <w:rFonts w:ascii="Calibri"/>
          <w:spacing w:val="-2"/>
          <w:sz w:val="20"/>
          <w:vertAlign w:val="baseline"/>
        </w:rPr>
        <w:t> </w:t>
      </w:r>
      <w:r>
        <w:rPr>
          <w:rFonts w:ascii="Calibri"/>
          <w:sz w:val="20"/>
          <w:vertAlign w:val="baseline"/>
        </w:rPr>
        <w:t>being</w:t>
      </w:r>
      <w:r>
        <w:rPr>
          <w:rFonts w:ascii="Calibri"/>
          <w:spacing w:val="-3"/>
          <w:sz w:val="20"/>
          <w:vertAlign w:val="baseline"/>
        </w:rPr>
        <w:t> </w:t>
      </w:r>
      <w:r>
        <w:rPr>
          <w:rFonts w:ascii="Calibri"/>
          <w:sz w:val="20"/>
          <w:vertAlign w:val="baseline"/>
        </w:rPr>
        <w:t>regulated</w:t>
      </w:r>
      <w:r>
        <w:rPr>
          <w:rFonts w:ascii="Calibri"/>
          <w:spacing w:val="-2"/>
          <w:sz w:val="20"/>
          <w:vertAlign w:val="baseline"/>
        </w:rPr>
        <w:t> </w:t>
      </w:r>
      <w:r>
        <w:rPr>
          <w:rFonts w:ascii="Calibri"/>
          <w:sz w:val="20"/>
          <w:vertAlign w:val="baseline"/>
        </w:rPr>
        <w:t>by</w:t>
      </w:r>
      <w:r>
        <w:rPr>
          <w:rFonts w:ascii="Calibri"/>
          <w:spacing w:val="-2"/>
          <w:sz w:val="20"/>
          <w:vertAlign w:val="baseline"/>
        </w:rPr>
        <w:t> </w:t>
      </w:r>
      <w:r>
        <w:rPr>
          <w:rFonts w:ascii="Calibri"/>
          <w:sz w:val="20"/>
          <w:vertAlign w:val="baseline"/>
        </w:rPr>
        <w:t>Sections</w:t>
      </w:r>
      <w:r>
        <w:rPr>
          <w:rFonts w:ascii="Calibri"/>
          <w:spacing w:val="-4"/>
          <w:sz w:val="20"/>
          <w:vertAlign w:val="baseline"/>
        </w:rPr>
        <w:t> </w:t>
      </w:r>
      <w:r>
        <w:rPr>
          <w:rFonts w:ascii="Calibri"/>
          <w:sz w:val="20"/>
          <w:vertAlign w:val="baseline"/>
        </w:rPr>
        <w:t>7</w:t>
      </w:r>
      <w:r>
        <w:rPr>
          <w:rFonts w:ascii="Calibri"/>
          <w:spacing w:val="-2"/>
          <w:sz w:val="20"/>
          <w:vertAlign w:val="baseline"/>
        </w:rPr>
        <w:t> </w:t>
      </w:r>
      <w:r>
        <w:rPr>
          <w:rFonts w:ascii="Calibri"/>
          <w:sz w:val="20"/>
          <w:vertAlign w:val="baseline"/>
        </w:rPr>
        <w:t>and</w:t>
      </w:r>
      <w:r>
        <w:rPr>
          <w:rFonts w:ascii="Calibri"/>
          <w:spacing w:val="-2"/>
          <w:sz w:val="20"/>
          <w:vertAlign w:val="baseline"/>
        </w:rPr>
        <w:t> </w:t>
      </w:r>
      <w:r>
        <w:rPr>
          <w:rFonts w:ascii="Calibri"/>
          <w:sz w:val="20"/>
          <w:vertAlign w:val="baseline"/>
        </w:rPr>
        <w:t>8</w:t>
      </w:r>
      <w:r>
        <w:rPr>
          <w:rFonts w:ascii="Calibri"/>
          <w:spacing w:val="-2"/>
          <w:sz w:val="20"/>
          <w:vertAlign w:val="baseline"/>
        </w:rPr>
        <w:t> </w:t>
      </w:r>
      <w:r>
        <w:rPr>
          <w:rFonts w:ascii="Calibri"/>
          <w:sz w:val="20"/>
          <w:vertAlign w:val="baseline"/>
        </w:rPr>
        <w:t>of</w:t>
      </w:r>
      <w:r>
        <w:rPr>
          <w:rFonts w:ascii="Calibri"/>
          <w:spacing w:val="-4"/>
          <w:sz w:val="20"/>
          <w:vertAlign w:val="baseline"/>
        </w:rPr>
        <w:t> </w:t>
      </w:r>
      <w:r>
        <w:rPr>
          <w:rFonts w:ascii="Calibri"/>
          <w:sz w:val="20"/>
          <w:vertAlign w:val="baseline"/>
        </w:rPr>
        <w:t>the</w:t>
      </w:r>
      <w:r>
        <w:rPr>
          <w:rFonts w:ascii="Calibri"/>
          <w:spacing w:val="-3"/>
          <w:sz w:val="20"/>
          <w:vertAlign w:val="baseline"/>
        </w:rPr>
        <w:t> </w:t>
      </w:r>
      <w:r>
        <w:rPr>
          <w:rFonts w:ascii="Calibri"/>
          <w:sz w:val="20"/>
          <w:vertAlign w:val="baseline"/>
        </w:rPr>
        <w:t>Federal</w:t>
      </w:r>
      <w:r>
        <w:rPr>
          <w:rFonts w:ascii="Calibri"/>
          <w:spacing w:val="-2"/>
          <w:sz w:val="20"/>
          <w:vertAlign w:val="baseline"/>
        </w:rPr>
        <w:t> </w:t>
      </w:r>
      <w:r>
        <w:rPr>
          <w:rFonts w:ascii="Calibri"/>
          <w:sz w:val="20"/>
          <w:vertAlign w:val="baseline"/>
        </w:rPr>
        <w:t>Inland Revenue (Establishment) Act, 2007.</w:t>
      </w:r>
    </w:p>
    <w:p>
      <w:pPr>
        <w:spacing w:line="243" w:lineRule="exact" w:before="0"/>
        <w:ind w:left="360" w:right="0" w:firstLine="0"/>
        <w:jc w:val="left"/>
        <w:rPr>
          <w:rFonts w:ascii="Calibri"/>
          <w:sz w:val="20"/>
        </w:rPr>
      </w:pPr>
      <w:r>
        <w:rPr>
          <w:rFonts w:ascii="Calibri"/>
          <w:sz w:val="20"/>
          <w:vertAlign w:val="superscript"/>
        </w:rPr>
        <w:t>16</w:t>
      </w:r>
      <w:r>
        <w:rPr>
          <w:rFonts w:ascii="Calibri"/>
          <w:spacing w:val="-7"/>
          <w:sz w:val="20"/>
          <w:vertAlign w:val="baseline"/>
        </w:rPr>
        <w:t> </w:t>
      </w:r>
      <w:r>
        <w:rPr>
          <w:rFonts w:ascii="Calibri"/>
          <w:sz w:val="20"/>
          <w:vertAlign w:val="baseline"/>
        </w:rPr>
        <w:t>International</w:t>
      </w:r>
      <w:r>
        <w:rPr>
          <w:rFonts w:ascii="Calibri"/>
          <w:spacing w:val="-6"/>
          <w:sz w:val="20"/>
          <w:vertAlign w:val="baseline"/>
        </w:rPr>
        <w:t> </w:t>
      </w:r>
      <w:r>
        <w:rPr>
          <w:rFonts w:ascii="Calibri"/>
          <w:sz w:val="20"/>
          <w:vertAlign w:val="baseline"/>
        </w:rPr>
        <w:t>Journal</w:t>
      </w:r>
      <w:r>
        <w:rPr>
          <w:rFonts w:ascii="Calibri"/>
          <w:spacing w:val="-6"/>
          <w:sz w:val="20"/>
          <w:vertAlign w:val="baseline"/>
        </w:rPr>
        <w:t> </w:t>
      </w:r>
      <w:r>
        <w:rPr>
          <w:rFonts w:ascii="Calibri"/>
          <w:sz w:val="20"/>
          <w:vertAlign w:val="baseline"/>
        </w:rPr>
        <w:t>of</w:t>
      </w:r>
      <w:r>
        <w:rPr>
          <w:rFonts w:ascii="Calibri"/>
          <w:spacing w:val="-7"/>
          <w:sz w:val="20"/>
          <w:vertAlign w:val="baseline"/>
        </w:rPr>
        <w:t> </w:t>
      </w:r>
      <w:r>
        <w:rPr>
          <w:rFonts w:ascii="Calibri"/>
          <w:sz w:val="20"/>
          <w:vertAlign w:val="baseline"/>
        </w:rPr>
        <w:t>Advanced</w:t>
      </w:r>
      <w:r>
        <w:rPr>
          <w:rFonts w:ascii="Calibri"/>
          <w:spacing w:val="-6"/>
          <w:sz w:val="20"/>
          <w:vertAlign w:val="baseline"/>
        </w:rPr>
        <w:t> </w:t>
      </w:r>
      <w:r>
        <w:rPr>
          <w:rFonts w:ascii="Calibri"/>
          <w:sz w:val="20"/>
          <w:vertAlign w:val="baseline"/>
        </w:rPr>
        <w:t>Legal</w:t>
      </w:r>
      <w:r>
        <w:rPr>
          <w:rFonts w:ascii="Calibri"/>
          <w:spacing w:val="-6"/>
          <w:sz w:val="20"/>
          <w:vertAlign w:val="baseline"/>
        </w:rPr>
        <w:t> </w:t>
      </w:r>
      <w:r>
        <w:rPr>
          <w:rFonts w:ascii="Calibri"/>
          <w:sz w:val="20"/>
          <w:vertAlign w:val="baseline"/>
        </w:rPr>
        <w:t>Studies</w:t>
      </w:r>
      <w:r>
        <w:rPr>
          <w:rFonts w:ascii="Calibri"/>
          <w:spacing w:val="-8"/>
          <w:sz w:val="20"/>
          <w:vertAlign w:val="baseline"/>
        </w:rPr>
        <w:t> </w:t>
      </w:r>
      <w:r>
        <w:rPr>
          <w:rFonts w:ascii="Calibri"/>
          <w:sz w:val="20"/>
          <w:vertAlign w:val="baseline"/>
        </w:rPr>
        <w:t>and</w:t>
      </w:r>
      <w:r>
        <w:rPr>
          <w:rFonts w:ascii="Calibri"/>
          <w:spacing w:val="-6"/>
          <w:sz w:val="20"/>
          <w:vertAlign w:val="baseline"/>
        </w:rPr>
        <w:t> </w:t>
      </w:r>
      <w:r>
        <w:rPr>
          <w:rFonts w:ascii="Calibri"/>
          <w:sz w:val="20"/>
          <w:vertAlign w:val="baseline"/>
        </w:rPr>
        <w:t>Governance,</w:t>
      </w:r>
      <w:r>
        <w:rPr>
          <w:rFonts w:ascii="Calibri"/>
          <w:spacing w:val="-5"/>
          <w:sz w:val="20"/>
          <w:vertAlign w:val="baseline"/>
        </w:rPr>
        <w:t> </w:t>
      </w:r>
      <w:r>
        <w:rPr>
          <w:rFonts w:ascii="Calibri"/>
          <w:sz w:val="20"/>
          <w:vertAlign w:val="baseline"/>
        </w:rPr>
        <w:t>Vol.</w:t>
      </w:r>
      <w:r>
        <w:rPr>
          <w:rFonts w:ascii="Calibri"/>
          <w:spacing w:val="-7"/>
          <w:sz w:val="20"/>
          <w:vertAlign w:val="baseline"/>
        </w:rPr>
        <w:t> </w:t>
      </w:r>
      <w:r>
        <w:rPr>
          <w:rFonts w:ascii="Calibri"/>
          <w:sz w:val="20"/>
          <w:vertAlign w:val="baseline"/>
        </w:rPr>
        <w:t>4,</w:t>
      </w:r>
      <w:r>
        <w:rPr>
          <w:rFonts w:ascii="Calibri"/>
          <w:spacing w:val="-6"/>
          <w:sz w:val="20"/>
          <w:vertAlign w:val="baseline"/>
        </w:rPr>
        <w:t> </w:t>
      </w:r>
      <w:r>
        <w:rPr>
          <w:rFonts w:ascii="Calibri"/>
          <w:sz w:val="20"/>
          <w:vertAlign w:val="baseline"/>
        </w:rPr>
        <w:t>No.</w:t>
      </w:r>
      <w:r>
        <w:rPr>
          <w:rFonts w:ascii="Calibri"/>
          <w:spacing w:val="-6"/>
          <w:sz w:val="20"/>
          <w:vertAlign w:val="baseline"/>
        </w:rPr>
        <w:t> </w:t>
      </w:r>
      <w:r>
        <w:rPr>
          <w:rFonts w:ascii="Calibri"/>
          <w:sz w:val="20"/>
          <w:vertAlign w:val="baseline"/>
        </w:rPr>
        <w:t>2,</w:t>
      </w:r>
      <w:r>
        <w:rPr>
          <w:rFonts w:ascii="Calibri"/>
          <w:spacing w:val="-6"/>
          <w:sz w:val="20"/>
          <w:vertAlign w:val="baseline"/>
        </w:rPr>
        <w:t> </w:t>
      </w:r>
      <w:r>
        <w:rPr>
          <w:rFonts w:ascii="Calibri"/>
          <w:sz w:val="20"/>
          <w:vertAlign w:val="baseline"/>
        </w:rPr>
        <w:t>August</w:t>
      </w:r>
      <w:r>
        <w:rPr>
          <w:rFonts w:ascii="Calibri"/>
          <w:spacing w:val="-5"/>
          <w:sz w:val="20"/>
          <w:vertAlign w:val="baseline"/>
        </w:rPr>
        <w:t> </w:t>
      </w:r>
      <w:r>
        <w:rPr>
          <w:rFonts w:ascii="Calibri"/>
          <w:sz w:val="20"/>
          <w:vertAlign w:val="baseline"/>
        </w:rPr>
        <w:t>2013</w:t>
      </w:r>
      <w:r>
        <w:rPr>
          <w:rFonts w:ascii="Calibri"/>
          <w:spacing w:val="-7"/>
          <w:sz w:val="20"/>
          <w:vertAlign w:val="baseline"/>
        </w:rPr>
        <w:t> </w:t>
      </w:r>
      <w:r>
        <w:rPr>
          <w:rFonts w:ascii="Calibri"/>
          <w:spacing w:val="-10"/>
          <w:sz w:val="20"/>
          <w:vertAlign w:val="baseline"/>
        </w:rPr>
        <w:t>4</w:t>
      </w:r>
    </w:p>
    <w:p>
      <w:pPr>
        <w:spacing w:before="1"/>
        <w:ind w:left="360" w:right="0" w:firstLine="0"/>
        <w:jc w:val="left"/>
        <w:rPr>
          <w:rFonts w:ascii="Calibri"/>
          <w:sz w:val="20"/>
        </w:rPr>
      </w:pPr>
      <w:r>
        <w:rPr>
          <w:rFonts w:ascii="Calibri"/>
          <w:sz w:val="20"/>
          <w:vertAlign w:val="superscript"/>
        </w:rPr>
        <w:t>17</w:t>
      </w:r>
      <w:r>
        <w:rPr>
          <w:rFonts w:ascii="Calibri"/>
          <w:sz w:val="20"/>
          <w:vertAlign w:val="baseline"/>
        </w:rPr>
        <w:t>Such</w:t>
      </w:r>
      <w:r>
        <w:rPr>
          <w:rFonts w:ascii="Calibri"/>
          <w:spacing w:val="-8"/>
          <w:sz w:val="20"/>
          <w:vertAlign w:val="baseline"/>
        </w:rPr>
        <w:t> </w:t>
      </w:r>
      <w:r>
        <w:rPr>
          <w:rFonts w:ascii="Calibri"/>
          <w:sz w:val="20"/>
          <w:vertAlign w:val="baseline"/>
        </w:rPr>
        <w:t>services</w:t>
      </w:r>
      <w:r>
        <w:rPr>
          <w:rFonts w:ascii="Calibri"/>
          <w:spacing w:val="-10"/>
          <w:sz w:val="20"/>
          <w:vertAlign w:val="baseline"/>
        </w:rPr>
        <w:t> </w:t>
      </w:r>
      <w:r>
        <w:rPr>
          <w:rFonts w:ascii="Calibri"/>
          <w:sz w:val="20"/>
          <w:vertAlign w:val="baseline"/>
        </w:rPr>
        <w:t>include</w:t>
      </w:r>
      <w:r>
        <w:rPr>
          <w:rFonts w:ascii="Calibri"/>
          <w:spacing w:val="-10"/>
          <w:sz w:val="20"/>
          <w:vertAlign w:val="baseline"/>
        </w:rPr>
        <w:t> </w:t>
      </w:r>
      <w:r>
        <w:rPr>
          <w:rFonts w:ascii="Calibri"/>
          <w:sz w:val="20"/>
          <w:vertAlign w:val="baseline"/>
        </w:rPr>
        <w:t>drilling,</w:t>
      </w:r>
      <w:r>
        <w:rPr>
          <w:rFonts w:ascii="Calibri"/>
          <w:spacing w:val="-6"/>
          <w:sz w:val="20"/>
          <w:vertAlign w:val="baseline"/>
        </w:rPr>
        <w:t> </w:t>
      </w:r>
      <w:r>
        <w:rPr>
          <w:rFonts w:ascii="Calibri"/>
          <w:sz w:val="20"/>
          <w:vertAlign w:val="baseline"/>
        </w:rPr>
        <w:t>seismic</w:t>
      </w:r>
      <w:r>
        <w:rPr>
          <w:rFonts w:ascii="Calibri"/>
          <w:spacing w:val="-9"/>
          <w:sz w:val="20"/>
          <w:vertAlign w:val="baseline"/>
        </w:rPr>
        <w:t> </w:t>
      </w:r>
      <w:r>
        <w:rPr>
          <w:rFonts w:ascii="Calibri"/>
          <w:sz w:val="20"/>
          <w:vertAlign w:val="baseline"/>
        </w:rPr>
        <w:t>survey,</w:t>
      </w:r>
      <w:r>
        <w:rPr>
          <w:rFonts w:ascii="Calibri"/>
          <w:spacing w:val="-9"/>
          <w:sz w:val="20"/>
          <w:vertAlign w:val="baseline"/>
        </w:rPr>
        <w:t> </w:t>
      </w:r>
      <w:r>
        <w:rPr>
          <w:rFonts w:ascii="Calibri"/>
          <w:sz w:val="20"/>
          <w:vertAlign w:val="baseline"/>
        </w:rPr>
        <w:t>logging,</w:t>
      </w:r>
      <w:r>
        <w:rPr>
          <w:rFonts w:ascii="Calibri"/>
          <w:spacing w:val="-8"/>
          <w:sz w:val="20"/>
          <w:vertAlign w:val="baseline"/>
        </w:rPr>
        <w:t> </w:t>
      </w:r>
      <w:r>
        <w:rPr>
          <w:rFonts w:ascii="Calibri"/>
          <w:sz w:val="20"/>
          <w:vertAlign w:val="baseline"/>
        </w:rPr>
        <w:t>data</w:t>
      </w:r>
      <w:r>
        <w:rPr>
          <w:rFonts w:ascii="Calibri"/>
          <w:spacing w:val="-9"/>
          <w:sz w:val="20"/>
          <w:vertAlign w:val="baseline"/>
        </w:rPr>
        <w:t> </w:t>
      </w:r>
      <w:r>
        <w:rPr>
          <w:rFonts w:ascii="Calibri"/>
          <w:sz w:val="20"/>
          <w:vertAlign w:val="baseline"/>
        </w:rPr>
        <w:t>interpretation</w:t>
      </w:r>
      <w:r>
        <w:rPr>
          <w:rFonts w:ascii="Calibri"/>
          <w:spacing w:val="-8"/>
          <w:sz w:val="20"/>
          <w:vertAlign w:val="baseline"/>
        </w:rPr>
        <w:t> </w:t>
      </w:r>
      <w:r>
        <w:rPr>
          <w:rFonts w:ascii="Calibri"/>
          <w:sz w:val="20"/>
          <w:vertAlign w:val="baseline"/>
        </w:rPr>
        <w:t>from</w:t>
      </w:r>
      <w:r>
        <w:rPr>
          <w:rFonts w:ascii="Calibri"/>
          <w:spacing w:val="-10"/>
          <w:sz w:val="20"/>
          <w:vertAlign w:val="baseline"/>
        </w:rPr>
        <w:t> </w:t>
      </w:r>
      <w:r>
        <w:rPr>
          <w:rFonts w:ascii="Calibri"/>
          <w:sz w:val="20"/>
          <w:vertAlign w:val="baseline"/>
        </w:rPr>
        <w:t>oilfields,</w:t>
      </w:r>
      <w:r>
        <w:rPr>
          <w:rFonts w:ascii="Calibri"/>
          <w:spacing w:val="-8"/>
          <w:sz w:val="20"/>
          <w:vertAlign w:val="baseline"/>
        </w:rPr>
        <w:t> </w:t>
      </w:r>
      <w:r>
        <w:rPr>
          <w:rFonts w:ascii="Calibri"/>
          <w:spacing w:val="-4"/>
          <w:sz w:val="20"/>
          <w:vertAlign w:val="baseline"/>
        </w:rPr>
        <w:t>etc.</w:t>
      </w:r>
    </w:p>
    <w:p>
      <w:pPr>
        <w:spacing w:after="0"/>
        <w:jc w:val="left"/>
        <w:rPr>
          <w:rFonts w:ascii="Calibri"/>
          <w:sz w:val="20"/>
        </w:rPr>
        <w:sectPr>
          <w:pgSz w:w="11910" w:h="16840"/>
          <w:pgMar w:header="0" w:footer="1000" w:top="1340" w:bottom="1200" w:left="1080" w:right="1280"/>
        </w:sectPr>
      </w:pPr>
    </w:p>
    <w:p>
      <w:pPr>
        <w:pStyle w:val="BodyText"/>
        <w:spacing w:line="480" w:lineRule="auto" w:before="74"/>
        <w:ind w:left="360" w:right="154"/>
        <w:jc w:val="both"/>
      </w:pPr>
      <w:r>
        <w:rPr/>
        <w:t>production, transportation and sale of crude oil. Downstream operations on the other hands involve conversion of crude oil into usable form such as premium motor spirit, diesel, kerosene, gas utilization project etc. In the exercising the duties and power conferred on it by the Act, the Service shall be subject to the authority, direction and control of the Federal Minister of Finance</w:t>
      </w:r>
      <w:r>
        <w:rPr>
          <w:vertAlign w:val="superscript"/>
        </w:rPr>
        <w:t>20</w:t>
      </w:r>
      <w:r>
        <w:rPr>
          <w:vertAlign w:val="baseline"/>
        </w:rPr>
        <w:t>. Consequently, any written direction, order or instruction given by the minister, after consultation with the Chairman of the Service, shall be carried out by the </w:t>
      </w:r>
      <w:r>
        <w:rPr>
          <w:spacing w:val="-2"/>
          <w:vertAlign w:val="baseline"/>
        </w:rPr>
        <w:t>Service.</w:t>
      </w:r>
    </w:p>
    <w:p>
      <w:pPr>
        <w:pStyle w:val="Heading2"/>
        <w:numPr>
          <w:ilvl w:val="1"/>
          <w:numId w:val="8"/>
        </w:numPr>
        <w:tabs>
          <w:tab w:pos="1079" w:val="left" w:leader="none"/>
        </w:tabs>
        <w:spacing w:line="240" w:lineRule="auto" w:before="5" w:after="0"/>
        <w:ind w:left="1079" w:right="0" w:hanging="719"/>
        <w:jc w:val="both"/>
      </w:pPr>
      <w:bookmarkStart w:name="_TOC_250003" w:id="22"/>
      <w:r>
        <w:rPr/>
        <w:t>Oil</w:t>
      </w:r>
      <w:r>
        <w:rPr>
          <w:spacing w:val="-2"/>
        </w:rPr>
        <w:t> </w:t>
      </w:r>
      <w:r>
        <w:rPr/>
        <w:t>Licenses</w:t>
      </w:r>
      <w:r>
        <w:rPr>
          <w:spacing w:val="-1"/>
        </w:rPr>
        <w:t> </w:t>
      </w:r>
      <w:r>
        <w:rPr/>
        <w:t>and</w:t>
      </w:r>
      <w:r>
        <w:rPr>
          <w:spacing w:val="-2"/>
        </w:rPr>
        <w:t> </w:t>
      </w:r>
      <w:r>
        <w:rPr/>
        <w:t>Fiscal</w:t>
      </w:r>
      <w:r>
        <w:rPr>
          <w:spacing w:val="-1"/>
        </w:rPr>
        <w:t> </w:t>
      </w:r>
      <w:bookmarkEnd w:id="22"/>
      <w:r>
        <w:rPr>
          <w:spacing w:val="-2"/>
        </w:rPr>
        <w:t>Arrangements</w:t>
      </w:r>
    </w:p>
    <w:p>
      <w:pPr>
        <w:pStyle w:val="BodyText"/>
        <w:spacing w:line="480" w:lineRule="auto" w:before="272"/>
        <w:ind w:left="360" w:right="154" w:firstLine="719"/>
        <w:jc w:val="both"/>
      </w:pPr>
      <w:r>
        <w:rPr/>
        <w:t>The Petroleum Act provides for three (3) classes of Oil Licenses that can be granted by the Minister to a company</w:t>
      </w:r>
      <w:r>
        <w:rPr>
          <w:vertAlign w:val="superscript"/>
        </w:rPr>
        <w:t>21</w:t>
      </w:r>
      <w:r>
        <w:rPr>
          <w:vertAlign w:val="baseline"/>
        </w:rPr>
        <w:t>. Section 2 of the Act vest the Minister, charged with the responsibility for petroleum, with the power to grant three categories of interest from the absolute ownership of the Federal Government</w:t>
      </w:r>
      <w:r>
        <w:rPr>
          <w:vertAlign w:val="superscript"/>
        </w:rPr>
        <w:t>22</w:t>
      </w:r>
      <w:r>
        <w:rPr>
          <w:vertAlign w:val="baseline"/>
        </w:rPr>
        <w:t>.</w:t>
      </w:r>
    </w:p>
    <w:p>
      <w:pPr>
        <w:pStyle w:val="BodyText"/>
        <w:spacing w:line="480" w:lineRule="auto"/>
        <w:ind w:left="360" w:right="157" w:firstLine="719"/>
        <w:jc w:val="both"/>
      </w:pPr>
      <w:r>
        <w:rPr/>
        <w:t>The law provides that a lease or licence under the Act may be granted only to a company incorporated in Nigeria under the Companies and Allied Matters Act or any corresponding law</w:t>
      </w:r>
      <w:r>
        <w:rPr>
          <w:vertAlign w:val="superscript"/>
        </w:rPr>
        <w:t>23</w:t>
      </w:r>
      <w:r>
        <w:rPr>
          <w:vertAlign w:val="baseline"/>
        </w:rPr>
        <w:t>.</w:t>
      </w:r>
    </w:p>
    <w:p>
      <w:pPr>
        <w:pStyle w:val="BodyText"/>
        <w:spacing w:line="480" w:lineRule="auto"/>
        <w:ind w:left="360" w:right="160" w:firstLine="719"/>
        <w:jc w:val="both"/>
      </w:pPr>
      <w:r>
        <w:rPr/>
        <w:t>The Nigerian Court of Appeal in Nwadioro &amp;</w:t>
      </w:r>
      <w:r>
        <w:rPr>
          <w:spacing w:val="-1"/>
        </w:rPr>
        <w:t> </w:t>
      </w:r>
      <w:r>
        <w:rPr/>
        <w:t>2 Ors. v. Shell Petroleum Development Company of Nigeria Ltd</w:t>
      </w:r>
      <w:r>
        <w:rPr>
          <w:vertAlign w:val="superscript"/>
        </w:rPr>
        <w:t>24</w:t>
      </w:r>
      <w:r>
        <w:rPr>
          <w:vertAlign w:val="baseline"/>
        </w:rPr>
        <w:t> held that the Petroleum Decree No. 51 of 1969 (now Petroleum Act) empowersthe Minister or government to grant an oil exploration license, oil prospecting license and oil mining license to a citizen of Nigeria or a company incorporated in Nigeria under</w:t>
      </w:r>
      <w:r>
        <w:rPr>
          <w:spacing w:val="48"/>
          <w:vertAlign w:val="baseline"/>
        </w:rPr>
        <w:t> </w:t>
      </w:r>
      <w:r>
        <w:rPr>
          <w:vertAlign w:val="baseline"/>
        </w:rPr>
        <w:t>the</w:t>
      </w:r>
      <w:r>
        <w:rPr>
          <w:spacing w:val="50"/>
          <w:vertAlign w:val="baseline"/>
        </w:rPr>
        <w:t> </w:t>
      </w:r>
      <w:r>
        <w:rPr>
          <w:vertAlign w:val="baseline"/>
        </w:rPr>
        <w:t>Companies</w:t>
      </w:r>
      <w:r>
        <w:rPr>
          <w:spacing w:val="50"/>
          <w:vertAlign w:val="baseline"/>
        </w:rPr>
        <w:t> </w:t>
      </w:r>
      <w:r>
        <w:rPr>
          <w:vertAlign w:val="baseline"/>
        </w:rPr>
        <w:t>Decree,</w:t>
      </w:r>
      <w:r>
        <w:rPr>
          <w:spacing w:val="49"/>
          <w:vertAlign w:val="baseline"/>
        </w:rPr>
        <w:t> </w:t>
      </w:r>
      <w:r>
        <w:rPr>
          <w:vertAlign w:val="baseline"/>
        </w:rPr>
        <w:t>1968</w:t>
      </w:r>
      <w:r>
        <w:rPr>
          <w:spacing w:val="50"/>
          <w:vertAlign w:val="baseline"/>
        </w:rPr>
        <w:t> </w:t>
      </w:r>
      <w:r>
        <w:rPr>
          <w:vertAlign w:val="baseline"/>
        </w:rPr>
        <w:t>or</w:t>
      </w:r>
      <w:r>
        <w:rPr>
          <w:spacing w:val="51"/>
          <w:vertAlign w:val="baseline"/>
        </w:rPr>
        <w:t> </w:t>
      </w:r>
      <w:r>
        <w:rPr>
          <w:vertAlign w:val="baseline"/>
        </w:rPr>
        <w:t>any</w:t>
      </w:r>
      <w:r>
        <w:rPr>
          <w:spacing w:val="45"/>
          <w:vertAlign w:val="baseline"/>
        </w:rPr>
        <w:t> </w:t>
      </w:r>
      <w:r>
        <w:rPr>
          <w:vertAlign w:val="baseline"/>
        </w:rPr>
        <w:t>other</w:t>
      </w:r>
      <w:r>
        <w:rPr>
          <w:spacing w:val="48"/>
          <w:vertAlign w:val="baseline"/>
        </w:rPr>
        <w:t> </w:t>
      </w:r>
      <w:r>
        <w:rPr>
          <w:vertAlign w:val="baseline"/>
        </w:rPr>
        <w:t>corresponding</w:t>
      </w:r>
      <w:r>
        <w:rPr>
          <w:spacing w:val="47"/>
          <w:vertAlign w:val="baseline"/>
        </w:rPr>
        <w:t> </w:t>
      </w:r>
      <w:r>
        <w:rPr>
          <w:vertAlign w:val="baseline"/>
        </w:rPr>
        <w:t>law.</w:t>
      </w:r>
      <w:r>
        <w:rPr>
          <w:spacing w:val="52"/>
          <w:vertAlign w:val="baseline"/>
        </w:rPr>
        <w:t> </w:t>
      </w:r>
      <w:r>
        <w:rPr>
          <w:vertAlign w:val="baseline"/>
        </w:rPr>
        <w:t>In</w:t>
      </w:r>
      <w:r>
        <w:rPr>
          <w:spacing w:val="51"/>
          <w:vertAlign w:val="baseline"/>
        </w:rPr>
        <w:t> </w:t>
      </w:r>
      <w:r>
        <w:rPr>
          <w:vertAlign w:val="baseline"/>
        </w:rPr>
        <w:t>any</w:t>
      </w:r>
      <w:r>
        <w:rPr>
          <w:spacing w:val="47"/>
          <w:vertAlign w:val="baseline"/>
        </w:rPr>
        <w:t> </w:t>
      </w:r>
      <w:r>
        <w:rPr>
          <w:vertAlign w:val="baseline"/>
        </w:rPr>
        <w:t>of</w:t>
      </w:r>
      <w:r>
        <w:rPr>
          <w:spacing w:val="49"/>
          <w:vertAlign w:val="baseline"/>
        </w:rPr>
        <w:t> </w:t>
      </w:r>
      <w:r>
        <w:rPr>
          <w:vertAlign w:val="baseline"/>
        </w:rPr>
        <w:t>the</w:t>
      </w:r>
      <w:r>
        <w:rPr>
          <w:spacing w:val="49"/>
          <w:vertAlign w:val="baseline"/>
        </w:rPr>
        <w:t> </w:t>
      </w:r>
      <w:r>
        <w:rPr>
          <w:spacing w:val="-2"/>
          <w:vertAlign w:val="baseline"/>
        </w:rPr>
        <w:t>three</w:t>
      </w:r>
    </w:p>
    <w:p>
      <w:pPr>
        <w:pStyle w:val="BodyText"/>
        <w:rPr>
          <w:sz w:val="20"/>
        </w:rPr>
      </w:pPr>
    </w:p>
    <w:p>
      <w:pPr>
        <w:pStyle w:val="BodyText"/>
        <w:spacing w:before="127"/>
        <w:rPr>
          <w:sz w:val="20"/>
        </w:rPr>
      </w:pPr>
      <w:r>
        <w:rPr/>
        <mc:AlternateContent>
          <mc:Choice Requires="wps">
            <w:drawing>
              <wp:anchor distT="0" distB="0" distL="0" distR="0" allowOverlap="1" layoutInCell="1" locked="0" behindDoc="1" simplePos="0" relativeHeight="487606272">
                <wp:simplePos x="0" y="0"/>
                <wp:positionH relativeFrom="page">
                  <wp:posOffset>914704</wp:posOffset>
                </wp:positionH>
                <wp:positionV relativeFrom="paragraph">
                  <wp:posOffset>242527</wp:posOffset>
                </wp:positionV>
                <wp:extent cx="5732780" cy="9525"/>
                <wp:effectExtent l="0" t="0" r="0" b="0"/>
                <wp:wrapTopAndBottom/>
                <wp:docPr id="40" name="Graphic 40"/>
                <wp:cNvGraphicFramePr>
                  <a:graphicFrameLocks/>
                </wp:cNvGraphicFramePr>
                <a:graphic>
                  <a:graphicData uri="http://schemas.microsoft.com/office/word/2010/wordprocessingShape">
                    <wps:wsp>
                      <wps:cNvPr id="40" name="Graphic 40"/>
                      <wps:cNvSpPr/>
                      <wps:spPr>
                        <a:xfrm>
                          <a:off x="0" y="0"/>
                          <a:ext cx="5732780" cy="9525"/>
                        </a:xfrm>
                        <a:custGeom>
                          <a:avLst/>
                          <a:gdLst/>
                          <a:ahLst/>
                          <a:cxnLst/>
                          <a:rect l="l" t="t" r="r" b="b"/>
                          <a:pathLst>
                            <a:path w="5732780" h="9525">
                              <a:moveTo>
                                <a:pt x="5732653" y="0"/>
                              </a:moveTo>
                              <a:lnTo>
                                <a:pt x="0" y="0"/>
                              </a:lnTo>
                              <a:lnTo>
                                <a:pt x="0" y="9144"/>
                              </a:lnTo>
                              <a:lnTo>
                                <a:pt x="5732653" y="9144"/>
                              </a:lnTo>
                              <a:lnTo>
                                <a:pt x="5732653"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19.096649pt;width:451.39pt;height:.72003pt;mso-position-horizontal-relative:page;mso-position-vertical-relative:paragraph;z-index:-15710208;mso-wrap-distance-left:0;mso-wrap-distance-right:0" id="docshape40" filled="true" fillcolor="#000000" stroked="false">
                <v:fill type="solid"/>
                <w10:wrap type="topAndBottom"/>
              </v:rect>
            </w:pict>
          </mc:Fallback>
        </mc:AlternateContent>
      </w:r>
    </w:p>
    <w:p>
      <w:pPr>
        <w:spacing w:before="102"/>
        <w:ind w:left="360" w:right="223" w:firstLine="0"/>
        <w:jc w:val="left"/>
        <w:rPr>
          <w:rFonts w:ascii="Calibri"/>
          <w:sz w:val="20"/>
        </w:rPr>
      </w:pPr>
      <w:r>
        <w:rPr>
          <w:rFonts w:ascii="Calibri"/>
          <w:sz w:val="20"/>
          <w:vertAlign w:val="superscript"/>
        </w:rPr>
        <w:t>18</w:t>
      </w:r>
      <w:r>
        <w:rPr>
          <w:rFonts w:ascii="Calibri"/>
          <w:sz w:val="20"/>
          <w:vertAlign w:val="baseline"/>
        </w:rPr>
        <w:t>Downstream</w:t>
      </w:r>
      <w:r>
        <w:rPr>
          <w:rFonts w:ascii="Calibri"/>
          <w:spacing w:val="-5"/>
          <w:sz w:val="20"/>
          <w:vertAlign w:val="baseline"/>
        </w:rPr>
        <w:t> </w:t>
      </w:r>
      <w:r>
        <w:rPr>
          <w:rFonts w:ascii="Calibri"/>
          <w:sz w:val="20"/>
          <w:vertAlign w:val="baseline"/>
        </w:rPr>
        <w:t>operations,</w:t>
      </w:r>
      <w:r>
        <w:rPr>
          <w:rFonts w:ascii="Calibri"/>
          <w:spacing w:val="-1"/>
          <w:sz w:val="20"/>
          <w:vertAlign w:val="baseline"/>
        </w:rPr>
        <w:t> </w:t>
      </w:r>
      <w:r>
        <w:rPr>
          <w:rFonts w:ascii="Calibri"/>
          <w:sz w:val="20"/>
          <w:vertAlign w:val="baseline"/>
        </w:rPr>
        <w:t>which</w:t>
      </w:r>
      <w:r>
        <w:rPr>
          <w:rFonts w:ascii="Calibri"/>
          <w:spacing w:val="-4"/>
          <w:sz w:val="20"/>
          <w:vertAlign w:val="baseline"/>
        </w:rPr>
        <w:t> </w:t>
      </w:r>
      <w:r>
        <w:rPr>
          <w:rFonts w:ascii="Calibri"/>
          <w:sz w:val="20"/>
          <w:vertAlign w:val="baseline"/>
        </w:rPr>
        <w:t>are</w:t>
      </w:r>
      <w:r>
        <w:rPr>
          <w:rFonts w:ascii="Calibri"/>
          <w:spacing w:val="-5"/>
          <w:sz w:val="20"/>
          <w:vertAlign w:val="baseline"/>
        </w:rPr>
        <w:t> </w:t>
      </w:r>
      <w:r>
        <w:rPr>
          <w:rFonts w:ascii="Calibri"/>
          <w:sz w:val="20"/>
          <w:vertAlign w:val="baseline"/>
        </w:rPr>
        <w:t>not</w:t>
      </w:r>
      <w:r>
        <w:rPr>
          <w:rFonts w:ascii="Calibri"/>
          <w:spacing w:val="-4"/>
          <w:sz w:val="20"/>
          <w:vertAlign w:val="baseline"/>
        </w:rPr>
        <w:t> </w:t>
      </w:r>
      <w:r>
        <w:rPr>
          <w:rFonts w:ascii="Calibri"/>
          <w:sz w:val="20"/>
          <w:vertAlign w:val="baseline"/>
        </w:rPr>
        <w:t>subject</w:t>
      </w:r>
      <w:r>
        <w:rPr>
          <w:rFonts w:ascii="Calibri"/>
          <w:spacing w:val="-4"/>
          <w:sz w:val="20"/>
          <w:vertAlign w:val="baseline"/>
        </w:rPr>
        <w:t> </w:t>
      </w:r>
      <w:r>
        <w:rPr>
          <w:rFonts w:ascii="Calibri"/>
          <w:sz w:val="20"/>
          <w:vertAlign w:val="baseline"/>
        </w:rPr>
        <w:t>to</w:t>
      </w:r>
      <w:r>
        <w:rPr>
          <w:rFonts w:ascii="Calibri"/>
          <w:spacing w:val="-4"/>
          <w:sz w:val="20"/>
          <w:vertAlign w:val="baseline"/>
        </w:rPr>
        <w:t> </w:t>
      </w:r>
      <w:r>
        <w:rPr>
          <w:rFonts w:ascii="Calibri"/>
          <w:sz w:val="20"/>
          <w:vertAlign w:val="baseline"/>
        </w:rPr>
        <w:t>petroleum</w:t>
      </w:r>
      <w:r>
        <w:rPr>
          <w:rFonts w:ascii="Calibri"/>
          <w:spacing w:val="-5"/>
          <w:sz w:val="20"/>
          <w:vertAlign w:val="baseline"/>
        </w:rPr>
        <w:t> </w:t>
      </w:r>
      <w:r>
        <w:rPr>
          <w:rFonts w:ascii="Calibri"/>
          <w:sz w:val="20"/>
          <w:vertAlign w:val="baseline"/>
        </w:rPr>
        <w:t>profit</w:t>
      </w:r>
      <w:r>
        <w:rPr>
          <w:rFonts w:ascii="Calibri"/>
          <w:spacing w:val="-4"/>
          <w:sz w:val="20"/>
          <w:vertAlign w:val="baseline"/>
        </w:rPr>
        <w:t> </w:t>
      </w:r>
      <w:r>
        <w:rPr>
          <w:rFonts w:ascii="Calibri"/>
          <w:sz w:val="20"/>
          <w:vertAlign w:val="baseline"/>
        </w:rPr>
        <w:t>tax,</w:t>
      </w:r>
      <w:r>
        <w:rPr>
          <w:rFonts w:ascii="Calibri"/>
          <w:spacing w:val="-4"/>
          <w:sz w:val="20"/>
          <w:vertAlign w:val="baseline"/>
        </w:rPr>
        <w:t> </w:t>
      </w:r>
      <w:r>
        <w:rPr>
          <w:rFonts w:ascii="Calibri"/>
          <w:sz w:val="20"/>
          <w:vertAlign w:val="baseline"/>
        </w:rPr>
        <w:t>include</w:t>
      </w:r>
      <w:r>
        <w:rPr>
          <w:rFonts w:ascii="Calibri"/>
          <w:spacing w:val="-5"/>
          <w:sz w:val="20"/>
          <w:vertAlign w:val="baseline"/>
        </w:rPr>
        <w:t> </w:t>
      </w:r>
      <w:r>
        <w:rPr>
          <w:rFonts w:ascii="Calibri"/>
          <w:sz w:val="20"/>
          <w:vertAlign w:val="baseline"/>
        </w:rPr>
        <w:t>marketing</w:t>
      </w:r>
      <w:r>
        <w:rPr>
          <w:rFonts w:ascii="Calibri"/>
          <w:spacing w:val="-5"/>
          <w:sz w:val="20"/>
          <w:vertAlign w:val="baseline"/>
        </w:rPr>
        <w:t> </w:t>
      </w:r>
      <w:r>
        <w:rPr>
          <w:rFonts w:ascii="Calibri"/>
          <w:sz w:val="20"/>
          <w:vertAlign w:val="baseline"/>
        </w:rPr>
        <w:t>and</w:t>
      </w:r>
      <w:r>
        <w:rPr>
          <w:rFonts w:ascii="Calibri"/>
          <w:spacing w:val="-4"/>
          <w:sz w:val="20"/>
          <w:vertAlign w:val="baseline"/>
        </w:rPr>
        <w:t> </w:t>
      </w:r>
      <w:r>
        <w:rPr>
          <w:rFonts w:ascii="Calibri"/>
          <w:sz w:val="20"/>
          <w:vertAlign w:val="baseline"/>
        </w:rPr>
        <w:t>refining </w:t>
      </w:r>
      <w:r>
        <w:rPr>
          <w:rFonts w:ascii="Calibri"/>
          <w:spacing w:val="-2"/>
          <w:sz w:val="20"/>
          <w:vertAlign w:val="baseline"/>
        </w:rPr>
        <w:t>activities.</w:t>
      </w:r>
    </w:p>
    <w:p>
      <w:pPr>
        <w:spacing w:line="243" w:lineRule="exact" w:before="1"/>
        <w:ind w:left="360" w:right="0" w:firstLine="0"/>
        <w:jc w:val="left"/>
        <w:rPr>
          <w:rFonts w:ascii="Calibri"/>
          <w:sz w:val="20"/>
        </w:rPr>
      </w:pPr>
      <w:r>
        <w:rPr>
          <w:rFonts w:ascii="Calibri"/>
          <w:sz w:val="20"/>
          <w:vertAlign w:val="superscript"/>
        </w:rPr>
        <w:t>19</w:t>
      </w:r>
      <w:r>
        <w:rPr>
          <w:rFonts w:ascii="Calibri"/>
          <w:sz w:val="20"/>
          <w:vertAlign w:val="baseline"/>
        </w:rPr>
        <w:t>By</w:t>
      </w:r>
      <w:r>
        <w:rPr>
          <w:rFonts w:ascii="Calibri"/>
          <w:spacing w:val="-5"/>
          <w:sz w:val="20"/>
          <w:vertAlign w:val="baseline"/>
        </w:rPr>
        <w:t> </w:t>
      </w:r>
      <w:r>
        <w:rPr>
          <w:rFonts w:ascii="Calibri"/>
          <w:sz w:val="20"/>
          <w:vertAlign w:val="baseline"/>
        </w:rPr>
        <w:t>oil</w:t>
      </w:r>
      <w:r>
        <w:rPr>
          <w:rFonts w:ascii="Calibri"/>
          <w:spacing w:val="-6"/>
          <w:sz w:val="20"/>
          <w:vertAlign w:val="baseline"/>
        </w:rPr>
        <w:t> </w:t>
      </w:r>
      <w:r>
        <w:rPr>
          <w:rFonts w:ascii="Calibri"/>
          <w:sz w:val="20"/>
          <w:vertAlign w:val="baseline"/>
        </w:rPr>
        <w:t>exploration</w:t>
      </w:r>
      <w:r>
        <w:rPr>
          <w:rFonts w:ascii="Calibri"/>
          <w:spacing w:val="-5"/>
          <w:sz w:val="20"/>
          <w:vertAlign w:val="baseline"/>
        </w:rPr>
        <w:t> </w:t>
      </w:r>
      <w:r>
        <w:rPr>
          <w:rFonts w:ascii="Calibri"/>
          <w:sz w:val="20"/>
          <w:vertAlign w:val="baseline"/>
        </w:rPr>
        <w:t>it</w:t>
      </w:r>
      <w:r>
        <w:rPr>
          <w:rFonts w:ascii="Calibri"/>
          <w:spacing w:val="-5"/>
          <w:sz w:val="20"/>
          <w:vertAlign w:val="baseline"/>
        </w:rPr>
        <w:t> </w:t>
      </w:r>
      <w:r>
        <w:rPr>
          <w:rFonts w:ascii="Calibri"/>
          <w:sz w:val="20"/>
          <w:vertAlign w:val="baseline"/>
        </w:rPr>
        <w:t>means</w:t>
      </w:r>
      <w:r>
        <w:rPr>
          <w:rFonts w:ascii="Calibri"/>
          <w:spacing w:val="-6"/>
          <w:sz w:val="20"/>
          <w:vertAlign w:val="baseline"/>
        </w:rPr>
        <w:t> </w:t>
      </w:r>
      <w:r>
        <w:rPr>
          <w:rFonts w:ascii="Calibri"/>
          <w:sz w:val="20"/>
          <w:vertAlign w:val="baseline"/>
        </w:rPr>
        <w:t>a</w:t>
      </w:r>
      <w:r>
        <w:rPr>
          <w:rFonts w:ascii="Calibri"/>
          <w:spacing w:val="-5"/>
          <w:sz w:val="20"/>
          <w:vertAlign w:val="baseline"/>
        </w:rPr>
        <w:t> </w:t>
      </w:r>
      <w:r>
        <w:rPr>
          <w:rFonts w:ascii="Calibri"/>
          <w:sz w:val="20"/>
          <w:vertAlign w:val="baseline"/>
        </w:rPr>
        <w:t>search</w:t>
      </w:r>
      <w:r>
        <w:rPr>
          <w:rFonts w:ascii="Calibri"/>
          <w:spacing w:val="-5"/>
          <w:sz w:val="20"/>
          <w:vertAlign w:val="baseline"/>
        </w:rPr>
        <w:t> </w:t>
      </w:r>
      <w:r>
        <w:rPr>
          <w:rFonts w:ascii="Calibri"/>
          <w:sz w:val="20"/>
          <w:vertAlign w:val="baseline"/>
        </w:rPr>
        <w:t>for</w:t>
      </w:r>
      <w:r>
        <w:rPr>
          <w:rFonts w:ascii="Calibri"/>
          <w:spacing w:val="-5"/>
          <w:sz w:val="20"/>
          <w:vertAlign w:val="baseline"/>
        </w:rPr>
        <w:t> </w:t>
      </w:r>
      <w:r>
        <w:rPr>
          <w:rFonts w:ascii="Calibri"/>
          <w:sz w:val="20"/>
          <w:vertAlign w:val="baseline"/>
        </w:rPr>
        <w:t>reservoir</w:t>
      </w:r>
      <w:r>
        <w:rPr>
          <w:rFonts w:ascii="Calibri"/>
          <w:spacing w:val="-6"/>
          <w:sz w:val="20"/>
          <w:vertAlign w:val="baseline"/>
        </w:rPr>
        <w:t> </w:t>
      </w:r>
      <w:r>
        <w:rPr>
          <w:rFonts w:ascii="Calibri"/>
          <w:sz w:val="20"/>
          <w:vertAlign w:val="baseline"/>
        </w:rPr>
        <w:t>traps.</w:t>
      </w:r>
      <w:r>
        <w:rPr>
          <w:rFonts w:ascii="Calibri"/>
          <w:spacing w:val="-4"/>
          <w:sz w:val="20"/>
          <w:vertAlign w:val="baseline"/>
        </w:rPr>
        <w:t> </w:t>
      </w:r>
      <w:r>
        <w:rPr>
          <w:rFonts w:ascii="Calibri"/>
          <w:sz w:val="20"/>
          <w:vertAlign w:val="baseline"/>
        </w:rPr>
        <w:t>See</w:t>
      </w:r>
      <w:r>
        <w:rPr>
          <w:rFonts w:ascii="Calibri"/>
          <w:spacing w:val="-4"/>
          <w:sz w:val="20"/>
          <w:vertAlign w:val="baseline"/>
        </w:rPr>
        <w:t> </w:t>
      </w:r>
      <w:r>
        <w:rPr>
          <w:rFonts w:ascii="Calibri"/>
          <w:sz w:val="20"/>
          <w:vertAlign w:val="baseline"/>
        </w:rPr>
        <w:t>Williams</w:t>
      </w:r>
      <w:r>
        <w:rPr>
          <w:rFonts w:ascii="Calibri"/>
          <w:spacing w:val="-7"/>
          <w:sz w:val="20"/>
          <w:vertAlign w:val="baseline"/>
        </w:rPr>
        <w:t> </w:t>
      </w:r>
      <w:r>
        <w:rPr>
          <w:rFonts w:ascii="Calibri"/>
          <w:sz w:val="20"/>
          <w:vertAlign w:val="baseline"/>
        </w:rPr>
        <w:t>&amp;</w:t>
      </w:r>
      <w:r>
        <w:rPr>
          <w:rFonts w:ascii="Calibri"/>
          <w:spacing w:val="-4"/>
          <w:sz w:val="20"/>
          <w:vertAlign w:val="baseline"/>
        </w:rPr>
        <w:t> </w:t>
      </w:r>
      <w:r>
        <w:rPr>
          <w:rFonts w:ascii="Calibri"/>
          <w:sz w:val="20"/>
          <w:vertAlign w:val="baseline"/>
        </w:rPr>
        <w:t>Meyers</w:t>
      </w:r>
      <w:r>
        <w:rPr>
          <w:rFonts w:ascii="Calibri"/>
          <w:spacing w:val="-6"/>
          <w:sz w:val="20"/>
          <w:vertAlign w:val="baseline"/>
        </w:rPr>
        <w:t> </w:t>
      </w:r>
      <w:r>
        <w:rPr>
          <w:rFonts w:ascii="Calibri"/>
          <w:sz w:val="20"/>
          <w:vertAlign w:val="baseline"/>
        </w:rPr>
        <w:t>op.</w:t>
      </w:r>
      <w:r>
        <w:rPr>
          <w:rFonts w:ascii="Calibri"/>
          <w:spacing w:val="-5"/>
          <w:sz w:val="20"/>
          <w:vertAlign w:val="baseline"/>
        </w:rPr>
        <w:t> </w:t>
      </w:r>
      <w:r>
        <w:rPr>
          <w:rFonts w:ascii="Calibri"/>
          <w:sz w:val="20"/>
          <w:vertAlign w:val="baseline"/>
        </w:rPr>
        <w:t>cit.p.</w:t>
      </w:r>
      <w:r>
        <w:rPr>
          <w:rFonts w:ascii="Calibri"/>
          <w:spacing w:val="-5"/>
          <w:sz w:val="20"/>
          <w:vertAlign w:val="baseline"/>
        </w:rPr>
        <w:t> </w:t>
      </w:r>
      <w:r>
        <w:rPr>
          <w:rFonts w:ascii="Calibri"/>
          <w:spacing w:val="-10"/>
          <w:sz w:val="20"/>
          <w:vertAlign w:val="baseline"/>
        </w:rPr>
        <w:t>6</w:t>
      </w:r>
    </w:p>
    <w:p>
      <w:pPr>
        <w:spacing w:line="243" w:lineRule="exact" w:before="0"/>
        <w:ind w:left="360" w:right="0" w:firstLine="0"/>
        <w:jc w:val="left"/>
        <w:rPr>
          <w:rFonts w:ascii="Calibri"/>
          <w:sz w:val="20"/>
        </w:rPr>
      </w:pPr>
      <w:r>
        <w:rPr>
          <w:rFonts w:ascii="Calibri"/>
          <w:sz w:val="20"/>
          <w:vertAlign w:val="superscript"/>
        </w:rPr>
        <w:t>20</w:t>
      </w:r>
      <w:r>
        <w:rPr>
          <w:rFonts w:ascii="Calibri"/>
          <w:spacing w:val="-7"/>
          <w:sz w:val="20"/>
          <w:vertAlign w:val="baseline"/>
        </w:rPr>
        <w:t> </w:t>
      </w:r>
      <w:r>
        <w:rPr>
          <w:rFonts w:ascii="Calibri"/>
          <w:sz w:val="20"/>
          <w:vertAlign w:val="baseline"/>
        </w:rPr>
        <w:t>Section</w:t>
      </w:r>
      <w:r>
        <w:rPr>
          <w:rFonts w:ascii="Calibri"/>
          <w:spacing w:val="-6"/>
          <w:sz w:val="20"/>
          <w:vertAlign w:val="baseline"/>
        </w:rPr>
        <w:t> </w:t>
      </w:r>
      <w:r>
        <w:rPr>
          <w:rFonts w:ascii="Calibri"/>
          <w:sz w:val="20"/>
          <w:vertAlign w:val="baseline"/>
        </w:rPr>
        <w:t>3(1)(f)</w:t>
      </w:r>
      <w:r>
        <w:rPr>
          <w:rFonts w:ascii="Calibri"/>
          <w:spacing w:val="-3"/>
          <w:sz w:val="20"/>
          <w:vertAlign w:val="baseline"/>
        </w:rPr>
        <w:t> </w:t>
      </w:r>
      <w:r>
        <w:rPr>
          <w:rFonts w:ascii="Calibri"/>
          <w:sz w:val="20"/>
          <w:vertAlign w:val="baseline"/>
        </w:rPr>
        <w:t>0f</w:t>
      </w:r>
      <w:r>
        <w:rPr>
          <w:rFonts w:ascii="Calibri"/>
          <w:spacing w:val="-8"/>
          <w:sz w:val="20"/>
          <w:vertAlign w:val="baseline"/>
        </w:rPr>
        <w:t> </w:t>
      </w:r>
      <w:r>
        <w:rPr>
          <w:rFonts w:ascii="Calibri"/>
          <w:sz w:val="20"/>
          <w:vertAlign w:val="baseline"/>
        </w:rPr>
        <w:t>the</w:t>
      </w:r>
      <w:r>
        <w:rPr>
          <w:rFonts w:ascii="Calibri"/>
          <w:spacing w:val="-6"/>
          <w:sz w:val="20"/>
          <w:vertAlign w:val="baseline"/>
        </w:rPr>
        <w:t> </w:t>
      </w:r>
      <w:r>
        <w:rPr>
          <w:rFonts w:ascii="Calibri"/>
          <w:spacing w:val="-5"/>
          <w:sz w:val="20"/>
          <w:vertAlign w:val="baseline"/>
        </w:rPr>
        <w:t>Act</w:t>
      </w:r>
    </w:p>
    <w:p>
      <w:pPr>
        <w:spacing w:before="1"/>
        <w:ind w:left="360" w:right="0" w:firstLine="0"/>
        <w:jc w:val="left"/>
        <w:rPr>
          <w:rFonts w:ascii="Calibri"/>
          <w:sz w:val="20"/>
        </w:rPr>
      </w:pPr>
      <w:r>
        <w:rPr>
          <w:rFonts w:ascii="Calibri"/>
          <w:sz w:val="20"/>
          <w:vertAlign w:val="superscript"/>
        </w:rPr>
        <w:t>21</w:t>
      </w:r>
      <w:r>
        <w:rPr>
          <w:rFonts w:ascii="Calibri"/>
          <w:sz w:val="20"/>
          <w:vertAlign w:val="baseline"/>
        </w:rPr>
        <w:t>Section</w:t>
      </w:r>
      <w:r>
        <w:rPr>
          <w:rFonts w:ascii="Calibri"/>
          <w:spacing w:val="-6"/>
          <w:sz w:val="20"/>
          <w:vertAlign w:val="baseline"/>
        </w:rPr>
        <w:t> </w:t>
      </w:r>
      <w:r>
        <w:rPr>
          <w:rFonts w:ascii="Calibri"/>
          <w:sz w:val="20"/>
          <w:vertAlign w:val="baseline"/>
        </w:rPr>
        <w:t>2(1)</w:t>
      </w:r>
      <w:r>
        <w:rPr>
          <w:rFonts w:ascii="Calibri"/>
          <w:spacing w:val="-7"/>
          <w:sz w:val="20"/>
          <w:vertAlign w:val="baseline"/>
        </w:rPr>
        <w:t> </w:t>
      </w:r>
      <w:r>
        <w:rPr>
          <w:rFonts w:ascii="Calibri"/>
          <w:sz w:val="20"/>
          <w:vertAlign w:val="baseline"/>
        </w:rPr>
        <w:t>of</w:t>
      </w:r>
      <w:r>
        <w:rPr>
          <w:rFonts w:ascii="Calibri"/>
          <w:spacing w:val="-8"/>
          <w:sz w:val="20"/>
          <w:vertAlign w:val="baseline"/>
        </w:rPr>
        <w:t> </w:t>
      </w:r>
      <w:r>
        <w:rPr>
          <w:rFonts w:ascii="Calibri"/>
          <w:sz w:val="20"/>
          <w:vertAlign w:val="baseline"/>
        </w:rPr>
        <w:t>the</w:t>
      </w:r>
      <w:r>
        <w:rPr>
          <w:rFonts w:ascii="Calibri"/>
          <w:spacing w:val="-7"/>
          <w:sz w:val="20"/>
          <w:vertAlign w:val="baseline"/>
        </w:rPr>
        <w:t> </w:t>
      </w:r>
      <w:r>
        <w:rPr>
          <w:rFonts w:ascii="Calibri"/>
          <w:sz w:val="20"/>
          <w:vertAlign w:val="baseline"/>
        </w:rPr>
        <w:t>Petroleum</w:t>
      </w:r>
      <w:r>
        <w:rPr>
          <w:rFonts w:ascii="Calibri"/>
          <w:spacing w:val="-5"/>
          <w:sz w:val="20"/>
          <w:vertAlign w:val="baseline"/>
        </w:rPr>
        <w:t> Act</w:t>
      </w:r>
    </w:p>
    <w:p>
      <w:pPr>
        <w:spacing w:before="1"/>
        <w:ind w:left="360" w:right="223" w:firstLine="0"/>
        <w:jc w:val="left"/>
        <w:rPr>
          <w:rFonts w:ascii="Calibri"/>
          <w:sz w:val="20"/>
        </w:rPr>
      </w:pPr>
      <w:r>
        <w:rPr>
          <w:rFonts w:ascii="Calibri"/>
          <w:sz w:val="20"/>
          <w:vertAlign w:val="superscript"/>
        </w:rPr>
        <w:t>22</w:t>
      </w:r>
      <w:r>
        <w:rPr>
          <w:rFonts w:ascii="Calibri"/>
          <w:sz w:val="20"/>
          <w:vertAlign w:val="baseline"/>
        </w:rPr>
        <w:t>See</w:t>
      </w:r>
      <w:r>
        <w:rPr>
          <w:rFonts w:ascii="Calibri"/>
          <w:spacing w:val="-3"/>
          <w:sz w:val="20"/>
          <w:vertAlign w:val="baseline"/>
        </w:rPr>
        <w:t> </w:t>
      </w:r>
      <w:r>
        <w:rPr>
          <w:rFonts w:ascii="Calibri"/>
          <w:sz w:val="20"/>
          <w:vertAlign w:val="baseline"/>
        </w:rPr>
        <w:t>the</w:t>
      </w:r>
      <w:r>
        <w:rPr>
          <w:rFonts w:ascii="Calibri"/>
          <w:spacing w:val="-3"/>
          <w:sz w:val="20"/>
          <w:vertAlign w:val="baseline"/>
        </w:rPr>
        <w:t> </w:t>
      </w:r>
      <w:r>
        <w:rPr>
          <w:rFonts w:ascii="Calibri"/>
          <w:sz w:val="20"/>
          <w:vertAlign w:val="baseline"/>
        </w:rPr>
        <w:t>case</w:t>
      </w:r>
      <w:r>
        <w:rPr>
          <w:rFonts w:ascii="Calibri"/>
          <w:spacing w:val="-3"/>
          <w:sz w:val="20"/>
          <w:vertAlign w:val="baseline"/>
        </w:rPr>
        <w:t> </w:t>
      </w:r>
      <w:r>
        <w:rPr>
          <w:rFonts w:ascii="Calibri"/>
          <w:sz w:val="20"/>
          <w:vertAlign w:val="baseline"/>
        </w:rPr>
        <w:t>of</w:t>
      </w:r>
      <w:r>
        <w:rPr>
          <w:rFonts w:ascii="Calibri"/>
          <w:spacing w:val="-2"/>
          <w:sz w:val="20"/>
          <w:vertAlign w:val="baseline"/>
        </w:rPr>
        <w:t> </w:t>
      </w:r>
      <w:r>
        <w:rPr>
          <w:rFonts w:ascii="Calibri"/>
          <w:i/>
          <w:sz w:val="20"/>
          <w:vertAlign w:val="baseline"/>
        </w:rPr>
        <w:t>Southern</w:t>
      </w:r>
      <w:r>
        <w:rPr>
          <w:rFonts w:ascii="Calibri"/>
          <w:i/>
          <w:spacing w:val="-2"/>
          <w:sz w:val="20"/>
          <w:vertAlign w:val="baseline"/>
        </w:rPr>
        <w:t> </w:t>
      </w:r>
      <w:r>
        <w:rPr>
          <w:rFonts w:ascii="Calibri"/>
          <w:i/>
          <w:sz w:val="20"/>
          <w:vertAlign w:val="baseline"/>
        </w:rPr>
        <w:t>Atlantic</w:t>
      </w:r>
      <w:r>
        <w:rPr>
          <w:rFonts w:ascii="Calibri"/>
          <w:i/>
          <w:spacing w:val="-1"/>
          <w:sz w:val="20"/>
          <w:vertAlign w:val="baseline"/>
        </w:rPr>
        <w:t> </w:t>
      </w:r>
      <w:r>
        <w:rPr>
          <w:rFonts w:ascii="Calibri"/>
          <w:i/>
          <w:sz w:val="20"/>
          <w:vertAlign w:val="baseline"/>
        </w:rPr>
        <w:t>Petroleum</w:t>
      </w:r>
      <w:r>
        <w:rPr>
          <w:rFonts w:ascii="Calibri"/>
          <w:i/>
          <w:spacing w:val="-2"/>
          <w:sz w:val="20"/>
          <w:vertAlign w:val="baseline"/>
        </w:rPr>
        <w:t> </w:t>
      </w:r>
      <w:r>
        <w:rPr>
          <w:rFonts w:ascii="Calibri"/>
          <w:i/>
          <w:sz w:val="20"/>
          <w:vertAlign w:val="baseline"/>
        </w:rPr>
        <w:t>Limited</w:t>
      </w:r>
      <w:r>
        <w:rPr>
          <w:rFonts w:ascii="Calibri"/>
          <w:i/>
          <w:spacing w:val="-2"/>
          <w:sz w:val="20"/>
          <w:vertAlign w:val="baseline"/>
        </w:rPr>
        <w:t> </w:t>
      </w:r>
      <w:r>
        <w:rPr>
          <w:rFonts w:ascii="Calibri"/>
          <w:i/>
          <w:sz w:val="20"/>
          <w:vertAlign w:val="baseline"/>
        </w:rPr>
        <w:t>v.</w:t>
      </w:r>
      <w:r>
        <w:rPr>
          <w:rFonts w:ascii="Calibri"/>
          <w:i/>
          <w:spacing w:val="-2"/>
          <w:sz w:val="20"/>
          <w:vertAlign w:val="baseline"/>
        </w:rPr>
        <w:t> </w:t>
      </w:r>
      <w:r>
        <w:rPr>
          <w:rFonts w:ascii="Calibri"/>
          <w:i/>
          <w:sz w:val="20"/>
          <w:vertAlign w:val="baseline"/>
        </w:rPr>
        <w:t>Minister</w:t>
      </w:r>
      <w:r>
        <w:rPr>
          <w:rFonts w:ascii="Calibri"/>
          <w:i/>
          <w:spacing w:val="-4"/>
          <w:sz w:val="20"/>
          <w:vertAlign w:val="baseline"/>
        </w:rPr>
        <w:t> </w:t>
      </w:r>
      <w:r>
        <w:rPr>
          <w:rFonts w:ascii="Calibri"/>
          <w:i/>
          <w:sz w:val="20"/>
          <w:vertAlign w:val="baseline"/>
        </w:rPr>
        <w:t>of</w:t>
      </w:r>
      <w:r>
        <w:rPr>
          <w:rFonts w:ascii="Calibri"/>
          <w:i/>
          <w:spacing w:val="-4"/>
          <w:sz w:val="20"/>
          <w:vertAlign w:val="baseline"/>
        </w:rPr>
        <w:t> </w:t>
      </w:r>
      <w:r>
        <w:rPr>
          <w:rFonts w:ascii="Calibri"/>
          <w:i/>
          <w:sz w:val="20"/>
          <w:vertAlign w:val="baseline"/>
        </w:rPr>
        <w:t>Petroleum</w:t>
      </w:r>
      <w:r>
        <w:rPr>
          <w:rFonts w:ascii="Calibri"/>
          <w:i/>
          <w:spacing w:val="-2"/>
          <w:sz w:val="20"/>
          <w:vertAlign w:val="baseline"/>
        </w:rPr>
        <w:t> </w:t>
      </w:r>
      <w:r>
        <w:rPr>
          <w:rFonts w:ascii="Calibri"/>
          <w:i/>
          <w:sz w:val="20"/>
          <w:vertAlign w:val="baseline"/>
        </w:rPr>
        <w:t>Resources</w:t>
      </w:r>
      <w:r>
        <w:rPr>
          <w:rFonts w:ascii="Calibri"/>
          <w:i/>
          <w:spacing w:val="-3"/>
          <w:sz w:val="20"/>
          <w:vertAlign w:val="baseline"/>
        </w:rPr>
        <w:t> </w:t>
      </w:r>
      <w:r>
        <w:rPr>
          <w:rFonts w:ascii="Calibri"/>
          <w:i/>
          <w:sz w:val="20"/>
          <w:vertAlign w:val="baseline"/>
        </w:rPr>
        <w:t>NOGC</w:t>
      </w:r>
      <w:r>
        <w:rPr>
          <w:rFonts w:ascii="Calibri"/>
          <w:i/>
          <w:spacing w:val="-4"/>
          <w:sz w:val="20"/>
          <w:vertAlign w:val="baseline"/>
        </w:rPr>
        <w:t> </w:t>
      </w:r>
      <w:r>
        <w:rPr>
          <w:rFonts w:ascii="Calibri"/>
          <w:i/>
          <w:sz w:val="20"/>
          <w:vertAlign w:val="baseline"/>
        </w:rPr>
        <w:t>6[2007-2008] 245 CA</w:t>
      </w:r>
      <w:r>
        <w:rPr>
          <w:rFonts w:ascii="Calibri"/>
          <w:sz w:val="20"/>
          <w:vertAlign w:val="baseline"/>
        </w:rPr>
        <w:t>.</w:t>
      </w:r>
    </w:p>
    <w:p>
      <w:pPr>
        <w:spacing w:line="243" w:lineRule="exact" w:before="0"/>
        <w:ind w:left="360" w:right="0" w:firstLine="0"/>
        <w:jc w:val="left"/>
        <w:rPr>
          <w:rFonts w:ascii="Calibri"/>
          <w:sz w:val="20"/>
        </w:rPr>
      </w:pPr>
      <w:r>
        <w:rPr>
          <w:rFonts w:ascii="Calibri"/>
          <w:sz w:val="20"/>
          <w:vertAlign w:val="superscript"/>
        </w:rPr>
        <w:t>23</w:t>
      </w:r>
      <w:r>
        <w:rPr>
          <w:rFonts w:ascii="Calibri"/>
          <w:sz w:val="20"/>
          <w:vertAlign w:val="baseline"/>
        </w:rPr>
        <w:t>Section</w:t>
      </w:r>
      <w:r>
        <w:rPr>
          <w:rFonts w:ascii="Calibri"/>
          <w:spacing w:val="-5"/>
          <w:sz w:val="20"/>
          <w:vertAlign w:val="baseline"/>
        </w:rPr>
        <w:t> </w:t>
      </w:r>
      <w:r>
        <w:rPr>
          <w:rFonts w:ascii="Calibri"/>
          <w:sz w:val="20"/>
          <w:vertAlign w:val="baseline"/>
        </w:rPr>
        <w:t>2</w:t>
      </w:r>
      <w:r>
        <w:rPr>
          <w:rFonts w:ascii="Calibri"/>
          <w:spacing w:val="-4"/>
          <w:sz w:val="20"/>
          <w:vertAlign w:val="baseline"/>
        </w:rPr>
        <w:t> </w:t>
      </w:r>
      <w:r>
        <w:rPr>
          <w:rFonts w:ascii="Calibri"/>
          <w:sz w:val="20"/>
          <w:vertAlign w:val="baseline"/>
        </w:rPr>
        <w:t>(2)</w:t>
      </w:r>
      <w:r>
        <w:rPr>
          <w:rFonts w:ascii="Calibri"/>
          <w:spacing w:val="-7"/>
          <w:sz w:val="20"/>
          <w:vertAlign w:val="baseline"/>
        </w:rPr>
        <w:t> </w:t>
      </w:r>
      <w:r>
        <w:rPr>
          <w:rFonts w:ascii="Calibri"/>
          <w:sz w:val="20"/>
          <w:vertAlign w:val="baseline"/>
        </w:rPr>
        <w:t>of</w:t>
      </w:r>
      <w:r>
        <w:rPr>
          <w:rFonts w:ascii="Calibri"/>
          <w:spacing w:val="-6"/>
          <w:sz w:val="20"/>
          <w:vertAlign w:val="baseline"/>
        </w:rPr>
        <w:t> </w:t>
      </w:r>
      <w:r>
        <w:rPr>
          <w:rFonts w:ascii="Calibri"/>
          <w:sz w:val="20"/>
          <w:vertAlign w:val="baseline"/>
        </w:rPr>
        <w:t>the</w:t>
      </w:r>
      <w:r>
        <w:rPr>
          <w:rFonts w:ascii="Calibri"/>
          <w:spacing w:val="-5"/>
          <w:sz w:val="20"/>
          <w:vertAlign w:val="baseline"/>
        </w:rPr>
        <w:t> </w:t>
      </w:r>
      <w:r>
        <w:rPr>
          <w:rFonts w:ascii="Calibri"/>
          <w:sz w:val="20"/>
          <w:vertAlign w:val="baseline"/>
        </w:rPr>
        <w:t>Petroleum</w:t>
      </w:r>
      <w:r>
        <w:rPr>
          <w:rFonts w:ascii="Calibri"/>
          <w:spacing w:val="-4"/>
          <w:sz w:val="20"/>
          <w:vertAlign w:val="baseline"/>
        </w:rPr>
        <w:t> </w:t>
      </w:r>
      <w:r>
        <w:rPr>
          <w:rFonts w:ascii="Calibri"/>
          <w:sz w:val="20"/>
          <w:vertAlign w:val="baseline"/>
        </w:rPr>
        <w:t>Act,</w:t>
      </w:r>
      <w:r>
        <w:rPr>
          <w:rFonts w:ascii="Calibri"/>
          <w:spacing w:val="-4"/>
          <w:sz w:val="20"/>
          <w:vertAlign w:val="baseline"/>
        </w:rPr>
        <w:t> </w:t>
      </w:r>
      <w:r>
        <w:rPr>
          <w:rFonts w:ascii="Calibri"/>
          <w:sz w:val="20"/>
          <w:vertAlign w:val="baseline"/>
        </w:rPr>
        <w:t>Law</w:t>
      </w:r>
      <w:r>
        <w:rPr>
          <w:rFonts w:ascii="Calibri"/>
          <w:spacing w:val="-6"/>
          <w:sz w:val="20"/>
          <w:vertAlign w:val="baseline"/>
        </w:rPr>
        <w:t> </w:t>
      </w:r>
      <w:r>
        <w:rPr>
          <w:rFonts w:ascii="Calibri"/>
          <w:sz w:val="20"/>
          <w:vertAlign w:val="baseline"/>
        </w:rPr>
        <w:t>of</w:t>
      </w:r>
      <w:r>
        <w:rPr>
          <w:rFonts w:ascii="Calibri"/>
          <w:spacing w:val="-6"/>
          <w:sz w:val="20"/>
          <w:vertAlign w:val="baseline"/>
        </w:rPr>
        <w:t> </w:t>
      </w:r>
      <w:r>
        <w:rPr>
          <w:rFonts w:ascii="Calibri"/>
          <w:sz w:val="20"/>
          <w:vertAlign w:val="baseline"/>
        </w:rPr>
        <w:t>Federation</w:t>
      </w:r>
      <w:r>
        <w:rPr>
          <w:rFonts w:ascii="Calibri"/>
          <w:spacing w:val="-5"/>
          <w:sz w:val="20"/>
          <w:vertAlign w:val="baseline"/>
        </w:rPr>
        <w:t> </w:t>
      </w:r>
      <w:r>
        <w:rPr>
          <w:rFonts w:ascii="Calibri"/>
          <w:sz w:val="20"/>
          <w:vertAlign w:val="baseline"/>
        </w:rPr>
        <w:t>of</w:t>
      </w:r>
      <w:r>
        <w:rPr>
          <w:rFonts w:ascii="Calibri"/>
          <w:spacing w:val="-6"/>
          <w:sz w:val="20"/>
          <w:vertAlign w:val="baseline"/>
        </w:rPr>
        <w:t> </w:t>
      </w:r>
      <w:r>
        <w:rPr>
          <w:rFonts w:ascii="Calibri"/>
          <w:sz w:val="20"/>
          <w:vertAlign w:val="baseline"/>
        </w:rPr>
        <w:t>Nigeria</w:t>
      </w:r>
      <w:r>
        <w:rPr>
          <w:rFonts w:ascii="Calibri"/>
          <w:spacing w:val="-4"/>
          <w:sz w:val="20"/>
          <w:vertAlign w:val="baseline"/>
        </w:rPr>
        <w:t> </w:t>
      </w:r>
      <w:r>
        <w:rPr>
          <w:rFonts w:ascii="Calibri"/>
          <w:spacing w:val="-2"/>
          <w:sz w:val="20"/>
          <w:vertAlign w:val="baseline"/>
        </w:rPr>
        <w:t>2004.</w:t>
      </w:r>
    </w:p>
    <w:p>
      <w:pPr>
        <w:spacing w:before="0"/>
        <w:ind w:left="360" w:right="0" w:firstLine="0"/>
        <w:jc w:val="left"/>
        <w:rPr>
          <w:rFonts w:ascii="Calibri"/>
          <w:sz w:val="20"/>
        </w:rPr>
      </w:pPr>
      <w:r>
        <w:rPr>
          <w:rFonts w:ascii="Calibri"/>
          <w:sz w:val="20"/>
          <w:vertAlign w:val="superscript"/>
        </w:rPr>
        <w:t>24</w:t>
      </w:r>
      <w:r>
        <w:rPr>
          <w:rFonts w:ascii="Calibri"/>
          <w:sz w:val="20"/>
          <w:vertAlign w:val="baseline"/>
        </w:rPr>
        <w:t>NOGC</w:t>
      </w:r>
      <w:r>
        <w:rPr>
          <w:rFonts w:ascii="Calibri"/>
          <w:spacing w:val="-7"/>
          <w:sz w:val="20"/>
          <w:vertAlign w:val="baseline"/>
        </w:rPr>
        <w:t> </w:t>
      </w:r>
      <w:r>
        <w:rPr>
          <w:rFonts w:ascii="Calibri"/>
          <w:sz w:val="20"/>
          <w:vertAlign w:val="baseline"/>
        </w:rPr>
        <w:t>1</w:t>
      </w:r>
      <w:r>
        <w:rPr>
          <w:rFonts w:ascii="Calibri"/>
          <w:spacing w:val="-6"/>
          <w:sz w:val="20"/>
          <w:vertAlign w:val="baseline"/>
        </w:rPr>
        <w:t> </w:t>
      </w:r>
      <w:r>
        <w:rPr>
          <w:rFonts w:ascii="Calibri"/>
          <w:sz w:val="20"/>
          <w:vertAlign w:val="baseline"/>
        </w:rPr>
        <w:t>[1961-1995]</w:t>
      </w:r>
      <w:r>
        <w:rPr>
          <w:rFonts w:ascii="Calibri"/>
          <w:spacing w:val="-4"/>
          <w:sz w:val="20"/>
          <w:vertAlign w:val="baseline"/>
        </w:rPr>
        <w:t> </w:t>
      </w:r>
      <w:r>
        <w:rPr>
          <w:rFonts w:ascii="Calibri"/>
          <w:sz w:val="20"/>
          <w:vertAlign w:val="baseline"/>
        </w:rPr>
        <w:t>205</w:t>
      </w:r>
      <w:r>
        <w:rPr>
          <w:rFonts w:ascii="Calibri"/>
          <w:spacing w:val="-7"/>
          <w:sz w:val="20"/>
          <w:vertAlign w:val="baseline"/>
        </w:rPr>
        <w:t> </w:t>
      </w:r>
      <w:r>
        <w:rPr>
          <w:rFonts w:ascii="Calibri"/>
          <w:spacing w:val="-5"/>
          <w:sz w:val="20"/>
          <w:vertAlign w:val="baseline"/>
        </w:rPr>
        <w:t>CA.</w:t>
      </w:r>
    </w:p>
    <w:p>
      <w:pPr>
        <w:spacing w:after="0"/>
        <w:jc w:val="left"/>
        <w:rPr>
          <w:rFonts w:ascii="Calibri"/>
          <w:sz w:val="20"/>
        </w:rPr>
        <w:sectPr>
          <w:pgSz w:w="11910" w:h="16840"/>
          <w:pgMar w:header="0" w:footer="1000" w:top="1340" w:bottom="1200" w:left="1080" w:right="1280"/>
        </w:sectPr>
      </w:pPr>
    </w:p>
    <w:p>
      <w:pPr>
        <w:pStyle w:val="BodyText"/>
        <w:spacing w:line="480" w:lineRule="auto" w:before="74"/>
        <w:ind w:left="360" w:right="163"/>
        <w:jc w:val="both"/>
      </w:pPr>
      <w:r>
        <w:rPr/>
        <w:t>licenses, whatever right is granted to a company, the reversionary right is retained in the grantor, which is the Federal Government of Nigeria. The licenses that can be granted are:</w:t>
      </w:r>
    </w:p>
    <w:p>
      <w:pPr>
        <w:pStyle w:val="Heading3"/>
        <w:numPr>
          <w:ilvl w:val="2"/>
          <w:numId w:val="8"/>
        </w:numPr>
        <w:tabs>
          <w:tab w:pos="1079" w:val="left" w:leader="none"/>
        </w:tabs>
        <w:spacing w:line="240" w:lineRule="auto" w:before="5" w:after="0"/>
        <w:ind w:left="1079" w:right="0" w:hanging="719"/>
        <w:jc w:val="both"/>
      </w:pPr>
      <w:r>
        <w:rPr/>
        <w:t>Oil</w:t>
      </w:r>
      <w:r>
        <w:rPr>
          <w:spacing w:val="-4"/>
        </w:rPr>
        <w:t> </w:t>
      </w:r>
      <w:r>
        <w:rPr/>
        <w:t>Exploration</w:t>
      </w:r>
      <w:r>
        <w:rPr>
          <w:spacing w:val="-2"/>
        </w:rPr>
        <w:t> </w:t>
      </w:r>
      <w:r>
        <w:rPr/>
        <w:t>License</w:t>
      </w:r>
      <w:r>
        <w:rPr>
          <w:spacing w:val="-2"/>
        </w:rPr>
        <w:t> (OEL)</w:t>
      </w:r>
    </w:p>
    <w:p>
      <w:pPr>
        <w:pStyle w:val="BodyText"/>
        <w:spacing w:line="480" w:lineRule="auto" w:before="271"/>
        <w:ind w:left="360" w:right="160" w:firstLine="360"/>
        <w:jc w:val="both"/>
      </w:pPr>
      <w:r>
        <w:rPr/>
        <w:t>An oil exploration license is granted to a company to explore for petroleum. An oil exploration license does not confer any exclusive license over the area of the license, and the grant of an oil prospecting license in respect of any area shall not preclude the grant of another oil exploration license or of an oil prospecting license or oil mining lease over the same area or any part thereof</w:t>
      </w:r>
      <w:r>
        <w:rPr>
          <w:vertAlign w:val="superscript"/>
        </w:rPr>
        <w:t>25</w:t>
      </w:r>
      <w:r>
        <w:rPr>
          <w:vertAlign w:val="baseline"/>
        </w:rPr>
        <w:t>. An oil exploration license shall terminate on 31st December next following the date on which it was granted, but the licensee shall have an option to</w:t>
      </w:r>
      <w:r>
        <w:rPr>
          <w:spacing w:val="40"/>
          <w:vertAlign w:val="baseline"/>
        </w:rPr>
        <w:t> </w:t>
      </w:r>
      <w:r>
        <w:rPr>
          <w:vertAlign w:val="baseline"/>
        </w:rPr>
        <w:t>renew the license upon the fulfillment of certain conditions.</w:t>
      </w:r>
    </w:p>
    <w:p>
      <w:pPr>
        <w:pStyle w:val="Heading3"/>
        <w:numPr>
          <w:ilvl w:val="2"/>
          <w:numId w:val="8"/>
        </w:numPr>
        <w:tabs>
          <w:tab w:pos="1079" w:val="left" w:leader="none"/>
        </w:tabs>
        <w:spacing w:line="240" w:lineRule="auto" w:before="5" w:after="0"/>
        <w:ind w:left="1079" w:right="0" w:hanging="719"/>
        <w:jc w:val="both"/>
      </w:pPr>
      <w:r>
        <w:rPr/>
        <w:t>Oil</w:t>
      </w:r>
      <w:r>
        <w:rPr>
          <w:spacing w:val="-2"/>
        </w:rPr>
        <w:t> </w:t>
      </w:r>
      <w:r>
        <w:rPr/>
        <w:t>Prospecting</w:t>
      </w:r>
      <w:r>
        <w:rPr>
          <w:spacing w:val="-1"/>
        </w:rPr>
        <w:t> </w:t>
      </w:r>
      <w:r>
        <w:rPr/>
        <w:t>License</w:t>
      </w:r>
      <w:r>
        <w:rPr>
          <w:spacing w:val="-2"/>
        </w:rPr>
        <w:t> </w:t>
      </w:r>
      <w:r>
        <w:rPr>
          <w:spacing w:val="-4"/>
        </w:rPr>
        <w:t>(OPL)</w:t>
      </w:r>
    </w:p>
    <w:p>
      <w:pPr>
        <w:pStyle w:val="BodyText"/>
        <w:spacing w:line="480" w:lineRule="auto" w:before="272"/>
        <w:ind w:left="360" w:right="153" w:firstLine="360"/>
        <w:jc w:val="both"/>
      </w:pPr>
      <w:r>
        <w:rPr/>
        <w:t>This license confers exclusive right on the holder of the license to explore, carry away</w:t>
      </w:r>
      <w:r>
        <w:rPr>
          <w:spacing w:val="80"/>
        </w:rPr>
        <w:t> </w:t>
      </w:r>
      <w:r>
        <w:rPr/>
        <w:t>and dispose of petroleum discovered and won in the area of operation</w:t>
      </w:r>
      <w:r>
        <w:rPr>
          <w:vertAlign w:val="superscript"/>
        </w:rPr>
        <w:t>26</w:t>
      </w:r>
      <w:r>
        <w:rPr>
          <w:vertAlign w:val="baseline"/>
        </w:rPr>
        <w:t>. The area covered by an oil prospecting</w:t>
      </w:r>
      <w:r>
        <w:rPr>
          <w:spacing w:val="-3"/>
          <w:vertAlign w:val="baseline"/>
        </w:rPr>
        <w:t> </w:t>
      </w:r>
      <w:r>
        <w:rPr>
          <w:vertAlign w:val="baseline"/>
        </w:rPr>
        <w:t>license must be</w:t>
      </w:r>
      <w:r>
        <w:rPr>
          <w:spacing w:val="-1"/>
          <w:vertAlign w:val="baseline"/>
        </w:rPr>
        <w:t> </w:t>
      </w:r>
      <w:r>
        <w:rPr>
          <w:vertAlign w:val="baseline"/>
        </w:rPr>
        <w:t>compact but not being an area</w:t>
      </w:r>
      <w:r>
        <w:rPr>
          <w:spacing w:val="-1"/>
          <w:vertAlign w:val="baseline"/>
        </w:rPr>
        <w:t> </w:t>
      </w:r>
      <w:r>
        <w:rPr>
          <w:vertAlign w:val="baseline"/>
        </w:rPr>
        <w:t>in excess of</w:t>
      </w:r>
      <w:r>
        <w:rPr>
          <w:spacing w:val="-1"/>
          <w:vertAlign w:val="baseline"/>
        </w:rPr>
        <w:t> </w:t>
      </w:r>
      <w:r>
        <w:rPr>
          <w:vertAlign w:val="baseline"/>
        </w:rPr>
        <w:t>2590km2 (1000 sq. Miles). The</w:t>
      </w:r>
      <w:r>
        <w:rPr>
          <w:spacing w:val="-2"/>
          <w:vertAlign w:val="baseline"/>
        </w:rPr>
        <w:t> </w:t>
      </w:r>
      <w:r>
        <w:rPr>
          <w:vertAlign w:val="baseline"/>
        </w:rPr>
        <w:t>award</w:t>
      </w:r>
      <w:r>
        <w:rPr>
          <w:spacing w:val="-1"/>
          <w:vertAlign w:val="baseline"/>
        </w:rPr>
        <w:t> </w:t>
      </w:r>
      <w:r>
        <w:rPr>
          <w:vertAlign w:val="baseline"/>
        </w:rPr>
        <w:t>of oil prospecting</w:t>
      </w:r>
      <w:r>
        <w:rPr>
          <w:spacing w:val="-3"/>
          <w:vertAlign w:val="baseline"/>
        </w:rPr>
        <w:t> </w:t>
      </w:r>
      <w:r>
        <w:rPr>
          <w:vertAlign w:val="baseline"/>
        </w:rPr>
        <w:t>license</w:t>
      </w:r>
      <w:r>
        <w:rPr>
          <w:spacing w:val="-1"/>
          <w:vertAlign w:val="baseline"/>
        </w:rPr>
        <w:t> </w:t>
      </w:r>
      <w:r>
        <w:rPr>
          <w:vertAlign w:val="baseline"/>
        </w:rPr>
        <w:t>creates</w:t>
      </w:r>
      <w:r>
        <w:rPr>
          <w:spacing w:val="-1"/>
          <w:vertAlign w:val="baseline"/>
        </w:rPr>
        <w:t> </w:t>
      </w:r>
      <w:r>
        <w:rPr>
          <w:vertAlign w:val="baseline"/>
        </w:rPr>
        <w:t>a</w:t>
      </w:r>
      <w:r>
        <w:rPr>
          <w:spacing w:val="-1"/>
          <w:vertAlign w:val="baseline"/>
        </w:rPr>
        <w:t> </w:t>
      </w:r>
      <w:r>
        <w:rPr>
          <w:vertAlign w:val="baseline"/>
        </w:rPr>
        <w:t>contractual relationship between the parties which is statutory in nature. The duration of an oil prospecting license shall be determined by</w:t>
      </w:r>
      <w:r>
        <w:rPr>
          <w:spacing w:val="-4"/>
          <w:vertAlign w:val="baseline"/>
        </w:rPr>
        <w:t> </w:t>
      </w:r>
      <w:r>
        <w:rPr>
          <w:vertAlign w:val="baseline"/>
        </w:rPr>
        <w:t>the Minister, but shall not exceed five years (including any</w:t>
      </w:r>
      <w:r>
        <w:rPr>
          <w:spacing w:val="-4"/>
          <w:vertAlign w:val="baseline"/>
        </w:rPr>
        <w:t> </w:t>
      </w:r>
      <w:r>
        <w:rPr>
          <w:vertAlign w:val="baseline"/>
        </w:rPr>
        <w:t>period of renewal). The holder of an oil prospecting license may carry away and dispose of petroleum won</w:t>
      </w:r>
      <w:r>
        <w:rPr>
          <w:spacing w:val="40"/>
          <w:vertAlign w:val="baseline"/>
        </w:rPr>
        <w:t> </w:t>
      </w:r>
      <w:r>
        <w:rPr>
          <w:vertAlign w:val="baseline"/>
        </w:rPr>
        <w:t>during prospecting operations, subject to the fulfillment of obligations imposed upon him by or under the Act. These obligations include any special conditions imposed under paragraph 34 of</w:t>
      </w:r>
      <w:r>
        <w:rPr>
          <w:spacing w:val="1"/>
          <w:vertAlign w:val="baseline"/>
        </w:rPr>
        <w:t> </w:t>
      </w:r>
      <w:r>
        <w:rPr>
          <w:vertAlign w:val="baseline"/>
        </w:rPr>
        <w:t>the</w:t>
      </w:r>
      <w:r>
        <w:rPr>
          <w:spacing w:val="4"/>
          <w:vertAlign w:val="baseline"/>
        </w:rPr>
        <w:t> </w:t>
      </w:r>
      <w:r>
        <w:rPr>
          <w:vertAlign w:val="baseline"/>
        </w:rPr>
        <w:t>First</w:t>
      </w:r>
      <w:r>
        <w:rPr>
          <w:spacing w:val="2"/>
          <w:vertAlign w:val="baseline"/>
        </w:rPr>
        <w:t> </w:t>
      </w:r>
      <w:r>
        <w:rPr>
          <w:vertAlign w:val="baseline"/>
        </w:rPr>
        <w:t>Schedule</w:t>
      </w:r>
      <w:r>
        <w:rPr>
          <w:spacing w:val="1"/>
          <w:vertAlign w:val="baseline"/>
        </w:rPr>
        <w:t> </w:t>
      </w:r>
      <w:r>
        <w:rPr>
          <w:vertAlign w:val="baseline"/>
        </w:rPr>
        <w:t>to</w:t>
      </w:r>
      <w:r>
        <w:rPr>
          <w:spacing w:val="2"/>
          <w:vertAlign w:val="baseline"/>
        </w:rPr>
        <w:t> </w:t>
      </w:r>
      <w:r>
        <w:rPr>
          <w:vertAlign w:val="baseline"/>
        </w:rPr>
        <w:t>the</w:t>
      </w:r>
      <w:r>
        <w:rPr>
          <w:spacing w:val="1"/>
          <w:vertAlign w:val="baseline"/>
        </w:rPr>
        <w:t> </w:t>
      </w:r>
      <w:r>
        <w:rPr>
          <w:vertAlign w:val="baseline"/>
        </w:rPr>
        <w:t>Petroleum</w:t>
      </w:r>
      <w:r>
        <w:rPr>
          <w:spacing w:val="2"/>
          <w:vertAlign w:val="baseline"/>
        </w:rPr>
        <w:t> </w:t>
      </w:r>
      <w:r>
        <w:rPr>
          <w:vertAlign w:val="baseline"/>
        </w:rPr>
        <w:t>Act</w:t>
      </w:r>
      <w:r>
        <w:rPr>
          <w:spacing w:val="3"/>
          <w:vertAlign w:val="baseline"/>
        </w:rPr>
        <w:t> </w:t>
      </w:r>
      <w:r>
        <w:rPr>
          <w:vertAlign w:val="baseline"/>
        </w:rPr>
        <w:t>or</w:t>
      </w:r>
      <w:r>
        <w:rPr>
          <w:spacing w:val="1"/>
          <w:vertAlign w:val="baseline"/>
        </w:rPr>
        <w:t> </w:t>
      </w:r>
      <w:r>
        <w:rPr>
          <w:vertAlign w:val="baseline"/>
        </w:rPr>
        <w:t>by</w:t>
      </w:r>
      <w:r>
        <w:rPr>
          <w:spacing w:val="-1"/>
          <w:vertAlign w:val="baseline"/>
        </w:rPr>
        <w:t> </w:t>
      </w:r>
      <w:r>
        <w:rPr>
          <w:vertAlign w:val="baseline"/>
        </w:rPr>
        <w:t>the</w:t>
      </w:r>
      <w:r>
        <w:rPr>
          <w:spacing w:val="3"/>
          <w:vertAlign w:val="baseline"/>
        </w:rPr>
        <w:t> </w:t>
      </w:r>
      <w:r>
        <w:rPr>
          <w:vertAlign w:val="baseline"/>
        </w:rPr>
        <w:t>Petroleum</w:t>
      </w:r>
      <w:r>
        <w:rPr>
          <w:spacing w:val="2"/>
          <w:vertAlign w:val="baseline"/>
        </w:rPr>
        <w:t> </w:t>
      </w:r>
      <w:r>
        <w:rPr>
          <w:vertAlign w:val="baseline"/>
        </w:rPr>
        <w:t>Profit</w:t>
      </w:r>
      <w:r>
        <w:rPr>
          <w:spacing w:val="2"/>
          <w:vertAlign w:val="baseline"/>
        </w:rPr>
        <w:t> </w:t>
      </w:r>
      <w:r>
        <w:rPr>
          <w:vertAlign w:val="baseline"/>
        </w:rPr>
        <w:t>Tax</w:t>
      </w:r>
      <w:r>
        <w:rPr>
          <w:spacing w:val="4"/>
          <w:vertAlign w:val="baseline"/>
        </w:rPr>
        <w:t> </w:t>
      </w:r>
      <w:r>
        <w:rPr>
          <w:vertAlign w:val="baseline"/>
        </w:rPr>
        <w:t>Act</w:t>
      </w:r>
      <w:r>
        <w:rPr>
          <w:spacing w:val="2"/>
          <w:vertAlign w:val="baseline"/>
        </w:rPr>
        <w:t> </w:t>
      </w:r>
      <w:r>
        <w:rPr>
          <w:vertAlign w:val="baseline"/>
        </w:rPr>
        <w:t>or</w:t>
      </w:r>
      <w:r>
        <w:rPr>
          <w:spacing w:val="1"/>
          <w:vertAlign w:val="baseline"/>
        </w:rPr>
        <w:t> </w:t>
      </w:r>
      <w:r>
        <w:rPr>
          <w:vertAlign w:val="baseline"/>
        </w:rPr>
        <w:t>any</w:t>
      </w:r>
      <w:r>
        <w:rPr>
          <w:spacing w:val="-2"/>
          <w:vertAlign w:val="baseline"/>
        </w:rPr>
        <w:t> other</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22"/>
        <w:rPr>
          <w:sz w:val="20"/>
        </w:rPr>
      </w:pPr>
      <w:r>
        <w:rPr/>
        <mc:AlternateContent>
          <mc:Choice Requires="wps">
            <w:drawing>
              <wp:anchor distT="0" distB="0" distL="0" distR="0" allowOverlap="1" layoutInCell="1" locked="0" behindDoc="1" simplePos="0" relativeHeight="487606784">
                <wp:simplePos x="0" y="0"/>
                <wp:positionH relativeFrom="page">
                  <wp:posOffset>914704</wp:posOffset>
                </wp:positionH>
                <wp:positionV relativeFrom="paragraph">
                  <wp:posOffset>239289</wp:posOffset>
                </wp:positionV>
                <wp:extent cx="1829435" cy="9525"/>
                <wp:effectExtent l="0" t="0" r="0" b="0"/>
                <wp:wrapTopAndBottom/>
                <wp:docPr id="41" name="Graphic 41"/>
                <wp:cNvGraphicFramePr>
                  <a:graphicFrameLocks/>
                </wp:cNvGraphicFramePr>
                <a:graphic>
                  <a:graphicData uri="http://schemas.microsoft.com/office/word/2010/wordprocessingShape">
                    <wps:wsp>
                      <wps:cNvPr id="41" name="Graphic 41"/>
                      <wps:cNvSpPr/>
                      <wps:spPr>
                        <a:xfrm>
                          <a:off x="0" y="0"/>
                          <a:ext cx="1829435" cy="9525"/>
                        </a:xfrm>
                        <a:custGeom>
                          <a:avLst/>
                          <a:gdLst/>
                          <a:ahLst/>
                          <a:cxnLst/>
                          <a:rect l="l" t="t" r="r" b="b"/>
                          <a:pathLst>
                            <a:path w="1829435" h="9525">
                              <a:moveTo>
                                <a:pt x="1829054" y="0"/>
                              </a:moveTo>
                              <a:lnTo>
                                <a:pt x="0" y="0"/>
                              </a:lnTo>
                              <a:lnTo>
                                <a:pt x="0" y="9144"/>
                              </a:lnTo>
                              <a:lnTo>
                                <a:pt x="1829054" y="9144"/>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18.841728pt;width:144.020pt;height:.72003pt;mso-position-horizontal-relative:page;mso-position-vertical-relative:paragraph;z-index:-15709696;mso-wrap-distance-left:0;mso-wrap-distance-right:0" id="docshape41" filled="true" fillcolor="#000000" stroked="false">
                <v:fill type="solid"/>
                <w10:wrap type="topAndBottom"/>
              </v:rect>
            </w:pict>
          </mc:Fallback>
        </mc:AlternateContent>
      </w:r>
    </w:p>
    <w:p>
      <w:pPr>
        <w:spacing w:line="243" w:lineRule="exact" w:before="102"/>
        <w:ind w:left="360" w:right="0" w:firstLine="0"/>
        <w:jc w:val="left"/>
        <w:rPr>
          <w:rFonts w:ascii="Calibri"/>
          <w:sz w:val="20"/>
        </w:rPr>
      </w:pPr>
      <w:r>
        <w:rPr>
          <w:rFonts w:ascii="Calibri"/>
          <w:sz w:val="20"/>
          <w:vertAlign w:val="superscript"/>
        </w:rPr>
        <w:t>25</w:t>
      </w:r>
      <w:r>
        <w:rPr>
          <w:rFonts w:ascii="Calibri"/>
          <w:sz w:val="20"/>
          <w:vertAlign w:val="baseline"/>
        </w:rPr>
        <w:t>See</w:t>
      </w:r>
      <w:r>
        <w:rPr>
          <w:rFonts w:ascii="Calibri"/>
          <w:spacing w:val="-6"/>
          <w:sz w:val="20"/>
          <w:vertAlign w:val="baseline"/>
        </w:rPr>
        <w:t> </w:t>
      </w:r>
      <w:r>
        <w:rPr>
          <w:rFonts w:ascii="Calibri"/>
          <w:sz w:val="20"/>
          <w:vertAlign w:val="baseline"/>
        </w:rPr>
        <w:t>paragraph</w:t>
      </w:r>
      <w:r>
        <w:rPr>
          <w:rFonts w:ascii="Calibri"/>
          <w:spacing w:val="-5"/>
          <w:sz w:val="20"/>
          <w:vertAlign w:val="baseline"/>
        </w:rPr>
        <w:t> </w:t>
      </w:r>
      <w:r>
        <w:rPr>
          <w:rFonts w:ascii="Calibri"/>
          <w:sz w:val="20"/>
          <w:vertAlign w:val="baseline"/>
        </w:rPr>
        <w:t>2</w:t>
      </w:r>
      <w:r>
        <w:rPr>
          <w:rFonts w:ascii="Calibri"/>
          <w:spacing w:val="-5"/>
          <w:sz w:val="20"/>
          <w:vertAlign w:val="baseline"/>
        </w:rPr>
        <w:t> </w:t>
      </w:r>
      <w:r>
        <w:rPr>
          <w:rFonts w:ascii="Calibri"/>
          <w:sz w:val="20"/>
          <w:vertAlign w:val="baseline"/>
        </w:rPr>
        <w:t>to</w:t>
      </w:r>
      <w:r>
        <w:rPr>
          <w:rFonts w:ascii="Calibri"/>
          <w:spacing w:val="-5"/>
          <w:sz w:val="20"/>
          <w:vertAlign w:val="baseline"/>
        </w:rPr>
        <w:t> </w:t>
      </w:r>
      <w:r>
        <w:rPr>
          <w:rFonts w:ascii="Calibri"/>
          <w:sz w:val="20"/>
          <w:vertAlign w:val="baseline"/>
        </w:rPr>
        <w:t>the</w:t>
      </w:r>
      <w:r>
        <w:rPr>
          <w:rFonts w:ascii="Calibri"/>
          <w:spacing w:val="-6"/>
          <w:sz w:val="20"/>
          <w:vertAlign w:val="baseline"/>
        </w:rPr>
        <w:t> </w:t>
      </w:r>
      <w:r>
        <w:rPr>
          <w:rFonts w:ascii="Calibri"/>
          <w:sz w:val="20"/>
          <w:vertAlign w:val="baseline"/>
        </w:rPr>
        <w:t>First</w:t>
      </w:r>
      <w:r>
        <w:rPr>
          <w:rFonts w:ascii="Calibri"/>
          <w:spacing w:val="-5"/>
          <w:sz w:val="20"/>
          <w:vertAlign w:val="baseline"/>
        </w:rPr>
        <w:t> </w:t>
      </w:r>
      <w:r>
        <w:rPr>
          <w:rFonts w:ascii="Calibri"/>
          <w:sz w:val="20"/>
          <w:vertAlign w:val="baseline"/>
        </w:rPr>
        <w:t>Schedule</w:t>
      </w:r>
      <w:r>
        <w:rPr>
          <w:rFonts w:ascii="Calibri"/>
          <w:spacing w:val="-7"/>
          <w:sz w:val="20"/>
          <w:vertAlign w:val="baseline"/>
        </w:rPr>
        <w:t> </w:t>
      </w:r>
      <w:r>
        <w:rPr>
          <w:rFonts w:ascii="Calibri"/>
          <w:sz w:val="20"/>
          <w:vertAlign w:val="baseline"/>
        </w:rPr>
        <w:t>to</w:t>
      </w:r>
      <w:r>
        <w:rPr>
          <w:rFonts w:ascii="Calibri"/>
          <w:spacing w:val="-5"/>
          <w:sz w:val="20"/>
          <w:vertAlign w:val="baseline"/>
        </w:rPr>
        <w:t> </w:t>
      </w:r>
      <w:r>
        <w:rPr>
          <w:rFonts w:ascii="Calibri"/>
          <w:sz w:val="20"/>
          <w:vertAlign w:val="baseline"/>
        </w:rPr>
        <w:t>the</w:t>
      </w:r>
      <w:r>
        <w:rPr>
          <w:rFonts w:ascii="Calibri"/>
          <w:spacing w:val="-6"/>
          <w:sz w:val="20"/>
          <w:vertAlign w:val="baseline"/>
        </w:rPr>
        <w:t> </w:t>
      </w:r>
      <w:r>
        <w:rPr>
          <w:rFonts w:ascii="Calibri"/>
          <w:sz w:val="20"/>
          <w:vertAlign w:val="baseline"/>
        </w:rPr>
        <w:t>Petroleum</w:t>
      </w:r>
      <w:r>
        <w:rPr>
          <w:rFonts w:ascii="Calibri"/>
          <w:spacing w:val="-5"/>
          <w:sz w:val="20"/>
          <w:vertAlign w:val="baseline"/>
        </w:rPr>
        <w:t> </w:t>
      </w:r>
      <w:r>
        <w:rPr>
          <w:rFonts w:ascii="Calibri"/>
          <w:sz w:val="20"/>
          <w:vertAlign w:val="baseline"/>
        </w:rPr>
        <w:t>Act,</w:t>
      </w:r>
      <w:r>
        <w:rPr>
          <w:rFonts w:ascii="Calibri"/>
          <w:spacing w:val="-4"/>
          <w:sz w:val="20"/>
          <w:vertAlign w:val="baseline"/>
        </w:rPr>
        <w:t> 2004</w:t>
      </w:r>
    </w:p>
    <w:p>
      <w:pPr>
        <w:spacing w:before="0"/>
        <w:ind w:left="360" w:right="302" w:firstLine="0"/>
        <w:jc w:val="left"/>
        <w:rPr>
          <w:rFonts w:ascii="Calibri"/>
          <w:sz w:val="20"/>
        </w:rPr>
      </w:pPr>
      <w:r>
        <w:rPr>
          <w:rFonts w:ascii="Calibri"/>
          <w:sz w:val="20"/>
          <w:vertAlign w:val="superscript"/>
        </w:rPr>
        <w:t>26</w:t>
      </w:r>
      <w:r>
        <w:rPr>
          <w:rFonts w:ascii="Calibri"/>
          <w:sz w:val="20"/>
          <w:vertAlign w:val="baseline"/>
        </w:rPr>
        <w:t>Oil</w:t>
      </w:r>
      <w:r>
        <w:rPr>
          <w:rFonts w:ascii="Calibri"/>
          <w:spacing w:val="-3"/>
          <w:sz w:val="20"/>
          <w:vertAlign w:val="baseline"/>
        </w:rPr>
        <w:t> </w:t>
      </w:r>
      <w:r>
        <w:rPr>
          <w:rFonts w:ascii="Calibri"/>
          <w:sz w:val="20"/>
          <w:vertAlign w:val="baseline"/>
        </w:rPr>
        <w:t>Prospecting</w:t>
      </w:r>
      <w:r>
        <w:rPr>
          <w:rFonts w:ascii="Calibri"/>
          <w:spacing w:val="-3"/>
          <w:sz w:val="20"/>
          <w:vertAlign w:val="baseline"/>
        </w:rPr>
        <w:t> </w:t>
      </w:r>
      <w:r>
        <w:rPr>
          <w:rFonts w:ascii="Calibri"/>
          <w:sz w:val="20"/>
          <w:vertAlign w:val="baseline"/>
        </w:rPr>
        <w:t>Licence</w:t>
      </w:r>
      <w:r>
        <w:rPr>
          <w:rFonts w:ascii="Calibri"/>
          <w:spacing w:val="-3"/>
          <w:sz w:val="20"/>
          <w:vertAlign w:val="baseline"/>
        </w:rPr>
        <w:t> </w:t>
      </w:r>
      <w:r>
        <w:rPr>
          <w:rFonts w:ascii="Calibri"/>
          <w:sz w:val="20"/>
          <w:vertAlign w:val="baseline"/>
        </w:rPr>
        <w:t>is</w:t>
      </w:r>
      <w:r>
        <w:rPr>
          <w:rFonts w:ascii="Calibri"/>
          <w:spacing w:val="-4"/>
          <w:sz w:val="20"/>
          <w:vertAlign w:val="baseline"/>
        </w:rPr>
        <w:t> </w:t>
      </w:r>
      <w:r>
        <w:rPr>
          <w:rFonts w:ascii="Calibri"/>
          <w:sz w:val="20"/>
          <w:vertAlign w:val="baseline"/>
        </w:rPr>
        <w:t>defined</w:t>
      </w:r>
      <w:r>
        <w:rPr>
          <w:rFonts w:ascii="Calibri"/>
          <w:spacing w:val="-2"/>
          <w:sz w:val="20"/>
          <w:vertAlign w:val="baseline"/>
        </w:rPr>
        <w:t> </w:t>
      </w:r>
      <w:r>
        <w:rPr>
          <w:rFonts w:ascii="Calibri"/>
          <w:sz w:val="20"/>
          <w:vertAlign w:val="baseline"/>
        </w:rPr>
        <w:t>in</w:t>
      </w:r>
      <w:r>
        <w:rPr>
          <w:rFonts w:ascii="Calibri"/>
          <w:spacing w:val="-2"/>
          <w:sz w:val="20"/>
          <w:vertAlign w:val="baseline"/>
        </w:rPr>
        <w:t> </w:t>
      </w:r>
      <w:r>
        <w:rPr>
          <w:rFonts w:ascii="Calibri"/>
          <w:sz w:val="20"/>
          <w:vertAlign w:val="baseline"/>
        </w:rPr>
        <w:t>section</w:t>
      </w:r>
      <w:r>
        <w:rPr>
          <w:rFonts w:ascii="Calibri"/>
          <w:spacing w:val="-2"/>
          <w:sz w:val="20"/>
          <w:vertAlign w:val="baseline"/>
        </w:rPr>
        <w:t> </w:t>
      </w:r>
      <w:r>
        <w:rPr>
          <w:rFonts w:ascii="Calibri"/>
          <w:sz w:val="20"/>
          <w:vertAlign w:val="baseline"/>
        </w:rPr>
        <w:t>2</w:t>
      </w:r>
      <w:r>
        <w:rPr>
          <w:rFonts w:ascii="Calibri"/>
          <w:spacing w:val="-2"/>
          <w:sz w:val="20"/>
          <w:vertAlign w:val="baseline"/>
        </w:rPr>
        <w:t> </w:t>
      </w:r>
      <w:r>
        <w:rPr>
          <w:rFonts w:ascii="Calibri"/>
          <w:sz w:val="20"/>
          <w:vertAlign w:val="baseline"/>
        </w:rPr>
        <w:t>of</w:t>
      </w:r>
      <w:r>
        <w:rPr>
          <w:rFonts w:ascii="Calibri"/>
          <w:spacing w:val="-4"/>
          <w:sz w:val="20"/>
          <w:vertAlign w:val="baseline"/>
        </w:rPr>
        <w:t> </w:t>
      </w:r>
      <w:r>
        <w:rPr>
          <w:rFonts w:ascii="Calibri"/>
          <w:sz w:val="20"/>
          <w:vertAlign w:val="baseline"/>
        </w:rPr>
        <w:t>the</w:t>
      </w:r>
      <w:r>
        <w:rPr>
          <w:rFonts w:ascii="Calibri"/>
          <w:spacing w:val="-3"/>
          <w:sz w:val="20"/>
          <w:vertAlign w:val="baseline"/>
        </w:rPr>
        <w:t> </w:t>
      </w:r>
      <w:r>
        <w:rPr>
          <w:rFonts w:ascii="Calibri"/>
          <w:sz w:val="20"/>
          <w:vertAlign w:val="baseline"/>
        </w:rPr>
        <w:t>petroleum</w:t>
      </w:r>
      <w:r>
        <w:rPr>
          <w:rFonts w:ascii="Calibri"/>
          <w:spacing w:val="-3"/>
          <w:sz w:val="20"/>
          <w:vertAlign w:val="baseline"/>
        </w:rPr>
        <w:t> </w:t>
      </w:r>
      <w:r>
        <w:rPr>
          <w:rFonts w:ascii="Calibri"/>
          <w:sz w:val="20"/>
          <w:vertAlign w:val="baseline"/>
        </w:rPr>
        <w:t>profit tax</w:t>
      </w:r>
      <w:r>
        <w:rPr>
          <w:rFonts w:ascii="Calibri"/>
          <w:spacing w:val="-2"/>
          <w:sz w:val="20"/>
          <w:vertAlign w:val="baseline"/>
        </w:rPr>
        <w:t> </w:t>
      </w:r>
      <w:r>
        <w:rPr>
          <w:rFonts w:ascii="Calibri"/>
          <w:sz w:val="20"/>
          <w:vertAlign w:val="baseline"/>
        </w:rPr>
        <w:t>Act</w:t>
      </w:r>
      <w:r>
        <w:rPr>
          <w:rFonts w:ascii="Calibri"/>
          <w:spacing w:val="-2"/>
          <w:sz w:val="20"/>
          <w:vertAlign w:val="baseline"/>
        </w:rPr>
        <w:t> </w:t>
      </w:r>
      <w:r>
        <w:rPr>
          <w:rFonts w:ascii="Calibri"/>
          <w:sz w:val="20"/>
          <w:vertAlign w:val="baseline"/>
        </w:rPr>
        <w:t>as</w:t>
      </w:r>
      <w:r>
        <w:rPr>
          <w:rFonts w:ascii="Calibri"/>
          <w:spacing w:val="-3"/>
          <w:sz w:val="20"/>
          <w:vertAlign w:val="baseline"/>
        </w:rPr>
        <w:t> </w:t>
      </w:r>
      <w:r>
        <w:rPr>
          <w:rFonts w:ascii="Calibri"/>
          <w:sz w:val="20"/>
          <w:vertAlign w:val="baseline"/>
        </w:rPr>
        <w:t>a</w:t>
      </w:r>
      <w:r>
        <w:rPr>
          <w:rFonts w:ascii="Calibri"/>
          <w:spacing w:val="-2"/>
          <w:sz w:val="20"/>
          <w:vertAlign w:val="baseline"/>
        </w:rPr>
        <w:t> </w:t>
      </w:r>
      <w:r>
        <w:rPr>
          <w:rFonts w:ascii="Calibri"/>
          <w:sz w:val="20"/>
          <w:vertAlign w:val="baseline"/>
        </w:rPr>
        <w:t>lease</w:t>
      </w:r>
      <w:r>
        <w:rPr>
          <w:rFonts w:ascii="Calibri"/>
          <w:spacing w:val="-3"/>
          <w:sz w:val="20"/>
          <w:vertAlign w:val="baseline"/>
        </w:rPr>
        <w:t> </w:t>
      </w:r>
      <w:r>
        <w:rPr>
          <w:rFonts w:ascii="Calibri"/>
          <w:sz w:val="20"/>
          <w:vertAlign w:val="baseline"/>
        </w:rPr>
        <w:t>granted</w:t>
      </w:r>
      <w:r>
        <w:rPr>
          <w:rFonts w:ascii="Calibri"/>
          <w:spacing w:val="-2"/>
          <w:sz w:val="20"/>
          <w:vertAlign w:val="baseline"/>
        </w:rPr>
        <w:t> </w:t>
      </w:r>
      <w:r>
        <w:rPr>
          <w:rFonts w:ascii="Calibri"/>
          <w:sz w:val="20"/>
          <w:vertAlign w:val="baseline"/>
        </w:rPr>
        <w:t>to</w:t>
      </w:r>
      <w:r>
        <w:rPr>
          <w:rFonts w:ascii="Calibri"/>
          <w:spacing w:val="-2"/>
          <w:sz w:val="20"/>
          <w:vertAlign w:val="baseline"/>
        </w:rPr>
        <w:t> </w:t>
      </w:r>
      <w:r>
        <w:rPr>
          <w:rFonts w:ascii="Calibri"/>
          <w:sz w:val="20"/>
          <w:vertAlign w:val="baseline"/>
        </w:rPr>
        <w:t>a company, under Minerals and Mining Act, for the purpose of winning</w:t>
      </w:r>
    </w:p>
    <w:p>
      <w:pPr>
        <w:spacing w:after="0"/>
        <w:jc w:val="left"/>
        <w:rPr>
          <w:rFonts w:ascii="Calibri"/>
          <w:sz w:val="20"/>
        </w:rPr>
        <w:sectPr>
          <w:pgSz w:w="11910" w:h="16840"/>
          <w:pgMar w:header="0" w:footer="1000" w:top="1340" w:bottom="1200" w:left="1080" w:right="1280"/>
        </w:sectPr>
      </w:pPr>
    </w:p>
    <w:p>
      <w:pPr>
        <w:pStyle w:val="BodyText"/>
        <w:spacing w:line="480" w:lineRule="auto" w:before="114"/>
        <w:ind w:left="360" w:right="160"/>
        <w:jc w:val="both"/>
      </w:pPr>
      <w:r>
        <w:rPr/>
        <w:t>law imposing taxation in respect of petroleum</w:t>
      </w:r>
      <w:r>
        <w:rPr>
          <w:vertAlign w:val="superscript"/>
        </w:rPr>
        <w:t>27</w:t>
      </w:r>
      <w:r>
        <w:rPr>
          <w:vertAlign w:val="baseline"/>
        </w:rPr>
        <w:t>. The oil prospecting license can be converted to an oil mining license</w:t>
      </w:r>
      <w:r>
        <w:rPr>
          <w:vertAlign w:val="superscript"/>
        </w:rPr>
        <w:t>28</w:t>
      </w:r>
      <w:r>
        <w:rPr>
          <w:vertAlign w:val="baseline"/>
        </w:rPr>
        <w:t>.</w:t>
      </w:r>
    </w:p>
    <w:p>
      <w:pPr>
        <w:pStyle w:val="Heading3"/>
        <w:numPr>
          <w:ilvl w:val="2"/>
          <w:numId w:val="8"/>
        </w:numPr>
        <w:tabs>
          <w:tab w:pos="1079" w:val="left" w:leader="none"/>
        </w:tabs>
        <w:spacing w:line="240" w:lineRule="auto" w:before="5" w:after="0"/>
        <w:ind w:left="1079" w:right="0" w:hanging="719"/>
        <w:jc w:val="both"/>
      </w:pPr>
      <w:r>
        <w:rPr/>
        <w:t>Oil</w:t>
      </w:r>
      <w:r>
        <w:rPr>
          <w:spacing w:val="-1"/>
        </w:rPr>
        <w:t> </w:t>
      </w:r>
      <w:r>
        <w:rPr/>
        <w:t>Mining</w:t>
      </w:r>
      <w:r>
        <w:rPr>
          <w:spacing w:val="-2"/>
        </w:rPr>
        <w:t> </w:t>
      </w:r>
      <w:r>
        <w:rPr/>
        <w:t>License</w:t>
      </w:r>
      <w:r>
        <w:rPr>
          <w:spacing w:val="-1"/>
        </w:rPr>
        <w:t> </w:t>
      </w:r>
      <w:r>
        <w:rPr>
          <w:spacing w:val="-2"/>
        </w:rPr>
        <w:t>(OML)</w:t>
      </w:r>
      <w:r>
        <w:rPr>
          <w:spacing w:val="-2"/>
          <w:vertAlign w:val="superscript"/>
        </w:rPr>
        <w:t>29</w:t>
      </w:r>
    </w:p>
    <w:p>
      <w:pPr>
        <w:pStyle w:val="BodyText"/>
        <w:spacing w:line="480" w:lineRule="auto" w:before="271"/>
        <w:ind w:left="360" w:right="158" w:firstLine="719"/>
        <w:jc w:val="both"/>
      </w:pPr>
      <w:r>
        <w:rPr/>
        <w:t>This</w:t>
      </w:r>
      <w:r>
        <w:rPr>
          <w:spacing w:val="-2"/>
        </w:rPr>
        <w:t> </w:t>
      </w:r>
      <w:r>
        <w:rPr/>
        <w:t>type</w:t>
      </w:r>
      <w:r>
        <w:rPr>
          <w:spacing w:val="-1"/>
        </w:rPr>
        <w:t> </w:t>
      </w:r>
      <w:r>
        <w:rPr/>
        <w:t>of</w:t>
      </w:r>
      <w:r>
        <w:rPr>
          <w:spacing w:val="-2"/>
        </w:rPr>
        <w:t> </w:t>
      </w:r>
      <w:r>
        <w:rPr/>
        <w:t>license</w:t>
      </w:r>
      <w:r>
        <w:rPr>
          <w:spacing w:val="-2"/>
        </w:rPr>
        <w:t> </w:t>
      </w:r>
      <w:r>
        <w:rPr/>
        <w:t>is issued</w:t>
      </w:r>
      <w:r>
        <w:rPr>
          <w:spacing w:val="-2"/>
        </w:rPr>
        <w:t> </w:t>
      </w:r>
      <w:r>
        <w:rPr/>
        <w:t>to</w:t>
      </w:r>
      <w:r>
        <w:rPr>
          <w:spacing w:val="-2"/>
        </w:rPr>
        <w:t> </w:t>
      </w:r>
      <w:r>
        <w:rPr/>
        <w:t>a</w:t>
      </w:r>
      <w:r>
        <w:rPr>
          <w:spacing w:val="-1"/>
        </w:rPr>
        <w:t> </w:t>
      </w:r>
      <w:r>
        <w:rPr/>
        <w:t>holder</w:t>
      </w:r>
      <w:r>
        <w:rPr>
          <w:spacing w:val="-1"/>
        </w:rPr>
        <w:t> </w:t>
      </w:r>
      <w:r>
        <w:rPr/>
        <w:t>of</w:t>
      </w:r>
      <w:r>
        <w:rPr>
          <w:spacing w:val="-2"/>
        </w:rPr>
        <w:t> </w:t>
      </w:r>
      <w:r>
        <w:rPr/>
        <w:t>oil</w:t>
      </w:r>
      <w:r>
        <w:rPr>
          <w:spacing w:val="-2"/>
        </w:rPr>
        <w:t> </w:t>
      </w:r>
      <w:r>
        <w:rPr/>
        <w:t>prospecting</w:t>
      </w:r>
      <w:r>
        <w:rPr>
          <w:spacing w:val="-2"/>
        </w:rPr>
        <w:t> </w:t>
      </w:r>
      <w:r>
        <w:rPr/>
        <w:t>license</w:t>
      </w:r>
      <w:r>
        <w:rPr>
          <w:spacing w:val="-1"/>
        </w:rPr>
        <w:t> </w:t>
      </w:r>
      <w:r>
        <w:rPr/>
        <w:t>that</w:t>
      </w:r>
      <w:r>
        <w:rPr>
          <w:spacing w:val="-2"/>
        </w:rPr>
        <w:t> </w:t>
      </w:r>
      <w:r>
        <w:rPr/>
        <w:t>has satisfied</w:t>
      </w:r>
      <w:r>
        <w:rPr>
          <w:spacing w:val="-2"/>
        </w:rPr>
        <w:t> </w:t>
      </w:r>
      <w:r>
        <w:rPr/>
        <w:t>all the conditions with daily production of not less than 10,000 barrels. This license confers exclusive right on the holder to explore, carry away and dispose of petroleum discovered and won in the area in excess of 1295km2 (500 sq. miles). The life of an Oil Mining License is usually for a maximum of 20 years but renewable in accordance with the Act, and the leases of the license is expected to apply for a renewal of the license not less than twelve month before the expiration of the lease</w:t>
      </w:r>
      <w:r>
        <w:rPr>
          <w:vertAlign w:val="superscript"/>
        </w:rPr>
        <w:t>30</w:t>
      </w:r>
      <w:r>
        <w:rPr>
          <w:vertAlign w:val="baseline"/>
        </w:rPr>
        <w:t>. A holder of an oil mining license may, with the consent</w:t>
      </w:r>
      <w:r>
        <w:rPr>
          <w:spacing w:val="80"/>
          <w:vertAlign w:val="baseline"/>
        </w:rPr>
        <w:t> </w:t>
      </w:r>
      <w:r>
        <w:rPr>
          <w:vertAlign w:val="baseline"/>
        </w:rPr>
        <w:t>of and on such terms and conditions as may be approved by the President, farm out any marginal field which lies within the leased area. One half of the area granted under an oil mining lease shall be relinquished after 10 years.</w:t>
      </w:r>
    </w:p>
    <w:p>
      <w:pPr>
        <w:pStyle w:val="Heading2"/>
        <w:numPr>
          <w:ilvl w:val="1"/>
          <w:numId w:val="8"/>
        </w:numPr>
        <w:tabs>
          <w:tab w:pos="1079" w:val="left" w:leader="none"/>
        </w:tabs>
        <w:spacing w:line="240" w:lineRule="auto" w:before="6" w:after="0"/>
        <w:ind w:left="1079" w:right="0" w:hanging="719"/>
        <w:jc w:val="both"/>
      </w:pPr>
      <w:bookmarkStart w:name="_TOC_250002" w:id="23"/>
      <w:r>
        <w:rPr/>
        <w:t>Fiscal</w:t>
      </w:r>
      <w:r>
        <w:rPr>
          <w:spacing w:val="-3"/>
        </w:rPr>
        <w:t> </w:t>
      </w:r>
      <w:bookmarkEnd w:id="23"/>
      <w:r>
        <w:rPr>
          <w:spacing w:val="-2"/>
        </w:rPr>
        <w:t>Arrangements</w:t>
      </w:r>
    </w:p>
    <w:p>
      <w:pPr>
        <w:pStyle w:val="BodyText"/>
        <w:rPr>
          <w:b/>
        </w:rPr>
      </w:pPr>
    </w:p>
    <w:p>
      <w:pPr>
        <w:pStyle w:val="Heading3"/>
        <w:numPr>
          <w:ilvl w:val="2"/>
          <w:numId w:val="8"/>
        </w:numPr>
        <w:tabs>
          <w:tab w:pos="1079" w:val="left" w:leader="none"/>
        </w:tabs>
        <w:spacing w:line="240" w:lineRule="auto" w:before="0" w:after="0"/>
        <w:ind w:left="1079" w:right="0" w:hanging="719"/>
        <w:jc w:val="both"/>
      </w:pPr>
      <w:r>
        <w:rPr/>
        <w:t>Joint</w:t>
      </w:r>
      <w:r>
        <w:rPr>
          <w:spacing w:val="1"/>
        </w:rPr>
        <w:t> </w:t>
      </w:r>
      <w:r>
        <w:rPr>
          <w:spacing w:val="-2"/>
        </w:rPr>
        <w:t>Venture</w:t>
      </w:r>
    </w:p>
    <w:p>
      <w:pPr>
        <w:pStyle w:val="BodyText"/>
        <w:spacing w:line="480" w:lineRule="auto" w:before="271"/>
        <w:ind w:left="360" w:right="161" w:firstLine="719"/>
        <w:jc w:val="both"/>
      </w:pPr>
      <w:r>
        <w:rPr/>
        <w:t>This is an arrangement under which the Federal Government through the Nigerian National Petroleum Corporation (NNPC) enters into a joint operating agreement with multinational companies as joint venture partners. The foreign technical partners are usually designated as “Operators”. The operators‟ duties include the implementation of the work program and budget. Each partner is expected to make contribution to cash calls through exploration,</w:t>
      </w:r>
      <w:r>
        <w:rPr>
          <w:spacing w:val="-3"/>
        </w:rPr>
        <w:t> </w:t>
      </w:r>
      <w:r>
        <w:rPr/>
        <w:t>development</w:t>
      </w:r>
      <w:r>
        <w:rPr>
          <w:spacing w:val="-3"/>
        </w:rPr>
        <w:t> </w:t>
      </w:r>
      <w:r>
        <w:rPr/>
        <w:t>and</w:t>
      </w:r>
      <w:r>
        <w:rPr>
          <w:spacing w:val="-3"/>
        </w:rPr>
        <w:t> </w:t>
      </w:r>
      <w:r>
        <w:rPr/>
        <w:t>production</w:t>
      </w:r>
      <w:r>
        <w:rPr>
          <w:spacing w:val="-3"/>
        </w:rPr>
        <w:t> </w:t>
      </w:r>
      <w:r>
        <w:rPr/>
        <w:t>activities,</w:t>
      </w:r>
      <w:r>
        <w:rPr>
          <w:spacing w:val="-3"/>
        </w:rPr>
        <w:t> </w:t>
      </w:r>
      <w:r>
        <w:rPr/>
        <w:t>and</w:t>
      </w:r>
      <w:r>
        <w:rPr>
          <w:spacing w:val="-3"/>
        </w:rPr>
        <w:t> </w:t>
      </w:r>
      <w:r>
        <w:rPr/>
        <w:t>separately</w:t>
      </w:r>
      <w:r>
        <w:rPr>
          <w:spacing w:val="-8"/>
        </w:rPr>
        <w:t> </w:t>
      </w:r>
      <w:r>
        <w:rPr/>
        <w:t>lift</w:t>
      </w:r>
      <w:r>
        <w:rPr>
          <w:spacing w:val="-3"/>
        </w:rPr>
        <w:t> </w:t>
      </w:r>
      <w:r>
        <w:rPr/>
        <w:t>and</w:t>
      </w:r>
      <w:r>
        <w:rPr>
          <w:spacing w:val="-3"/>
        </w:rPr>
        <w:t> </w:t>
      </w:r>
      <w:r>
        <w:rPr/>
        <w:t>dispose</w:t>
      </w:r>
      <w:r>
        <w:rPr>
          <w:spacing w:val="-4"/>
        </w:rPr>
        <w:t> </w:t>
      </w:r>
      <w:r>
        <w:rPr/>
        <w:t>of</w:t>
      </w:r>
      <w:r>
        <w:rPr>
          <w:spacing w:val="-3"/>
        </w:rPr>
        <w:t> </w:t>
      </w:r>
      <w:r>
        <w:rPr/>
        <w:t>its</w:t>
      </w:r>
      <w:r>
        <w:rPr>
          <w:spacing w:val="-3"/>
        </w:rPr>
        <w:t> </w:t>
      </w:r>
      <w:r>
        <w:rPr/>
        <w:t>share of</w:t>
      </w:r>
      <w:r>
        <w:rPr>
          <w:spacing w:val="1"/>
        </w:rPr>
        <w:t> </w:t>
      </w:r>
      <w:r>
        <w:rPr/>
        <w:t>crude</w:t>
      </w:r>
      <w:r>
        <w:rPr>
          <w:spacing w:val="3"/>
        </w:rPr>
        <w:t> </w:t>
      </w:r>
      <w:r>
        <w:rPr/>
        <w:t>oil</w:t>
      </w:r>
      <w:r>
        <w:rPr>
          <w:spacing w:val="6"/>
        </w:rPr>
        <w:t> </w:t>
      </w:r>
      <w:r>
        <w:rPr/>
        <w:t>based</w:t>
      </w:r>
      <w:r>
        <w:rPr>
          <w:spacing w:val="6"/>
        </w:rPr>
        <w:t> </w:t>
      </w:r>
      <w:r>
        <w:rPr/>
        <w:t>on</w:t>
      </w:r>
      <w:r>
        <w:rPr>
          <w:spacing w:val="4"/>
        </w:rPr>
        <w:t> </w:t>
      </w:r>
      <w:r>
        <w:rPr/>
        <w:t>their</w:t>
      </w:r>
      <w:r>
        <w:rPr>
          <w:spacing w:val="5"/>
        </w:rPr>
        <w:t> </w:t>
      </w:r>
      <w:r>
        <w:rPr/>
        <w:t>equity</w:t>
      </w:r>
      <w:r>
        <w:rPr>
          <w:spacing w:val="-1"/>
        </w:rPr>
        <w:t> </w:t>
      </w:r>
      <w:r>
        <w:rPr/>
        <w:t>contribution,</w:t>
      </w:r>
      <w:r>
        <w:rPr>
          <w:spacing w:val="5"/>
        </w:rPr>
        <w:t> </w:t>
      </w:r>
      <w:r>
        <w:rPr/>
        <w:t>usually in</w:t>
      </w:r>
      <w:r>
        <w:rPr>
          <w:spacing w:val="7"/>
        </w:rPr>
        <w:t> </w:t>
      </w:r>
      <w:r>
        <w:rPr/>
        <w:t>the</w:t>
      </w:r>
      <w:r>
        <w:rPr>
          <w:spacing w:val="7"/>
        </w:rPr>
        <w:t> </w:t>
      </w:r>
      <w:r>
        <w:rPr/>
        <w:t>ratio</w:t>
      </w:r>
      <w:r>
        <w:rPr>
          <w:spacing w:val="4"/>
        </w:rPr>
        <w:t> </w:t>
      </w:r>
      <w:r>
        <w:rPr/>
        <w:t>60:40,</w:t>
      </w:r>
      <w:r>
        <w:rPr>
          <w:spacing w:val="7"/>
        </w:rPr>
        <w:t> </w:t>
      </w:r>
      <w:r>
        <w:rPr/>
        <w:t>and</w:t>
      </w:r>
      <w:r>
        <w:rPr>
          <w:spacing w:val="5"/>
        </w:rPr>
        <w:t> </w:t>
      </w:r>
      <w:r>
        <w:rPr/>
        <w:t>al</w:t>
      </w:r>
      <w:r>
        <w:rPr>
          <w:spacing w:val="5"/>
        </w:rPr>
        <w:t> </w:t>
      </w:r>
      <w:r>
        <w:rPr/>
        <w:t>so</w:t>
      </w:r>
      <w:r>
        <w:rPr>
          <w:spacing w:val="7"/>
        </w:rPr>
        <w:t> </w:t>
      </w:r>
      <w:r>
        <w:rPr>
          <w:spacing w:val="-2"/>
        </w:rPr>
        <w:t>separately</w:t>
      </w:r>
    </w:p>
    <w:p>
      <w:pPr>
        <w:pStyle w:val="BodyText"/>
        <w:spacing w:line="20" w:lineRule="exact"/>
        <w:ind w:left="360"/>
        <w:rPr>
          <w:sz w:val="2"/>
        </w:rPr>
      </w:pPr>
      <w:r>
        <w:rPr>
          <w:sz w:val="2"/>
        </w:rPr>
        <mc:AlternateContent>
          <mc:Choice Requires="wps">
            <w:drawing>
              <wp:inline distT="0" distB="0" distL="0" distR="0">
                <wp:extent cx="1829435" cy="9525"/>
                <wp:effectExtent l="0" t="0" r="0" b="0"/>
                <wp:docPr id="42" name="Group 42"/>
                <wp:cNvGraphicFramePr>
                  <a:graphicFrameLocks/>
                </wp:cNvGraphicFramePr>
                <a:graphic>
                  <a:graphicData uri="http://schemas.microsoft.com/office/word/2010/wordprocessingGroup">
                    <wpg:wgp>
                      <wpg:cNvPr id="42" name="Group 42"/>
                      <wpg:cNvGrpSpPr/>
                      <wpg:grpSpPr>
                        <a:xfrm>
                          <a:off x="0" y="0"/>
                          <a:ext cx="1829435" cy="9525"/>
                          <a:chExt cx="1829435" cy="9525"/>
                        </a:xfrm>
                      </wpg:grpSpPr>
                      <wps:wsp>
                        <wps:cNvPr id="43" name="Graphic 43"/>
                        <wps:cNvSpPr/>
                        <wps:spPr>
                          <a:xfrm>
                            <a:off x="0" y="0"/>
                            <a:ext cx="1829435" cy="9525"/>
                          </a:xfrm>
                          <a:custGeom>
                            <a:avLst/>
                            <a:gdLst/>
                            <a:ahLst/>
                            <a:cxnLst/>
                            <a:rect l="l" t="t" r="r" b="b"/>
                            <a:pathLst>
                              <a:path w="1829435" h="9525">
                                <a:moveTo>
                                  <a:pt x="1829054" y="0"/>
                                </a:moveTo>
                                <a:lnTo>
                                  <a:pt x="0" y="0"/>
                                </a:lnTo>
                                <a:lnTo>
                                  <a:pt x="0" y="9144"/>
                                </a:lnTo>
                                <a:lnTo>
                                  <a:pt x="1829054" y="9144"/>
                                </a:lnTo>
                                <a:lnTo>
                                  <a:pt x="1829054"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style="width:144.050pt;height:.75pt;mso-position-horizontal-relative:char;mso-position-vertical-relative:line" id="docshapegroup42" coordorigin="0,0" coordsize="2881,15">
                <v:rect style="position:absolute;left:0;top:0;width:2881;height:15" id="docshape43" filled="true" fillcolor="#000000" stroked="false">
                  <v:fill type="solid"/>
                </v:rect>
              </v:group>
            </w:pict>
          </mc:Fallback>
        </mc:AlternateContent>
      </w:r>
      <w:r>
        <w:rPr>
          <w:sz w:val="2"/>
        </w:rPr>
      </w:r>
    </w:p>
    <w:p>
      <w:pPr>
        <w:spacing w:line="243" w:lineRule="exact" w:before="94"/>
        <w:ind w:left="360" w:right="0" w:firstLine="0"/>
        <w:jc w:val="both"/>
        <w:rPr>
          <w:rFonts w:ascii="Calibri"/>
          <w:sz w:val="20"/>
        </w:rPr>
      </w:pPr>
      <w:r>
        <w:rPr>
          <w:rFonts w:ascii="Calibri"/>
          <w:sz w:val="20"/>
          <w:vertAlign w:val="superscript"/>
        </w:rPr>
        <w:t>27</w:t>
      </w:r>
      <w:r>
        <w:rPr>
          <w:rFonts w:ascii="Calibri"/>
          <w:spacing w:val="-5"/>
          <w:sz w:val="20"/>
          <w:vertAlign w:val="baseline"/>
        </w:rPr>
        <w:t> </w:t>
      </w:r>
      <w:r>
        <w:rPr>
          <w:rFonts w:ascii="Calibri"/>
          <w:sz w:val="20"/>
          <w:vertAlign w:val="baseline"/>
        </w:rPr>
        <w:t>See</w:t>
      </w:r>
      <w:r>
        <w:rPr>
          <w:rFonts w:ascii="Calibri"/>
          <w:spacing w:val="-5"/>
          <w:sz w:val="20"/>
          <w:vertAlign w:val="baseline"/>
        </w:rPr>
        <w:t> </w:t>
      </w:r>
      <w:r>
        <w:rPr>
          <w:rFonts w:ascii="Calibri"/>
          <w:sz w:val="20"/>
          <w:vertAlign w:val="baseline"/>
        </w:rPr>
        <w:t>paragraph</w:t>
      </w:r>
      <w:r>
        <w:rPr>
          <w:rFonts w:ascii="Calibri"/>
          <w:spacing w:val="-4"/>
          <w:sz w:val="20"/>
          <w:vertAlign w:val="baseline"/>
        </w:rPr>
        <w:t> </w:t>
      </w:r>
      <w:r>
        <w:rPr>
          <w:rFonts w:ascii="Calibri"/>
          <w:sz w:val="20"/>
          <w:vertAlign w:val="baseline"/>
        </w:rPr>
        <w:t>7</w:t>
      </w:r>
      <w:r>
        <w:rPr>
          <w:rFonts w:ascii="Calibri"/>
          <w:spacing w:val="-5"/>
          <w:sz w:val="20"/>
          <w:vertAlign w:val="baseline"/>
        </w:rPr>
        <w:t> </w:t>
      </w:r>
      <w:r>
        <w:rPr>
          <w:rFonts w:ascii="Calibri"/>
          <w:sz w:val="20"/>
          <w:vertAlign w:val="baseline"/>
        </w:rPr>
        <w:t>of</w:t>
      </w:r>
      <w:r>
        <w:rPr>
          <w:rFonts w:ascii="Calibri"/>
          <w:spacing w:val="-5"/>
          <w:sz w:val="20"/>
          <w:vertAlign w:val="baseline"/>
        </w:rPr>
        <w:t> </w:t>
      </w:r>
      <w:r>
        <w:rPr>
          <w:rFonts w:ascii="Calibri"/>
          <w:sz w:val="20"/>
          <w:vertAlign w:val="baseline"/>
        </w:rPr>
        <w:t>the</w:t>
      </w:r>
      <w:r>
        <w:rPr>
          <w:rFonts w:ascii="Calibri"/>
          <w:spacing w:val="-5"/>
          <w:sz w:val="20"/>
          <w:vertAlign w:val="baseline"/>
        </w:rPr>
        <w:t> </w:t>
      </w:r>
      <w:r>
        <w:rPr>
          <w:rFonts w:ascii="Calibri"/>
          <w:sz w:val="20"/>
          <w:vertAlign w:val="baseline"/>
        </w:rPr>
        <w:t>First</w:t>
      </w:r>
      <w:r>
        <w:rPr>
          <w:rFonts w:ascii="Calibri"/>
          <w:spacing w:val="-4"/>
          <w:sz w:val="20"/>
          <w:vertAlign w:val="baseline"/>
        </w:rPr>
        <w:t> </w:t>
      </w:r>
      <w:r>
        <w:rPr>
          <w:rFonts w:ascii="Calibri"/>
          <w:sz w:val="20"/>
          <w:vertAlign w:val="baseline"/>
        </w:rPr>
        <w:t>Schedule</w:t>
      </w:r>
      <w:r>
        <w:rPr>
          <w:rFonts w:ascii="Calibri"/>
          <w:spacing w:val="-6"/>
          <w:sz w:val="20"/>
          <w:vertAlign w:val="baseline"/>
        </w:rPr>
        <w:t> </w:t>
      </w:r>
      <w:r>
        <w:rPr>
          <w:rFonts w:ascii="Calibri"/>
          <w:sz w:val="20"/>
          <w:vertAlign w:val="baseline"/>
        </w:rPr>
        <w:t>to</w:t>
      </w:r>
      <w:r>
        <w:rPr>
          <w:rFonts w:ascii="Calibri"/>
          <w:spacing w:val="-4"/>
          <w:sz w:val="20"/>
          <w:vertAlign w:val="baseline"/>
        </w:rPr>
        <w:t> </w:t>
      </w:r>
      <w:r>
        <w:rPr>
          <w:rFonts w:ascii="Calibri"/>
          <w:sz w:val="20"/>
          <w:vertAlign w:val="baseline"/>
        </w:rPr>
        <w:t>the</w:t>
      </w:r>
      <w:r>
        <w:rPr>
          <w:rFonts w:ascii="Calibri"/>
          <w:spacing w:val="-5"/>
          <w:sz w:val="20"/>
          <w:vertAlign w:val="baseline"/>
        </w:rPr>
        <w:t> </w:t>
      </w:r>
      <w:r>
        <w:rPr>
          <w:rFonts w:ascii="Calibri"/>
          <w:sz w:val="20"/>
          <w:vertAlign w:val="baseline"/>
        </w:rPr>
        <w:t>Petroleum</w:t>
      </w:r>
      <w:r>
        <w:rPr>
          <w:rFonts w:ascii="Calibri"/>
          <w:spacing w:val="-5"/>
          <w:sz w:val="20"/>
          <w:vertAlign w:val="baseline"/>
        </w:rPr>
        <w:t> </w:t>
      </w:r>
      <w:r>
        <w:rPr>
          <w:rFonts w:ascii="Calibri"/>
          <w:sz w:val="20"/>
          <w:vertAlign w:val="baseline"/>
        </w:rPr>
        <w:t>Act,</w:t>
      </w:r>
      <w:r>
        <w:rPr>
          <w:rFonts w:ascii="Calibri"/>
          <w:spacing w:val="-3"/>
          <w:sz w:val="20"/>
          <w:vertAlign w:val="baseline"/>
        </w:rPr>
        <w:t> </w:t>
      </w:r>
      <w:r>
        <w:rPr>
          <w:rFonts w:ascii="Calibri"/>
          <w:spacing w:val="-4"/>
          <w:sz w:val="20"/>
          <w:vertAlign w:val="baseline"/>
        </w:rPr>
        <w:t>2004</w:t>
      </w:r>
    </w:p>
    <w:p>
      <w:pPr>
        <w:spacing w:before="0"/>
        <w:ind w:left="360" w:right="443" w:firstLine="0"/>
        <w:jc w:val="both"/>
        <w:rPr>
          <w:rFonts w:ascii="Calibri" w:hAnsi="Calibri"/>
          <w:i/>
          <w:sz w:val="20"/>
        </w:rPr>
      </w:pPr>
      <w:r>
        <w:rPr>
          <w:rFonts w:ascii="Calibri" w:hAnsi="Calibri"/>
          <w:sz w:val="20"/>
          <w:vertAlign w:val="superscript"/>
        </w:rPr>
        <w:t>28</w:t>
      </w:r>
      <w:r>
        <w:rPr>
          <w:rFonts w:ascii="Calibri" w:hAnsi="Calibri"/>
          <w:sz w:val="20"/>
          <w:vertAlign w:val="baseline"/>
        </w:rPr>
        <w:t>Ayoola-Daniels</w:t>
      </w:r>
      <w:r>
        <w:rPr>
          <w:rFonts w:ascii="Calibri" w:hAnsi="Calibri"/>
          <w:spacing w:val="-5"/>
          <w:sz w:val="20"/>
          <w:vertAlign w:val="baseline"/>
        </w:rPr>
        <w:t> </w:t>
      </w:r>
      <w:r>
        <w:rPr>
          <w:rFonts w:ascii="Calibri" w:hAnsi="Calibri"/>
          <w:sz w:val="20"/>
          <w:vertAlign w:val="baseline"/>
        </w:rPr>
        <w:t>Niyi</w:t>
      </w:r>
      <w:r>
        <w:rPr>
          <w:rFonts w:ascii="Calibri" w:hAnsi="Calibri"/>
          <w:spacing w:val="-4"/>
          <w:sz w:val="20"/>
          <w:vertAlign w:val="baseline"/>
        </w:rPr>
        <w:t> </w:t>
      </w:r>
      <w:r>
        <w:rPr>
          <w:rFonts w:ascii="Calibri" w:hAnsi="Calibri"/>
          <w:sz w:val="20"/>
          <w:vertAlign w:val="baseline"/>
        </w:rPr>
        <w:t>(2008),</w:t>
      </w:r>
      <w:r>
        <w:rPr>
          <w:rFonts w:ascii="Calibri" w:hAnsi="Calibri"/>
          <w:spacing w:val="-3"/>
          <w:sz w:val="20"/>
          <w:vertAlign w:val="baseline"/>
        </w:rPr>
        <w:t> </w:t>
      </w:r>
      <w:r>
        <w:rPr>
          <w:rFonts w:ascii="Calibri" w:hAnsi="Calibri"/>
          <w:sz w:val="20"/>
          <w:vertAlign w:val="baseline"/>
        </w:rPr>
        <w:t>“</w:t>
      </w:r>
      <w:r>
        <w:rPr>
          <w:rFonts w:ascii="Calibri" w:hAnsi="Calibri"/>
          <w:i/>
          <w:sz w:val="20"/>
          <w:vertAlign w:val="baseline"/>
        </w:rPr>
        <w:t>Nigerian</w:t>
      </w:r>
      <w:r>
        <w:rPr>
          <w:rFonts w:ascii="Calibri" w:hAnsi="Calibri"/>
          <w:i/>
          <w:spacing w:val="-3"/>
          <w:sz w:val="20"/>
          <w:vertAlign w:val="baseline"/>
        </w:rPr>
        <w:t> </w:t>
      </w:r>
      <w:r>
        <w:rPr>
          <w:rFonts w:ascii="Calibri" w:hAnsi="Calibri"/>
          <w:i/>
          <w:sz w:val="20"/>
          <w:vertAlign w:val="baseline"/>
        </w:rPr>
        <w:t>Laws,</w:t>
      </w:r>
      <w:r>
        <w:rPr>
          <w:rFonts w:ascii="Calibri" w:hAnsi="Calibri"/>
          <w:i/>
          <w:spacing w:val="-3"/>
          <w:sz w:val="20"/>
          <w:vertAlign w:val="baseline"/>
        </w:rPr>
        <w:t> </w:t>
      </w:r>
      <w:r>
        <w:rPr>
          <w:rFonts w:ascii="Calibri" w:hAnsi="Calibri"/>
          <w:i/>
          <w:sz w:val="20"/>
          <w:vertAlign w:val="baseline"/>
        </w:rPr>
        <w:t>Cases</w:t>
      </w:r>
      <w:r>
        <w:rPr>
          <w:rFonts w:ascii="Calibri" w:hAnsi="Calibri"/>
          <w:i/>
          <w:spacing w:val="-4"/>
          <w:sz w:val="20"/>
          <w:vertAlign w:val="baseline"/>
        </w:rPr>
        <w:t> </w:t>
      </w:r>
      <w:r>
        <w:rPr>
          <w:rFonts w:ascii="Calibri" w:hAnsi="Calibri"/>
          <w:i/>
          <w:sz w:val="20"/>
          <w:vertAlign w:val="baseline"/>
        </w:rPr>
        <w:t>and</w:t>
      </w:r>
      <w:r>
        <w:rPr>
          <w:rFonts w:ascii="Calibri" w:hAnsi="Calibri"/>
          <w:i/>
          <w:spacing w:val="-3"/>
          <w:sz w:val="20"/>
          <w:vertAlign w:val="baseline"/>
        </w:rPr>
        <w:t> </w:t>
      </w:r>
      <w:r>
        <w:rPr>
          <w:rFonts w:ascii="Calibri" w:hAnsi="Calibri"/>
          <w:i/>
          <w:sz w:val="20"/>
          <w:vertAlign w:val="baseline"/>
        </w:rPr>
        <w:t>Materials</w:t>
      </w:r>
      <w:r>
        <w:rPr>
          <w:rFonts w:ascii="Calibri" w:hAnsi="Calibri"/>
          <w:i/>
          <w:spacing w:val="-4"/>
          <w:sz w:val="20"/>
          <w:vertAlign w:val="baseline"/>
        </w:rPr>
        <w:t> </w:t>
      </w:r>
      <w:r>
        <w:rPr>
          <w:rFonts w:ascii="Calibri" w:hAnsi="Calibri"/>
          <w:i/>
          <w:sz w:val="20"/>
          <w:vertAlign w:val="baseline"/>
        </w:rPr>
        <w:t>on</w:t>
      </w:r>
      <w:r>
        <w:rPr>
          <w:rFonts w:ascii="Calibri" w:hAnsi="Calibri"/>
          <w:i/>
          <w:spacing w:val="-3"/>
          <w:sz w:val="20"/>
          <w:vertAlign w:val="baseline"/>
        </w:rPr>
        <w:t> </w:t>
      </w:r>
      <w:r>
        <w:rPr>
          <w:rFonts w:ascii="Calibri" w:hAnsi="Calibri"/>
          <w:i/>
          <w:sz w:val="20"/>
          <w:vertAlign w:val="baseline"/>
        </w:rPr>
        <w:t>Oil</w:t>
      </w:r>
      <w:r>
        <w:rPr>
          <w:rFonts w:ascii="Calibri" w:hAnsi="Calibri"/>
          <w:i/>
          <w:spacing w:val="-4"/>
          <w:sz w:val="20"/>
          <w:vertAlign w:val="baseline"/>
        </w:rPr>
        <w:t> </w:t>
      </w:r>
      <w:r>
        <w:rPr>
          <w:rFonts w:ascii="Calibri" w:hAnsi="Calibri"/>
          <w:i/>
          <w:sz w:val="20"/>
          <w:vertAlign w:val="baseline"/>
        </w:rPr>
        <w:t>and</w:t>
      </w:r>
      <w:r>
        <w:rPr>
          <w:rFonts w:ascii="Calibri" w:hAnsi="Calibri"/>
          <w:i/>
          <w:spacing w:val="-3"/>
          <w:sz w:val="20"/>
          <w:vertAlign w:val="baseline"/>
        </w:rPr>
        <w:t> </w:t>
      </w:r>
      <w:r>
        <w:rPr>
          <w:rFonts w:ascii="Calibri" w:hAnsi="Calibri"/>
          <w:i/>
          <w:sz w:val="20"/>
          <w:vertAlign w:val="baseline"/>
        </w:rPr>
        <w:t>Gas</w:t>
      </w:r>
      <w:r>
        <w:rPr>
          <w:rFonts w:ascii="Calibri" w:hAnsi="Calibri"/>
          <w:sz w:val="20"/>
          <w:vertAlign w:val="baseline"/>
        </w:rPr>
        <w:t>”,</w:t>
      </w:r>
      <w:r>
        <w:rPr>
          <w:rFonts w:ascii="Calibri" w:hAnsi="Calibri"/>
          <w:spacing w:val="-3"/>
          <w:sz w:val="20"/>
          <w:vertAlign w:val="baseline"/>
        </w:rPr>
        <w:t> </w:t>
      </w:r>
      <w:r>
        <w:rPr>
          <w:rFonts w:ascii="Calibri" w:hAnsi="Calibri"/>
          <w:sz w:val="20"/>
          <w:vertAlign w:val="baseline"/>
        </w:rPr>
        <w:t>Petgas</w:t>
      </w:r>
      <w:r>
        <w:rPr>
          <w:rFonts w:ascii="Calibri" w:hAnsi="Calibri"/>
          <w:spacing w:val="-3"/>
          <w:sz w:val="20"/>
          <w:vertAlign w:val="baseline"/>
        </w:rPr>
        <w:t> </w:t>
      </w:r>
      <w:r>
        <w:rPr>
          <w:rFonts w:ascii="Calibri" w:hAnsi="Calibri"/>
          <w:sz w:val="20"/>
          <w:vertAlign w:val="baseline"/>
        </w:rPr>
        <w:t>Global</w:t>
      </w:r>
      <w:r>
        <w:rPr>
          <w:rFonts w:ascii="Calibri" w:hAnsi="Calibri"/>
          <w:spacing w:val="-3"/>
          <w:sz w:val="20"/>
          <w:vertAlign w:val="baseline"/>
        </w:rPr>
        <w:t> </w:t>
      </w:r>
      <w:r>
        <w:rPr>
          <w:rFonts w:ascii="Calibri" w:hAnsi="Calibri"/>
          <w:sz w:val="20"/>
          <w:vertAlign w:val="baseline"/>
        </w:rPr>
        <w:t>Consulting Limited,</w:t>
      </w:r>
      <w:r>
        <w:rPr>
          <w:rFonts w:ascii="Calibri" w:hAnsi="Calibri"/>
          <w:spacing w:val="-2"/>
          <w:sz w:val="20"/>
          <w:vertAlign w:val="baseline"/>
        </w:rPr>
        <w:t> </w:t>
      </w:r>
      <w:r>
        <w:rPr>
          <w:rFonts w:ascii="Calibri" w:hAnsi="Calibri"/>
          <w:sz w:val="20"/>
          <w:vertAlign w:val="baseline"/>
        </w:rPr>
        <w:t>vol. 1,</w:t>
      </w:r>
      <w:r>
        <w:rPr>
          <w:rFonts w:ascii="Calibri" w:hAnsi="Calibri"/>
          <w:spacing w:val="-2"/>
          <w:sz w:val="20"/>
          <w:vertAlign w:val="baseline"/>
        </w:rPr>
        <w:t> </w:t>
      </w:r>
      <w:r>
        <w:rPr>
          <w:rFonts w:ascii="Calibri" w:hAnsi="Calibri"/>
          <w:sz w:val="20"/>
          <w:vertAlign w:val="baseline"/>
        </w:rPr>
        <w:t>P.</w:t>
      </w:r>
      <w:r>
        <w:rPr>
          <w:rFonts w:ascii="Calibri" w:hAnsi="Calibri"/>
          <w:spacing w:val="-2"/>
          <w:sz w:val="20"/>
          <w:vertAlign w:val="baseline"/>
        </w:rPr>
        <w:t> </w:t>
      </w:r>
      <w:r>
        <w:rPr>
          <w:rFonts w:ascii="Calibri" w:hAnsi="Calibri"/>
          <w:sz w:val="20"/>
          <w:vertAlign w:val="baseline"/>
        </w:rPr>
        <w:t>16.</w:t>
      </w:r>
      <w:r>
        <w:rPr>
          <w:rFonts w:ascii="Calibri" w:hAnsi="Calibri"/>
          <w:spacing w:val="-3"/>
          <w:sz w:val="20"/>
          <w:vertAlign w:val="baseline"/>
        </w:rPr>
        <w:t> </w:t>
      </w:r>
      <w:r>
        <w:rPr>
          <w:rFonts w:ascii="Calibri" w:hAnsi="Calibri"/>
          <w:sz w:val="20"/>
          <w:vertAlign w:val="baseline"/>
        </w:rPr>
        <w:t>See</w:t>
      </w:r>
      <w:r>
        <w:rPr>
          <w:rFonts w:ascii="Calibri" w:hAnsi="Calibri"/>
          <w:spacing w:val="-3"/>
          <w:sz w:val="20"/>
          <w:vertAlign w:val="baseline"/>
        </w:rPr>
        <w:t> </w:t>
      </w:r>
      <w:r>
        <w:rPr>
          <w:rFonts w:ascii="Calibri" w:hAnsi="Calibri"/>
          <w:sz w:val="20"/>
          <w:vertAlign w:val="baseline"/>
        </w:rPr>
        <w:t>also the</w:t>
      </w:r>
      <w:r>
        <w:rPr>
          <w:rFonts w:ascii="Calibri" w:hAnsi="Calibri"/>
          <w:spacing w:val="-3"/>
          <w:sz w:val="20"/>
          <w:vertAlign w:val="baseline"/>
        </w:rPr>
        <w:t> </w:t>
      </w:r>
      <w:r>
        <w:rPr>
          <w:rFonts w:ascii="Calibri" w:hAnsi="Calibri"/>
          <w:sz w:val="20"/>
          <w:vertAlign w:val="baseline"/>
        </w:rPr>
        <w:t>Court</w:t>
      </w:r>
      <w:r>
        <w:rPr>
          <w:rFonts w:ascii="Calibri" w:hAnsi="Calibri"/>
          <w:spacing w:val="-2"/>
          <w:sz w:val="20"/>
          <w:vertAlign w:val="baseline"/>
        </w:rPr>
        <w:t> </w:t>
      </w:r>
      <w:r>
        <w:rPr>
          <w:rFonts w:ascii="Calibri" w:hAnsi="Calibri"/>
          <w:sz w:val="20"/>
          <w:vertAlign w:val="baseline"/>
        </w:rPr>
        <w:t>of</w:t>
      </w:r>
      <w:r>
        <w:rPr>
          <w:rFonts w:ascii="Calibri" w:hAnsi="Calibri"/>
          <w:spacing w:val="-4"/>
          <w:sz w:val="20"/>
          <w:vertAlign w:val="baseline"/>
        </w:rPr>
        <w:t> </w:t>
      </w:r>
      <w:r>
        <w:rPr>
          <w:rFonts w:ascii="Calibri" w:hAnsi="Calibri"/>
          <w:sz w:val="20"/>
          <w:vertAlign w:val="baseline"/>
        </w:rPr>
        <w:t>Appeal</w:t>
      </w:r>
      <w:r>
        <w:rPr>
          <w:rFonts w:ascii="Calibri" w:hAnsi="Calibri"/>
          <w:spacing w:val="-2"/>
          <w:sz w:val="20"/>
          <w:vertAlign w:val="baseline"/>
        </w:rPr>
        <w:t> </w:t>
      </w:r>
      <w:r>
        <w:rPr>
          <w:rFonts w:ascii="Calibri" w:hAnsi="Calibri"/>
          <w:sz w:val="20"/>
          <w:vertAlign w:val="baseline"/>
        </w:rPr>
        <w:t>decision</w:t>
      </w:r>
      <w:r>
        <w:rPr>
          <w:rFonts w:ascii="Calibri" w:hAnsi="Calibri"/>
          <w:spacing w:val="-2"/>
          <w:sz w:val="20"/>
          <w:vertAlign w:val="baseline"/>
        </w:rPr>
        <w:t> </w:t>
      </w:r>
      <w:r>
        <w:rPr>
          <w:rFonts w:ascii="Calibri" w:hAnsi="Calibri"/>
          <w:sz w:val="20"/>
          <w:vertAlign w:val="baseline"/>
        </w:rPr>
        <w:t>in</w:t>
      </w:r>
      <w:r>
        <w:rPr>
          <w:rFonts w:ascii="Calibri" w:hAnsi="Calibri"/>
          <w:spacing w:val="-2"/>
          <w:sz w:val="20"/>
          <w:vertAlign w:val="baseline"/>
        </w:rPr>
        <w:t> </w:t>
      </w:r>
      <w:r>
        <w:rPr>
          <w:rFonts w:ascii="Calibri" w:hAnsi="Calibri"/>
          <w:sz w:val="20"/>
          <w:vertAlign w:val="baseline"/>
        </w:rPr>
        <w:t>case</w:t>
      </w:r>
      <w:r>
        <w:rPr>
          <w:rFonts w:ascii="Calibri" w:hAnsi="Calibri"/>
          <w:spacing w:val="-3"/>
          <w:sz w:val="20"/>
          <w:vertAlign w:val="baseline"/>
        </w:rPr>
        <w:t> </w:t>
      </w:r>
      <w:r>
        <w:rPr>
          <w:rFonts w:ascii="Calibri" w:hAnsi="Calibri"/>
          <w:sz w:val="20"/>
          <w:vertAlign w:val="baseline"/>
        </w:rPr>
        <w:t>of </w:t>
      </w:r>
      <w:r>
        <w:rPr>
          <w:rFonts w:ascii="Calibri" w:hAnsi="Calibri"/>
          <w:i/>
          <w:sz w:val="20"/>
          <w:vertAlign w:val="baseline"/>
        </w:rPr>
        <w:t>Southern</w:t>
      </w:r>
      <w:r>
        <w:rPr>
          <w:rFonts w:ascii="Calibri" w:hAnsi="Calibri"/>
          <w:i/>
          <w:spacing w:val="-2"/>
          <w:sz w:val="20"/>
          <w:vertAlign w:val="baseline"/>
        </w:rPr>
        <w:t> </w:t>
      </w:r>
      <w:r>
        <w:rPr>
          <w:rFonts w:ascii="Calibri" w:hAnsi="Calibri"/>
          <w:i/>
          <w:sz w:val="20"/>
          <w:vertAlign w:val="baseline"/>
        </w:rPr>
        <w:t>Atlantic</w:t>
      </w:r>
      <w:r>
        <w:rPr>
          <w:rFonts w:ascii="Calibri" w:hAnsi="Calibri"/>
          <w:i/>
          <w:spacing w:val="-1"/>
          <w:sz w:val="20"/>
          <w:vertAlign w:val="baseline"/>
        </w:rPr>
        <w:t> </w:t>
      </w:r>
      <w:r>
        <w:rPr>
          <w:rFonts w:ascii="Calibri" w:hAnsi="Calibri"/>
          <w:i/>
          <w:sz w:val="20"/>
          <w:vertAlign w:val="baseline"/>
        </w:rPr>
        <w:t>Petroleum</w:t>
      </w:r>
      <w:r>
        <w:rPr>
          <w:rFonts w:ascii="Calibri" w:hAnsi="Calibri"/>
          <w:i/>
          <w:spacing w:val="-2"/>
          <w:sz w:val="20"/>
          <w:vertAlign w:val="baseline"/>
        </w:rPr>
        <w:t> </w:t>
      </w:r>
      <w:r>
        <w:rPr>
          <w:rFonts w:ascii="Calibri" w:hAnsi="Calibri"/>
          <w:i/>
          <w:sz w:val="20"/>
          <w:vertAlign w:val="baseline"/>
        </w:rPr>
        <w:t>Limited</w:t>
      </w:r>
      <w:r>
        <w:rPr>
          <w:rFonts w:ascii="Calibri" w:hAnsi="Calibri"/>
          <w:i/>
          <w:spacing w:val="-2"/>
          <w:sz w:val="20"/>
          <w:vertAlign w:val="baseline"/>
        </w:rPr>
        <w:t> </w:t>
      </w:r>
      <w:r>
        <w:rPr>
          <w:rFonts w:ascii="Calibri" w:hAnsi="Calibri"/>
          <w:i/>
          <w:sz w:val="20"/>
          <w:vertAlign w:val="baseline"/>
        </w:rPr>
        <w:t>v. Minister of Petroleum Resources NOGC 6 [2007-2008] 245.</w:t>
      </w:r>
    </w:p>
    <w:p>
      <w:pPr>
        <w:spacing w:before="1"/>
        <w:ind w:left="360" w:right="516" w:firstLine="0"/>
        <w:jc w:val="both"/>
        <w:rPr>
          <w:rFonts w:ascii="Calibri"/>
          <w:sz w:val="20"/>
        </w:rPr>
      </w:pPr>
      <w:r>
        <w:rPr>
          <w:rFonts w:ascii="Calibri"/>
          <w:sz w:val="20"/>
          <w:vertAlign w:val="superscript"/>
        </w:rPr>
        <w:t>29</w:t>
      </w:r>
      <w:r>
        <w:rPr>
          <w:rFonts w:ascii="Calibri"/>
          <w:sz w:val="20"/>
          <w:vertAlign w:val="baseline"/>
        </w:rPr>
        <w:t>Oil</w:t>
      </w:r>
      <w:r>
        <w:rPr>
          <w:rFonts w:ascii="Calibri"/>
          <w:spacing w:val="-3"/>
          <w:sz w:val="20"/>
          <w:vertAlign w:val="baseline"/>
        </w:rPr>
        <w:t> </w:t>
      </w:r>
      <w:r>
        <w:rPr>
          <w:rFonts w:ascii="Calibri"/>
          <w:sz w:val="20"/>
          <w:vertAlign w:val="baseline"/>
        </w:rPr>
        <w:t>Mining</w:t>
      </w:r>
      <w:r>
        <w:rPr>
          <w:rFonts w:ascii="Calibri"/>
          <w:spacing w:val="-3"/>
          <w:sz w:val="20"/>
          <w:vertAlign w:val="baseline"/>
        </w:rPr>
        <w:t> </w:t>
      </w:r>
      <w:r>
        <w:rPr>
          <w:rFonts w:ascii="Calibri"/>
          <w:sz w:val="20"/>
          <w:vertAlign w:val="baseline"/>
        </w:rPr>
        <w:t>Licence</w:t>
      </w:r>
      <w:r>
        <w:rPr>
          <w:rFonts w:ascii="Calibri"/>
          <w:spacing w:val="-3"/>
          <w:sz w:val="20"/>
          <w:vertAlign w:val="baseline"/>
        </w:rPr>
        <w:t> </w:t>
      </w:r>
      <w:r>
        <w:rPr>
          <w:rFonts w:ascii="Calibri"/>
          <w:sz w:val="20"/>
          <w:vertAlign w:val="baseline"/>
        </w:rPr>
        <w:t>is</w:t>
      </w:r>
      <w:r>
        <w:rPr>
          <w:rFonts w:ascii="Calibri"/>
          <w:spacing w:val="-4"/>
          <w:sz w:val="20"/>
          <w:vertAlign w:val="baseline"/>
        </w:rPr>
        <w:t> </w:t>
      </w:r>
      <w:r>
        <w:rPr>
          <w:rFonts w:ascii="Calibri"/>
          <w:sz w:val="20"/>
          <w:vertAlign w:val="baseline"/>
        </w:rPr>
        <w:t>defined</w:t>
      </w:r>
      <w:r>
        <w:rPr>
          <w:rFonts w:ascii="Calibri"/>
          <w:spacing w:val="-2"/>
          <w:sz w:val="20"/>
          <w:vertAlign w:val="baseline"/>
        </w:rPr>
        <w:t> </w:t>
      </w:r>
      <w:r>
        <w:rPr>
          <w:rFonts w:ascii="Calibri"/>
          <w:sz w:val="20"/>
          <w:vertAlign w:val="baseline"/>
        </w:rPr>
        <w:t>in</w:t>
      </w:r>
      <w:r>
        <w:rPr>
          <w:rFonts w:ascii="Calibri"/>
          <w:spacing w:val="-2"/>
          <w:sz w:val="20"/>
          <w:vertAlign w:val="baseline"/>
        </w:rPr>
        <w:t> </w:t>
      </w:r>
      <w:r>
        <w:rPr>
          <w:rFonts w:ascii="Calibri"/>
          <w:sz w:val="20"/>
          <w:vertAlign w:val="baseline"/>
        </w:rPr>
        <w:t>section</w:t>
      </w:r>
      <w:r>
        <w:rPr>
          <w:rFonts w:ascii="Calibri"/>
          <w:spacing w:val="-2"/>
          <w:sz w:val="20"/>
          <w:vertAlign w:val="baseline"/>
        </w:rPr>
        <w:t> </w:t>
      </w:r>
      <w:r>
        <w:rPr>
          <w:rFonts w:ascii="Calibri"/>
          <w:sz w:val="20"/>
          <w:vertAlign w:val="baseline"/>
        </w:rPr>
        <w:t>2</w:t>
      </w:r>
      <w:r>
        <w:rPr>
          <w:rFonts w:ascii="Calibri"/>
          <w:spacing w:val="-2"/>
          <w:sz w:val="20"/>
          <w:vertAlign w:val="baseline"/>
        </w:rPr>
        <w:t> </w:t>
      </w:r>
      <w:r>
        <w:rPr>
          <w:rFonts w:ascii="Calibri"/>
          <w:sz w:val="20"/>
          <w:vertAlign w:val="baseline"/>
        </w:rPr>
        <w:t>of</w:t>
      </w:r>
      <w:r>
        <w:rPr>
          <w:rFonts w:ascii="Calibri"/>
          <w:spacing w:val="-4"/>
          <w:sz w:val="20"/>
          <w:vertAlign w:val="baseline"/>
        </w:rPr>
        <w:t> </w:t>
      </w:r>
      <w:r>
        <w:rPr>
          <w:rFonts w:ascii="Calibri"/>
          <w:sz w:val="20"/>
          <w:vertAlign w:val="baseline"/>
        </w:rPr>
        <w:t>the</w:t>
      </w:r>
      <w:r>
        <w:rPr>
          <w:rFonts w:ascii="Calibri"/>
          <w:spacing w:val="-3"/>
          <w:sz w:val="20"/>
          <w:vertAlign w:val="baseline"/>
        </w:rPr>
        <w:t> </w:t>
      </w:r>
      <w:r>
        <w:rPr>
          <w:rFonts w:ascii="Calibri"/>
          <w:sz w:val="20"/>
          <w:vertAlign w:val="baseline"/>
        </w:rPr>
        <w:t>petroleum</w:t>
      </w:r>
      <w:r>
        <w:rPr>
          <w:rFonts w:ascii="Calibri"/>
          <w:spacing w:val="-1"/>
          <w:sz w:val="20"/>
          <w:vertAlign w:val="baseline"/>
        </w:rPr>
        <w:t> </w:t>
      </w:r>
      <w:r>
        <w:rPr>
          <w:rFonts w:ascii="Calibri"/>
          <w:sz w:val="20"/>
          <w:vertAlign w:val="baseline"/>
        </w:rPr>
        <w:t>profit</w:t>
      </w:r>
      <w:r>
        <w:rPr>
          <w:rFonts w:ascii="Calibri"/>
          <w:spacing w:val="-2"/>
          <w:sz w:val="20"/>
          <w:vertAlign w:val="baseline"/>
        </w:rPr>
        <w:t> </w:t>
      </w:r>
      <w:r>
        <w:rPr>
          <w:rFonts w:ascii="Calibri"/>
          <w:sz w:val="20"/>
          <w:vertAlign w:val="baseline"/>
        </w:rPr>
        <w:t>tax</w:t>
      </w:r>
      <w:r>
        <w:rPr>
          <w:rFonts w:ascii="Calibri"/>
          <w:spacing w:val="-2"/>
          <w:sz w:val="20"/>
          <w:vertAlign w:val="baseline"/>
        </w:rPr>
        <w:t> </w:t>
      </w:r>
      <w:r>
        <w:rPr>
          <w:rFonts w:ascii="Calibri"/>
          <w:sz w:val="20"/>
          <w:vertAlign w:val="baseline"/>
        </w:rPr>
        <w:t>Act</w:t>
      </w:r>
      <w:r>
        <w:rPr>
          <w:rFonts w:ascii="Calibri"/>
          <w:spacing w:val="-2"/>
          <w:sz w:val="20"/>
          <w:vertAlign w:val="baseline"/>
        </w:rPr>
        <w:t> </w:t>
      </w:r>
      <w:r>
        <w:rPr>
          <w:rFonts w:ascii="Calibri"/>
          <w:sz w:val="20"/>
          <w:vertAlign w:val="baseline"/>
        </w:rPr>
        <w:t>as</w:t>
      </w:r>
      <w:r>
        <w:rPr>
          <w:rFonts w:ascii="Calibri"/>
          <w:spacing w:val="-4"/>
          <w:sz w:val="20"/>
          <w:vertAlign w:val="baseline"/>
        </w:rPr>
        <w:t> </w:t>
      </w:r>
      <w:r>
        <w:rPr>
          <w:rFonts w:ascii="Calibri"/>
          <w:sz w:val="20"/>
          <w:vertAlign w:val="baseline"/>
        </w:rPr>
        <w:t>a</w:t>
      </w:r>
      <w:r>
        <w:rPr>
          <w:rFonts w:ascii="Calibri"/>
          <w:spacing w:val="-2"/>
          <w:sz w:val="20"/>
          <w:vertAlign w:val="baseline"/>
        </w:rPr>
        <w:t> </w:t>
      </w:r>
      <w:r>
        <w:rPr>
          <w:rFonts w:ascii="Calibri"/>
          <w:sz w:val="20"/>
          <w:vertAlign w:val="baseline"/>
        </w:rPr>
        <w:t>lease</w:t>
      </w:r>
      <w:r>
        <w:rPr>
          <w:rFonts w:ascii="Calibri"/>
          <w:spacing w:val="-3"/>
          <w:sz w:val="20"/>
          <w:vertAlign w:val="baseline"/>
        </w:rPr>
        <w:t> </w:t>
      </w:r>
      <w:r>
        <w:rPr>
          <w:rFonts w:ascii="Calibri"/>
          <w:sz w:val="20"/>
          <w:vertAlign w:val="baseline"/>
        </w:rPr>
        <w:t>granted</w:t>
      </w:r>
      <w:r>
        <w:rPr>
          <w:rFonts w:ascii="Calibri"/>
          <w:spacing w:val="-2"/>
          <w:sz w:val="20"/>
          <w:vertAlign w:val="baseline"/>
        </w:rPr>
        <w:t> </w:t>
      </w:r>
      <w:r>
        <w:rPr>
          <w:rFonts w:ascii="Calibri"/>
          <w:sz w:val="20"/>
          <w:vertAlign w:val="baseline"/>
        </w:rPr>
        <w:t>to</w:t>
      </w:r>
      <w:r>
        <w:rPr>
          <w:rFonts w:ascii="Calibri"/>
          <w:spacing w:val="-2"/>
          <w:sz w:val="20"/>
          <w:vertAlign w:val="baseline"/>
        </w:rPr>
        <w:t> </w:t>
      </w:r>
      <w:r>
        <w:rPr>
          <w:rFonts w:ascii="Calibri"/>
          <w:sz w:val="20"/>
          <w:vertAlign w:val="baseline"/>
        </w:rPr>
        <w:t>a</w:t>
      </w:r>
      <w:r>
        <w:rPr>
          <w:rFonts w:ascii="Calibri"/>
          <w:spacing w:val="-2"/>
          <w:sz w:val="20"/>
          <w:vertAlign w:val="baseline"/>
        </w:rPr>
        <w:t> </w:t>
      </w:r>
      <w:r>
        <w:rPr>
          <w:rFonts w:ascii="Calibri"/>
          <w:sz w:val="20"/>
          <w:vertAlign w:val="baseline"/>
        </w:rPr>
        <w:t>company, under Minerals and Mining Act, for the purpose of winning petroleum or any assignments of such lease.</w:t>
      </w:r>
    </w:p>
    <w:p>
      <w:pPr>
        <w:spacing w:after="0"/>
        <w:jc w:val="both"/>
        <w:rPr>
          <w:rFonts w:ascii="Calibri"/>
          <w:sz w:val="20"/>
        </w:rPr>
        <w:sectPr>
          <w:pgSz w:w="11910" w:h="16840"/>
          <w:pgMar w:header="0" w:footer="1000" w:top="1300" w:bottom="1200" w:left="1080" w:right="1280"/>
        </w:sectPr>
      </w:pPr>
    </w:p>
    <w:p>
      <w:pPr>
        <w:pStyle w:val="BodyText"/>
        <w:spacing w:line="480" w:lineRule="auto" w:before="74"/>
        <w:ind w:left="360" w:right="223"/>
      </w:pPr>
      <w:r>
        <w:rPr/>
        <w:t>account for petroleum profit tax and royalty. The royalty rate for Joint Venture Operation is</w:t>
      </w:r>
      <w:r>
        <w:rPr>
          <w:spacing w:val="40"/>
        </w:rPr>
        <w:t> </w:t>
      </w:r>
      <w:r>
        <w:rPr/>
        <w:t>as follows:</w:t>
      </w:r>
    </w:p>
    <w:p>
      <w:pPr>
        <w:pStyle w:val="BodyText"/>
        <w:tabs>
          <w:tab w:pos="1800" w:val="left" w:leader="none"/>
          <w:tab w:pos="2520" w:val="left" w:leader="none"/>
          <w:tab w:pos="3240" w:val="left" w:leader="none"/>
          <w:tab w:pos="3960" w:val="left" w:leader="none"/>
          <w:tab w:pos="4680" w:val="left" w:leader="none"/>
          <w:tab w:pos="5401" w:val="left" w:leader="none"/>
          <w:tab w:pos="6121" w:val="left" w:leader="none"/>
          <w:tab w:pos="6841" w:val="left" w:leader="none"/>
        </w:tabs>
        <w:spacing w:line="480" w:lineRule="auto"/>
        <w:ind w:left="360" w:right="2100"/>
      </w:pPr>
      <w:r>
        <w:rPr>
          <w:spacing w:val="-2"/>
        </w:rPr>
        <w:t>Onshore</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2"/>
        </w:rPr>
        <w:t>20%</w:t>
      </w:r>
      <w:r>
        <w:rPr>
          <w:spacing w:val="-2"/>
          <w:vertAlign w:val="superscript"/>
        </w:rPr>
        <w:t>31</w:t>
      </w:r>
      <w:r>
        <w:rPr>
          <w:spacing w:val="-2"/>
          <w:vertAlign w:val="baseline"/>
        </w:rPr>
        <w:t> </w:t>
      </w:r>
      <w:r>
        <w:rPr>
          <w:vertAlign w:val="baseline"/>
        </w:rPr>
        <w:t>Offshore less than 100m water depth -</w:t>
        <w:tab/>
      </w:r>
      <w:r>
        <w:rPr>
          <w:spacing w:val="-10"/>
          <w:vertAlign w:val="baseline"/>
        </w:rPr>
        <w:t>-</w:t>
      </w:r>
      <w:r>
        <w:rPr>
          <w:vertAlign w:val="baseline"/>
        </w:rPr>
        <w:tab/>
      </w:r>
      <w:r>
        <w:rPr>
          <w:spacing w:val="-10"/>
          <w:vertAlign w:val="baseline"/>
        </w:rPr>
        <w:t>-</w:t>
      </w:r>
      <w:r>
        <w:rPr>
          <w:vertAlign w:val="baseline"/>
        </w:rPr>
        <w:tab/>
      </w:r>
      <w:r>
        <w:rPr>
          <w:spacing w:val="-4"/>
          <w:vertAlign w:val="baseline"/>
        </w:rPr>
        <w:t>18%</w:t>
      </w:r>
      <w:r>
        <w:rPr>
          <w:spacing w:val="40"/>
          <w:vertAlign w:val="baseline"/>
        </w:rPr>
        <w:t> </w:t>
      </w:r>
      <w:r>
        <w:rPr>
          <w:vertAlign w:val="baseline"/>
        </w:rPr>
        <w:t>Offshore 100 – 200 water depth</w:t>
        <w:tab/>
      </w:r>
      <w:r>
        <w:rPr>
          <w:spacing w:val="-10"/>
          <w:vertAlign w:val="baseline"/>
        </w:rPr>
        <w:t>-</w:t>
      </w:r>
      <w:r>
        <w:rPr>
          <w:vertAlign w:val="baseline"/>
        </w:rPr>
        <w:tab/>
      </w:r>
      <w:r>
        <w:rPr>
          <w:spacing w:val="-10"/>
          <w:vertAlign w:val="baseline"/>
        </w:rPr>
        <w:t>-</w:t>
      </w:r>
      <w:r>
        <w:rPr>
          <w:vertAlign w:val="baseline"/>
        </w:rPr>
        <w:tab/>
      </w:r>
      <w:r>
        <w:rPr>
          <w:spacing w:val="-10"/>
          <w:vertAlign w:val="baseline"/>
        </w:rPr>
        <w:t>-</w:t>
      </w:r>
      <w:r>
        <w:rPr>
          <w:vertAlign w:val="baseline"/>
        </w:rPr>
        <w:tab/>
      </w:r>
      <w:r>
        <w:rPr>
          <w:spacing w:val="-10"/>
          <w:vertAlign w:val="baseline"/>
        </w:rPr>
        <w:t>-</w:t>
      </w:r>
      <w:r>
        <w:rPr>
          <w:vertAlign w:val="baseline"/>
        </w:rPr>
        <w:tab/>
      </w:r>
      <w:r>
        <w:rPr>
          <w:spacing w:val="-4"/>
          <w:vertAlign w:val="baseline"/>
        </w:rPr>
        <w:t>62%</w:t>
      </w:r>
    </w:p>
    <w:p>
      <w:pPr>
        <w:pStyle w:val="Heading3"/>
        <w:numPr>
          <w:ilvl w:val="2"/>
          <w:numId w:val="8"/>
        </w:numPr>
        <w:tabs>
          <w:tab w:pos="1080" w:val="left" w:leader="none"/>
        </w:tabs>
        <w:spacing w:line="240" w:lineRule="auto" w:before="5" w:after="0"/>
        <w:ind w:left="1080" w:right="0" w:hanging="720"/>
        <w:jc w:val="left"/>
      </w:pPr>
      <w:r>
        <w:rPr/>
        <w:t>Product</w:t>
      </w:r>
      <w:r>
        <w:rPr>
          <w:spacing w:val="-1"/>
        </w:rPr>
        <w:t> </w:t>
      </w:r>
      <w:r>
        <w:rPr/>
        <w:t>Sharing</w:t>
      </w:r>
      <w:r>
        <w:rPr>
          <w:spacing w:val="-1"/>
        </w:rPr>
        <w:t> </w:t>
      </w:r>
      <w:r>
        <w:rPr>
          <w:spacing w:val="-2"/>
        </w:rPr>
        <w:t>Contract</w:t>
      </w:r>
    </w:p>
    <w:p>
      <w:pPr>
        <w:pStyle w:val="BodyText"/>
        <w:spacing w:line="480" w:lineRule="auto" w:before="271" w:after="11"/>
        <w:ind w:left="360" w:right="162" w:firstLine="719"/>
        <w:jc w:val="both"/>
      </w:pPr>
      <w:r>
        <w:rPr/>
        <w:t>Under this arrangement, the NNPC, who is the owner of the mineral right</w:t>
      </w:r>
      <w:r>
        <w:rPr>
          <w:spacing w:val="40"/>
        </w:rPr>
        <w:t> </w:t>
      </w:r>
      <w:r>
        <w:rPr/>
        <w:t>(concession) enters in to a contract with a foreign technical partners designated as</w:t>
      </w:r>
      <w:r>
        <w:rPr>
          <w:spacing w:val="40"/>
        </w:rPr>
        <w:t> </w:t>
      </w:r>
      <w:r>
        <w:rPr/>
        <w:t>contractors. The contractors bear all the risks and when oil is discovered in commercial quantity, they recover their cost and share profit on a predetermined ratio with NNPC. The ownership</w:t>
      </w:r>
      <w:r>
        <w:rPr>
          <w:spacing w:val="8"/>
        </w:rPr>
        <w:t> </w:t>
      </w:r>
      <w:r>
        <w:rPr/>
        <w:t>of</w:t>
      </w:r>
      <w:r>
        <w:rPr>
          <w:spacing w:val="10"/>
        </w:rPr>
        <w:t> </w:t>
      </w:r>
      <w:r>
        <w:rPr/>
        <w:t>the</w:t>
      </w:r>
      <w:r>
        <w:rPr>
          <w:spacing w:val="10"/>
        </w:rPr>
        <w:t> </w:t>
      </w:r>
      <w:r>
        <w:rPr/>
        <w:t>concession</w:t>
      </w:r>
      <w:r>
        <w:rPr>
          <w:spacing w:val="11"/>
        </w:rPr>
        <w:t> </w:t>
      </w:r>
      <w:r>
        <w:rPr/>
        <w:t>remains</w:t>
      </w:r>
      <w:r>
        <w:rPr>
          <w:spacing w:val="11"/>
        </w:rPr>
        <w:t> </w:t>
      </w:r>
      <w:r>
        <w:rPr/>
        <w:t>with</w:t>
      </w:r>
      <w:r>
        <w:rPr>
          <w:spacing w:val="11"/>
        </w:rPr>
        <w:t> </w:t>
      </w:r>
      <w:r>
        <w:rPr/>
        <w:t>NNPC.</w:t>
      </w:r>
      <w:r>
        <w:rPr>
          <w:spacing w:val="11"/>
        </w:rPr>
        <w:t> </w:t>
      </w:r>
      <w:r>
        <w:rPr/>
        <w:t>Under</w:t>
      </w:r>
      <w:r>
        <w:rPr>
          <w:spacing w:val="10"/>
        </w:rPr>
        <w:t> </w:t>
      </w:r>
      <w:r>
        <w:rPr/>
        <w:t>this</w:t>
      </w:r>
      <w:r>
        <w:rPr>
          <w:spacing w:val="11"/>
        </w:rPr>
        <w:t> </w:t>
      </w:r>
      <w:r>
        <w:rPr/>
        <w:t>arrangement</w:t>
      </w:r>
      <w:r>
        <w:rPr>
          <w:spacing w:val="13"/>
        </w:rPr>
        <w:t> </w:t>
      </w:r>
      <w:r>
        <w:rPr/>
        <w:t>royalty</w:t>
      </w:r>
      <w:r>
        <w:rPr>
          <w:spacing w:val="5"/>
        </w:rPr>
        <w:t> </w:t>
      </w:r>
      <w:r>
        <w:rPr/>
        <w:t>is</w:t>
      </w:r>
      <w:r>
        <w:rPr>
          <w:spacing w:val="12"/>
        </w:rPr>
        <w:t> </w:t>
      </w:r>
      <w:r>
        <w:rPr>
          <w:spacing w:val="-2"/>
        </w:rPr>
        <w:t>payable</w:t>
      </w:r>
    </w:p>
    <w:tbl>
      <w:tblPr>
        <w:tblW w:w="0" w:type="auto"/>
        <w:jc w:val="left"/>
        <w:tblInd w:w="3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6931"/>
        <w:gridCol w:w="810"/>
      </w:tblGrid>
      <w:tr>
        <w:trPr>
          <w:trHeight w:val="409" w:hRule="atLeast"/>
        </w:trPr>
        <w:tc>
          <w:tcPr>
            <w:tcW w:w="6931" w:type="dxa"/>
          </w:tcPr>
          <w:p>
            <w:pPr>
              <w:pStyle w:val="TableParagraph"/>
              <w:spacing w:line="266" w:lineRule="exact" w:before="0"/>
              <w:rPr>
                <w:sz w:val="24"/>
              </w:rPr>
            </w:pPr>
            <w:r>
              <w:rPr>
                <w:sz w:val="24"/>
              </w:rPr>
              <w:t>as</w:t>
            </w:r>
            <w:r>
              <w:rPr>
                <w:spacing w:val="-1"/>
                <w:sz w:val="24"/>
              </w:rPr>
              <w:t> </w:t>
            </w:r>
            <w:r>
              <w:rPr>
                <w:spacing w:val="-2"/>
                <w:sz w:val="24"/>
              </w:rPr>
              <w:t>follows:</w:t>
            </w:r>
          </w:p>
        </w:tc>
        <w:tc>
          <w:tcPr>
            <w:tcW w:w="810" w:type="dxa"/>
          </w:tcPr>
          <w:p>
            <w:pPr>
              <w:pStyle w:val="TableParagraph"/>
              <w:spacing w:before="0"/>
              <w:ind w:left="0"/>
              <w:rPr>
                <w:sz w:val="22"/>
              </w:rPr>
            </w:pPr>
          </w:p>
        </w:tc>
      </w:tr>
      <w:tr>
        <w:trPr>
          <w:trHeight w:val="552" w:hRule="atLeast"/>
        </w:trPr>
        <w:tc>
          <w:tcPr>
            <w:tcW w:w="6931" w:type="dxa"/>
          </w:tcPr>
          <w:p>
            <w:pPr>
              <w:pStyle w:val="TableParagraph"/>
              <w:tabs>
                <w:tab w:pos="3650" w:val="left" w:leader="none"/>
                <w:tab w:pos="4370" w:val="left" w:leader="none"/>
                <w:tab w:pos="5090" w:val="left" w:leader="none"/>
                <w:tab w:pos="5810" w:val="left" w:leader="none"/>
                <w:tab w:pos="6530" w:val="left" w:leader="none"/>
              </w:tabs>
              <w:rPr>
                <w:sz w:val="24"/>
              </w:rPr>
            </w:pPr>
            <w:r>
              <w:rPr>
                <w:sz w:val="24"/>
              </w:rPr>
              <w:t>201</w:t>
            </w:r>
            <w:r>
              <w:rPr>
                <w:spacing w:val="-1"/>
                <w:sz w:val="24"/>
              </w:rPr>
              <w:t> </w:t>
            </w:r>
            <w:r>
              <w:rPr>
                <w:sz w:val="24"/>
              </w:rPr>
              <w:t>–</w:t>
            </w:r>
            <w:r>
              <w:rPr>
                <w:spacing w:val="-1"/>
                <w:sz w:val="24"/>
              </w:rPr>
              <w:t> </w:t>
            </w:r>
            <w:r>
              <w:rPr>
                <w:sz w:val="24"/>
              </w:rPr>
              <w:t>500</w:t>
            </w:r>
            <w:r>
              <w:rPr>
                <w:spacing w:val="-1"/>
                <w:sz w:val="24"/>
              </w:rPr>
              <w:t> </w:t>
            </w:r>
            <w:r>
              <w:rPr>
                <w:sz w:val="24"/>
              </w:rPr>
              <w:t>meters water </w:t>
            </w:r>
            <w:r>
              <w:rPr>
                <w:spacing w:val="-2"/>
                <w:sz w:val="24"/>
              </w:rPr>
              <w:t>depth</w:t>
            </w:r>
            <w:r>
              <w:rPr>
                <w:sz w:val="24"/>
              </w:rPr>
              <w:tab/>
            </w: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p>
        </w:tc>
        <w:tc>
          <w:tcPr>
            <w:tcW w:w="810" w:type="dxa"/>
          </w:tcPr>
          <w:p>
            <w:pPr>
              <w:pStyle w:val="TableParagraph"/>
              <w:ind w:left="320"/>
              <w:rPr>
                <w:sz w:val="24"/>
              </w:rPr>
            </w:pPr>
            <w:r>
              <w:rPr>
                <w:spacing w:val="-5"/>
                <w:sz w:val="24"/>
              </w:rPr>
              <w:t>12%</w:t>
            </w:r>
          </w:p>
        </w:tc>
      </w:tr>
      <w:tr>
        <w:trPr>
          <w:trHeight w:val="552" w:hRule="atLeast"/>
        </w:trPr>
        <w:tc>
          <w:tcPr>
            <w:tcW w:w="6931" w:type="dxa"/>
          </w:tcPr>
          <w:p>
            <w:pPr>
              <w:pStyle w:val="TableParagraph"/>
              <w:tabs>
                <w:tab w:pos="3650" w:val="left" w:leader="none"/>
                <w:tab w:pos="4370" w:val="left" w:leader="none"/>
                <w:tab w:pos="5090" w:val="left" w:leader="none"/>
                <w:tab w:pos="5810" w:val="left" w:leader="none"/>
                <w:tab w:pos="6530" w:val="left" w:leader="none"/>
              </w:tabs>
              <w:rPr>
                <w:sz w:val="24"/>
              </w:rPr>
            </w:pPr>
            <w:r>
              <w:rPr>
                <w:sz w:val="24"/>
              </w:rPr>
              <w:t>501</w:t>
            </w:r>
            <w:r>
              <w:rPr>
                <w:spacing w:val="-1"/>
                <w:sz w:val="24"/>
              </w:rPr>
              <w:t> </w:t>
            </w:r>
            <w:r>
              <w:rPr>
                <w:sz w:val="24"/>
              </w:rPr>
              <w:t>–</w:t>
            </w:r>
            <w:r>
              <w:rPr>
                <w:spacing w:val="-1"/>
                <w:sz w:val="24"/>
              </w:rPr>
              <w:t> </w:t>
            </w:r>
            <w:r>
              <w:rPr>
                <w:sz w:val="24"/>
              </w:rPr>
              <w:t>800</w:t>
            </w:r>
            <w:r>
              <w:rPr>
                <w:spacing w:val="-1"/>
                <w:sz w:val="24"/>
              </w:rPr>
              <w:t> </w:t>
            </w:r>
            <w:r>
              <w:rPr>
                <w:sz w:val="24"/>
              </w:rPr>
              <w:t>meters water </w:t>
            </w:r>
            <w:r>
              <w:rPr>
                <w:spacing w:val="-2"/>
                <w:sz w:val="24"/>
              </w:rPr>
              <w:t>depth</w:t>
            </w:r>
            <w:r>
              <w:rPr>
                <w:sz w:val="24"/>
              </w:rPr>
              <w:tab/>
            </w: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p>
        </w:tc>
        <w:tc>
          <w:tcPr>
            <w:tcW w:w="810" w:type="dxa"/>
          </w:tcPr>
          <w:p>
            <w:pPr>
              <w:pStyle w:val="TableParagraph"/>
              <w:ind w:left="320"/>
              <w:rPr>
                <w:sz w:val="24"/>
              </w:rPr>
            </w:pPr>
            <w:r>
              <w:rPr>
                <w:spacing w:val="-5"/>
                <w:sz w:val="24"/>
              </w:rPr>
              <w:t>8%</w:t>
            </w:r>
          </w:p>
        </w:tc>
      </w:tr>
      <w:tr>
        <w:trPr>
          <w:trHeight w:val="551" w:hRule="atLeast"/>
        </w:trPr>
        <w:tc>
          <w:tcPr>
            <w:tcW w:w="6931" w:type="dxa"/>
          </w:tcPr>
          <w:p>
            <w:pPr>
              <w:pStyle w:val="TableParagraph"/>
              <w:tabs>
                <w:tab w:pos="3650" w:val="left" w:leader="none"/>
                <w:tab w:pos="4370" w:val="left" w:leader="none"/>
                <w:tab w:pos="5090" w:val="left" w:leader="none"/>
                <w:tab w:pos="5810" w:val="left" w:leader="none"/>
                <w:tab w:pos="6530" w:val="left" w:leader="none"/>
              </w:tabs>
              <w:rPr>
                <w:sz w:val="24"/>
              </w:rPr>
            </w:pPr>
            <w:r>
              <w:rPr>
                <w:sz w:val="24"/>
              </w:rPr>
              <w:t>801</w:t>
            </w:r>
            <w:r>
              <w:rPr>
                <w:spacing w:val="-1"/>
                <w:sz w:val="24"/>
              </w:rPr>
              <w:t> </w:t>
            </w:r>
            <w:r>
              <w:rPr>
                <w:sz w:val="24"/>
              </w:rPr>
              <w:t>–</w:t>
            </w:r>
            <w:r>
              <w:rPr>
                <w:spacing w:val="-1"/>
                <w:sz w:val="24"/>
              </w:rPr>
              <w:t> </w:t>
            </w:r>
            <w:r>
              <w:rPr>
                <w:sz w:val="24"/>
              </w:rPr>
              <w:t>1000</w:t>
            </w:r>
            <w:r>
              <w:rPr>
                <w:spacing w:val="-1"/>
                <w:sz w:val="24"/>
              </w:rPr>
              <w:t> </w:t>
            </w:r>
            <w:r>
              <w:rPr>
                <w:sz w:val="24"/>
              </w:rPr>
              <w:t>meters water</w:t>
            </w:r>
            <w:r>
              <w:rPr>
                <w:spacing w:val="1"/>
                <w:sz w:val="24"/>
              </w:rPr>
              <w:t> </w:t>
            </w:r>
            <w:r>
              <w:rPr>
                <w:spacing w:val="-2"/>
                <w:sz w:val="24"/>
              </w:rPr>
              <w:t>depth</w:t>
            </w:r>
            <w:r>
              <w:rPr>
                <w:sz w:val="24"/>
              </w:rPr>
              <w:tab/>
            </w: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p>
        </w:tc>
        <w:tc>
          <w:tcPr>
            <w:tcW w:w="810" w:type="dxa"/>
          </w:tcPr>
          <w:p>
            <w:pPr>
              <w:pStyle w:val="TableParagraph"/>
              <w:ind w:left="320"/>
              <w:rPr>
                <w:sz w:val="24"/>
              </w:rPr>
            </w:pPr>
            <w:r>
              <w:rPr>
                <w:spacing w:val="-5"/>
                <w:sz w:val="24"/>
              </w:rPr>
              <w:t>4%</w:t>
            </w:r>
          </w:p>
        </w:tc>
      </w:tr>
      <w:tr>
        <w:trPr>
          <w:trHeight w:val="552" w:hRule="atLeast"/>
        </w:trPr>
        <w:tc>
          <w:tcPr>
            <w:tcW w:w="6931" w:type="dxa"/>
          </w:tcPr>
          <w:p>
            <w:pPr>
              <w:pStyle w:val="TableParagraph"/>
              <w:tabs>
                <w:tab w:pos="3650" w:val="left" w:leader="none"/>
                <w:tab w:pos="4370" w:val="left" w:leader="none"/>
                <w:tab w:pos="5090" w:val="left" w:leader="none"/>
                <w:tab w:pos="5810" w:val="left" w:leader="none"/>
                <w:tab w:pos="6530" w:val="left" w:leader="none"/>
              </w:tabs>
              <w:rPr>
                <w:sz w:val="24"/>
              </w:rPr>
            </w:pPr>
            <w:r>
              <w:rPr>
                <w:sz w:val="24"/>
              </w:rPr>
              <w:t>Beyond</w:t>
            </w:r>
            <w:r>
              <w:rPr>
                <w:spacing w:val="-1"/>
                <w:sz w:val="24"/>
              </w:rPr>
              <w:t> </w:t>
            </w:r>
            <w:r>
              <w:rPr>
                <w:sz w:val="24"/>
              </w:rPr>
              <w:t>1000</w:t>
            </w:r>
            <w:r>
              <w:rPr>
                <w:spacing w:val="-1"/>
                <w:sz w:val="24"/>
              </w:rPr>
              <w:t> </w:t>
            </w:r>
            <w:r>
              <w:rPr>
                <w:sz w:val="24"/>
              </w:rPr>
              <w:t>meters</w:t>
            </w:r>
            <w:r>
              <w:rPr>
                <w:spacing w:val="-1"/>
                <w:sz w:val="24"/>
              </w:rPr>
              <w:t> </w:t>
            </w:r>
            <w:r>
              <w:rPr>
                <w:sz w:val="24"/>
              </w:rPr>
              <w:t>water</w:t>
            </w:r>
            <w:r>
              <w:rPr>
                <w:spacing w:val="-1"/>
                <w:sz w:val="24"/>
              </w:rPr>
              <w:t> </w:t>
            </w:r>
            <w:r>
              <w:rPr>
                <w:spacing w:val="-2"/>
                <w:sz w:val="24"/>
              </w:rPr>
              <w:t>depth</w:t>
            </w:r>
            <w:r>
              <w:rPr>
                <w:sz w:val="24"/>
              </w:rPr>
              <w:tab/>
            </w: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p>
        </w:tc>
        <w:tc>
          <w:tcPr>
            <w:tcW w:w="810" w:type="dxa"/>
          </w:tcPr>
          <w:p>
            <w:pPr>
              <w:pStyle w:val="TableParagraph"/>
              <w:ind w:left="320"/>
              <w:rPr>
                <w:sz w:val="24"/>
              </w:rPr>
            </w:pPr>
            <w:r>
              <w:rPr>
                <w:spacing w:val="-5"/>
                <w:sz w:val="24"/>
              </w:rPr>
              <w:t>0%</w:t>
            </w:r>
          </w:p>
        </w:tc>
      </w:tr>
      <w:tr>
        <w:trPr>
          <w:trHeight w:val="408" w:hRule="atLeast"/>
        </w:trPr>
        <w:tc>
          <w:tcPr>
            <w:tcW w:w="6931" w:type="dxa"/>
          </w:tcPr>
          <w:p>
            <w:pPr>
              <w:pStyle w:val="TableParagraph"/>
              <w:tabs>
                <w:tab w:pos="2930" w:val="left" w:leader="none"/>
                <w:tab w:pos="3650" w:val="left" w:leader="none"/>
                <w:tab w:pos="4370" w:val="left" w:leader="none"/>
                <w:tab w:pos="5090" w:val="left" w:leader="none"/>
                <w:tab w:pos="5810" w:val="left" w:leader="none"/>
                <w:tab w:pos="6530" w:val="left" w:leader="none"/>
              </w:tabs>
              <w:spacing w:line="256" w:lineRule="exact"/>
              <w:rPr>
                <w:sz w:val="24"/>
              </w:rPr>
            </w:pPr>
            <w:r>
              <w:rPr>
                <w:sz w:val="24"/>
              </w:rPr>
              <w:t>Inland</w:t>
            </w:r>
            <w:r>
              <w:rPr>
                <w:spacing w:val="-2"/>
                <w:sz w:val="24"/>
              </w:rPr>
              <w:t> </w:t>
            </w:r>
            <w:r>
              <w:rPr>
                <w:sz w:val="24"/>
              </w:rPr>
              <w:t>basin</w:t>
            </w:r>
            <w:r>
              <w:rPr>
                <w:spacing w:val="-1"/>
                <w:sz w:val="24"/>
              </w:rPr>
              <w:t> </w:t>
            </w:r>
            <w:r>
              <w:rPr>
                <w:sz w:val="24"/>
              </w:rPr>
              <w:t>water</w:t>
            </w:r>
            <w:r>
              <w:rPr>
                <w:spacing w:val="-1"/>
                <w:sz w:val="24"/>
              </w:rPr>
              <w:t> </w:t>
            </w:r>
            <w:r>
              <w:rPr>
                <w:spacing w:val="-4"/>
                <w:sz w:val="24"/>
              </w:rPr>
              <w:t>depth</w:t>
            </w:r>
            <w:r>
              <w:rPr>
                <w:sz w:val="24"/>
              </w:rPr>
              <w:tab/>
            </w: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p>
        </w:tc>
        <w:tc>
          <w:tcPr>
            <w:tcW w:w="810" w:type="dxa"/>
          </w:tcPr>
          <w:p>
            <w:pPr>
              <w:pStyle w:val="TableParagraph"/>
              <w:spacing w:line="256" w:lineRule="exact"/>
              <w:ind w:left="320"/>
              <w:rPr>
                <w:sz w:val="24"/>
              </w:rPr>
            </w:pPr>
            <w:r>
              <w:rPr>
                <w:spacing w:val="-5"/>
                <w:sz w:val="24"/>
              </w:rPr>
              <w:t>10%</w:t>
            </w:r>
          </w:p>
        </w:tc>
      </w:tr>
    </w:tbl>
    <w:p>
      <w:pPr>
        <w:pStyle w:val="BodyText"/>
        <w:spacing w:before="7"/>
      </w:pPr>
    </w:p>
    <w:p>
      <w:pPr>
        <w:pStyle w:val="Heading3"/>
        <w:numPr>
          <w:ilvl w:val="2"/>
          <w:numId w:val="8"/>
        </w:numPr>
        <w:tabs>
          <w:tab w:pos="1079" w:val="left" w:leader="none"/>
        </w:tabs>
        <w:spacing w:line="240" w:lineRule="auto" w:before="0" w:after="0"/>
        <w:ind w:left="1079" w:right="0" w:hanging="719"/>
        <w:jc w:val="both"/>
      </w:pPr>
      <w:r>
        <w:rPr/>
        <w:t>Marginal Field </w:t>
      </w:r>
      <w:r>
        <w:rPr>
          <w:spacing w:val="-2"/>
        </w:rPr>
        <w:t>Operators</w:t>
      </w:r>
    </w:p>
    <w:p>
      <w:pPr>
        <w:pStyle w:val="BodyText"/>
        <w:spacing w:line="480" w:lineRule="auto" w:before="272"/>
        <w:ind w:left="360" w:right="158" w:firstLine="719"/>
        <w:jc w:val="both"/>
      </w:pPr>
      <w:r>
        <w:rPr/>
        <w:t>Under this arrangement fields discovered by the multinational companies but left unattended to for a period not less than 10 years is compulsorily acquired and reallocated to indigenous concession holders to boost local participation in the oil and gas industry.</w:t>
      </w:r>
    </w:p>
    <w:p>
      <w:pPr>
        <w:pStyle w:val="Heading3"/>
        <w:numPr>
          <w:ilvl w:val="2"/>
          <w:numId w:val="8"/>
        </w:numPr>
        <w:tabs>
          <w:tab w:pos="1079" w:val="left" w:leader="none"/>
        </w:tabs>
        <w:spacing w:line="240" w:lineRule="auto" w:before="4" w:after="0"/>
        <w:ind w:left="1079" w:right="0" w:hanging="719"/>
        <w:jc w:val="both"/>
      </w:pPr>
      <w:r>
        <w:rPr/>
        <w:t>Service</w:t>
      </w:r>
      <w:r>
        <w:rPr>
          <w:spacing w:val="-6"/>
        </w:rPr>
        <w:t> </w:t>
      </w:r>
      <w:r>
        <w:rPr>
          <w:spacing w:val="-2"/>
        </w:rPr>
        <w:t>Contract</w:t>
      </w:r>
    </w:p>
    <w:p>
      <w:pPr>
        <w:pStyle w:val="BodyText"/>
        <w:spacing w:line="480" w:lineRule="auto" w:before="272"/>
        <w:ind w:left="360" w:right="162" w:firstLine="719"/>
        <w:jc w:val="both"/>
      </w:pPr>
      <w:r>
        <w:rPr/>
        <w:t>Under this scheme, contractors undertake exploration development and production activities</w:t>
      </w:r>
      <w:r>
        <w:rPr>
          <w:spacing w:val="30"/>
        </w:rPr>
        <w:t> </w:t>
      </w:r>
      <w:r>
        <w:rPr/>
        <w:t>for</w:t>
      </w:r>
      <w:r>
        <w:rPr>
          <w:spacing w:val="33"/>
        </w:rPr>
        <w:t> </w:t>
      </w:r>
      <w:r>
        <w:rPr/>
        <w:t>and</w:t>
      </w:r>
      <w:r>
        <w:rPr>
          <w:spacing w:val="33"/>
        </w:rPr>
        <w:t> </w:t>
      </w:r>
      <w:r>
        <w:rPr/>
        <w:t>on</w:t>
      </w:r>
      <w:r>
        <w:rPr>
          <w:spacing w:val="34"/>
        </w:rPr>
        <w:t> </w:t>
      </w:r>
      <w:r>
        <w:rPr/>
        <w:t>behalf</w:t>
      </w:r>
      <w:r>
        <w:rPr>
          <w:spacing w:val="33"/>
        </w:rPr>
        <w:t> </w:t>
      </w:r>
      <w:r>
        <w:rPr/>
        <w:t>of</w:t>
      </w:r>
      <w:r>
        <w:rPr>
          <w:spacing w:val="33"/>
        </w:rPr>
        <w:t> </w:t>
      </w:r>
      <w:r>
        <w:rPr/>
        <w:t>NNPC,</w:t>
      </w:r>
      <w:r>
        <w:rPr>
          <w:spacing w:val="33"/>
        </w:rPr>
        <w:t> </w:t>
      </w:r>
      <w:r>
        <w:rPr/>
        <w:t>the</w:t>
      </w:r>
      <w:r>
        <w:rPr>
          <w:spacing w:val="34"/>
        </w:rPr>
        <w:t> </w:t>
      </w:r>
      <w:r>
        <w:rPr/>
        <w:t>concession</w:t>
      </w:r>
      <w:r>
        <w:rPr>
          <w:spacing w:val="33"/>
        </w:rPr>
        <w:t> </w:t>
      </w:r>
      <w:r>
        <w:rPr/>
        <w:t>owners.</w:t>
      </w:r>
      <w:r>
        <w:rPr>
          <w:spacing w:val="34"/>
        </w:rPr>
        <w:t> </w:t>
      </w:r>
      <w:r>
        <w:rPr/>
        <w:t>The</w:t>
      </w:r>
      <w:r>
        <w:rPr>
          <w:spacing w:val="34"/>
        </w:rPr>
        <w:t> </w:t>
      </w:r>
      <w:r>
        <w:rPr/>
        <w:t>contractors</w:t>
      </w:r>
      <w:r>
        <w:rPr>
          <w:spacing w:val="32"/>
        </w:rPr>
        <w:t> </w:t>
      </w:r>
      <w:r>
        <w:rPr/>
        <w:t>provide</w:t>
      </w:r>
      <w:r>
        <w:rPr>
          <w:spacing w:val="32"/>
        </w:rPr>
        <w:t> </w:t>
      </w:r>
      <w:r>
        <w:rPr>
          <w:spacing w:val="-5"/>
        </w:rPr>
        <w:t>the</w:t>
      </w:r>
    </w:p>
    <w:p>
      <w:pPr>
        <w:pStyle w:val="BodyText"/>
        <w:spacing w:before="102"/>
        <w:rPr>
          <w:sz w:val="20"/>
        </w:rPr>
      </w:pPr>
      <w:r>
        <w:rPr/>
        <mc:AlternateContent>
          <mc:Choice Requires="wps">
            <w:drawing>
              <wp:anchor distT="0" distB="0" distL="0" distR="0" allowOverlap="1" layoutInCell="1" locked="0" behindDoc="1" simplePos="0" relativeHeight="487607808">
                <wp:simplePos x="0" y="0"/>
                <wp:positionH relativeFrom="page">
                  <wp:posOffset>914704</wp:posOffset>
                </wp:positionH>
                <wp:positionV relativeFrom="paragraph">
                  <wp:posOffset>226422</wp:posOffset>
                </wp:positionV>
                <wp:extent cx="1829435" cy="9525"/>
                <wp:effectExtent l="0" t="0" r="0" b="0"/>
                <wp:wrapTopAndBottom/>
                <wp:docPr id="44" name="Graphic 44"/>
                <wp:cNvGraphicFramePr>
                  <a:graphicFrameLocks/>
                </wp:cNvGraphicFramePr>
                <a:graphic>
                  <a:graphicData uri="http://schemas.microsoft.com/office/word/2010/wordprocessingShape">
                    <wps:wsp>
                      <wps:cNvPr id="44" name="Graphic 44"/>
                      <wps:cNvSpPr/>
                      <wps:spPr>
                        <a:xfrm>
                          <a:off x="0" y="0"/>
                          <a:ext cx="1829435" cy="9525"/>
                        </a:xfrm>
                        <a:custGeom>
                          <a:avLst/>
                          <a:gdLst/>
                          <a:ahLst/>
                          <a:cxnLst/>
                          <a:rect l="l" t="t" r="r" b="b"/>
                          <a:pathLst>
                            <a:path w="1829435" h="9525">
                              <a:moveTo>
                                <a:pt x="1829054" y="0"/>
                              </a:moveTo>
                              <a:lnTo>
                                <a:pt x="0" y="0"/>
                              </a:lnTo>
                              <a:lnTo>
                                <a:pt x="0" y="9144"/>
                              </a:lnTo>
                              <a:lnTo>
                                <a:pt x="1829054" y="9144"/>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17.828564pt;width:144.020pt;height:.72003pt;mso-position-horizontal-relative:page;mso-position-vertical-relative:paragraph;z-index:-15708672;mso-wrap-distance-left:0;mso-wrap-distance-right:0" id="docshape44" filled="true" fillcolor="#000000" stroked="false">
                <v:fill type="solid"/>
                <w10:wrap type="topAndBottom"/>
              </v:rect>
            </w:pict>
          </mc:Fallback>
        </mc:AlternateContent>
      </w:r>
    </w:p>
    <w:p>
      <w:pPr>
        <w:spacing w:before="102"/>
        <w:ind w:left="360" w:right="0" w:firstLine="0"/>
        <w:jc w:val="left"/>
        <w:rPr>
          <w:rFonts w:ascii="Calibri"/>
          <w:sz w:val="20"/>
        </w:rPr>
      </w:pPr>
      <w:r>
        <w:rPr>
          <w:rFonts w:ascii="Calibri"/>
          <w:sz w:val="20"/>
          <w:vertAlign w:val="superscript"/>
        </w:rPr>
        <w:t>31</w:t>
      </w:r>
      <w:r>
        <w:rPr>
          <w:rFonts w:ascii="Calibri"/>
          <w:spacing w:val="-7"/>
          <w:sz w:val="20"/>
          <w:vertAlign w:val="baseline"/>
        </w:rPr>
        <w:t> </w:t>
      </w:r>
      <w:r>
        <w:rPr>
          <w:rFonts w:ascii="Calibri"/>
          <w:sz w:val="20"/>
          <w:vertAlign w:val="baseline"/>
        </w:rPr>
        <w:t>International</w:t>
      </w:r>
      <w:r>
        <w:rPr>
          <w:rFonts w:ascii="Calibri"/>
          <w:spacing w:val="-6"/>
          <w:sz w:val="20"/>
          <w:vertAlign w:val="baseline"/>
        </w:rPr>
        <w:t> </w:t>
      </w:r>
      <w:r>
        <w:rPr>
          <w:rFonts w:ascii="Calibri"/>
          <w:sz w:val="20"/>
          <w:vertAlign w:val="baseline"/>
        </w:rPr>
        <w:t>Journal</w:t>
      </w:r>
      <w:r>
        <w:rPr>
          <w:rFonts w:ascii="Calibri"/>
          <w:spacing w:val="-6"/>
          <w:sz w:val="20"/>
          <w:vertAlign w:val="baseline"/>
        </w:rPr>
        <w:t> </w:t>
      </w:r>
      <w:r>
        <w:rPr>
          <w:rFonts w:ascii="Calibri"/>
          <w:sz w:val="20"/>
          <w:vertAlign w:val="baseline"/>
        </w:rPr>
        <w:t>of</w:t>
      </w:r>
      <w:r>
        <w:rPr>
          <w:rFonts w:ascii="Calibri"/>
          <w:spacing w:val="-7"/>
          <w:sz w:val="20"/>
          <w:vertAlign w:val="baseline"/>
        </w:rPr>
        <w:t> </w:t>
      </w:r>
      <w:r>
        <w:rPr>
          <w:rFonts w:ascii="Calibri"/>
          <w:sz w:val="20"/>
          <w:vertAlign w:val="baseline"/>
        </w:rPr>
        <w:t>Advanced</w:t>
      </w:r>
      <w:r>
        <w:rPr>
          <w:rFonts w:ascii="Calibri"/>
          <w:spacing w:val="-6"/>
          <w:sz w:val="20"/>
          <w:vertAlign w:val="baseline"/>
        </w:rPr>
        <w:t> </w:t>
      </w:r>
      <w:r>
        <w:rPr>
          <w:rFonts w:ascii="Calibri"/>
          <w:sz w:val="20"/>
          <w:vertAlign w:val="baseline"/>
        </w:rPr>
        <w:t>Legal</w:t>
      </w:r>
      <w:r>
        <w:rPr>
          <w:rFonts w:ascii="Calibri"/>
          <w:spacing w:val="-6"/>
          <w:sz w:val="20"/>
          <w:vertAlign w:val="baseline"/>
        </w:rPr>
        <w:t> </w:t>
      </w:r>
      <w:r>
        <w:rPr>
          <w:rFonts w:ascii="Calibri"/>
          <w:sz w:val="20"/>
          <w:vertAlign w:val="baseline"/>
        </w:rPr>
        <w:t>Studies</w:t>
      </w:r>
      <w:r>
        <w:rPr>
          <w:rFonts w:ascii="Calibri"/>
          <w:spacing w:val="-8"/>
          <w:sz w:val="20"/>
          <w:vertAlign w:val="baseline"/>
        </w:rPr>
        <w:t> </w:t>
      </w:r>
      <w:r>
        <w:rPr>
          <w:rFonts w:ascii="Calibri"/>
          <w:sz w:val="20"/>
          <w:vertAlign w:val="baseline"/>
        </w:rPr>
        <w:t>and</w:t>
      </w:r>
      <w:r>
        <w:rPr>
          <w:rFonts w:ascii="Calibri"/>
          <w:spacing w:val="-6"/>
          <w:sz w:val="20"/>
          <w:vertAlign w:val="baseline"/>
        </w:rPr>
        <w:t> </w:t>
      </w:r>
      <w:r>
        <w:rPr>
          <w:rFonts w:ascii="Calibri"/>
          <w:sz w:val="20"/>
          <w:vertAlign w:val="baseline"/>
        </w:rPr>
        <w:t>Governance,</w:t>
      </w:r>
      <w:r>
        <w:rPr>
          <w:rFonts w:ascii="Calibri"/>
          <w:spacing w:val="-5"/>
          <w:sz w:val="20"/>
          <w:vertAlign w:val="baseline"/>
        </w:rPr>
        <w:t> </w:t>
      </w:r>
      <w:r>
        <w:rPr>
          <w:rFonts w:ascii="Calibri"/>
          <w:sz w:val="20"/>
          <w:vertAlign w:val="baseline"/>
        </w:rPr>
        <w:t>Vol.</w:t>
      </w:r>
      <w:r>
        <w:rPr>
          <w:rFonts w:ascii="Calibri"/>
          <w:spacing w:val="-7"/>
          <w:sz w:val="20"/>
          <w:vertAlign w:val="baseline"/>
        </w:rPr>
        <w:t> </w:t>
      </w:r>
      <w:r>
        <w:rPr>
          <w:rFonts w:ascii="Calibri"/>
          <w:sz w:val="20"/>
          <w:vertAlign w:val="baseline"/>
        </w:rPr>
        <w:t>4,</w:t>
      </w:r>
      <w:r>
        <w:rPr>
          <w:rFonts w:ascii="Calibri"/>
          <w:spacing w:val="-6"/>
          <w:sz w:val="20"/>
          <w:vertAlign w:val="baseline"/>
        </w:rPr>
        <w:t> </w:t>
      </w:r>
      <w:r>
        <w:rPr>
          <w:rFonts w:ascii="Calibri"/>
          <w:sz w:val="20"/>
          <w:vertAlign w:val="baseline"/>
        </w:rPr>
        <w:t>No.</w:t>
      </w:r>
      <w:r>
        <w:rPr>
          <w:rFonts w:ascii="Calibri"/>
          <w:spacing w:val="-6"/>
          <w:sz w:val="20"/>
          <w:vertAlign w:val="baseline"/>
        </w:rPr>
        <w:t> </w:t>
      </w:r>
      <w:r>
        <w:rPr>
          <w:rFonts w:ascii="Calibri"/>
          <w:sz w:val="20"/>
          <w:vertAlign w:val="baseline"/>
        </w:rPr>
        <w:t>2,</w:t>
      </w:r>
      <w:r>
        <w:rPr>
          <w:rFonts w:ascii="Calibri"/>
          <w:spacing w:val="-6"/>
          <w:sz w:val="20"/>
          <w:vertAlign w:val="baseline"/>
        </w:rPr>
        <w:t> </w:t>
      </w:r>
      <w:r>
        <w:rPr>
          <w:rFonts w:ascii="Calibri"/>
          <w:sz w:val="20"/>
          <w:vertAlign w:val="baseline"/>
        </w:rPr>
        <w:t>August</w:t>
      </w:r>
      <w:r>
        <w:rPr>
          <w:rFonts w:ascii="Calibri"/>
          <w:spacing w:val="-5"/>
          <w:sz w:val="20"/>
          <w:vertAlign w:val="baseline"/>
        </w:rPr>
        <w:t> </w:t>
      </w:r>
      <w:r>
        <w:rPr>
          <w:rFonts w:ascii="Calibri"/>
          <w:sz w:val="20"/>
          <w:vertAlign w:val="baseline"/>
        </w:rPr>
        <w:t>2013</w:t>
      </w:r>
      <w:r>
        <w:rPr>
          <w:rFonts w:ascii="Calibri"/>
          <w:spacing w:val="-7"/>
          <w:sz w:val="20"/>
          <w:vertAlign w:val="baseline"/>
        </w:rPr>
        <w:t> </w:t>
      </w:r>
      <w:r>
        <w:rPr>
          <w:rFonts w:ascii="Calibri"/>
          <w:spacing w:val="-10"/>
          <w:sz w:val="20"/>
          <w:vertAlign w:val="baseline"/>
        </w:rPr>
        <w:t>6</w:t>
      </w:r>
    </w:p>
    <w:p>
      <w:pPr>
        <w:spacing w:after="0"/>
        <w:jc w:val="left"/>
        <w:rPr>
          <w:rFonts w:ascii="Calibri"/>
          <w:sz w:val="20"/>
        </w:rPr>
        <w:sectPr>
          <w:pgSz w:w="11910" w:h="16840"/>
          <w:pgMar w:header="0" w:footer="1000" w:top="1340" w:bottom="1200" w:left="1080" w:right="1280"/>
        </w:sectPr>
      </w:pPr>
    </w:p>
    <w:p>
      <w:pPr>
        <w:pStyle w:val="BodyText"/>
        <w:spacing w:line="480" w:lineRule="auto" w:before="74"/>
        <w:ind w:left="360" w:right="158"/>
        <w:jc w:val="both"/>
      </w:pPr>
      <w:r>
        <w:rPr/>
        <w:t>capital and technical expertise and are reimbursed from the fund obtained from the sale of oil produced. However, profit of a company engaged in service contract is not subject to petroleum profit tax, but rather companies income tax.</w:t>
      </w:r>
    </w:p>
    <w:p>
      <w:pPr>
        <w:pStyle w:val="Heading2"/>
        <w:numPr>
          <w:ilvl w:val="1"/>
          <w:numId w:val="8"/>
        </w:numPr>
        <w:tabs>
          <w:tab w:pos="1079" w:val="left" w:leader="none"/>
        </w:tabs>
        <w:spacing w:line="240" w:lineRule="auto" w:before="5" w:after="0"/>
        <w:ind w:left="1079" w:right="0" w:hanging="719"/>
        <w:jc w:val="both"/>
      </w:pPr>
      <w:bookmarkStart w:name="_TOC_250001" w:id="24"/>
      <w:r>
        <w:rPr/>
        <w:t>Ownership</w:t>
      </w:r>
      <w:r>
        <w:rPr>
          <w:spacing w:val="-2"/>
        </w:rPr>
        <w:t> </w:t>
      </w:r>
      <w:r>
        <w:rPr/>
        <w:t>of</w:t>
      </w:r>
      <w:r>
        <w:rPr>
          <w:spacing w:val="-2"/>
        </w:rPr>
        <w:t> </w:t>
      </w:r>
      <w:r>
        <w:rPr/>
        <w:t>Petroleum</w:t>
      </w:r>
      <w:bookmarkEnd w:id="24"/>
      <w:r>
        <w:rPr>
          <w:spacing w:val="-2"/>
        </w:rPr>
        <w:t> Resources</w:t>
      </w:r>
    </w:p>
    <w:p>
      <w:pPr>
        <w:pStyle w:val="BodyText"/>
        <w:spacing w:line="480" w:lineRule="auto" w:before="271"/>
        <w:ind w:left="360" w:right="158" w:firstLine="719"/>
        <w:jc w:val="both"/>
      </w:pPr>
      <w:r>
        <w:rPr/>
        <w:t>The</w:t>
      </w:r>
      <w:r>
        <w:rPr>
          <w:spacing w:val="-2"/>
        </w:rPr>
        <w:t> </w:t>
      </w:r>
      <w:r>
        <w:rPr/>
        <w:t>entire ownership and control of all petroleum resources in Nigeria</w:t>
      </w:r>
      <w:r>
        <w:rPr>
          <w:spacing w:val="-2"/>
        </w:rPr>
        <w:t> </w:t>
      </w:r>
      <w:r>
        <w:rPr/>
        <w:t>is vested</w:t>
      </w:r>
      <w:r>
        <w:rPr>
          <w:spacing w:val="-1"/>
        </w:rPr>
        <w:t> </w:t>
      </w:r>
      <w:r>
        <w:rPr/>
        <w:t>in the Federal Government of Nigeria</w:t>
      </w:r>
      <w:r>
        <w:rPr>
          <w:spacing w:val="-15"/>
        </w:rPr>
        <w:t> </w:t>
      </w:r>
      <w:r>
        <w:rPr>
          <w:vertAlign w:val="superscript"/>
        </w:rPr>
        <w:t>32</w:t>
      </w:r>
      <w:r>
        <w:rPr>
          <w:spacing w:val="-15"/>
          <w:vertAlign w:val="baseline"/>
        </w:rPr>
        <w:t> </w:t>
      </w:r>
      <w:r>
        <w:rPr>
          <w:vertAlign w:val="baseline"/>
        </w:rPr>
        <w:t>.The Constitution provides that ownership of mineral resources shall be vested in the Federal Government of Nigeria</w:t>
      </w:r>
      <w:r>
        <w:rPr>
          <w:vertAlign w:val="superscript"/>
        </w:rPr>
        <w:t>33</w:t>
      </w:r>
      <w:r>
        <w:rPr>
          <w:vertAlign w:val="baseline"/>
        </w:rPr>
        <w:t>.</w:t>
      </w:r>
    </w:p>
    <w:p>
      <w:pPr>
        <w:pStyle w:val="BodyText"/>
        <w:spacing w:before="1"/>
        <w:ind w:left="360"/>
        <w:jc w:val="both"/>
      </w:pPr>
      <w:r>
        <w:rPr/>
        <w:t>Section</w:t>
      </w:r>
      <w:r>
        <w:rPr>
          <w:spacing w:val="-1"/>
        </w:rPr>
        <w:t> </w:t>
      </w:r>
      <w:r>
        <w:rPr/>
        <w:t>1 (1)</w:t>
      </w:r>
      <w:r>
        <w:rPr>
          <w:spacing w:val="-2"/>
        </w:rPr>
        <w:t> </w:t>
      </w:r>
      <w:r>
        <w:rPr/>
        <w:t>of the</w:t>
      </w:r>
      <w:r>
        <w:rPr>
          <w:spacing w:val="-2"/>
        </w:rPr>
        <w:t> </w:t>
      </w:r>
      <w:r>
        <w:rPr/>
        <w:t>Petroleum</w:t>
      </w:r>
      <w:r>
        <w:rPr>
          <w:spacing w:val="-1"/>
        </w:rPr>
        <w:t> </w:t>
      </w:r>
      <w:r>
        <w:rPr/>
        <w:t>Act</w:t>
      </w:r>
      <w:r>
        <w:rPr>
          <w:vertAlign w:val="superscript"/>
        </w:rPr>
        <w:t>34</w:t>
      </w:r>
      <w:r>
        <w:rPr>
          <w:spacing w:val="1"/>
          <w:vertAlign w:val="baseline"/>
        </w:rPr>
        <w:t> </w:t>
      </w:r>
      <w:r>
        <w:rPr>
          <w:vertAlign w:val="baseline"/>
        </w:rPr>
        <w:t>provides</w:t>
      </w:r>
      <w:r>
        <w:rPr>
          <w:spacing w:val="-1"/>
          <w:vertAlign w:val="baseline"/>
        </w:rPr>
        <w:t> </w:t>
      </w:r>
      <w:r>
        <w:rPr>
          <w:vertAlign w:val="baseline"/>
        </w:rPr>
        <w:t>as </w:t>
      </w:r>
      <w:r>
        <w:rPr>
          <w:spacing w:val="-2"/>
          <w:vertAlign w:val="baseline"/>
        </w:rPr>
        <w:t>follows:</w:t>
      </w:r>
    </w:p>
    <w:p>
      <w:pPr>
        <w:pStyle w:val="BodyText"/>
        <w:spacing w:before="276"/>
        <w:ind w:left="1800" w:right="1597"/>
        <w:jc w:val="both"/>
      </w:pPr>
      <w:r>
        <w:rPr/>
        <w:t>“The entire ownership and control of all petroleum in, under or upon any land to which this section applies shall be vested in the state.”</w:t>
      </w:r>
    </w:p>
    <w:p>
      <w:pPr>
        <w:pStyle w:val="BodyText"/>
        <w:spacing w:before="275"/>
      </w:pPr>
    </w:p>
    <w:p>
      <w:pPr>
        <w:spacing w:line="480" w:lineRule="auto" w:before="1"/>
        <w:ind w:left="360" w:right="161" w:firstLine="719"/>
        <w:jc w:val="both"/>
        <w:rPr>
          <w:sz w:val="24"/>
        </w:rPr>
      </w:pPr>
      <w:r>
        <w:rPr>
          <w:sz w:val="24"/>
        </w:rPr>
        <w:t>Although the section provides that ownership is vested in the state, the word „state‟ used refers to the Federal Government of Nigeria as opposed to components states. The Supreme Court in the case of</w:t>
      </w:r>
      <w:r>
        <w:rPr>
          <w:b/>
          <w:i/>
          <w:sz w:val="24"/>
        </w:rPr>
        <w:t>Attorney General, Federation v. Attorney General, Abia State &amp; 35 Ors. (No. 2)</w:t>
      </w:r>
      <w:r>
        <w:rPr>
          <w:sz w:val="24"/>
          <w:vertAlign w:val="superscript"/>
        </w:rPr>
        <w:t>35</w:t>
      </w:r>
      <w:r>
        <w:rPr>
          <w:sz w:val="24"/>
          <w:vertAlign w:val="baseline"/>
        </w:rPr>
        <w:t> put the position succinctly as follows:</w:t>
      </w:r>
    </w:p>
    <w:p>
      <w:pPr>
        <w:pStyle w:val="BodyText"/>
        <w:ind w:left="1800" w:right="1598"/>
        <w:jc w:val="both"/>
      </w:pPr>
      <w:r>
        <w:rPr/>
        <w:t>By</w:t>
      </w:r>
      <w:r>
        <w:rPr>
          <w:spacing w:val="-9"/>
        </w:rPr>
        <w:t> </w:t>
      </w:r>
      <w:r>
        <w:rPr/>
        <w:t>virtue</w:t>
      </w:r>
      <w:r>
        <w:rPr>
          <w:spacing w:val="-2"/>
        </w:rPr>
        <w:t> </w:t>
      </w:r>
      <w:r>
        <w:rPr/>
        <w:t>of</w:t>
      </w:r>
      <w:r>
        <w:rPr>
          <w:spacing w:val="-2"/>
        </w:rPr>
        <w:t> </w:t>
      </w:r>
      <w:r>
        <w:rPr/>
        <w:t>section</w:t>
      </w:r>
      <w:r>
        <w:rPr>
          <w:spacing w:val="-1"/>
        </w:rPr>
        <w:t> </w:t>
      </w:r>
      <w:r>
        <w:rPr/>
        <w:t>315</w:t>
      </w:r>
      <w:r>
        <w:rPr>
          <w:spacing w:val="-3"/>
        </w:rPr>
        <w:t> </w:t>
      </w:r>
      <w:r>
        <w:rPr/>
        <w:t>of</w:t>
      </w:r>
      <w:r>
        <w:rPr>
          <w:spacing w:val="-2"/>
        </w:rPr>
        <w:t> </w:t>
      </w:r>
      <w:r>
        <w:rPr/>
        <w:t>the</w:t>
      </w:r>
      <w:r>
        <w:rPr>
          <w:spacing w:val="-2"/>
        </w:rPr>
        <w:t> </w:t>
      </w:r>
      <w:r>
        <w:rPr/>
        <w:t>Constitution</w:t>
      </w:r>
      <w:r>
        <w:rPr>
          <w:spacing w:val="-1"/>
        </w:rPr>
        <w:t> </w:t>
      </w:r>
      <w:r>
        <w:rPr/>
        <w:t>the</w:t>
      </w:r>
      <w:r>
        <w:rPr>
          <w:spacing w:val="-2"/>
        </w:rPr>
        <w:t> </w:t>
      </w:r>
      <w:r>
        <w:rPr/>
        <w:t>four enactments mentioned above are existing laws of the national Assembly</w:t>
      </w:r>
      <w:r>
        <w:rPr>
          <w:spacing w:val="40"/>
        </w:rPr>
        <w:t> </w:t>
      </w:r>
      <w:r>
        <w:rPr/>
        <w:t>and by virtue of Section 4 (2) and (3) of the Constitution, National Assembly has the power to make laws for the peace, order and good government of the Federation of Nigeria or any part thereof with respect to any matter included in the</w:t>
      </w:r>
      <w:r>
        <w:rPr>
          <w:spacing w:val="40"/>
        </w:rPr>
        <w:t> </w:t>
      </w:r>
      <w:r>
        <w:rPr/>
        <w:t>Exclusive Legislative List set out in Part 1 of the Second Schedule to the Constitution. Item 26 of the said Exclusive List is external affairs</w:t>
      </w:r>
      <w:r>
        <w:rPr>
          <w:spacing w:val="-1"/>
        </w:rPr>
        <w:t> </w:t>
      </w:r>
      <w:r>
        <w:rPr/>
        <w:t>and</w:t>
      </w:r>
      <w:r>
        <w:rPr>
          <w:spacing w:val="-1"/>
        </w:rPr>
        <w:t> </w:t>
      </w:r>
      <w:r>
        <w:rPr/>
        <w:t>each</w:t>
      </w:r>
      <w:r>
        <w:rPr>
          <w:spacing w:val="-1"/>
        </w:rPr>
        <w:t> </w:t>
      </w:r>
      <w:r>
        <w:rPr/>
        <w:t>of</w:t>
      </w:r>
      <w:r>
        <w:rPr>
          <w:spacing w:val="-2"/>
        </w:rPr>
        <w:t> </w:t>
      </w:r>
      <w:r>
        <w:rPr/>
        <w:t>the</w:t>
      </w:r>
      <w:r>
        <w:rPr>
          <w:spacing w:val="-1"/>
        </w:rPr>
        <w:t> </w:t>
      </w:r>
      <w:r>
        <w:rPr/>
        <w:t>aforementioned enactments is concerned with external affairs, one of the items in the Exclusive Legislative List which the State Houses of Assembly are banned from legislating upon. In the circumstances, the federal Government alone and not the littoral States can lawfully exercise legislative, executive and judicial powers</w:t>
      </w:r>
      <w:r>
        <w:rPr>
          <w:spacing w:val="40"/>
        </w:rPr>
        <w:t> </w:t>
      </w:r>
      <w:r>
        <w:rPr/>
        <w:t>over the maritime belt or territorial waters and sovereign right over</w:t>
      </w:r>
      <w:r>
        <w:rPr>
          <w:spacing w:val="79"/>
          <w:w w:val="150"/>
        </w:rPr>
        <w:t> </w:t>
      </w:r>
      <w:r>
        <w:rPr/>
        <w:t>the</w:t>
      </w:r>
      <w:r>
        <w:rPr>
          <w:spacing w:val="25"/>
        </w:rPr>
        <w:t>  </w:t>
      </w:r>
      <w:r>
        <w:rPr/>
        <w:t>exclusive</w:t>
      </w:r>
      <w:r>
        <w:rPr>
          <w:spacing w:val="25"/>
        </w:rPr>
        <w:t>  </w:t>
      </w:r>
      <w:r>
        <w:rPr/>
        <w:t>economic</w:t>
      </w:r>
      <w:r>
        <w:rPr>
          <w:spacing w:val="25"/>
        </w:rPr>
        <w:t>  </w:t>
      </w:r>
      <w:r>
        <w:rPr/>
        <w:t>zone</w:t>
      </w:r>
      <w:r>
        <w:rPr>
          <w:spacing w:val="25"/>
        </w:rPr>
        <w:t>  </w:t>
      </w:r>
      <w:r>
        <w:rPr/>
        <w:t>subject</w:t>
      </w:r>
      <w:r>
        <w:rPr>
          <w:spacing w:val="26"/>
        </w:rPr>
        <w:t>  </w:t>
      </w:r>
      <w:r>
        <w:rPr/>
        <w:t>to</w:t>
      </w:r>
      <w:r>
        <w:rPr>
          <w:spacing w:val="25"/>
        </w:rPr>
        <w:t>  </w:t>
      </w:r>
      <w:r>
        <w:rPr>
          <w:spacing w:val="-2"/>
        </w:rPr>
        <w:t>universally</w:t>
      </w:r>
    </w:p>
    <w:p>
      <w:pPr>
        <w:pStyle w:val="BodyText"/>
        <w:rPr>
          <w:sz w:val="16"/>
        </w:rPr>
      </w:pPr>
      <w:r>
        <w:rPr/>
        <mc:AlternateContent>
          <mc:Choice Requires="wps">
            <w:drawing>
              <wp:anchor distT="0" distB="0" distL="0" distR="0" allowOverlap="1" layoutInCell="1" locked="0" behindDoc="1" simplePos="0" relativeHeight="487608320">
                <wp:simplePos x="0" y="0"/>
                <wp:positionH relativeFrom="page">
                  <wp:posOffset>914704</wp:posOffset>
                </wp:positionH>
                <wp:positionV relativeFrom="paragraph">
                  <wp:posOffset>132578</wp:posOffset>
                </wp:positionV>
                <wp:extent cx="1829435" cy="9525"/>
                <wp:effectExtent l="0" t="0" r="0" b="0"/>
                <wp:wrapTopAndBottom/>
                <wp:docPr id="45" name="Graphic 45"/>
                <wp:cNvGraphicFramePr>
                  <a:graphicFrameLocks/>
                </wp:cNvGraphicFramePr>
                <a:graphic>
                  <a:graphicData uri="http://schemas.microsoft.com/office/word/2010/wordprocessingShape">
                    <wps:wsp>
                      <wps:cNvPr id="45" name="Graphic 45"/>
                      <wps:cNvSpPr/>
                      <wps:spPr>
                        <a:xfrm>
                          <a:off x="0" y="0"/>
                          <a:ext cx="1829435" cy="9525"/>
                        </a:xfrm>
                        <a:custGeom>
                          <a:avLst/>
                          <a:gdLst/>
                          <a:ahLst/>
                          <a:cxnLst/>
                          <a:rect l="l" t="t" r="r" b="b"/>
                          <a:pathLst>
                            <a:path w="1829435" h="9525">
                              <a:moveTo>
                                <a:pt x="1829054" y="0"/>
                              </a:moveTo>
                              <a:lnTo>
                                <a:pt x="0" y="0"/>
                              </a:lnTo>
                              <a:lnTo>
                                <a:pt x="0" y="9143"/>
                              </a:lnTo>
                              <a:lnTo>
                                <a:pt x="1829054" y="9143"/>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10.439249pt;width:144.020pt;height:.71997pt;mso-position-horizontal-relative:page;mso-position-vertical-relative:paragraph;z-index:-15708160;mso-wrap-distance-left:0;mso-wrap-distance-right:0" id="docshape45" filled="true" fillcolor="#000000" stroked="false">
                <v:fill type="solid"/>
                <w10:wrap type="topAndBottom"/>
              </v:rect>
            </w:pict>
          </mc:Fallback>
        </mc:AlternateContent>
      </w:r>
    </w:p>
    <w:p>
      <w:pPr>
        <w:spacing w:before="102"/>
        <w:ind w:left="360" w:right="302" w:firstLine="0"/>
        <w:jc w:val="left"/>
        <w:rPr>
          <w:rFonts w:ascii="Calibri"/>
          <w:sz w:val="20"/>
        </w:rPr>
      </w:pPr>
      <w:r>
        <w:rPr>
          <w:rFonts w:ascii="Calibri"/>
          <w:sz w:val="20"/>
          <w:vertAlign w:val="superscript"/>
        </w:rPr>
        <w:t>32</w:t>
      </w:r>
      <w:r>
        <w:rPr>
          <w:rFonts w:ascii="Calibri"/>
          <w:sz w:val="20"/>
          <w:vertAlign w:val="baseline"/>
        </w:rPr>
        <w:t>Ayoola-Daniel,</w:t>
      </w:r>
      <w:r>
        <w:rPr>
          <w:rFonts w:ascii="Calibri"/>
          <w:spacing w:val="-3"/>
          <w:sz w:val="20"/>
          <w:vertAlign w:val="baseline"/>
        </w:rPr>
        <w:t> </w:t>
      </w:r>
      <w:r>
        <w:rPr>
          <w:rFonts w:ascii="Calibri"/>
          <w:sz w:val="20"/>
          <w:vertAlign w:val="baseline"/>
        </w:rPr>
        <w:t>op.</w:t>
      </w:r>
      <w:r>
        <w:rPr>
          <w:rFonts w:ascii="Calibri"/>
          <w:spacing w:val="-3"/>
          <w:sz w:val="20"/>
          <w:vertAlign w:val="baseline"/>
        </w:rPr>
        <w:t> </w:t>
      </w:r>
      <w:r>
        <w:rPr>
          <w:rFonts w:ascii="Calibri"/>
          <w:sz w:val="20"/>
          <w:vertAlign w:val="baseline"/>
        </w:rPr>
        <w:t>cit.</w:t>
      </w:r>
      <w:r>
        <w:rPr>
          <w:rFonts w:ascii="Calibri"/>
          <w:spacing w:val="-3"/>
          <w:sz w:val="20"/>
          <w:vertAlign w:val="baseline"/>
        </w:rPr>
        <w:t> </w:t>
      </w:r>
      <w:r>
        <w:rPr>
          <w:rFonts w:ascii="Calibri"/>
          <w:sz w:val="20"/>
          <w:vertAlign w:val="baseline"/>
        </w:rPr>
        <w:t>at</w:t>
      </w:r>
      <w:r>
        <w:rPr>
          <w:rFonts w:ascii="Calibri"/>
          <w:spacing w:val="-3"/>
          <w:sz w:val="20"/>
          <w:vertAlign w:val="baseline"/>
        </w:rPr>
        <w:t> </w:t>
      </w:r>
      <w:r>
        <w:rPr>
          <w:rFonts w:ascii="Calibri"/>
          <w:sz w:val="20"/>
          <w:vertAlign w:val="baseline"/>
        </w:rPr>
        <w:t>p.</w:t>
      </w:r>
      <w:r>
        <w:rPr>
          <w:rFonts w:ascii="Calibri"/>
          <w:spacing w:val="-3"/>
          <w:sz w:val="20"/>
          <w:vertAlign w:val="baseline"/>
        </w:rPr>
        <w:t> </w:t>
      </w:r>
      <w:r>
        <w:rPr>
          <w:rFonts w:ascii="Calibri"/>
          <w:sz w:val="20"/>
          <w:vertAlign w:val="baseline"/>
        </w:rPr>
        <w:t>10. International</w:t>
      </w:r>
      <w:r>
        <w:rPr>
          <w:rFonts w:ascii="Calibri"/>
          <w:spacing w:val="-3"/>
          <w:sz w:val="20"/>
          <w:vertAlign w:val="baseline"/>
        </w:rPr>
        <w:t> </w:t>
      </w:r>
      <w:r>
        <w:rPr>
          <w:rFonts w:ascii="Calibri"/>
          <w:sz w:val="20"/>
          <w:vertAlign w:val="baseline"/>
        </w:rPr>
        <w:t>Journal</w:t>
      </w:r>
      <w:r>
        <w:rPr>
          <w:rFonts w:ascii="Calibri"/>
          <w:spacing w:val="-3"/>
          <w:sz w:val="20"/>
          <w:vertAlign w:val="baseline"/>
        </w:rPr>
        <w:t> </w:t>
      </w:r>
      <w:r>
        <w:rPr>
          <w:rFonts w:ascii="Calibri"/>
          <w:sz w:val="20"/>
          <w:vertAlign w:val="baseline"/>
        </w:rPr>
        <w:t>of</w:t>
      </w:r>
      <w:r>
        <w:rPr>
          <w:rFonts w:ascii="Calibri"/>
          <w:spacing w:val="-5"/>
          <w:sz w:val="20"/>
          <w:vertAlign w:val="baseline"/>
        </w:rPr>
        <w:t> </w:t>
      </w:r>
      <w:r>
        <w:rPr>
          <w:rFonts w:ascii="Calibri"/>
          <w:sz w:val="20"/>
          <w:vertAlign w:val="baseline"/>
        </w:rPr>
        <w:t>Advanced</w:t>
      </w:r>
      <w:r>
        <w:rPr>
          <w:rFonts w:ascii="Calibri"/>
          <w:spacing w:val="-3"/>
          <w:sz w:val="20"/>
          <w:vertAlign w:val="baseline"/>
        </w:rPr>
        <w:t> </w:t>
      </w:r>
      <w:r>
        <w:rPr>
          <w:rFonts w:ascii="Calibri"/>
          <w:sz w:val="20"/>
          <w:vertAlign w:val="baseline"/>
        </w:rPr>
        <w:t>Legal</w:t>
      </w:r>
      <w:r>
        <w:rPr>
          <w:rFonts w:ascii="Calibri"/>
          <w:spacing w:val="-3"/>
          <w:sz w:val="20"/>
          <w:vertAlign w:val="baseline"/>
        </w:rPr>
        <w:t> </w:t>
      </w:r>
      <w:r>
        <w:rPr>
          <w:rFonts w:ascii="Calibri"/>
          <w:sz w:val="20"/>
          <w:vertAlign w:val="baseline"/>
        </w:rPr>
        <w:t>Studies</w:t>
      </w:r>
      <w:r>
        <w:rPr>
          <w:rFonts w:ascii="Calibri"/>
          <w:spacing w:val="-5"/>
          <w:sz w:val="20"/>
          <w:vertAlign w:val="baseline"/>
        </w:rPr>
        <w:t> </w:t>
      </w:r>
      <w:r>
        <w:rPr>
          <w:rFonts w:ascii="Calibri"/>
          <w:sz w:val="20"/>
          <w:vertAlign w:val="baseline"/>
        </w:rPr>
        <w:t>and</w:t>
      </w:r>
      <w:r>
        <w:rPr>
          <w:rFonts w:ascii="Calibri"/>
          <w:spacing w:val="-3"/>
          <w:sz w:val="20"/>
          <w:vertAlign w:val="baseline"/>
        </w:rPr>
        <w:t> </w:t>
      </w:r>
      <w:r>
        <w:rPr>
          <w:rFonts w:ascii="Calibri"/>
          <w:sz w:val="20"/>
          <w:vertAlign w:val="baseline"/>
        </w:rPr>
        <w:t>Governance,</w:t>
      </w:r>
      <w:r>
        <w:rPr>
          <w:rFonts w:ascii="Calibri"/>
          <w:spacing w:val="-3"/>
          <w:sz w:val="20"/>
          <w:vertAlign w:val="baseline"/>
        </w:rPr>
        <w:t> </w:t>
      </w:r>
      <w:r>
        <w:rPr>
          <w:rFonts w:ascii="Calibri"/>
          <w:sz w:val="20"/>
          <w:vertAlign w:val="baseline"/>
        </w:rPr>
        <w:t>Vol.</w:t>
      </w:r>
      <w:r>
        <w:rPr>
          <w:rFonts w:ascii="Calibri"/>
          <w:spacing w:val="-4"/>
          <w:sz w:val="20"/>
          <w:vertAlign w:val="baseline"/>
        </w:rPr>
        <w:t> </w:t>
      </w:r>
      <w:r>
        <w:rPr>
          <w:rFonts w:ascii="Calibri"/>
          <w:sz w:val="20"/>
          <w:vertAlign w:val="baseline"/>
        </w:rPr>
        <w:t>4,</w:t>
      </w:r>
      <w:r>
        <w:rPr>
          <w:rFonts w:ascii="Calibri"/>
          <w:spacing w:val="-3"/>
          <w:sz w:val="20"/>
          <w:vertAlign w:val="baseline"/>
        </w:rPr>
        <w:t> </w:t>
      </w:r>
      <w:r>
        <w:rPr>
          <w:rFonts w:ascii="Calibri"/>
          <w:sz w:val="20"/>
          <w:vertAlign w:val="baseline"/>
        </w:rPr>
        <w:t>No. 2, August 2013 17</w:t>
      </w:r>
    </w:p>
    <w:p>
      <w:pPr>
        <w:spacing w:line="243" w:lineRule="exact" w:before="2"/>
        <w:ind w:left="360" w:right="0" w:firstLine="0"/>
        <w:jc w:val="left"/>
        <w:rPr>
          <w:rFonts w:ascii="Calibri"/>
          <w:sz w:val="20"/>
        </w:rPr>
      </w:pPr>
      <w:r>
        <w:rPr>
          <w:rFonts w:ascii="Calibri"/>
          <w:sz w:val="20"/>
          <w:vertAlign w:val="superscript"/>
        </w:rPr>
        <w:t>33</w:t>
      </w:r>
      <w:r>
        <w:rPr>
          <w:rFonts w:ascii="Calibri"/>
          <w:sz w:val="20"/>
          <w:vertAlign w:val="baseline"/>
        </w:rPr>
        <w:t>Section</w:t>
      </w:r>
      <w:r>
        <w:rPr>
          <w:rFonts w:ascii="Calibri"/>
          <w:spacing w:val="-5"/>
          <w:sz w:val="20"/>
          <w:vertAlign w:val="baseline"/>
        </w:rPr>
        <w:t> </w:t>
      </w:r>
      <w:r>
        <w:rPr>
          <w:rFonts w:ascii="Calibri"/>
          <w:sz w:val="20"/>
          <w:vertAlign w:val="baseline"/>
        </w:rPr>
        <w:t>44</w:t>
      </w:r>
      <w:r>
        <w:rPr>
          <w:rFonts w:ascii="Calibri"/>
          <w:spacing w:val="-5"/>
          <w:sz w:val="20"/>
          <w:vertAlign w:val="baseline"/>
        </w:rPr>
        <w:t> </w:t>
      </w:r>
      <w:r>
        <w:rPr>
          <w:rFonts w:ascii="Calibri"/>
          <w:sz w:val="20"/>
          <w:vertAlign w:val="baseline"/>
        </w:rPr>
        <w:t>(3)</w:t>
      </w:r>
      <w:r>
        <w:rPr>
          <w:rFonts w:ascii="Calibri"/>
          <w:spacing w:val="-6"/>
          <w:sz w:val="20"/>
          <w:vertAlign w:val="baseline"/>
        </w:rPr>
        <w:t> </w:t>
      </w:r>
      <w:r>
        <w:rPr>
          <w:rFonts w:ascii="Calibri"/>
          <w:sz w:val="20"/>
          <w:vertAlign w:val="baseline"/>
        </w:rPr>
        <w:t>of</w:t>
      </w:r>
      <w:r>
        <w:rPr>
          <w:rFonts w:ascii="Calibri"/>
          <w:spacing w:val="-7"/>
          <w:sz w:val="20"/>
          <w:vertAlign w:val="baseline"/>
        </w:rPr>
        <w:t> </w:t>
      </w:r>
      <w:r>
        <w:rPr>
          <w:rFonts w:ascii="Calibri"/>
          <w:sz w:val="20"/>
          <w:vertAlign w:val="baseline"/>
        </w:rPr>
        <w:t>the</w:t>
      </w:r>
      <w:r>
        <w:rPr>
          <w:rFonts w:ascii="Calibri"/>
          <w:spacing w:val="-6"/>
          <w:sz w:val="20"/>
          <w:vertAlign w:val="baseline"/>
        </w:rPr>
        <w:t> </w:t>
      </w:r>
      <w:r>
        <w:rPr>
          <w:rFonts w:ascii="Calibri"/>
          <w:sz w:val="20"/>
          <w:vertAlign w:val="baseline"/>
        </w:rPr>
        <w:t>1999</w:t>
      </w:r>
      <w:r>
        <w:rPr>
          <w:rFonts w:ascii="Calibri"/>
          <w:spacing w:val="-5"/>
          <w:sz w:val="20"/>
          <w:vertAlign w:val="baseline"/>
        </w:rPr>
        <w:t> </w:t>
      </w:r>
      <w:r>
        <w:rPr>
          <w:rFonts w:ascii="Calibri"/>
          <w:sz w:val="20"/>
          <w:vertAlign w:val="baseline"/>
        </w:rPr>
        <w:t>Constitution</w:t>
      </w:r>
      <w:r>
        <w:rPr>
          <w:rFonts w:ascii="Calibri"/>
          <w:spacing w:val="-5"/>
          <w:sz w:val="20"/>
          <w:vertAlign w:val="baseline"/>
        </w:rPr>
        <w:t> </w:t>
      </w:r>
      <w:r>
        <w:rPr>
          <w:rFonts w:ascii="Calibri"/>
          <w:sz w:val="20"/>
          <w:vertAlign w:val="baseline"/>
        </w:rPr>
        <w:t>(as</w:t>
      </w:r>
      <w:r>
        <w:rPr>
          <w:rFonts w:ascii="Calibri"/>
          <w:spacing w:val="-7"/>
          <w:sz w:val="20"/>
          <w:vertAlign w:val="baseline"/>
        </w:rPr>
        <w:t> </w:t>
      </w:r>
      <w:r>
        <w:rPr>
          <w:rFonts w:ascii="Calibri"/>
          <w:spacing w:val="-2"/>
          <w:sz w:val="20"/>
          <w:vertAlign w:val="baseline"/>
        </w:rPr>
        <w:t>amended)</w:t>
      </w:r>
    </w:p>
    <w:p>
      <w:pPr>
        <w:spacing w:line="243" w:lineRule="exact" w:before="0"/>
        <w:ind w:left="360" w:right="0" w:firstLine="0"/>
        <w:jc w:val="left"/>
        <w:rPr>
          <w:rFonts w:ascii="Calibri"/>
          <w:sz w:val="20"/>
        </w:rPr>
      </w:pPr>
      <w:r>
        <w:rPr>
          <w:rFonts w:ascii="Calibri"/>
          <w:sz w:val="20"/>
          <w:vertAlign w:val="superscript"/>
        </w:rPr>
        <w:t>34</w:t>
      </w:r>
      <w:r>
        <w:rPr>
          <w:rFonts w:ascii="Calibri"/>
          <w:spacing w:val="-6"/>
          <w:sz w:val="20"/>
          <w:vertAlign w:val="baseline"/>
        </w:rPr>
        <w:t> </w:t>
      </w:r>
      <w:r>
        <w:rPr>
          <w:rFonts w:ascii="Calibri"/>
          <w:sz w:val="20"/>
          <w:vertAlign w:val="baseline"/>
        </w:rPr>
        <w:t>Cap</w:t>
      </w:r>
      <w:r>
        <w:rPr>
          <w:rFonts w:ascii="Calibri"/>
          <w:spacing w:val="-5"/>
          <w:sz w:val="20"/>
          <w:vertAlign w:val="baseline"/>
        </w:rPr>
        <w:t> </w:t>
      </w:r>
      <w:r>
        <w:rPr>
          <w:rFonts w:ascii="Calibri"/>
          <w:sz w:val="20"/>
          <w:vertAlign w:val="baseline"/>
        </w:rPr>
        <w:t>P10,</w:t>
      </w:r>
      <w:r>
        <w:rPr>
          <w:rFonts w:ascii="Calibri"/>
          <w:spacing w:val="-5"/>
          <w:sz w:val="20"/>
          <w:vertAlign w:val="baseline"/>
        </w:rPr>
        <w:t> </w:t>
      </w:r>
      <w:r>
        <w:rPr>
          <w:rFonts w:ascii="Calibri"/>
          <w:sz w:val="20"/>
          <w:vertAlign w:val="baseline"/>
        </w:rPr>
        <w:t>Laws</w:t>
      </w:r>
      <w:r>
        <w:rPr>
          <w:rFonts w:ascii="Calibri"/>
          <w:spacing w:val="-6"/>
          <w:sz w:val="20"/>
          <w:vertAlign w:val="baseline"/>
        </w:rPr>
        <w:t> </w:t>
      </w:r>
      <w:r>
        <w:rPr>
          <w:rFonts w:ascii="Calibri"/>
          <w:sz w:val="20"/>
          <w:vertAlign w:val="baseline"/>
        </w:rPr>
        <w:t>of</w:t>
      </w:r>
      <w:r>
        <w:rPr>
          <w:rFonts w:ascii="Calibri"/>
          <w:spacing w:val="-7"/>
          <w:sz w:val="20"/>
          <w:vertAlign w:val="baseline"/>
        </w:rPr>
        <w:t> </w:t>
      </w:r>
      <w:r>
        <w:rPr>
          <w:rFonts w:ascii="Calibri"/>
          <w:sz w:val="20"/>
          <w:vertAlign w:val="baseline"/>
        </w:rPr>
        <w:t>Federation</w:t>
      </w:r>
      <w:r>
        <w:rPr>
          <w:rFonts w:ascii="Calibri"/>
          <w:spacing w:val="-2"/>
          <w:sz w:val="20"/>
          <w:vertAlign w:val="baseline"/>
        </w:rPr>
        <w:t> </w:t>
      </w:r>
      <w:r>
        <w:rPr>
          <w:rFonts w:ascii="Calibri"/>
          <w:sz w:val="20"/>
          <w:vertAlign w:val="baseline"/>
        </w:rPr>
        <w:t>of</w:t>
      </w:r>
      <w:r>
        <w:rPr>
          <w:rFonts w:ascii="Calibri"/>
          <w:spacing w:val="-6"/>
          <w:sz w:val="20"/>
          <w:vertAlign w:val="baseline"/>
        </w:rPr>
        <w:t> </w:t>
      </w:r>
      <w:r>
        <w:rPr>
          <w:rFonts w:ascii="Calibri"/>
          <w:sz w:val="20"/>
          <w:vertAlign w:val="baseline"/>
        </w:rPr>
        <w:t>Nigeria,</w:t>
      </w:r>
      <w:r>
        <w:rPr>
          <w:rFonts w:ascii="Calibri"/>
          <w:spacing w:val="-5"/>
          <w:sz w:val="20"/>
          <w:vertAlign w:val="baseline"/>
        </w:rPr>
        <w:t> </w:t>
      </w:r>
      <w:r>
        <w:rPr>
          <w:rFonts w:ascii="Calibri"/>
          <w:spacing w:val="-4"/>
          <w:sz w:val="20"/>
          <w:vertAlign w:val="baseline"/>
        </w:rPr>
        <w:t>2004.</w:t>
      </w:r>
    </w:p>
    <w:p>
      <w:pPr>
        <w:spacing w:before="0"/>
        <w:ind w:left="360" w:right="0" w:firstLine="0"/>
        <w:jc w:val="left"/>
        <w:rPr>
          <w:rFonts w:ascii="Calibri"/>
          <w:sz w:val="20"/>
        </w:rPr>
      </w:pPr>
      <w:r>
        <w:rPr>
          <w:rFonts w:ascii="Calibri"/>
          <w:spacing w:val="-2"/>
          <w:sz w:val="20"/>
          <w:vertAlign w:val="superscript"/>
        </w:rPr>
        <w:t>35</w:t>
      </w:r>
      <w:r>
        <w:rPr>
          <w:rFonts w:ascii="Calibri"/>
          <w:spacing w:val="-2"/>
          <w:sz w:val="20"/>
          <w:vertAlign w:val="baseline"/>
        </w:rPr>
        <w:t>(supra)</w:t>
      </w:r>
    </w:p>
    <w:p>
      <w:pPr>
        <w:spacing w:after="0"/>
        <w:jc w:val="left"/>
        <w:rPr>
          <w:rFonts w:ascii="Calibri"/>
          <w:sz w:val="20"/>
        </w:rPr>
        <w:sectPr>
          <w:pgSz w:w="11910" w:h="16840"/>
          <w:pgMar w:header="0" w:footer="1000" w:top="1340" w:bottom="1200" w:left="1080" w:right="1280"/>
        </w:sectPr>
      </w:pPr>
    </w:p>
    <w:p>
      <w:pPr>
        <w:pStyle w:val="BodyText"/>
        <w:spacing w:before="74"/>
        <w:ind w:left="1800" w:right="951"/>
      </w:pPr>
      <w:r>
        <w:rPr/>
        <w:t>recognized</w:t>
      </w:r>
      <w:r>
        <w:rPr>
          <w:spacing w:val="40"/>
        </w:rPr>
        <w:t> </w:t>
      </w:r>
      <w:r>
        <w:rPr/>
        <w:t>rights.</w:t>
      </w:r>
      <w:r>
        <w:rPr>
          <w:spacing w:val="40"/>
        </w:rPr>
        <w:t> </w:t>
      </w:r>
      <w:r>
        <w:rPr/>
        <w:t>The</w:t>
      </w:r>
      <w:r>
        <w:rPr>
          <w:spacing w:val="40"/>
        </w:rPr>
        <w:t> </w:t>
      </w:r>
      <w:r>
        <w:rPr/>
        <w:t>validity</w:t>
      </w:r>
      <w:r>
        <w:rPr>
          <w:spacing w:val="40"/>
        </w:rPr>
        <w:t> </w:t>
      </w:r>
      <w:r>
        <w:rPr/>
        <w:t>of</w:t>
      </w:r>
      <w:r>
        <w:rPr>
          <w:spacing w:val="40"/>
        </w:rPr>
        <w:t> </w:t>
      </w:r>
      <w:r>
        <w:rPr/>
        <w:t>the</w:t>
      </w:r>
      <w:r>
        <w:rPr>
          <w:spacing w:val="40"/>
        </w:rPr>
        <w:t> </w:t>
      </w:r>
      <w:r>
        <w:rPr/>
        <w:t>four</w:t>
      </w:r>
      <w:r>
        <w:rPr>
          <w:spacing w:val="40"/>
        </w:rPr>
        <w:t> </w:t>
      </w:r>
      <w:r>
        <w:rPr/>
        <w:t>aforementioned</w:t>
      </w:r>
      <w:r>
        <w:rPr>
          <w:spacing w:val="80"/>
        </w:rPr>
        <w:t> </w:t>
      </w:r>
      <w:r>
        <w:rPr/>
        <w:t>enactments has not been questioned</w:t>
      </w:r>
      <w:r>
        <w:rPr>
          <w:vertAlign w:val="superscript"/>
        </w:rPr>
        <w:t>36</w:t>
      </w:r>
      <w:r>
        <w:rPr>
          <w:vertAlign w:val="baseline"/>
        </w:rPr>
        <w:t>.</w:t>
      </w:r>
    </w:p>
    <w:p>
      <w:pPr>
        <w:pStyle w:val="BodyText"/>
      </w:pPr>
    </w:p>
    <w:p>
      <w:pPr>
        <w:pStyle w:val="BodyText"/>
      </w:pPr>
    </w:p>
    <w:p>
      <w:pPr>
        <w:pStyle w:val="BodyText"/>
        <w:spacing w:line="480" w:lineRule="auto"/>
        <w:ind w:left="360" w:right="156" w:firstLine="719"/>
        <w:jc w:val="both"/>
      </w:pPr>
      <w:r>
        <w:rPr/>
        <w:t>The legal implication of this is that no state government, local government or any group or group of persons other than Federal Government can exercise any sovereign right, claim, control or ownership over oil and gas resources within, upon or underlying all lands, sea</w:t>
      </w:r>
      <w:r>
        <w:rPr>
          <w:spacing w:val="-3"/>
        </w:rPr>
        <w:t> </w:t>
      </w:r>
      <w:r>
        <w:rPr/>
        <w:t>bed and</w:t>
      </w:r>
      <w:r>
        <w:rPr>
          <w:spacing w:val="-2"/>
        </w:rPr>
        <w:t> </w:t>
      </w:r>
      <w:r>
        <w:rPr/>
        <w:t>sub-oil</w:t>
      </w:r>
      <w:r>
        <w:rPr>
          <w:spacing w:val="-2"/>
        </w:rPr>
        <w:t> </w:t>
      </w:r>
      <w:r>
        <w:rPr/>
        <w:t>including</w:t>
      </w:r>
      <w:r>
        <w:rPr>
          <w:spacing w:val="-4"/>
        </w:rPr>
        <w:t> </w:t>
      </w:r>
      <w:r>
        <w:rPr/>
        <w:t>lands</w:t>
      </w:r>
      <w:r>
        <w:rPr>
          <w:spacing w:val="-2"/>
        </w:rPr>
        <w:t> </w:t>
      </w:r>
      <w:r>
        <w:rPr/>
        <w:t>under</w:t>
      </w:r>
      <w:r>
        <w:rPr>
          <w:spacing w:val="-2"/>
        </w:rPr>
        <w:t> </w:t>
      </w:r>
      <w:r>
        <w:rPr/>
        <w:t>the</w:t>
      </w:r>
      <w:r>
        <w:rPr>
          <w:spacing w:val="-4"/>
        </w:rPr>
        <w:t> </w:t>
      </w:r>
      <w:r>
        <w:rPr/>
        <w:t>territorial</w:t>
      </w:r>
      <w:r>
        <w:rPr>
          <w:spacing w:val="-2"/>
        </w:rPr>
        <w:t> </w:t>
      </w:r>
      <w:r>
        <w:rPr/>
        <w:t>waters</w:t>
      </w:r>
      <w:r>
        <w:rPr>
          <w:spacing w:val="-2"/>
        </w:rPr>
        <w:t> </w:t>
      </w:r>
      <w:r>
        <w:rPr/>
        <w:t>of</w:t>
      </w:r>
      <w:r>
        <w:rPr>
          <w:spacing w:val="-1"/>
        </w:rPr>
        <w:t> </w:t>
      </w:r>
      <w:r>
        <w:rPr/>
        <w:t>Nigeria</w:t>
      </w:r>
      <w:r>
        <w:rPr>
          <w:spacing w:val="-4"/>
        </w:rPr>
        <w:t> </w:t>
      </w:r>
      <w:r>
        <w:rPr/>
        <w:t>or</w:t>
      </w:r>
      <w:r>
        <w:rPr>
          <w:spacing w:val="-2"/>
        </w:rPr>
        <w:t> </w:t>
      </w:r>
      <w:r>
        <w:rPr/>
        <w:t>that</w:t>
      </w:r>
      <w:r>
        <w:rPr>
          <w:spacing w:val="-2"/>
        </w:rPr>
        <w:t> </w:t>
      </w:r>
      <w:r>
        <w:rPr/>
        <w:t>forms</w:t>
      </w:r>
      <w:r>
        <w:rPr>
          <w:spacing w:val="-2"/>
        </w:rPr>
        <w:t> </w:t>
      </w:r>
      <w:r>
        <w:rPr/>
        <w:t>part</w:t>
      </w:r>
      <w:r>
        <w:rPr>
          <w:spacing w:val="-2"/>
        </w:rPr>
        <w:t> </w:t>
      </w:r>
      <w:r>
        <w:rPr/>
        <w:t>of the Continental shelf or exclusive Economic Zone of Nigeria.</w:t>
      </w:r>
      <w:r>
        <w:rPr>
          <w:vertAlign w:val="superscript"/>
        </w:rPr>
        <w:t>37</w:t>
      </w:r>
      <w:r>
        <w:rPr>
          <w:vertAlign w:val="baseline"/>
        </w:rPr>
        <w:t> The Federal Government, however, permits the involvement of private and public interest in the development, production, marketing and export of discovered associated gas. Although, the Petroleum Profit Tax Act provides a framework for the understanding of the Nigerian petroleum tax regime, there are other various contractual agreements, memorandum of understanding and side letters that provide information on the incentives made available by the Federal Government to the operators in the oil and gas sector. All these are additional provisions of the Act and are usually applied as if they are part of the Act.</w:t>
      </w:r>
    </w:p>
    <w:p>
      <w:pPr>
        <w:pStyle w:val="Heading2"/>
        <w:numPr>
          <w:ilvl w:val="1"/>
          <w:numId w:val="8"/>
        </w:numPr>
        <w:tabs>
          <w:tab w:pos="1079" w:val="left" w:leader="none"/>
        </w:tabs>
        <w:spacing w:line="240" w:lineRule="auto" w:before="6" w:after="0"/>
        <w:ind w:left="1079" w:right="0" w:hanging="719"/>
        <w:jc w:val="both"/>
      </w:pPr>
      <w:bookmarkStart w:name="_TOC_250000" w:id="25"/>
      <w:r>
        <w:rPr/>
        <w:t>Assessment</w:t>
      </w:r>
      <w:r>
        <w:rPr>
          <w:spacing w:val="-2"/>
        </w:rPr>
        <w:t> </w:t>
      </w:r>
      <w:r>
        <w:rPr/>
        <w:t>of</w:t>
      </w:r>
      <w:r>
        <w:rPr>
          <w:spacing w:val="-3"/>
        </w:rPr>
        <w:t> </w:t>
      </w:r>
      <w:r>
        <w:rPr/>
        <w:t>Petroleum</w:t>
      </w:r>
      <w:r>
        <w:rPr>
          <w:spacing w:val="-2"/>
        </w:rPr>
        <w:t> </w:t>
      </w:r>
      <w:r>
        <w:rPr/>
        <w:t>Profit</w:t>
      </w:r>
      <w:r>
        <w:rPr>
          <w:spacing w:val="-2"/>
        </w:rPr>
        <w:t> </w:t>
      </w:r>
      <w:bookmarkEnd w:id="25"/>
      <w:r>
        <w:rPr>
          <w:spacing w:val="-5"/>
        </w:rPr>
        <w:t>Tax</w:t>
      </w:r>
    </w:p>
    <w:p>
      <w:pPr>
        <w:pStyle w:val="BodyText"/>
        <w:spacing w:line="480" w:lineRule="auto" w:before="271"/>
        <w:ind w:left="360" w:right="155" w:firstLine="719"/>
        <w:jc w:val="both"/>
      </w:pPr>
      <w:r>
        <w:rPr/>
        <w:t>The Government of Nigeria, like in any other countries of the world, has legislative power to impose on its citizens, any form of tax and at whatever rates it deems appropriate. The taxation of petroleum profit is governed by Petroleum Profit Tax Act</w:t>
      </w:r>
      <w:r>
        <w:rPr>
          <w:vertAlign w:val="superscript"/>
        </w:rPr>
        <w:t>38</w:t>
      </w:r>
      <w:r>
        <w:rPr>
          <w:vertAlign w:val="baseline"/>
        </w:rPr>
        <w:t>. The tax is levied on the profits of a company engaged in petroleum operations during an accounting period. The chargeable persons under the Act are companies engaged in petroleum operations as International</w:t>
      </w:r>
      <w:r>
        <w:rPr>
          <w:spacing w:val="-2"/>
          <w:vertAlign w:val="baseline"/>
        </w:rPr>
        <w:t> </w:t>
      </w:r>
      <w:r>
        <w:rPr>
          <w:vertAlign w:val="baseline"/>
        </w:rPr>
        <w:t>Journal</w:t>
      </w:r>
      <w:r>
        <w:rPr>
          <w:spacing w:val="-1"/>
          <w:vertAlign w:val="baseline"/>
        </w:rPr>
        <w:t> </w:t>
      </w:r>
      <w:r>
        <w:rPr>
          <w:vertAlign w:val="baseline"/>
        </w:rPr>
        <w:t>of Advanced</w:t>
      </w:r>
      <w:r>
        <w:rPr>
          <w:spacing w:val="3"/>
          <w:vertAlign w:val="baseline"/>
        </w:rPr>
        <w:t> </w:t>
      </w:r>
      <w:r>
        <w:rPr>
          <w:vertAlign w:val="baseline"/>
        </w:rPr>
        <w:t>Legal</w:t>
      </w:r>
      <w:r>
        <w:rPr>
          <w:spacing w:val="-1"/>
          <w:vertAlign w:val="baseline"/>
        </w:rPr>
        <w:t> </w:t>
      </w:r>
      <w:r>
        <w:rPr>
          <w:vertAlign w:val="baseline"/>
        </w:rPr>
        <w:t>Studies</w:t>
      </w:r>
      <w:r>
        <w:rPr>
          <w:spacing w:val="1"/>
          <w:vertAlign w:val="baseline"/>
        </w:rPr>
        <w:t> </w:t>
      </w:r>
      <w:r>
        <w:rPr>
          <w:vertAlign w:val="baseline"/>
        </w:rPr>
        <w:t>and</w:t>
      </w:r>
      <w:r>
        <w:rPr>
          <w:spacing w:val="-2"/>
          <w:vertAlign w:val="baseline"/>
        </w:rPr>
        <w:t> </w:t>
      </w:r>
      <w:r>
        <w:rPr>
          <w:vertAlign w:val="baseline"/>
        </w:rPr>
        <w:t>Governance,</w:t>
      </w:r>
      <w:r>
        <w:rPr>
          <w:spacing w:val="1"/>
          <w:vertAlign w:val="baseline"/>
        </w:rPr>
        <w:t> </w:t>
      </w:r>
      <w:r>
        <w:rPr>
          <w:vertAlign w:val="baseline"/>
        </w:rPr>
        <w:t>Vol.</w:t>
      </w:r>
      <w:r>
        <w:rPr>
          <w:spacing w:val="-1"/>
          <w:vertAlign w:val="baseline"/>
        </w:rPr>
        <w:t> </w:t>
      </w:r>
      <w:r>
        <w:rPr>
          <w:vertAlign w:val="baseline"/>
        </w:rPr>
        <w:t>4,</w:t>
      </w:r>
      <w:r>
        <w:rPr>
          <w:spacing w:val="1"/>
          <w:vertAlign w:val="baseline"/>
        </w:rPr>
        <w:t> </w:t>
      </w:r>
      <w:r>
        <w:rPr>
          <w:vertAlign w:val="baseline"/>
        </w:rPr>
        <w:t>No.</w:t>
      </w:r>
      <w:r>
        <w:rPr>
          <w:spacing w:val="-1"/>
          <w:vertAlign w:val="baseline"/>
        </w:rPr>
        <w:t> </w:t>
      </w:r>
      <w:r>
        <w:rPr>
          <w:vertAlign w:val="baseline"/>
        </w:rPr>
        <w:t>2,</w:t>
      </w:r>
      <w:r>
        <w:rPr>
          <w:spacing w:val="-1"/>
          <w:vertAlign w:val="baseline"/>
        </w:rPr>
        <w:t> </w:t>
      </w:r>
      <w:r>
        <w:rPr>
          <w:vertAlign w:val="baseline"/>
        </w:rPr>
        <w:t>August</w:t>
      </w:r>
      <w:r>
        <w:rPr>
          <w:spacing w:val="1"/>
          <w:vertAlign w:val="baseline"/>
        </w:rPr>
        <w:t> </w:t>
      </w:r>
      <w:r>
        <w:rPr>
          <w:spacing w:val="-4"/>
          <w:vertAlign w:val="baseline"/>
        </w:rPr>
        <w:t>2013</w:t>
      </w:r>
    </w:p>
    <w:p>
      <w:pPr>
        <w:pStyle w:val="BodyText"/>
        <w:rPr>
          <w:sz w:val="20"/>
        </w:rPr>
      </w:pPr>
    </w:p>
    <w:p>
      <w:pPr>
        <w:pStyle w:val="BodyText"/>
        <w:spacing w:before="65"/>
        <w:rPr>
          <w:sz w:val="20"/>
        </w:rPr>
      </w:pPr>
      <w:r>
        <w:rPr/>
        <mc:AlternateContent>
          <mc:Choice Requires="wps">
            <w:drawing>
              <wp:anchor distT="0" distB="0" distL="0" distR="0" allowOverlap="1" layoutInCell="1" locked="0" behindDoc="1" simplePos="0" relativeHeight="487608832">
                <wp:simplePos x="0" y="0"/>
                <wp:positionH relativeFrom="page">
                  <wp:posOffset>914704</wp:posOffset>
                </wp:positionH>
                <wp:positionV relativeFrom="paragraph">
                  <wp:posOffset>202933</wp:posOffset>
                </wp:positionV>
                <wp:extent cx="1829435" cy="9525"/>
                <wp:effectExtent l="0" t="0" r="0" b="0"/>
                <wp:wrapTopAndBottom/>
                <wp:docPr id="46" name="Graphic 46"/>
                <wp:cNvGraphicFramePr>
                  <a:graphicFrameLocks/>
                </wp:cNvGraphicFramePr>
                <a:graphic>
                  <a:graphicData uri="http://schemas.microsoft.com/office/word/2010/wordprocessingShape">
                    <wps:wsp>
                      <wps:cNvPr id="46" name="Graphic 46"/>
                      <wps:cNvSpPr/>
                      <wps:spPr>
                        <a:xfrm>
                          <a:off x="0" y="0"/>
                          <a:ext cx="1829435" cy="9525"/>
                        </a:xfrm>
                        <a:custGeom>
                          <a:avLst/>
                          <a:gdLst/>
                          <a:ahLst/>
                          <a:cxnLst/>
                          <a:rect l="l" t="t" r="r" b="b"/>
                          <a:pathLst>
                            <a:path w="1829435" h="9525">
                              <a:moveTo>
                                <a:pt x="1829054" y="0"/>
                              </a:moveTo>
                              <a:lnTo>
                                <a:pt x="0" y="0"/>
                              </a:lnTo>
                              <a:lnTo>
                                <a:pt x="0" y="9144"/>
                              </a:lnTo>
                              <a:lnTo>
                                <a:pt x="1829054" y="9144"/>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15.978993pt;width:144.020pt;height:.72003pt;mso-position-horizontal-relative:page;mso-position-vertical-relative:paragraph;z-index:-15707648;mso-wrap-distance-left:0;mso-wrap-distance-right:0" id="docshape46" filled="true" fillcolor="#000000" stroked="false">
                <v:fill type="solid"/>
                <w10:wrap type="topAndBottom"/>
              </v:rect>
            </w:pict>
          </mc:Fallback>
        </mc:AlternateContent>
      </w:r>
    </w:p>
    <w:p>
      <w:pPr>
        <w:spacing w:line="243" w:lineRule="exact" w:before="102"/>
        <w:ind w:left="360" w:right="0" w:firstLine="0"/>
        <w:jc w:val="left"/>
        <w:rPr>
          <w:rFonts w:ascii="Calibri" w:hAnsi="Calibri"/>
          <w:sz w:val="20"/>
        </w:rPr>
      </w:pPr>
      <w:r>
        <w:rPr>
          <w:rFonts w:ascii="Calibri" w:hAnsi="Calibri"/>
          <w:sz w:val="20"/>
          <w:vertAlign w:val="superscript"/>
        </w:rPr>
        <w:t>36</w:t>
      </w:r>
      <w:r>
        <w:rPr>
          <w:rFonts w:ascii="Calibri" w:hAnsi="Calibri"/>
          <w:sz w:val="20"/>
          <w:vertAlign w:val="baseline"/>
        </w:rPr>
        <w:t>Ogwuegbu,</w:t>
      </w:r>
      <w:r>
        <w:rPr>
          <w:rFonts w:ascii="Calibri" w:hAnsi="Calibri"/>
          <w:spacing w:val="-5"/>
          <w:sz w:val="20"/>
          <w:vertAlign w:val="baseline"/>
        </w:rPr>
        <w:t> </w:t>
      </w:r>
      <w:r>
        <w:rPr>
          <w:rFonts w:ascii="Calibri" w:hAnsi="Calibri"/>
          <w:sz w:val="20"/>
          <w:vertAlign w:val="baseline"/>
        </w:rPr>
        <w:t>JSC</w:t>
      </w:r>
      <w:r>
        <w:rPr>
          <w:rFonts w:ascii="Calibri" w:hAnsi="Calibri"/>
          <w:spacing w:val="-5"/>
          <w:sz w:val="20"/>
          <w:vertAlign w:val="baseline"/>
        </w:rPr>
        <w:t> </w:t>
      </w:r>
      <w:r>
        <w:rPr>
          <w:rFonts w:ascii="Calibri" w:hAnsi="Calibri"/>
          <w:sz w:val="20"/>
          <w:vertAlign w:val="baseline"/>
        </w:rPr>
        <w:t>at</w:t>
      </w:r>
      <w:r>
        <w:rPr>
          <w:rFonts w:ascii="Calibri" w:hAnsi="Calibri"/>
          <w:spacing w:val="-4"/>
          <w:sz w:val="20"/>
          <w:vertAlign w:val="baseline"/>
        </w:rPr>
        <w:t> </w:t>
      </w:r>
      <w:r>
        <w:rPr>
          <w:rFonts w:ascii="Calibri" w:hAnsi="Calibri"/>
          <w:sz w:val="20"/>
          <w:vertAlign w:val="baseline"/>
        </w:rPr>
        <w:t>p.</w:t>
      </w:r>
      <w:r>
        <w:rPr>
          <w:rFonts w:ascii="Calibri" w:hAnsi="Calibri"/>
          <w:spacing w:val="-4"/>
          <w:sz w:val="20"/>
          <w:vertAlign w:val="baseline"/>
        </w:rPr>
        <w:t> </w:t>
      </w:r>
      <w:r>
        <w:rPr>
          <w:rFonts w:ascii="Calibri" w:hAnsi="Calibri"/>
          <w:sz w:val="20"/>
          <w:vertAlign w:val="baseline"/>
        </w:rPr>
        <w:t>243,</w:t>
      </w:r>
      <w:r>
        <w:rPr>
          <w:rFonts w:ascii="Calibri" w:hAnsi="Calibri"/>
          <w:spacing w:val="-4"/>
          <w:sz w:val="20"/>
          <w:vertAlign w:val="baseline"/>
        </w:rPr>
        <w:t> </w:t>
      </w:r>
      <w:r>
        <w:rPr>
          <w:rFonts w:ascii="Calibri" w:hAnsi="Calibri"/>
          <w:sz w:val="20"/>
          <w:vertAlign w:val="baseline"/>
        </w:rPr>
        <w:t>paras.</w:t>
      </w:r>
      <w:r>
        <w:rPr>
          <w:rFonts w:ascii="Calibri" w:hAnsi="Calibri"/>
          <w:spacing w:val="-5"/>
          <w:sz w:val="20"/>
          <w:vertAlign w:val="baseline"/>
        </w:rPr>
        <w:t> </w:t>
      </w:r>
      <w:r>
        <w:rPr>
          <w:rFonts w:ascii="Calibri" w:hAnsi="Calibri"/>
          <w:sz w:val="20"/>
          <w:vertAlign w:val="baseline"/>
        </w:rPr>
        <w:t>B</w:t>
      </w:r>
      <w:r>
        <w:rPr>
          <w:rFonts w:ascii="Calibri" w:hAnsi="Calibri"/>
          <w:spacing w:val="-4"/>
          <w:sz w:val="20"/>
          <w:vertAlign w:val="baseline"/>
        </w:rPr>
        <w:t> </w:t>
      </w:r>
      <w:r>
        <w:rPr>
          <w:rFonts w:ascii="Calibri" w:hAnsi="Calibri"/>
          <w:sz w:val="20"/>
          <w:vertAlign w:val="baseline"/>
        </w:rPr>
        <w:t>–</w:t>
      </w:r>
      <w:r>
        <w:rPr>
          <w:rFonts w:ascii="Calibri" w:hAnsi="Calibri"/>
          <w:spacing w:val="-4"/>
          <w:sz w:val="20"/>
          <w:vertAlign w:val="baseline"/>
        </w:rPr>
        <w:t> </w:t>
      </w:r>
      <w:r>
        <w:rPr>
          <w:rFonts w:ascii="Calibri" w:hAnsi="Calibri"/>
          <w:spacing w:val="-5"/>
          <w:sz w:val="20"/>
          <w:vertAlign w:val="baseline"/>
        </w:rPr>
        <w:t>E.</w:t>
      </w:r>
    </w:p>
    <w:p>
      <w:pPr>
        <w:spacing w:before="0"/>
        <w:ind w:left="360" w:right="223" w:firstLine="0"/>
        <w:jc w:val="left"/>
        <w:rPr>
          <w:rFonts w:ascii="Calibri"/>
          <w:sz w:val="20"/>
        </w:rPr>
      </w:pPr>
      <w:r>
        <w:rPr>
          <w:rFonts w:ascii="Calibri"/>
          <w:sz w:val="20"/>
          <w:vertAlign w:val="superscript"/>
        </w:rPr>
        <w:t>37</w:t>
      </w:r>
      <w:r>
        <w:rPr>
          <w:rFonts w:ascii="Calibri"/>
          <w:sz w:val="20"/>
          <w:vertAlign w:val="baseline"/>
        </w:rPr>
        <w:t> Exclusive Economic Zone is defined in Article 55 of the United Nations Conventions on the Law of the Sea, 1982 as an area beyond and adjacent to the territorial sea,subject to the specific legal regime established in this</w:t>
      </w:r>
      <w:r>
        <w:rPr>
          <w:rFonts w:ascii="Calibri"/>
          <w:spacing w:val="-4"/>
          <w:sz w:val="20"/>
          <w:vertAlign w:val="baseline"/>
        </w:rPr>
        <w:t> </w:t>
      </w:r>
      <w:r>
        <w:rPr>
          <w:rFonts w:ascii="Calibri"/>
          <w:sz w:val="20"/>
          <w:vertAlign w:val="baseline"/>
        </w:rPr>
        <w:t>Part,</w:t>
      </w:r>
      <w:r>
        <w:rPr>
          <w:rFonts w:ascii="Calibri"/>
          <w:spacing w:val="-2"/>
          <w:sz w:val="20"/>
          <w:vertAlign w:val="baseline"/>
        </w:rPr>
        <w:t> </w:t>
      </w:r>
      <w:r>
        <w:rPr>
          <w:rFonts w:ascii="Calibri"/>
          <w:sz w:val="20"/>
          <w:vertAlign w:val="baseline"/>
        </w:rPr>
        <w:t>under</w:t>
      </w:r>
      <w:r>
        <w:rPr>
          <w:rFonts w:ascii="Calibri"/>
          <w:spacing w:val="-2"/>
          <w:sz w:val="20"/>
          <w:vertAlign w:val="baseline"/>
        </w:rPr>
        <w:t> </w:t>
      </w:r>
      <w:r>
        <w:rPr>
          <w:rFonts w:ascii="Calibri"/>
          <w:sz w:val="20"/>
          <w:vertAlign w:val="baseline"/>
        </w:rPr>
        <w:t>which</w:t>
      </w:r>
      <w:r>
        <w:rPr>
          <w:rFonts w:ascii="Calibri"/>
          <w:spacing w:val="-2"/>
          <w:sz w:val="20"/>
          <w:vertAlign w:val="baseline"/>
        </w:rPr>
        <w:t> </w:t>
      </w:r>
      <w:r>
        <w:rPr>
          <w:rFonts w:ascii="Calibri"/>
          <w:sz w:val="20"/>
          <w:vertAlign w:val="baseline"/>
        </w:rPr>
        <w:t>the</w:t>
      </w:r>
      <w:r>
        <w:rPr>
          <w:rFonts w:ascii="Calibri"/>
          <w:spacing w:val="-3"/>
          <w:sz w:val="20"/>
          <w:vertAlign w:val="baseline"/>
        </w:rPr>
        <w:t> </w:t>
      </w:r>
      <w:r>
        <w:rPr>
          <w:rFonts w:ascii="Calibri"/>
          <w:sz w:val="20"/>
          <w:vertAlign w:val="baseline"/>
        </w:rPr>
        <w:t>rights</w:t>
      </w:r>
      <w:r>
        <w:rPr>
          <w:rFonts w:ascii="Calibri"/>
          <w:spacing w:val="-4"/>
          <w:sz w:val="20"/>
          <w:vertAlign w:val="baseline"/>
        </w:rPr>
        <w:t> </w:t>
      </w:r>
      <w:r>
        <w:rPr>
          <w:rFonts w:ascii="Calibri"/>
          <w:sz w:val="20"/>
          <w:vertAlign w:val="baseline"/>
        </w:rPr>
        <w:t>andjurisdiction</w:t>
      </w:r>
      <w:r>
        <w:rPr>
          <w:rFonts w:ascii="Calibri"/>
          <w:spacing w:val="-2"/>
          <w:sz w:val="20"/>
          <w:vertAlign w:val="baseline"/>
        </w:rPr>
        <w:t> </w:t>
      </w:r>
      <w:r>
        <w:rPr>
          <w:rFonts w:ascii="Calibri"/>
          <w:sz w:val="20"/>
          <w:vertAlign w:val="baseline"/>
        </w:rPr>
        <w:t>of</w:t>
      </w:r>
      <w:r>
        <w:rPr>
          <w:rFonts w:ascii="Calibri"/>
          <w:spacing w:val="-4"/>
          <w:sz w:val="20"/>
          <w:vertAlign w:val="baseline"/>
        </w:rPr>
        <w:t> </w:t>
      </w:r>
      <w:r>
        <w:rPr>
          <w:rFonts w:ascii="Calibri"/>
          <w:sz w:val="20"/>
          <w:vertAlign w:val="baseline"/>
        </w:rPr>
        <w:t>the</w:t>
      </w:r>
      <w:r>
        <w:rPr>
          <w:rFonts w:ascii="Calibri"/>
          <w:spacing w:val="-3"/>
          <w:sz w:val="20"/>
          <w:vertAlign w:val="baseline"/>
        </w:rPr>
        <w:t> </w:t>
      </w:r>
      <w:r>
        <w:rPr>
          <w:rFonts w:ascii="Calibri"/>
          <w:sz w:val="20"/>
          <w:vertAlign w:val="baseline"/>
        </w:rPr>
        <w:t>coastal</w:t>
      </w:r>
      <w:r>
        <w:rPr>
          <w:rFonts w:ascii="Calibri"/>
          <w:spacing w:val="-3"/>
          <w:sz w:val="20"/>
          <w:vertAlign w:val="baseline"/>
        </w:rPr>
        <w:t> </w:t>
      </w:r>
      <w:r>
        <w:rPr>
          <w:rFonts w:ascii="Calibri"/>
          <w:sz w:val="20"/>
          <w:vertAlign w:val="baseline"/>
        </w:rPr>
        <w:t>state</w:t>
      </w:r>
      <w:r>
        <w:rPr>
          <w:rFonts w:ascii="Calibri"/>
          <w:spacing w:val="-3"/>
          <w:sz w:val="20"/>
          <w:vertAlign w:val="baseline"/>
        </w:rPr>
        <w:t> </w:t>
      </w:r>
      <w:r>
        <w:rPr>
          <w:rFonts w:ascii="Calibri"/>
          <w:sz w:val="20"/>
          <w:vertAlign w:val="baseline"/>
        </w:rPr>
        <w:t>and</w:t>
      </w:r>
      <w:r>
        <w:rPr>
          <w:rFonts w:ascii="Calibri"/>
          <w:spacing w:val="-2"/>
          <w:sz w:val="20"/>
          <w:vertAlign w:val="baseline"/>
        </w:rPr>
        <w:t> </w:t>
      </w:r>
      <w:r>
        <w:rPr>
          <w:rFonts w:ascii="Calibri"/>
          <w:sz w:val="20"/>
          <w:vertAlign w:val="baseline"/>
        </w:rPr>
        <w:t>the</w:t>
      </w:r>
      <w:r>
        <w:rPr>
          <w:rFonts w:ascii="Calibri"/>
          <w:spacing w:val="-3"/>
          <w:sz w:val="20"/>
          <w:vertAlign w:val="baseline"/>
        </w:rPr>
        <w:t> </w:t>
      </w:r>
      <w:r>
        <w:rPr>
          <w:rFonts w:ascii="Calibri"/>
          <w:sz w:val="20"/>
          <w:vertAlign w:val="baseline"/>
        </w:rPr>
        <w:t>rights</w:t>
      </w:r>
      <w:r>
        <w:rPr>
          <w:rFonts w:ascii="Calibri"/>
          <w:spacing w:val="-4"/>
          <w:sz w:val="20"/>
          <w:vertAlign w:val="baseline"/>
        </w:rPr>
        <w:t> </w:t>
      </w:r>
      <w:r>
        <w:rPr>
          <w:rFonts w:ascii="Calibri"/>
          <w:sz w:val="20"/>
          <w:vertAlign w:val="baseline"/>
        </w:rPr>
        <w:t>and</w:t>
      </w:r>
      <w:r>
        <w:rPr>
          <w:rFonts w:ascii="Calibri"/>
          <w:spacing w:val="-2"/>
          <w:sz w:val="20"/>
          <w:vertAlign w:val="baseline"/>
        </w:rPr>
        <w:t> </w:t>
      </w:r>
      <w:r>
        <w:rPr>
          <w:rFonts w:ascii="Calibri"/>
          <w:sz w:val="20"/>
          <w:vertAlign w:val="baseline"/>
        </w:rPr>
        <w:t>freedom</w:t>
      </w:r>
      <w:r>
        <w:rPr>
          <w:rFonts w:ascii="Calibri"/>
          <w:spacing w:val="-3"/>
          <w:sz w:val="20"/>
          <w:vertAlign w:val="baseline"/>
        </w:rPr>
        <w:t> </w:t>
      </w:r>
      <w:r>
        <w:rPr>
          <w:rFonts w:ascii="Calibri"/>
          <w:sz w:val="20"/>
          <w:vertAlign w:val="baseline"/>
        </w:rPr>
        <w:t>of</w:t>
      </w:r>
      <w:r>
        <w:rPr>
          <w:rFonts w:ascii="Calibri"/>
          <w:spacing w:val="-4"/>
          <w:sz w:val="20"/>
          <w:vertAlign w:val="baseline"/>
        </w:rPr>
        <w:t> </w:t>
      </w:r>
      <w:r>
        <w:rPr>
          <w:rFonts w:ascii="Calibri"/>
          <w:sz w:val="20"/>
          <w:vertAlign w:val="baseline"/>
        </w:rPr>
        <w:t>other states are governedby relevant provisions of this Convention. The zone shall not extend beyond 200nautical miles from the baselines from which the breadth of the territorial sea ismeasured.</w:t>
      </w:r>
    </w:p>
    <w:p>
      <w:pPr>
        <w:spacing w:before="0"/>
        <w:ind w:left="360" w:right="0" w:firstLine="0"/>
        <w:jc w:val="left"/>
        <w:rPr>
          <w:rFonts w:ascii="Calibri"/>
          <w:sz w:val="20"/>
        </w:rPr>
      </w:pPr>
      <w:r>
        <w:rPr>
          <w:rFonts w:ascii="Calibri"/>
          <w:sz w:val="20"/>
          <w:vertAlign w:val="superscript"/>
        </w:rPr>
        <w:t>38</w:t>
      </w:r>
      <w:r>
        <w:rPr>
          <w:rFonts w:ascii="Calibri"/>
          <w:spacing w:val="-6"/>
          <w:sz w:val="20"/>
          <w:vertAlign w:val="baseline"/>
        </w:rPr>
        <w:t> </w:t>
      </w:r>
      <w:r>
        <w:rPr>
          <w:rFonts w:ascii="Calibri"/>
          <w:sz w:val="20"/>
          <w:vertAlign w:val="baseline"/>
        </w:rPr>
        <w:t>Cap</w:t>
      </w:r>
      <w:r>
        <w:rPr>
          <w:rFonts w:ascii="Calibri"/>
          <w:spacing w:val="-4"/>
          <w:sz w:val="20"/>
          <w:vertAlign w:val="baseline"/>
        </w:rPr>
        <w:t> </w:t>
      </w:r>
      <w:r>
        <w:rPr>
          <w:rFonts w:ascii="Calibri"/>
          <w:sz w:val="20"/>
          <w:vertAlign w:val="baseline"/>
        </w:rPr>
        <w:t>P.13,</w:t>
      </w:r>
      <w:r>
        <w:rPr>
          <w:rFonts w:ascii="Calibri"/>
          <w:spacing w:val="-4"/>
          <w:sz w:val="20"/>
          <w:vertAlign w:val="baseline"/>
        </w:rPr>
        <w:t> </w:t>
      </w:r>
      <w:r>
        <w:rPr>
          <w:rFonts w:ascii="Calibri"/>
          <w:sz w:val="20"/>
          <w:vertAlign w:val="baseline"/>
        </w:rPr>
        <w:t>Laws</w:t>
      </w:r>
      <w:r>
        <w:rPr>
          <w:rFonts w:ascii="Calibri"/>
          <w:spacing w:val="-7"/>
          <w:sz w:val="20"/>
          <w:vertAlign w:val="baseline"/>
        </w:rPr>
        <w:t> </w:t>
      </w:r>
      <w:r>
        <w:rPr>
          <w:rFonts w:ascii="Calibri"/>
          <w:sz w:val="20"/>
          <w:vertAlign w:val="baseline"/>
        </w:rPr>
        <w:t>of</w:t>
      </w:r>
      <w:r>
        <w:rPr>
          <w:rFonts w:ascii="Calibri"/>
          <w:spacing w:val="-3"/>
          <w:sz w:val="20"/>
          <w:vertAlign w:val="baseline"/>
        </w:rPr>
        <w:t> </w:t>
      </w:r>
      <w:r>
        <w:rPr>
          <w:rFonts w:ascii="Calibri"/>
          <w:sz w:val="20"/>
          <w:vertAlign w:val="baseline"/>
        </w:rPr>
        <w:t>Federation</w:t>
      </w:r>
      <w:r>
        <w:rPr>
          <w:rFonts w:ascii="Calibri"/>
          <w:spacing w:val="-2"/>
          <w:sz w:val="20"/>
          <w:vertAlign w:val="baseline"/>
        </w:rPr>
        <w:t> </w:t>
      </w:r>
      <w:r>
        <w:rPr>
          <w:rFonts w:ascii="Calibri"/>
          <w:sz w:val="20"/>
          <w:vertAlign w:val="baseline"/>
        </w:rPr>
        <w:t>of</w:t>
      </w:r>
      <w:r>
        <w:rPr>
          <w:rFonts w:ascii="Calibri"/>
          <w:spacing w:val="-6"/>
          <w:sz w:val="20"/>
          <w:vertAlign w:val="baseline"/>
        </w:rPr>
        <w:t> </w:t>
      </w:r>
      <w:r>
        <w:rPr>
          <w:rFonts w:ascii="Calibri"/>
          <w:sz w:val="20"/>
          <w:vertAlign w:val="baseline"/>
        </w:rPr>
        <w:t>Nigeria,</w:t>
      </w:r>
      <w:r>
        <w:rPr>
          <w:rFonts w:ascii="Calibri"/>
          <w:spacing w:val="-4"/>
          <w:sz w:val="20"/>
          <w:vertAlign w:val="baseline"/>
        </w:rPr>
        <w:t> </w:t>
      </w:r>
      <w:r>
        <w:rPr>
          <w:rFonts w:ascii="Calibri"/>
          <w:sz w:val="20"/>
          <w:vertAlign w:val="baseline"/>
        </w:rPr>
        <w:t>2004.</w:t>
      </w:r>
      <w:r>
        <w:rPr>
          <w:rFonts w:ascii="Calibri"/>
          <w:spacing w:val="-6"/>
          <w:sz w:val="20"/>
          <w:vertAlign w:val="baseline"/>
        </w:rPr>
        <w:t> </w:t>
      </w:r>
      <w:r>
        <w:rPr>
          <w:rFonts w:ascii="Calibri"/>
          <w:sz w:val="20"/>
          <w:vertAlign w:val="baseline"/>
        </w:rPr>
        <w:t>This</w:t>
      </w:r>
      <w:r>
        <w:rPr>
          <w:rFonts w:ascii="Calibri"/>
          <w:spacing w:val="-6"/>
          <w:sz w:val="20"/>
          <w:vertAlign w:val="baseline"/>
        </w:rPr>
        <w:t> </w:t>
      </w:r>
      <w:r>
        <w:rPr>
          <w:rFonts w:ascii="Calibri"/>
          <w:sz w:val="20"/>
          <w:vertAlign w:val="baseline"/>
        </w:rPr>
        <w:t>Act</w:t>
      </w:r>
      <w:r>
        <w:rPr>
          <w:rFonts w:ascii="Calibri"/>
          <w:spacing w:val="-4"/>
          <w:sz w:val="20"/>
          <w:vertAlign w:val="baseline"/>
        </w:rPr>
        <w:t> </w:t>
      </w:r>
      <w:r>
        <w:rPr>
          <w:rFonts w:ascii="Calibri"/>
          <w:sz w:val="20"/>
          <w:vertAlign w:val="baseline"/>
        </w:rPr>
        <w:t>was</w:t>
      </w:r>
      <w:r>
        <w:rPr>
          <w:rFonts w:ascii="Calibri"/>
          <w:spacing w:val="-4"/>
          <w:sz w:val="20"/>
          <w:vertAlign w:val="baseline"/>
        </w:rPr>
        <w:t> </w:t>
      </w:r>
      <w:r>
        <w:rPr>
          <w:rFonts w:ascii="Calibri"/>
          <w:sz w:val="20"/>
          <w:vertAlign w:val="baseline"/>
        </w:rPr>
        <w:t>amended</w:t>
      </w:r>
      <w:r>
        <w:rPr>
          <w:rFonts w:ascii="Calibri"/>
          <w:spacing w:val="-4"/>
          <w:sz w:val="20"/>
          <w:vertAlign w:val="baseline"/>
        </w:rPr>
        <w:t> </w:t>
      </w:r>
      <w:r>
        <w:rPr>
          <w:rFonts w:ascii="Calibri"/>
          <w:sz w:val="20"/>
          <w:vertAlign w:val="baseline"/>
        </w:rPr>
        <w:t>in</w:t>
      </w:r>
      <w:r>
        <w:rPr>
          <w:rFonts w:ascii="Calibri"/>
          <w:spacing w:val="-4"/>
          <w:sz w:val="20"/>
          <w:vertAlign w:val="baseline"/>
        </w:rPr>
        <w:t> </w:t>
      </w:r>
      <w:r>
        <w:rPr>
          <w:rFonts w:ascii="Calibri"/>
          <w:spacing w:val="-2"/>
          <w:sz w:val="20"/>
          <w:vertAlign w:val="baseline"/>
        </w:rPr>
        <w:t>2007.</w:t>
      </w:r>
    </w:p>
    <w:p>
      <w:pPr>
        <w:spacing w:after="0"/>
        <w:jc w:val="left"/>
        <w:rPr>
          <w:rFonts w:ascii="Calibri"/>
          <w:sz w:val="20"/>
        </w:rPr>
        <w:sectPr>
          <w:pgSz w:w="11910" w:h="16840"/>
          <w:pgMar w:header="0" w:footer="1000" w:top="1340" w:bottom="1200" w:left="1080" w:right="1280"/>
        </w:sectPr>
      </w:pPr>
    </w:p>
    <w:p>
      <w:pPr>
        <w:pStyle w:val="BodyText"/>
        <w:spacing w:line="480" w:lineRule="auto" w:before="114"/>
        <w:ind w:left="360" w:right="154"/>
        <w:jc w:val="both"/>
      </w:pPr>
      <w:r>
        <w:rPr/>
        <w:t>8 opposed to individuals who are not permitted to go into petroleum operations</w:t>
      </w:r>
      <w:r>
        <w:rPr>
          <w:vertAlign w:val="superscript"/>
        </w:rPr>
        <w:t>39</w:t>
      </w:r>
      <w:r>
        <w:rPr>
          <w:vertAlign w:val="baseline"/>
        </w:rPr>
        <w:t>. Petroleum, for the purpose of tax, is defined as:</w:t>
      </w:r>
    </w:p>
    <w:p>
      <w:pPr>
        <w:pStyle w:val="BodyText"/>
        <w:ind w:left="1800" w:right="1599"/>
        <w:jc w:val="both"/>
      </w:pPr>
      <w:r>
        <w:rPr/>
        <w:t>“Mineral oil (or related hydrocarbon) and natural gas as it</w:t>
      </w:r>
      <w:r>
        <w:rPr>
          <w:spacing w:val="40"/>
        </w:rPr>
        <w:t> </w:t>
      </w:r>
      <w:r>
        <w:rPr/>
        <w:t>exists in its natural state, and does not include coal or bituminous shales or other stratified deposits from which oil</w:t>
      </w:r>
      <w:r>
        <w:rPr>
          <w:spacing w:val="40"/>
        </w:rPr>
        <w:t> </w:t>
      </w:r>
      <w:r>
        <w:rPr/>
        <w:t>can be extracted by destruction distillation</w:t>
      </w:r>
      <w:r>
        <w:rPr>
          <w:vertAlign w:val="superscript"/>
        </w:rPr>
        <w:t>40</w:t>
      </w:r>
      <w:r>
        <w:rPr>
          <w:vertAlign w:val="baseline"/>
        </w:rPr>
        <w:t>.”</w:t>
      </w:r>
    </w:p>
    <w:p>
      <w:pPr>
        <w:pStyle w:val="BodyText"/>
      </w:pPr>
    </w:p>
    <w:p>
      <w:pPr>
        <w:pStyle w:val="BodyText"/>
      </w:pPr>
    </w:p>
    <w:p>
      <w:pPr>
        <w:pStyle w:val="BodyText"/>
        <w:ind w:left="360"/>
        <w:jc w:val="both"/>
      </w:pPr>
      <w:r>
        <w:rPr/>
        <w:t>Petroleum</w:t>
      </w:r>
      <w:r>
        <w:rPr>
          <w:spacing w:val="-1"/>
        </w:rPr>
        <w:t> </w:t>
      </w:r>
      <w:r>
        <w:rPr/>
        <w:t>Operation</w:t>
      </w:r>
      <w:r>
        <w:rPr>
          <w:spacing w:val="-1"/>
        </w:rPr>
        <w:t> </w:t>
      </w:r>
      <w:r>
        <w:rPr/>
        <w:t>is</w:t>
      </w:r>
      <w:r>
        <w:rPr>
          <w:spacing w:val="-1"/>
        </w:rPr>
        <w:t> </w:t>
      </w:r>
      <w:r>
        <w:rPr/>
        <w:t>defined</w:t>
      </w:r>
      <w:r>
        <w:rPr>
          <w:spacing w:val="-1"/>
        </w:rPr>
        <w:t> </w:t>
      </w:r>
      <w:r>
        <w:rPr>
          <w:spacing w:val="-5"/>
        </w:rPr>
        <w:t>as:</w:t>
      </w:r>
    </w:p>
    <w:p>
      <w:pPr>
        <w:pStyle w:val="BodyText"/>
      </w:pPr>
    </w:p>
    <w:p>
      <w:pPr>
        <w:pStyle w:val="BodyText"/>
        <w:spacing w:before="1"/>
        <w:ind w:left="1800" w:right="1595"/>
        <w:jc w:val="both"/>
      </w:pPr>
      <w:r>
        <w:rPr/>
        <w:t>The winning or obtaining and transportation of petroleum or chargeable oil in Nigeria by or on behalf of a company for its own account by any drilling, mining, extracting or other like operations</w:t>
      </w:r>
      <w:r>
        <w:rPr>
          <w:spacing w:val="-2"/>
        </w:rPr>
        <w:t> </w:t>
      </w:r>
      <w:r>
        <w:rPr/>
        <w:t>or</w:t>
      </w:r>
      <w:r>
        <w:rPr>
          <w:spacing w:val="-3"/>
        </w:rPr>
        <w:t> </w:t>
      </w:r>
      <w:r>
        <w:rPr/>
        <w:t>process,</w:t>
      </w:r>
      <w:r>
        <w:rPr>
          <w:spacing w:val="-2"/>
        </w:rPr>
        <w:t> </w:t>
      </w:r>
      <w:r>
        <w:rPr/>
        <w:t>not</w:t>
      </w:r>
      <w:r>
        <w:rPr>
          <w:spacing w:val="-2"/>
        </w:rPr>
        <w:t> </w:t>
      </w:r>
      <w:r>
        <w:rPr/>
        <w:t>including</w:t>
      </w:r>
      <w:r>
        <w:rPr>
          <w:spacing w:val="-4"/>
        </w:rPr>
        <w:t> </w:t>
      </w:r>
      <w:r>
        <w:rPr/>
        <w:t>refining</w:t>
      </w:r>
      <w:r>
        <w:rPr>
          <w:spacing w:val="-4"/>
        </w:rPr>
        <w:t> </w:t>
      </w:r>
      <w:r>
        <w:rPr/>
        <w:t>at</w:t>
      </w:r>
      <w:r>
        <w:rPr>
          <w:spacing w:val="-2"/>
        </w:rPr>
        <w:t> </w:t>
      </w:r>
      <w:r>
        <w:rPr/>
        <w:t>a</w:t>
      </w:r>
      <w:r>
        <w:rPr>
          <w:spacing w:val="-3"/>
        </w:rPr>
        <w:t> </w:t>
      </w:r>
      <w:r>
        <w:rPr/>
        <w:t>refinery,</w:t>
      </w:r>
      <w:r>
        <w:rPr>
          <w:spacing w:val="-2"/>
        </w:rPr>
        <w:t> </w:t>
      </w:r>
      <w:r>
        <w:rPr/>
        <w:t>in the course of a business carried on by the company engaged in</w:t>
      </w:r>
      <w:r>
        <w:rPr>
          <w:spacing w:val="80"/>
        </w:rPr>
        <w:t> </w:t>
      </w:r>
      <w:r>
        <w:rPr/>
        <w:t>such operations, and all operations incidental thereto and any sale of or any disposal of chargeable oil or on behalf of the </w:t>
      </w:r>
      <w:r>
        <w:rPr>
          <w:spacing w:val="-2"/>
        </w:rPr>
        <w:t>company.</w:t>
      </w:r>
      <w:r>
        <w:rPr>
          <w:spacing w:val="-2"/>
          <w:vertAlign w:val="superscript"/>
        </w:rPr>
        <w:t>41</w:t>
      </w:r>
    </w:p>
    <w:p>
      <w:pPr>
        <w:pStyle w:val="BodyText"/>
      </w:pPr>
    </w:p>
    <w:p>
      <w:pPr>
        <w:pStyle w:val="BodyText"/>
      </w:pPr>
    </w:p>
    <w:p>
      <w:pPr>
        <w:pStyle w:val="BodyText"/>
        <w:spacing w:line="480" w:lineRule="auto"/>
        <w:ind w:left="360" w:right="158" w:firstLine="719"/>
        <w:jc w:val="both"/>
      </w:pPr>
      <w:r>
        <w:rPr/>
        <w:t>In the case of Shell Petroleum Development Company (Nig.) Ltd v. Federal Board of Inland Revenue</w:t>
      </w:r>
      <w:r>
        <w:rPr>
          <w:vertAlign w:val="superscript"/>
        </w:rPr>
        <w:t>42</w:t>
      </w:r>
      <w:r>
        <w:rPr>
          <w:spacing w:val="-1"/>
          <w:vertAlign w:val="baseline"/>
        </w:rPr>
        <w:t> </w:t>
      </w:r>
      <w:r>
        <w:rPr>
          <w:vertAlign w:val="baseline"/>
        </w:rPr>
        <w:t>it was held by</w:t>
      </w:r>
      <w:r>
        <w:rPr>
          <w:spacing w:val="-3"/>
          <w:vertAlign w:val="baseline"/>
        </w:rPr>
        <w:t> </w:t>
      </w:r>
      <w:r>
        <w:rPr>
          <w:vertAlign w:val="baseline"/>
        </w:rPr>
        <w:t>the Supreme Court that petroleum operation for the payment of profit tax by companies engaging in petroleum operations includes not only winning or obtaining petroleum oil by drilling, mining, etc. but all operations that are incidental to such operation. The legal implication of this is that activities such as refining of crude oil, marketing, sold minerals, oil field services, etc., are</w:t>
      </w:r>
      <w:r>
        <w:rPr>
          <w:spacing w:val="-1"/>
          <w:vertAlign w:val="baseline"/>
        </w:rPr>
        <w:t> </w:t>
      </w:r>
      <w:r>
        <w:rPr>
          <w:vertAlign w:val="baseline"/>
        </w:rPr>
        <w:t>not subject to petroleum profit tax. These activities are rather subject to companies‟ income tax under the Companies Income Tax Act. Petroleum profit tax is imposed on the profit derived from petroleum operations. The legal basis for imposition and payment of petroleum profit tax by</w:t>
      </w:r>
      <w:r>
        <w:rPr>
          <w:spacing w:val="-5"/>
          <w:vertAlign w:val="baseline"/>
        </w:rPr>
        <w:t> </w:t>
      </w:r>
      <w:r>
        <w:rPr>
          <w:vertAlign w:val="baseline"/>
        </w:rPr>
        <w:t>companies engaged in petroleum operations in Nigeria is contained in section 8 of the Act. The Act provides as follows:</w:t>
      </w:r>
    </w:p>
    <w:p>
      <w:pPr>
        <w:pStyle w:val="BodyText"/>
        <w:spacing w:before="1"/>
        <w:ind w:left="1800" w:right="1596"/>
        <w:jc w:val="both"/>
      </w:pPr>
      <w:r>
        <w:rPr/>
        <w:t>“There shall be levied upon the profits of each accounting period of any company engaged in petroleum operation during that period, a tax to be charged, assessed and payable in accordance with the provisions of this Act.”</w:t>
      </w:r>
    </w:p>
    <w:p>
      <w:pPr>
        <w:pStyle w:val="BodyText"/>
        <w:spacing w:before="3"/>
        <w:rPr>
          <w:sz w:val="13"/>
        </w:rPr>
      </w:pPr>
      <w:r>
        <w:rPr/>
        <mc:AlternateContent>
          <mc:Choice Requires="wps">
            <w:drawing>
              <wp:anchor distT="0" distB="0" distL="0" distR="0" allowOverlap="1" layoutInCell="1" locked="0" behindDoc="1" simplePos="0" relativeHeight="487609344">
                <wp:simplePos x="0" y="0"/>
                <wp:positionH relativeFrom="page">
                  <wp:posOffset>914704</wp:posOffset>
                </wp:positionH>
                <wp:positionV relativeFrom="paragraph">
                  <wp:posOffset>112444</wp:posOffset>
                </wp:positionV>
                <wp:extent cx="1829435" cy="9525"/>
                <wp:effectExtent l="0" t="0" r="0" b="0"/>
                <wp:wrapTopAndBottom/>
                <wp:docPr id="47" name="Graphic 47"/>
                <wp:cNvGraphicFramePr>
                  <a:graphicFrameLocks/>
                </wp:cNvGraphicFramePr>
                <a:graphic>
                  <a:graphicData uri="http://schemas.microsoft.com/office/word/2010/wordprocessingShape">
                    <wps:wsp>
                      <wps:cNvPr id="47" name="Graphic 47"/>
                      <wps:cNvSpPr/>
                      <wps:spPr>
                        <a:xfrm>
                          <a:off x="0" y="0"/>
                          <a:ext cx="1829435" cy="9525"/>
                        </a:xfrm>
                        <a:custGeom>
                          <a:avLst/>
                          <a:gdLst/>
                          <a:ahLst/>
                          <a:cxnLst/>
                          <a:rect l="l" t="t" r="r" b="b"/>
                          <a:pathLst>
                            <a:path w="1829435" h="9525">
                              <a:moveTo>
                                <a:pt x="1829054" y="0"/>
                              </a:moveTo>
                              <a:lnTo>
                                <a:pt x="0" y="0"/>
                              </a:lnTo>
                              <a:lnTo>
                                <a:pt x="0" y="9143"/>
                              </a:lnTo>
                              <a:lnTo>
                                <a:pt x="1829054" y="9143"/>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8.853936pt;width:144.020pt;height:.71997pt;mso-position-horizontal-relative:page;mso-position-vertical-relative:paragraph;z-index:-15707136;mso-wrap-distance-left:0;mso-wrap-distance-right:0" id="docshape47" filled="true" fillcolor="#000000" stroked="false">
                <v:fill type="solid"/>
                <w10:wrap type="topAndBottom"/>
              </v:rect>
            </w:pict>
          </mc:Fallback>
        </mc:AlternateContent>
      </w:r>
    </w:p>
    <w:p>
      <w:pPr>
        <w:spacing w:before="102"/>
        <w:ind w:left="360" w:right="0" w:firstLine="0"/>
        <w:jc w:val="left"/>
        <w:rPr>
          <w:rFonts w:ascii="Calibri"/>
          <w:sz w:val="20"/>
        </w:rPr>
      </w:pPr>
      <w:r>
        <w:rPr>
          <w:rFonts w:ascii="Calibri"/>
          <w:sz w:val="20"/>
          <w:vertAlign w:val="superscript"/>
        </w:rPr>
        <w:t>39</w:t>
      </w:r>
      <w:r>
        <w:rPr>
          <w:rFonts w:ascii="Calibri"/>
          <w:sz w:val="20"/>
          <w:vertAlign w:val="baseline"/>
        </w:rPr>
        <w:t>See</w:t>
      </w:r>
      <w:r>
        <w:rPr>
          <w:rFonts w:ascii="Calibri"/>
          <w:spacing w:val="-4"/>
          <w:sz w:val="20"/>
          <w:vertAlign w:val="baseline"/>
        </w:rPr>
        <w:t> </w:t>
      </w:r>
      <w:r>
        <w:rPr>
          <w:rFonts w:ascii="Calibri"/>
          <w:sz w:val="20"/>
          <w:vertAlign w:val="baseline"/>
        </w:rPr>
        <w:t>section</w:t>
      </w:r>
      <w:r>
        <w:rPr>
          <w:rFonts w:ascii="Calibri"/>
          <w:spacing w:val="-5"/>
          <w:sz w:val="20"/>
          <w:vertAlign w:val="baseline"/>
        </w:rPr>
        <w:t> </w:t>
      </w:r>
      <w:r>
        <w:rPr>
          <w:rFonts w:ascii="Calibri"/>
          <w:sz w:val="20"/>
          <w:vertAlign w:val="baseline"/>
        </w:rPr>
        <w:t>24</w:t>
      </w:r>
      <w:r>
        <w:rPr>
          <w:rFonts w:ascii="Calibri"/>
          <w:spacing w:val="-5"/>
          <w:sz w:val="20"/>
          <w:vertAlign w:val="baseline"/>
        </w:rPr>
        <w:t> </w:t>
      </w:r>
      <w:r>
        <w:rPr>
          <w:rFonts w:ascii="Calibri"/>
          <w:sz w:val="20"/>
          <w:vertAlign w:val="baseline"/>
        </w:rPr>
        <w:t>of</w:t>
      </w:r>
      <w:r>
        <w:rPr>
          <w:rFonts w:ascii="Calibri"/>
          <w:spacing w:val="-6"/>
          <w:sz w:val="20"/>
          <w:vertAlign w:val="baseline"/>
        </w:rPr>
        <w:t> </w:t>
      </w:r>
      <w:r>
        <w:rPr>
          <w:rFonts w:ascii="Calibri"/>
          <w:sz w:val="20"/>
          <w:vertAlign w:val="baseline"/>
        </w:rPr>
        <w:t>the</w:t>
      </w:r>
      <w:r>
        <w:rPr>
          <w:rFonts w:ascii="Calibri"/>
          <w:spacing w:val="-6"/>
          <w:sz w:val="20"/>
          <w:vertAlign w:val="baseline"/>
        </w:rPr>
        <w:t> </w:t>
      </w:r>
      <w:r>
        <w:rPr>
          <w:rFonts w:ascii="Calibri"/>
          <w:spacing w:val="-4"/>
          <w:sz w:val="20"/>
          <w:vertAlign w:val="baseline"/>
        </w:rPr>
        <w:t>Act.</w:t>
      </w:r>
    </w:p>
    <w:p>
      <w:pPr>
        <w:spacing w:line="243" w:lineRule="exact" w:before="1"/>
        <w:ind w:left="360" w:right="0" w:firstLine="0"/>
        <w:jc w:val="left"/>
        <w:rPr>
          <w:rFonts w:ascii="Calibri"/>
          <w:sz w:val="20"/>
        </w:rPr>
      </w:pPr>
      <w:r>
        <w:rPr>
          <w:rFonts w:ascii="Calibri"/>
          <w:sz w:val="20"/>
          <w:vertAlign w:val="superscript"/>
        </w:rPr>
        <w:t>40</w:t>
      </w:r>
      <w:r>
        <w:rPr>
          <w:rFonts w:ascii="Calibri"/>
          <w:spacing w:val="-7"/>
          <w:sz w:val="20"/>
          <w:vertAlign w:val="baseline"/>
        </w:rPr>
        <w:t> </w:t>
      </w:r>
      <w:r>
        <w:rPr>
          <w:rFonts w:ascii="Calibri"/>
          <w:sz w:val="20"/>
          <w:vertAlign w:val="baseline"/>
        </w:rPr>
        <w:t>Section</w:t>
      </w:r>
      <w:r>
        <w:rPr>
          <w:rFonts w:ascii="Calibri"/>
          <w:spacing w:val="-5"/>
          <w:sz w:val="20"/>
          <w:vertAlign w:val="baseline"/>
        </w:rPr>
        <w:t> </w:t>
      </w:r>
      <w:r>
        <w:rPr>
          <w:rFonts w:ascii="Calibri"/>
          <w:sz w:val="20"/>
          <w:vertAlign w:val="baseline"/>
        </w:rPr>
        <w:t>15,</w:t>
      </w:r>
      <w:r>
        <w:rPr>
          <w:rFonts w:ascii="Calibri"/>
          <w:spacing w:val="-5"/>
          <w:sz w:val="20"/>
          <w:vertAlign w:val="baseline"/>
        </w:rPr>
        <w:t> </w:t>
      </w:r>
      <w:r>
        <w:rPr>
          <w:rFonts w:ascii="Calibri"/>
          <w:sz w:val="20"/>
          <w:vertAlign w:val="baseline"/>
        </w:rPr>
        <w:t>Petroleum</w:t>
      </w:r>
      <w:r>
        <w:rPr>
          <w:rFonts w:ascii="Calibri"/>
          <w:spacing w:val="-6"/>
          <w:sz w:val="20"/>
          <w:vertAlign w:val="baseline"/>
        </w:rPr>
        <w:t> </w:t>
      </w:r>
      <w:r>
        <w:rPr>
          <w:rFonts w:ascii="Calibri"/>
          <w:sz w:val="20"/>
          <w:vertAlign w:val="baseline"/>
        </w:rPr>
        <w:t>Act,</w:t>
      </w:r>
      <w:r>
        <w:rPr>
          <w:rFonts w:ascii="Calibri"/>
          <w:spacing w:val="-6"/>
          <w:sz w:val="20"/>
          <w:vertAlign w:val="baseline"/>
        </w:rPr>
        <w:t> </w:t>
      </w:r>
      <w:r>
        <w:rPr>
          <w:rFonts w:ascii="Calibri"/>
          <w:sz w:val="20"/>
          <w:vertAlign w:val="baseline"/>
        </w:rPr>
        <w:t>Cap.</w:t>
      </w:r>
      <w:r>
        <w:rPr>
          <w:rFonts w:ascii="Calibri"/>
          <w:spacing w:val="-5"/>
          <w:sz w:val="20"/>
          <w:vertAlign w:val="baseline"/>
        </w:rPr>
        <w:t> </w:t>
      </w:r>
      <w:r>
        <w:rPr>
          <w:rFonts w:ascii="Calibri"/>
          <w:sz w:val="20"/>
          <w:vertAlign w:val="baseline"/>
        </w:rPr>
        <w:t>P.10,</w:t>
      </w:r>
      <w:r>
        <w:rPr>
          <w:rFonts w:ascii="Calibri"/>
          <w:spacing w:val="-5"/>
          <w:sz w:val="20"/>
          <w:vertAlign w:val="baseline"/>
        </w:rPr>
        <w:t> </w:t>
      </w:r>
      <w:r>
        <w:rPr>
          <w:rFonts w:ascii="Calibri"/>
          <w:sz w:val="20"/>
          <w:vertAlign w:val="baseline"/>
        </w:rPr>
        <w:t>Laws</w:t>
      </w:r>
      <w:r>
        <w:rPr>
          <w:rFonts w:ascii="Calibri"/>
          <w:spacing w:val="-7"/>
          <w:sz w:val="20"/>
          <w:vertAlign w:val="baseline"/>
        </w:rPr>
        <w:t> </w:t>
      </w:r>
      <w:r>
        <w:rPr>
          <w:rFonts w:ascii="Calibri"/>
          <w:sz w:val="20"/>
          <w:vertAlign w:val="baseline"/>
        </w:rPr>
        <w:t>of</w:t>
      </w:r>
      <w:r>
        <w:rPr>
          <w:rFonts w:ascii="Calibri"/>
          <w:spacing w:val="-7"/>
          <w:sz w:val="20"/>
          <w:vertAlign w:val="baseline"/>
        </w:rPr>
        <w:t> </w:t>
      </w:r>
      <w:r>
        <w:rPr>
          <w:rFonts w:ascii="Calibri"/>
          <w:sz w:val="20"/>
          <w:vertAlign w:val="baseline"/>
        </w:rPr>
        <w:t>Federation</w:t>
      </w:r>
      <w:r>
        <w:rPr>
          <w:rFonts w:ascii="Calibri"/>
          <w:spacing w:val="-6"/>
          <w:sz w:val="20"/>
          <w:vertAlign w:val="baseline"/>
        </w:rPr>
        <w:t> </w:t>
      </w:r>
      <w:r>
        <w:rPr>
          <w:rFonts w:ascii="Calibri"/>
          <w:sz w:val="20"/>
          <w:vertAlign w:val="baseline"/>
        </w:rPr>
        <w:t>of</w:t>
      </w:r>
      <w:r>
        <w:rPr>
          <w:rFonts w:ascii="Calibri"/>
          <w:spacing w:val="-4"/>
          <w:sz w:val="20"/>
          <w:vertAlign w:val="baseline"/>
        </w:rPr>
        <w:t> </w:t>
      </w:r>
      <w:r>
        <w:rPr>
          <w:rFonts w:ascii="Calibri"/>
          <w:sz w:val="20"/>
          <w:vertAlign w:val="baseline"/>
        </w:rPr>
        <w:t>Nigeria,</w:t>
      </w:r>
      <w:r>
        <w:rPr>
          <w:rFonts w:ascii="Calibri"/>
          <w:spacing w:val="-5"/>
          <w:sz w:val="20"/>
          <w:vertAlign w:val="baseline"/>
        </w:rPr>
        <w:t> </w:t>
      </w:r>
      <w:r>
        <w:rPr>
          <w:rFonts w:ascii="Calibri"/>
          <w:spacing w:val="-2"/>
          <w:sz w:val="20"/>
          <w:vertAlign w:val="baseline"/>
        </w:rPr>
        <w:t>2004.</w:t>
      </w:r>
    </w:p>
    <w:p>
      <w:pPr>
        <w:spacing w:line="243" w:lineRule="exact" w:before="0"/>
        <w:ind w:left="360" w:right="0" w:firstLine="0"/>
        <w:jc w:val="left"/>
        <w:rPr>
          <w:rFonts w:ascii="Calibri"/>
          <w:sz w:val="20"/>
        </w:rPr>
      </w:pPr>
      <w:r>
        <w:rPr>
          <w:rFonts w:ascii="Calibri"/>
          <w:sz w:val="20"/>
          <w:vertAlign w:val="superscript"/>
        </w:rPr>
        <w:t>41</w:t>
      </w:r>
      <w:r>
        <w:rPr>
          <w:rFonts w:ascii="Calibri"/>
          <w:sz w:val="20"/>
          <w:vertAlign w:val="baseline"/>
        </w:rPr>
        <w:t>Section</w:t>
      </w:r>
      <w:r>
        <w:rPr>
          <w:rFonts w:ascii="Calibri"/>
          <w:spacing w:val="-7"/>
          <w:sz w:val="20"/>
          <w:vertAlign w:val="baseline"/>
        </w:rPr>
        <w:t> </w:t>
      </w:r>
      <w:r>
        <w:rPr>
          <w:rFonts w:ascii="Calibri"/>
          <w:sz w:val="20"/>
          <w:vertAlign w:val="baseline"/>
        </w:rPr>
        <w:t>2</w:t>
      </w:r>
      <w:r>
        <w:rPr>
          <w:rFonts w:ascii="Calibri"/>
          <w:spacing w:val="-6"/>
          <w:sz w:val="20"/>
          <w:vertAlign w:val="baseline"/>
        </w:rPr>
        <w:t> </w:t>
      </w:r>
      <w:r>
        <w:rPr>
          <w:rFonts w:ascii="Calibri"/>
          <w:sz w:val="20"/>
          <w:vertAlign w:val="baseline"/>
        </w:rPr>
        <w:t>of</w:t>
      </w:r>
      <w:r>
        <w:rPr>
          <w:rFonts w:ascii="Calibri"/>
          <w:spacing w:val="-8"/>
          <w:sz w:val="20"/>
          <w:vertAlign w:val="baseline"/>
        </w:rPr>
        <w:t> </w:t>
      </w:r>
      <w:r>
        <w:rPr>
          <w:rFonts w:ascii="Calibri"/>
          <w:sz w:val="20"/>
          <w:vertAlign w:val="baseline"/>
        </w:rPr>
        <w:t>Petroleum</w:t>
      </w:r>
      <w:r>
        <w:rPr>
          <w:rFonts w:ascii="Calibri"/>
          <w:spacing w:val="-7"/>
          <w:sz w:val="20"/>
          <w:vertAlign w:val="baseline"/>
        </w:rPr>
        <w:t> </w:t>
      </w:r>
      <w:r>
        <w:rPr>
          <w:rFonts w:ascii="Calibri"/>
          <w:sz w:val="20"/>
          <w:vertAlign w:val="baseline"/>
        </w:rPr>
        <w:t>Profit</w:t>
      </w:r>
      <w:r>
        <w:rPr>
          <w:rFonts w:ascii="Calibri"/>
          <w:spacing w:val="-4"/>
          <w:sz w:val="20"/>
          <w:vertAlign w:val="baseline"/>
        </w:rPr>
        <w:t> </w:t>
      </w:r>
      <w:r>
        <w:rPr>
          <w:rFonts w:ascii="Calibri"/>
          <w:sz w:val="20"/>
          <w:vertAlign w:val="baseline"/>
        </w:rPr>
        <w:t>Tax</w:t>
      </w:r>
      <w:r>
        <w:rPr>
          <w:rFonts w:ascii="Calibri"/>
          <w:spacing w:val="-6"/>
          <w:sz w:val="20"/>
          <w:vertAlign w:val="baseline"/>
        </w:rPr>
        <w:t> </w:t>
      </w:r>
      <w:r>
        <w:rPr>
          <w:rFonts w:ascii="Calibri"/>
          <w:spacing w:val="-5"/>
          <w:sz w:val="20"/>
          <w:vertAlign w:val="baseline"/>
        </w:rPr>
        <w:t>Act</w:t>
      </w:r>
    </w:p>
    <w:p>
      <w:pPr>
        <w:spacing w:before="0"/>
        <w:ind w:left="360" w:right="0" w:firstLine="0"/>
        <w:jc w:val="left"/>
        <w:rPr>
          <w:rFonts w:ascii="Calibri"/>
          <w:sz w:val="20"/>
        </w:rPr>
      </w:pPr>
      <w:r>
        <w:rPr>
          <w:rFonts w:ascii="Calibri"/>
          <w:sz w:val="20"/>
          <w:vertAlign w:val="superscript"/>
        </w:rPr>
        <w:t>42</w:t>
      </w:r>
      <w:r>
        <w:rPr>
          <w:rFonts w:ascii="Calibri"/>
          <w:sz w:val="20"/>
          <w:vertAlign w:val="baseline"/>
        </w:rPr>
        <w:t>NOGC</w:t>
      </w:r>
      <w:r>
        <w:rPr>
          <w:rFonts w:ascii="Calibri"/>
          <w:spacing w:val="-5"/>
          <w:sz w:val="20"/>
          <w:vertAlign w:val="baseline"/>
        </w:rPr>
        <w:t> </w:t>
      </w:r>
      <w:r>
        <w:rPr>
          <w:rFonts w:ascii="Calibri"/>
          <w:sz w:val="20"/>
          <w:vertAlign w:val="baseline"/>
        </w:rPr>
        <w:t>2</w:t>
      </w:r>
      <w:r>
        <w:rPr>
          <w:rFonts w:ascii="Calibri"/>
          <w:spacing w:val="-5"/>
          <w:sz w:val="20"/>
          <w:vertAlign w:val="baseline"/>
        </w:rPr>
        <w:t> </w:t>
      </w:r>
      <w:r>
        <w:rPr>
          <w:rFonts w:ascii="Calibri"/>
          <w:sz w:val="20"/>
          <w:vertAlign w:val="baseline"/>
        </w:rPr>
        <w:t>[1996-2000]</w:t>
      </w:r>
      <w:r>
        <w:rPr>
          <w:rFonts w:ascii="Calibri"/>
          <w:spacing w:val="-3"/>
          <w:sz w:val="20"/>
          <w:vertAlign w:val="baseline"/>
        </w:rPr>
        <w:t> </w:t>
      </w:r>
      <w:r>
        <w:rPr>
          <w:rFonts w:ascii="Calibri"/>
          <w:sz w:val="20"/>
          <w:vertAlign w:val="baseline"/>
        </w:rPr>
        <w:t>80</w:t>
      </w:r>
      <w:r>
        <w:rPr>
          <w:rFonts w:ascii="Calibri"/>
          <w:spacing w:val="-5"/>
          <w:sz w:val="20"/>
          <w:vertAlign w:val="baseline"/>
        </w:rPr>
        <w:t> </w:t>
      </w:r>
      <w:r>
        <w:rPr>
          <w:rFonts w:ascii="Calibri"/>
          <w:sz w:val="20"/>
          <w:vertAlign w:val="baseline"/>
        </w:rPr>
        <w:t>SC.</w:t>
      </w:r>
      <w:r>
        <w:rPr>
          <w:rFonts w:ascii="Calibri"/>
          <w:spacing w:val="-4"/>
          <w:sz w:val="20"/>
          <w:vertAlign w:val="baseline"/>
        </w:rPr>
        <w:t> </w:t>
      </w:r>
      <w:r>
        <w:rPr>
          <w:rFonts w:ascii="Calibri"/>
          <w:sz w:val="20"/>
          <w:vertAlign w:val="baseline"/>
        </w:rPr>
        <w:t>Also</w:t>
      </w:r>
      <w:r>
        <w:rPr>
          <w:rFonts w:ascii="Calibri"/>
          <w:spacing w:val="-5"/>
          <w:sz w:val="20"/>
          <w:vertAlign w:val="baseline"/>
        </w:rPr>
        <w:t> </w:t>
      </w:r>
      <w:r>
        <w:rPr>
          <w:rFonts w:ascii="Calibri"/>
          <w:sz w:val="20"/>
          <w:vertAlign w:val="baseline"/>
        </w:rPr>
        <w:t>reported</w:t>
      </w:r>
      <w:r>
        <w:rPr>
          <w:rFonts w:ascii="Calibri"/>
          <w:spacing w:val="-4"/>
          <w:sz w:val="20"/>
          <w:vertAlign w:val="baseline"/>
        </w:rPr>
        <w:t> </w:t>
      </w:r>
      <w:r>
        <w:rPr>
          <w:rFonts w:ascii="Calibri"/>
          <w:sz w:val="20"/>
          <w:vertAlign w:val="baseline"/>
        </w:rPr>
        <w:t>in</w:t>
      </w:r>
      <w:r>
        <w:rPr>
          <w:rFonts w:ascii="Calibri"/>
          <w:spacing w:val="-4"/>
          <w:sz w:val="20"/>
          <w:vertAlign w:val="baseline"/>
        </w:rPr>
        <w:t> </w:t>
      </w:r>
      <w:r>
        <w:rPr>
          <w:rFonts w:ascii="Calibri"/>
          <w:sz w:val="20"/>
          <w:vertAlign w:val="baseline"/>
        </w:rPr>
        <w:t>(1996)</w:t>
      </w:r>
      <w:r>
        <w:rPr>
          <w:rFonts w:ascii="Calibri"/>
          <w:spacing w:val="-5"/>
          <w:sz w:val="20"/>
          <w:vertAlign w:val="baseline"/>
        </w:rPr>
        <w:t> </w:t>
      </w:r>
      <w:r>
        <w:rPr>
          <w:rFonts w:ascii="Calibri"/>
          <w:sz w:val="20"/>
          <w:vertAlign w:val="baseline"/>
        </w:rPr>
        <w:t>8</w:t>
      </w:r>
      <w:r>
        <w:rPr>
          <w:rFonts w:ascii="Calibri"/>
          <w:spacing w:val="-4"/>
          <w:sz w:val="20"/>
          <w:vertAlign w:val="baseline"/>
        </w:rPr>
        <w:t> </w:t>
      </w:r>
      <w:r>
        <w:rPr>
          <w:rFonts w:ascii="Calibri"/>
          <w:sz w:val="20"/>
          <w:vertAlign w:val="baseline"/>
        </w:rPr>
        <w:t>N.</w:t>
      </w:r>
      <w:r>
        <w:rPr>
          <w:rFonts w:ascii="Calibri"/>
          <w:spacing w:val="-4"/>
          <w:sz w:val="20"/>
          <w:vertAlign w:val="baseline"/>
        </w:rPr>
        <w:t> </w:t>
      </w:r>
      <w:r>
        <w:rPr>
          <w:rFonts w:ascii="Calibri"/>
          <w:sz w:val="20"/>
          <w:vertAlign w:val="baseline"/>
        </w:rPr>
        <w:t>W.</w:t>
      </w:r>
      <w:r>
        <w:rPr>
          <w:rFonts w:ascii="Calibri"/>
          <w:spacing w:val="-2"/>
          <w:sz w:val="20"/>
          <w:vertAlign w:val="baseline"/>
        </w:rPr>
        <w:t> </w:t>
      </w:r>
      <w:r>
        <w:rPr>
          <w:rFonts w:ascii="Calibri"/>
          <w:sz w:val="20"/>
          <w:vertAlign w:val="baseline"/>
        </w:rPr>
        <w:t>L.</w:t>
      </w:r>
      <w:r>
        <w:rPr>
          <w:rFonts w:ascii="Calibri"/>
          <w:spacing w:val="-4"/>
          <w:sz w:val="20"/>
          <w:vertAlign w:val="baseline"/>
        </w:rPr>
        <w:t> </w:t>
      </w:r>
      <w:r>
        <w:rPr>
          <w:rFonts w:ascii="Calibri"/>
          <w:sz w:val="20"/>
          <w:vertAlign w:val="baseline"/>
        </w:rPr>
        <w:t>R</w:t>
      </w:r>
      <w:r>
        <w:rPr>
          <w:rFonts w:ascii="Calibri"/>
          <w:spacing w:val="-5"/>
          <w:sz w:val="20"/>
          <w:vertAlign w:val="baseline"/>
        </w:rPr>
        <w:t> </w:t>
      </w:r>
      <w:r>
        <w:rPr>
          <w:rFonts w:ascii="Calibri"/>
          <w:sz w:val="20"/>
          <w:vertAlign w:val="baseline"/>
        </w:rPr>
        <w:t>(Pt.</w:t>
      </w:r>
      <w:r>
        <w:rPr>
          <w:rFonts w:ascii="Calibri"/>
          <w:spacing w:val="-4"/>
          <w:sz w:val="20"/>
          <w:vertAlign w:val="baseline"/>
        </w:rPr>
        <w:t> </w:t>
      </w:r>
      <w:r>
        <w:rPr>
          <w:rFonts w:ascii="Calibri"/>
          <w:sz w:val="20"/>
          <w:vertAlign w:val="baseline"/>
        </w:rPr>
        <w:t>466)</w:t>
      </w:r>
      <w:r>
        <w:rPr>
          <w:rFonts w:ascii="Calibri"/>
          <w:spacing w:val="-6"/>
          <w:sz w:val="20"/>
          <w:vertAlign w:val="baseline"/>
        </w:rPr>
        <w:t> </w:t>
      </w:r>
      <w:r>
        <w:rPr>
          <w:rFonts w:ascii="Calibri"/>
          <w:spacing w:val="-5"/>
          <w:sz w:val="20"/>
          <w:vertAlign w:val="baseline"/>
        </w:rPr>
        <w:t>256</w:t>
      </w:r>
    </w:p>
    <w:p>
      <w:pPr>
        <w:spacing w:after="0"/>
        <w:jc w:val="left"/>
        <w:rPr>
          <w:rFonts w:ascii="Calibri"/>
          <w:sz w:val="20"/>
        </w:rPr>
        <w:sectPr>
          <w:pgSz w:w="11910" w:h="16840"/>
          <w:pgMar w:header="0" w:footer="1000" w:top="1300" w:bottom="1200" w:left="1080" w:right="1280"/>
        </w:sectPr>
      </w:pPr>
    </w:p>
    <w:p>
      <w:pPr>
        <w:pStyle w:val="BodyText"/>
        <w:spacing w:line="480" w:lineRule="auto" w:before="114"/>
        <w:ind w:left="360" w:right="152" w:firstLine="719"/>
        <w:jc w:val="both"/>
      </w:pPr>
      <w:r>
        <w:rPr/>
        <w:t>The</w:t>
      </w:r>
      <w:r>
        <w:rPr>
          <w:spacing w:val="-1"/>
        </w:rPr>
        <w:t> </w:t>
      </w:r>
      <w:r>
        <w:rPr/>
        <w:t>above provisions have received judicial blessing</w:t>
      </w:r>
      <w:r>
        <w:rPr>
          <w:spacing w:val="-1"/>
        </w:rPr>
        <w:t> </w:t>
      </w:r>
      <w:r>
        <w:rPr/>
        <w:t>in a number</w:t>
      </w:r>
      <w:r>
        <w:rPr>
          <w:spacing w:val="-1"/>
        </w:rPr>
        <w:t> </w:t>
      </w:r>
      <w:r>
        <w:rPr/>
        <w:t>of authorities</w:t>
      </w:r>
      <w:r>
        <w:rPr>
          <w:vertAlign w:val="superscript"/>
        </w:rPr>
        <w:t>43</w:t>
      </w:r>
      <w:r>
        <w:rPr>
          <w:vertAlign w:val="baseline"/>
        </w:rPr>
        <w:t>. The Supreme Court in Shell‟s</w:t>
      </w:r>
      <w:r>
        <w:rPr>
          <w:vertAlign w:val="superscript"/>
        </w:rPr>
        <w:t>44</w:t>
      </w:r>
      <w:r>
        <w:rPr>
          <w:vertAlign w:val="baseline"/>
        </w:rPr>
        <w:t>held that by virtue of section 8 of the Petroleum Profit Tax Act, any company engaged petroleum operations is liable to pay profit tax and such tax is to be deemed as debt due to the Federal Government. In order to ascertain the petroleum profit tax payable by a company under the Act, the computation of the following is necessary. The Act provides for the computation of the petroleum profit tax as follows.</w:t>
      </w:r>
    </w:p>
    <w:p>
      <w:pPr>
        <w:pStyle w:val="Heading3"/>
        <w:numPr>
          <w:ilvl w:val="2"/>
          <w:numId w:val="8"/>
        </w:numPr>
        <w:tabs>
          <w:tab w:pos="1079" w:val="left" w:leader="none"/>
        </w:tabs>
        <w:spacing w:line="240" w:lineRule="auto" w:before="5" w:after="0"/>
        <w:ind w:left="1079" w:right="0" w:hanging="719"/>
        <w:jc w:val="both"/>
      </w:pPr>
      <w:r>
        <w:rPr>
          <w:spacing w:val="-2"/>
        </w:rPr>
        <w:t>Revenue</w:t>
      </w:r>
    </w:p>
    <w:p>
      <w:pPr>
        <w:pStyle w:val="BodyText"/>
        <w:spacing w:line="480" w:lineRule="auto" w:before="272"/>
        <w:ind w:left="360" w:right="159" w:firstLine="719"/>
        <w:jc w:val="both"/>
      </w:pPr>
      <w:r>
        <w:rPr/>
        <w:t>This can simply be described as the proceeds of the company. For the purpose of ascertaining tax payable by a company engaged in petroleum operation, all the revenue accruing</w:t>
      </w:r>
      <w:r>
        <w:rPr>
          <w:spacing w:val="-1"/>
        </w:rPr>
        <w:t> </w:t>
      </w:r>
      <w:r>
        <w:rPr/>
        <w:t>to the company during</w:t>
      </w:r>
      <w:r>
        <w:rPr>
          <w:spacing w:val="-2"/>
        </w:rPr>
        <w:t> </w:t>
      </w:r>
      <w:r>
        <w:rPr/>
        <w:t>the accounting. The International Journal of Advanced Legal Studies</w:t>
      </w:r>
      <w:r>
        <w:rPr>
          <w:spacing w:val="15"/>
        </w:rPr>
        <w:t> </w:t>
      </w:r>
      <w:r>
        <w:rPr/>
        <w:t>and</w:t>
      </w:r>
      <w:r>
        <w:rPr>
          <w:spacing w:val="17"/>
        </w:rPr>
        <w:t> </w:t>
      </w:r>
      <w:r>
        <w:rPr/>
        <w:t>Governance,</w:t>
      </w:r>
      <w:r>
        <w:rPr>
          <w:spacing w:val="20"/>
        </w:rPr>
        <w:t> </w:t>
      </w:r>
      <w:r>
        <w:rPr/>
        <w:t>Vol.</w:t>
      </w:r>
      <w:r>
        <w:rPr>
          <w:spacing w:val="16"/>
        </w:rPr>
        <w:t> </w:t>
      </w:r>
      <w:r>
        <w:rPr/>
        <w:t>4,</w:t>
      </w:r>
      <w:r>
        <w:rPr>
          <w:spacing w:val="17"/>
        </w:rPr>
        <w:t> </w:t>
      </w:r>
      <w:r>
        <w:rPr/>
        <w:t>No.</w:t>
      </w:r>
      <w:r>
        <w:rPr>
          <w:spacing w:val="15"/>
        </w:rPr>
        <w:t> </w:t>
      </w:r>
      <w:r>
        <w:rPr/>
        <w:t>2,</w:t>
      </w:r>
      <w:r>
        <w:rPr>
          <w:spacing w:val="16"/>
        </w:rPr>
        <w:t> </w:t>
      </w:r>
      <w:r>
        <w:rPr/>
        <w:t>August</w:t>
      </w:r>
      <w:r>
        <w:rPr>
          <w:spacing w:val="18"/>
        </w:rPr>
        <w:t> </w:t>
      </w:r>
      <w:r>
        <w:rPr/>
        <w:t>2013</w:t>
      </w:r>
      <w:r>
        <w:rPr>
          <w:spacing w:val="17"/>
        </w:rPr>
        <w:t> </w:t>
      </w:r>
      <w:r>
        <w:rPr/>
        <w:t>9</w:t>
      </w:r>
      <w:r>
        <w:rPr>
          <w:spacing w:val="21"/>
        </w:rPr>
        <w:t> </w:t>
      </w:r>
      <w:r>
        <w:rPr/>
        <w:t>revenue</w:t>
      </w:r>
      <w:r>
        <w:rPr>
          <w:spacing w:val="17"/>
        </w:rPr>
        <w:t> </w:t>
      </w:r>
      <w:r>
        <w:rPr/>
        <w:t>is</w:t>
      </w:r>
      <w:r>
        <w:rPr>
          <w:spacing w:val="18"/>
        </w:rPr>
        <w:t> </w:t>
      </w:r>
      <w:r>
        <w:rPr/>
        <w:t>taken</w:t>
      </w:r>
      <w:r>
        <w:rPr>
          <w:spacing w:val="16"/>
        </w:rPr>
        <w:t> </w:t>
      </w:r>
      <w:r>
        <w:rPr/>
        <w:t>to</w:t>
      </w:r>
      <w:r>
        <w:rPr>
          <w:spacing w:val="17"/>
        </w:rPr>
        <w:t> </w:t>
      </w:r>
      <w:r>
        <w:rPr/>
        <w:t>be</w:t>
      </w:r>
      <w:r>
        <w:rPr>
          <w:spacing w:val="17"/>
        </w:rPr>
        <w:t> </w:t>
      </w:r>
      <w:r>
        <w:rPr/>
        <w:t>the</w:t>
      </w:r>
      <w:r>
        <w:rPr>
          <w:spacing w:val="17"/>
        </w:rPr>
        <w:t> </w:t>
      </w:r>
      <w:r>
        <w:rPr>
          <w:spacing w:val="-2"/>
        </w:rPr>
        <w:t>aggregate</w:t>
      </w:r>
    </w:p>
    <w:p>
      <w:pPr>
        <w:spacing w:after="0" w:line="480" w:lineRule="auto"/>
        <w:jc w:val="both"/>
        <w:sectPr>
          <w:pgSz w:w="11910" w:h="16840"/>
          <w:pgMar w:header="0" w:footer="1000" w:top="1300" w:bottom="1200" w:left="1080" w:right="1280"/>
        </w:sectPr>
      </w:pPr>
    </w:p>
    <w:p>
      <w:pPr>
        <w:pStyle w:val="BodyText"/>
        <w:ind w:left="360"/>
      </w:pPr>
      <w:r>
        <w:rPr>
          <w:spacing w:val="-5"/>
        </w:rPr>
        <w:t>of:</w:t>
      </w:r>
    </w:p>
    <w:p>
      <w:pPr>
        <w:spacing w:line="240" w:lineRule="auto" w:before="0"/>
        <w:rPr>
          <w:sz w:val="24"/>
        </w:rPr>
      </w:pPr>
      <w:r>
        <w:rPr/>
        <w:br w:type="column"/>
      </w:r>
      <w:r>
        <w:rPr>
          <w:sz w:val="24"/>
        </w:rPr>
      </w:r>
    </w:p>
    <w:p>
      <w:pPr>
        <w:pStyle w:val="BodyText"/>
      </w:pPr>
    </w:p>
    <w:p>
      <w:pPr>
        <w:pStyle w:val="ListParagraph"/>
        <w:numPr>
          <w:ilvl w:val="3"/>
          <w:numId w:val="8"/>
        </w:numPr>
        <w:tabs>
          <w:tab w:pos="1079" w:val="left" w:leader="none"/>
        </w:tabs>
        <w:spacing w:line="240" w:lineRule="auto" w:before="0" w:after="0"/>
        <w:ind w:left="1079" w:right="0" w:hanging="359"/>
        <w:jc w:val="left"/>
        <w:rPr>
          <w:sz w:val="24"/>
        </w:rPr>
      </w:pPr>
      <w:r>
        <w:rPr>
          <w:sz w:val="24"/>
        </w:rPr>
        <w:t>Proceeds</w:t>
      </w:r>
      <w:r>
        <w:rPr>
          <w:spacing w:val="-1"/>
          <w:sz w:val="24"/>
        </w:rPr>
        <w:t> </w:t>
      </w:r>
      <w:r>
        <w:rPr>
          <w:sz w:val="24"/>
        </w:rPr>
        <w:t>of</w:t>
      </w:r>
      <w:r>
        <w:rPr>
          <w:spacing w:val="1"/>
          <w:sz w:val="24"/>
        </w:rPr>
        <w:t> </w:t>
      </w:r>
      <w:r>
        <w:rPr>
          <w:sz w:val="24"/>
        </w:rPr>
        <w:t>all</w:t>
      </w:r>
      <w:r>
        <w:rPr>
          <w:spacing w:val="-1"/>
          <w:sz w:val="24"/>
        </w:rPr>
        <w:t> </w:t>
      </w:r>
      <w:r>
        <w:rPr>
          <w:sz w:val="24"/>
        </w:rPr>
        <w:t>chargeable</w:t>
      </w:r>
      <w:r>
        <w:rPr>
          <w:spacing w:val="-1"/>
          <w:sz w:val="24"/>
        </w:rPr>
        <w:t> </w:t>
      </w:r>
      <w:r>
        <w:rPr>
          <w:sz w:val="24"/>
        </w:rPr>
        <w:t>oil sold</w:t>
      </w:r>
      <w:r>
        <w:rPr>
          <w:spacing w:val="-1"/>
          <w:sz w:val="24"/>
        </w:rPr>
        <w:t> </w:t>
      </w:r>
      <w:r>
        <w:rPr>
          <w:sz w:val="24"/>
        </w:rPr>
        <w:t>by</w:t>
      </w:r>
      <w:r>
        <w:rPr>
          <w:spacing w:val="-5"/>
          <w:sz w:val="24"/>
        </w:rPr>
        <w:t> </w:t>
      </w:r>
      <w:r>
        <w:rPr>
          <w:sz w:val="24"/>
        </w:rPr>
        <w:t>the company</w:t>
      </w:r>
      <w:r>
        <w:rPr>
          <w:spacing w:val="-4"/>
          <w:sz w:val="24"/>
        </w:rPr>
        <w:t> </w:t>
      </w:r>
      <w:r>
        <w:rPr>
          <w:sz w:val="24"/>
        </w:rPr>
        <w:t>during</w:t>
      </w:r>
      <w:r>
        <w:rPr>
          <w:spacing w:val="-3"/>
          <w:sz w:val="24"/>
        </w:rPr>
        <w:t> </w:t>
      </w:r>
      <w:r>
        <w:rPr>
          <w:sz w:val="24"/>
        </w:rPr>
        <w:t>that </w:t>
      </w:r>
      <w:r>
        <w:rPr>
          <w:spacing w:val="-2"/>
          <w:sz w:val="24"/>
        </w:rPr>
        <w:t>period;</w:t>
      </w:r>
      <w:r>
        <w:rPr>
          <w:spacing w:val="-2"/>
          <w:sz w:val="24"/>
          <w:vertAlign w:val="superscript"/>
        </w:rPr>
        <w:t>45</w:t>
      </w:r>
    </w:p>
    <w:p>
      <w:pPr>
        <w:pStyle w:val="BodyText"/>
      </w:pPr>
    </w:p>
    <w:p>
      <w:pPr>
        <w:pStyle w:val="ListParagraph"/>
        <w:numPr>
          <w:ilvl w:val="3"/>
          <w:numId w:val="8"/>
        </w:numPr>
        <w:tabs>
          <w:tab w:pos="1080" w:val="left" w:leader="none"/>
        </w:tabs>
        <w:spacing w:line="240" w:lineRule="auto" w:before="0" w:after="0"/>
        <w:ind w:left="1080" w:right="0" w:hanging="360"/>
        <w:jc w:val="left"/>
        <w:rPr>
          <w:sz w:val="24"/>
        </w:rPr>
      </w:pPr>
      <w:r>
        <w:rPr>
          <w:sz w:val="24"/>
        </w:rPr>
        <w:t>Value</w:t>
      </w:r>
      <w:r>
        <w:rPr>
          <w:spacing w:val="-2"/>
          <w:sz w:val="24"/>
        </w:rPr>
        <w:t> </w:t>
      </w:r>
      <w:r>
        <w:rPr>
          <w:sz w:val="24"/>
        </w:rPr>
        <w:t>of</w:t>
      </w:r>
      <w:r>
        <w:rPr>
          <w:spacing w:val="-2"/>
          <w:sz w:val="24"/>
        </w:rPr>
        <w:t> </w:t>
      </w:r>
      <w:r>
        <w:rPr>
          <w:sz w:val="24"/>
        </w:rPr>
        <w:t>all chargeable oil disposed by</w:t>
      </w:r>
      <w:r>
        <w:rPr>
          <w:spacing w:val="-5"/>
          <w:sz w:val="24"/>
        </w:rPr>
        <w:t> </w:t>
      </w:r>
      <w:r>
        <w:rPr>
          <w:sz w:val="24"/>
        </w:rPr>
        <w:t>the company</w:t>
      </w:r>
      <w:r>
        <w:rPr>
          <w:spacing w:val="-5"/>
          <w:sz w:val="24"/>
        </w:rPr>
        <w:t> </w:t>
      </w:r>
      <w:r>
        <w:rPr>
          <w:sz w:val="24"/>
        </w:rPr>
        <w:t>during</w:t>
      </w:r>
      <w:r>
        <w:rPr>
          <w:spacing w:val="-3"/>
          <w:sz w:val="24"/>
        </w:rPr>
        <w:t> </w:t>
      </w:r>
      <w:r>
        <w:rPr>
          <w:sz w:val="24"/>
        </w:rPr>
        <w:t>the </w:t>
      </w:r>
      <w:r>
        <w:rPr>
          <w:spacing w:val="-2"/>
          <w:sz w:val="24"/>
        </w:rPr>
        <w:t>period</w:t>
      </w:r>
      <w:r>
        <w:rPr>
          <w:spacing w:val="-2"/>
          <w:sz w:val="24"/>
          <w:vertAlign w:val="superscript"/>
        </w:rPr>
        <w:t>46</w:t>
      </w:r>
      <w:r>
        <w:rPr>
          <w:spacing w:val="-2"/>
          <w:sz w:val="24"/>
          <w:vertAlign w:val="baseline"/>
        </w:rPr>
        <w:t>;</w:t>
      </w:r>
    </w:p>
    <w:p>
      <w:pPr>
        <w:pStyle w:val="BodyText"/>
      </w:pPr>
    </w:p>
    <w:p>
      <w:pPr>
        <w:pStyle w:val="ListParagraph"/>
        <w:numPr>
          <w:ilvl w:val="3"/>
          <w:numId w:val="8"/>
        </w:numPr>
        <w:tabs>
          <w:tab w:pos="1079" w:val="left" w:leader="none"/>
        </w:tabs>
        <w:spacing w:line="240" w:lineRule="auto" w:before="0" w:after="0"/>
        <w:ind w:left="1079" w:right="0" w:hanging="359"/>
        <w:jc w:val="left"/>
        <w:rPr>
          <w:sz w:val="24"/>
        </w:rPr>
      </w:pPr>
      <w:r>
        <w:rPr>
          <w:sz w:val="24"/>
        </w:rPr>
        <w:t>Value</w:t>
      </w:r>
      <w:r>
        <w:rPr>
          <w:spacing w:val="-1"/>
          <w:sz w:val="24"/>
        </w:rPr>
        <w:t> </w:t>
      </w:r>
      <w:r>
        <w:rPr>
          <w:sz w:val="24"/>
        </w:rPr>
        <w:t>of</w:t>
      </w:r>
      <w:r>
        <w:rPr>
          <w:spacing w:val="-3"/>
          <w:sz w:val="24"/>
        </w:rPr>
        <w:t> </w:t>
      </w:r>
      <w:r>
        <w:rPr>
          <w:sz w:val="24"/>
        </w:rPr>
        <w:t>chargeable</w:t>
      </w:r>
      <w:r>
        <w:rPr>
          <w:spacing w:val="-1"/>
          <w:sz w:val="24"/>
        </w:rPr>
        <w:t> </w:t>
      </w:r>
      <w:r>
        <w:rPr>
          <w:sz w:val="24"/>
        </w:rPr>
        <w:t>natural</w:t>
      </w:r>
      <w:r>
        <w:rPr>
          <w:spacing w:val="-1"/>
          <w:sz w:val="24"/>
        </w:rPr>
        <w:t> </w:t>
      </w:r>
      <w:r>
        <w:rPr>
          <w:sz w:val="24"/>
        </w:rPr>
        <w:t>gas</w:t>
      </w:r>
      <w:r>
        <w:rPr>
          <w:spacing w:val="-1"/>
          <w:sz w:val="24"/>
        </w:rPr>
        <w:t> </w:t>
      </w:r>
      <w:r>
        <w:rPr>
          <w:spacing w:val="-2"/>
          <w:sz w:val="24"/>
        </w:rPr>
        <w:t>sold;</w:t>
      </w:r>
      <w:r>
        <w:rPr>
          <w:spacing w:val="-2"/>
          <w:sz w:val="24"/>
          <w:vertAlign w:val="superscript"/>
        </w:rPr>
        <w:t>47</w:t>
      </w:r>
    </w:p>
    <w:p>
      <w:pPr>
        <w:pStyle w:val="BodyText"/>
      </w:pPr>
    </w:p>
    <w:p>
      <w:pPr>
        <w:pStyle w:val="BodyText"/>
        <w:ind w:left="360"/>
      </w:pPr>
      <w:r>
        <w:rPr/>
        <w:t>All</w:t>
      </w:r>
      <w:r>
        <w:rPr>
          <w:spacing w:val="44"/>
        </w:rPr>
        <w:t> </w:t>
      </w:r>
      <w:r>
        <w:rPr/>
        <w:t>income</w:t>
      </w:r>
      <w:r>
        <w:rPr>
          <w:spacing w:val="44"/>
        </w:rPr>
        <w:t> </w:t>
      </w:r>
      <w:r>
        <w:rPr/>
        <w:t>incidental</w:t>
      </w:r>
      <w:r>
        <w:rPr>
          <w:spacing w:val="45"/>
        </w:rPr>
        <w:t> </w:t>
      </w:r>
      <w:r>
        <w:rPr/>
        <w:t>to</w:t>
      </w:r>
      <w:r>
        <w:rPr>
          <w:spacing w:val="45"/>
        </w:rPr>
        <w:t> </w:t>
      </w:r>
      <w:r>
        <w:rPr/>
        <w:t>and</w:t>
      </w:r>
      <w:r>
        <w:rPr>
          <w:spacing w:val="45"/>
        </w:rPr>
        <w:t> </w:t>
      </w:r>
      <w:r>
        <w:rPr/>
        <w:t>arising</w:t>
      </w:r>
      <w:r>
        <w:rPr>
          <w:spacing w:val="45"/>
        </w:rPr>
        <w:t> </w:t>
      </w:r>
      <w:r>
        <w:rPr/>
        <w:t>from</w:t>
      </w:r>
      <w:r>
        <w:rPr>
          <w:spacing w:val="44"/>
        </w:rPr>
        <w:t> </w:t>
      </w:r>
      <w:r>
        <w:rPr/>
        <w:t>one</w:t>
      </w:r>
      <w:r>
        <w:rPr>
          <w:spacing w:val="46"/>
        </w:rPr>
        <w:t> </w:t>
      </w:r>
      <w:r>
        <w:rPr/>
        <w:t>or</w:t>
      </w:r>
      <w:r>
        <w:rPr>
          <w:spacing w:val="44"/>
        </w:rPr>
        <w:t> </w:t>
      </w:r>
      <w:r>
        <w:rPr/>
        <w:t>more</w:t>
      </w:r>
      <w:r>
        <w:rPr>
          <w:spacing w:val="46"/>
        </w:rPr>
        <w:t> </w:t>
      </w:r>
      <w:r>
        <w:rPr/>
        <w:t>petroleum</w:t>
      </w:r>
      <w:r>
        <w:rPr>
          <w:spacing w:val="52"/>
        </w:rPr>
        <w:t> </w:t>
      </w:r>
      <w:r>
        <w:rPr/>
        <w:t>operations,</w:t>
      </w:r>
      <w:r>
        <w:rPr>
          <w:spacing w:val="45"/>
        </w:rPr>
        <w:t> </w:t>
      </w:r>
      <w:r>
        <w:rPr>
          <w:spacing w:val="-4"/>
        </w:rPr>
        <w:t>e.g.</w:t>
      </w:r>
    </w:p>
    <w:p>
      <w:pPr>
        <w:spacing w:after="0"/>
        <w:sectPr>
          <w:type w:val="continuous"/>
          <w:pgSz w:w="11910" w:h="16840"/>
          <w:pgMar w:header="0" w:footer="1000" w:top="1340" w:bottom="1200" w:left="1080" w:right="1280"/>
          <w:cols w:num="2" w:equalWidth="0">
            <w:col w:w="667" w:space="53"/>
            <w:col w:w="8830"/>
          </w:cols>
        </w:sectPr>
      </w:pPr>
    </w:p>
    <w:p>
      <w:pPr>
        <w:pStyle w:val="BodyText"/>
      </w:pPr>
    </w:p>
    <w:p>
      <w:pPr>
        <w:pStyle w:val="BodyText"/>
        <w:spacing w:line="480" w:lineRule="auto"/>
        <w:ind w:left="360" w:right="159"/>
      </w:pPr>
      <w:r>
        <w:rPr/>
        <w:t>interest on fixed deposit, rent/hire of equipment,</w:t>
      </w:r>
      <w:r>
        <w:rPr>
          <w:spacing w:val="26"/>
        </w:rPr>
        <w:t> </w:t>
      </w:r>
      <w:r>
        <w:rPr/>
        <w:t>income from services provided to another</w:t>
      </w:r>
      <w:r>
        <w:rPr>
          <w:spacing w:val="80"/>
        </w:rPr>
        <w:t> </w:t>
      </w:r>
      <w:r>
        <w:rPr/>
        <w:t>petroleum company, etc.</w:t>
      </w:r>
    </w:p>
    <w:p>
      <w:pPr>
        <w:pStyle w:val="BodyText"/>
        <w:spacing w:line="480" w:lineRule="auto" w:before="1"/>
        <w:ind w:left="360" w:firstLine="719"/>
      </w:pPr>
      <w:r>
        <w:rPr/>
        <w:t>The</w:t>
      </w:r>
      <w:r>
        <w:rPr>
          <w:spacing w:val="25"/>
        </w:rPr>
        <w:t> </w:t>
      </w:r>
      <w:r>
        <w:rPr/>
        <w:t>aggregate</w:t>
      </w:r>
      <w:r>
        <w:rPr>
          <w:spacing w:val="28"/>
        </w:rPr>
        <w:t> </w:t>
      </w:r>
      <w:r>
        <w:rPr/>
        <w:t>of</w:t>
      </w:r>
      <w:r>
        <w:rPr>
          <w:spacing w:val="28"/>
        </w:rPr>
        <w:t> </w:t>
      </w:r>
      <w:r>
        <w:rPr/>
        <w:t>what</w:t>
      </w:r>
      <w:r>
        <w:rPr>
          <w:spacing w:val="29"/>
        </w:rPr>
        <w:t> </w:t>
      </w:r>
      <w:r>
        <w:rPr/>
        <w:t>constitute</w:t>
      </w:r>
      <w:r>
        <w:rPr>
          <w:spacing w:val="26"/>
        </w:rPr>
        <w:t> </w:t>
      </w:r>
      <w:r>
        <w:rPr/>
        <w:t>chargeable</w:t>
      </w:r>
      <w:r>
        <w:rPr>
          <w:spacing w:val="26"/>
        </w:rPr>
        <w:t> </w:t>
      </w:r>
      <w:r>
        <w:rPr/>
        <w:t>oil</w:t>
      </w:r>
      <w:r>
        <w:rPr>
          <w:spacing w:val="29"/>
        </w:rPr>
        <w:t> </w:t>
      </w:r>
      <w:r>
        <w:rPr/>
        <w:t>sold</w:t>
      </w:r>
      <w:r>
        <w:rPr>
          <w:spacing w:val="27"/>
        </w:rPr>
        <w:t> </w:t>
      </w:r>
      <w:r>
        <w:rPr/>
        <w:t>for</w:t>
      </w:r>
      <w:r>
        <w:rPr>
          <w:spacing w:val="25"/>
        </w:rPr>
        <w:t> </w:t>
      </w:r>
      <w:r>
        <w:rPr/>
        <w:t>the</w:t>
      </w:r>
      <w:r>
        <w:rPr>
          <w:spacing w:val="28"/>
        </w:rPr>
        <w:t> </w:t>
      </w:r>
      <w:r>
        <w:rPr/>
        <w:t>propose</w:t>
      </w:r>
      <w:r>
        <w:rPr>
          <w:spacing w:val="28"/>
        </w:rPr>
        <w:t> </w:t>
      </w:r>
      <w:r>
        <w:rPr/>
        <w:t>of</w:t>
      </w:r>
      <w:r>
        <w:rPr>
          <w:spacing w:val="25"/>
        </w:rPr>
        <w:t> </w:t>
      </w:r>
      <w:r>
        <w:rPr/>
        <w:t>item</w:t>
      </w:r>
      <w:r>
        <w:rPr>
          <w:spacing w:val="26"/>
        </w:rPr>
        <w:t> </w:t>
      </w:r>
      <w:r>
        <w:rPr/>
        <w:t>“b”</w:t>
      </w:r>
      <w:r>
        <w:rPr>
          <w:spacing w:val="25"/>
        </w:rPr>
        <w:t> </w:t>
      </w:r>
      <w:r>
        <w:rPr/>
        <w:t>is defined</w:t>
      </w:r>
      <w:r>
        <w:rPr>
          <w:spacing w:val="25"/>
        </w:rPr>
        <w:t> </w:t>
      </w:r>
      <w:r>
        <w:rPr/>
        <w:t>in</w:t>
      </w:r>
      <w:r>
        <w:rPr>
          <w:spacing w:val="29"/>
        </w:rPr>
        <w:t> </w:t>
      </w:r>
      <w:r>
        <w:rPr/>
        <w:t>Section</w:t>
      </w:r>
      <w:r>
        <w:rPr>
          <w:spacing w:val="28"/>
        </w:rPr>
        <w:t> </w:t>
      </w:r>
      <w:r>
        <w:rPr/>
        <w:t>9(2)</w:t>
      </w:r>
      <w:r>
        <w:rPr>
          <w:spacing w:val="29"/>
        </w:rPr>
        <w:t> </w:t>
      </w:r>
      <w:r>
        <w:rPr/>
        <w:t>to</w:t>
      </w:r>
      <w:r>
        <w:rPr>
          <w:spacing w:val="28"/>
        </w:rPr>
        <w:t> </w:t>
      </w:r>
      <w:r>
        <w:rPr/>
        <w:t>include</w:t>
      </w:r>
      <w:r>
        <w:rPr>
          <w:spacing w:val="27"/>
        </w:rPr>
        <w:t> </w:t>
      </w:r>
      <w:r>
        <w:rPr/>
        <w:t>value</w:t>
      </w:r>
      <w:r>
        <w:rPr>
          <w:spacing w:val="26"/>
        </w:rPr>
        <w:t> </w:t>
      </w:r>
      <w:r>
        <w:rPr/>
        <w:t>of</w:t>
      </w:r>
      <w:r>
        <w:rPr>
          <w:spacing w:val="30"/>
        </w:rPr>
        <w:t> </w:t>
      </w:r>
      <w:r>
        <w:rPr/>
        <w:t>oil</w:t>
      </w:r>
      <w:r>
        <w:rPr>
          <w:spacing w:val="29"/>
        </w:rPr>
        <w:t> </w:t>
      </w:r>
      <w:r>
        <w:rPr/>
        <w:t>as</w:t>
      </w:r>
      <w:r>
        <w:rPr>
          <w:spacing w:val="29"/>
        </w:rPr>
        <w:t> </w:t>
      </w:r>
      <w:r>
        <w:rPr/>
        <w:t>determined,</w:t>
      </w:r>
      <w:r>
        <w:rPr>
          <w:spacing w:val="30"/>
        </w:rPr>
        <w:t> </w:t>
      </w:r>
      <w:r>
        <w:rPr/>
        <w:t>cost</w:t>
      </w:r>
      <w:r>
        <w:rPr>
          <w:spacing w:val="29"/>
        </w:rPr>
        <w:t> </w:t>
      </w:r>
      <w:r>
        <w:rPr/>
        <w:t>of</w:t>
      </w:r>
      <w:r>
        <w:rPr>
          <w:spacing w:val="29"/>
        </w:rPr>
        <w:t> </w:t>
      </w:r>
      <w:r>
        <w:rPr/>
        <w:t>extraction</w:t>
      </w:r>
      <w:r>
        <w:rPr>
          <w:spacing w:val="28"/>
        </w:rPr>
        <w:t> </w:t>
      </w:r>
      <w:r>
        <w:rPr/>
        <w:t>of</w:t>
      </w:r>
      <w:r>
        <w:rPr>
          <w:spacing w:val="30"/>
        </w:rPr>
        <w:t> </w:t>
      </w:r>
      <w:r>
        <w:rPr/>
        <w:t>that</w:t>
      </w:r>
      <w:r>
        <w:rPr>
          <w:spacing w:val="28"/>
        </w:rPr>
        <w:t> </w:t>
      </w:r>
      <w:r>
        <w:rPr>
          <w:spacing w:val="-5"/>
        </w:rPr>
        <w:t>oil</w:t>
      </w:r>
    </w:p>
    <w:p>
      <w:pPr>
        <w:pStyle w:val="BodyText"/>
        <w:rPr>
          <w:sz w:val="20"/>
        </w:rPr>
      </w:pPr>
    </w:p>
    <w:p>
      <w:pPr>
        <w:pStyle w:val="BodyText"/>
        <w:rPr>
          <w:sz w:val="20"/>
        </w:rPr>
      </w:pPr>
    </w:p>
    <w:p>
      <w:pPr>
        <w:pStyle w:val="BodyText"/>
        <w:spacing w:before="141"/>
        <w:rPr>
          <w:sz w:val="20"/>
        </w:rPr>
      </w:pPr>
      <w:r>
        <w:rPr/>
        <mc:AlternateContent>
          <mc:Choice Requires="wps">
            <w:drawing>
              <wp:anchor distT="0" distB="0" distL="0" distR="0" allowOverlap="1" layoutInCell="1" locked="0" behindDoc="1" simplePos="0" relativeHeight="487609856">
                <wp:simplePos x="0" y="0"/>
                <wp:positionH relativeFrom="page">
                  <wp:posOffset>914704</wp:posOffset>
                </wp:positionH>
                <wp:positionV relativeFrom="paragraph">
                  <wp:posOffset>251302</wp:posOffset>
                </wp:positionV>
                <wp:extent cx="1829435" cy="9525"/>
                <wp:effectExtent l="0" t="0" r="0" b="0"/>
                <wp:wrapTopAndBottom/>
                <wp:docPr id="48" name="Graphic 48"/>
                <wp:cNvGraphicFramePr>
                  <a:graphicFrameLocks/>
                </wp:cNvGraphicFramePr>
                <a:graphic>
                  <a:graphicData uri="http://schemas.microsoft.com/office/word/2010/wordprocessingShape">
                    <wps:wsp>
                      <wps:cNvPr id="48" name="Graphic 48"/>
                      <wps:cNvSpPr/>
                      <wps:spPr>
                        <a:xfrm>
                          <a:off x="0" y="0"/>
                          <a:ext cx="1829435" cy="9525"/>
                        </a:xfrm>
                        <a:custGeom>
                          <a:avLst/>
                          <a:gdLst/>
                          <a:ahLst/>
                          <a:cxnLst/>
                          <a:rect l="l" t="t" r="r" b="b"/>
                          <a:pathLst>
                            <a:path w="1829435" h="9525">
                              <a:moveTo>
                                <a:pt x="1829054" y="0"/>
                              </a:moveTo>
                              <a:lnTo>
                                <a:pt x="0" y="0"/>
                              </a:lnTo>
                              <a:lnTo>
                                <a:pt x="0" y="9144"/>
                              </a:lnTo>
                              <a:lnTo>
                                <a:pt x="1829054" y="9144"/>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19.787626pt;width:144.020pt;height:.72003pt;mso-position-horizontal-relative:page;mso-position-vertical-relative:paragraph;z-index:-15706624;mso-wrap-distance-left:0;mso-wrap-distance-right:0" id="docshape48" filled="true" fillcolor="#000000" stroked="false">
                <v:fill type="solid"/>
                <w10:wrap type="topAndBottom"/>
              </v:rect>
            </w:pict>
          </mc:Fallback>
        </mc:AlternateContent>
      </w:r>
    </w:p>
    <w:p>
      <w:pPr>
        <w:spacing w:before="102"/>
        <w:ind w:left="360" w:right="0" w:firstLine="0"/>
        <w:jc w:val="left"/>
        <w:rPr>
          <w:rFonts w:ascii="Calibri"/>
          <w:sz w:val="20"/>
        </w:rPr>
      </w:pPr>
      <w:r>
        <w:rPr>
          <w:rFonts w:ascii="Calibri"/>
          <w:sz w:val="20"/>
          <w:vertAlign w:val="superscript"/>
        </w:rPr>
        <w:t>43</w:t>
      </w:r>
      <w:r>
        <w:rPr>
          <w:rFonts w:ascii="Calibri"/>
          <w:sz w:val="20"/>
          <w:vertAlign w:val="baseline"/>
        </w:rPr>
        <w:t>See</w:t>
      </w:r>
      <w:r>
        <w:rPr>
          <w:rFonts w:ascii="Calibri"/>
          <w:spacing w:val="-7"/>
          <w:sz w:val="20"/>
          <w:vertAlign w:val="baseline"/>
        </w:rPr>
        <w:t> </w:t>
      </w:r>
      <w:r>
        <w:rPr>
          <w:rFonts w:ascii="Calibri"/>
          <w:sz w:val="20"/>
          <w:vertAlign w:val="baseline"/>
        </w:rPr>
        <w:t>Shell</w:t>
      </w:r>
      <w:r>
        <w:rPr>
          <w:rFonts w:ascii="Calibri"/>
          <w:spacing w:val="-7"/>
          <w:sz w:val="20"/>
          <w:vertAlign w:val="baseline"/>
        </w:rPr>
        <w:t> </w:t>
      </w:r>
      <w:r>
        <w:rPr>
          <w:rFonts w:ascii="Calibri"/>
          <w:sz w:val="20"/>
          <w:vertAlign w:val="baseline"/>
        </w:rPr>
        <w:t>Petroleum</w:t>
      </w:r>
      <w:r>
        <w:rPr>
          <w:rFonts w:ascii="Calibri"/>
          <w:spacing w:val="-7"/>
          <w:sz w:val="20"/>
          <w:vertAlign w:val="baseline"/>
        </w:rPr>
        <w:t> </w:t>
      </w:r>
      <w:r>
        <w:rPr>
          <w:rFonts w:ascii="Calibri"/>
          <w:sz w:val="20"/>
          <w:vertAlign w:val="baseline"/>
        </w:rPr>
        <w:t>Development</w:t>
      </w:r>
      <w:r>
        <w:rPr>
          <w:rFonts w:ascii="Calibri"/>
          <w:spacing w:val="-6"/>
          <w:sz w:val="20"/>
          <w:vertAlign w:val="baseline"/>
        </w:rPr>
        <w:t> </w:t>
      </w:r>
      <w:r>
        <w:rPr>
          <w:rFonts w:ascii="Calibri"/>
          <w:sz w:val="20"/>
          <w:vertAlign w:val="baseline"/>
        </w:rPr>
        <w:t>Company</w:t>
      </w:r>
      <w:r>
        <w:rPr>
          <w:rFonts w:ascii="Calibri"/>
          <w:spacing w:val="-6"/>
          <w:sz w:val="20"/>
          <w:vertAlign w:val="baseline"/>
        </w:rPr>
        <w:t> </w:t>
      </w:r>
      <w:r>
        <w:rPr>
          <w:rFonts w:ascii="Calibri"/>
          <w:sz w:val="20"/>
          <w:vertAlign w:val="baseline"/>
        </w:rPr>
        <w:t>(Nig.)</w:t>
      </w:r>
      <w:r>
        <w:rPr>
          <w:rFonts w:ascii="Calibri"/>
          <w:spacing w:val="-7"/>
          <w:sz w:val="20"/>
          <w:vertAlign w:val="baseline"/>
        </w:rPr>
        <w:t> </w:t>
      </w:r>
      <w:r>
        <w:rPr>
          <w:rFonts w:ascii="Calibri"/>
          <w:sz w:val="20"/>
          <w:vertAlign w:val="baseline"/>
        </w:rPr>
        <w:t>Ltd</w:t>
      </w:r>
      <w:r>
        <w:rPr>
          <w:rFonts w:ascii="Calibri"/>
          <w:spacing w:val="-6"/>
          <w:sz w:val="20"/>
          <w:vertAlign w:val="baseline"/>
        </w:rPr>
        <w:t> </w:t>
      </w:r>
      <w:r>
        <w:rPr>
          <w:rFonts w:ascii="Calibri"/>
          <w:sz w:val="20"/>
          <w:vertAlign w:val="baseline"/>
        </w:rPr>
        <w:t>v.</w:t>
      </w:r>
      <w:r>
        <w:rPr>
          <w:rFonts w:ascii="Calibri"/>
          <w:spacing w:val="-6"/>
          <w:sz w:val="20"/>
          <w:vertAlign w:val="baseline"/>
        </w:rPr>
        <w:t> </w:t>
      </w:r>
      <w:r>
        <w:rPr>
          <w:rFonts w:ascii="Calibri"/>
          <w:sz w:val="20"/>
          <w:vertAlign w:val="baseline"/>
        </w:rPr>
        <w:t>Federal</w:t>
      </w:r>
      <w:r>
        <w:rPr>
          <w:rFonts w:ascii="Calibri"/>
          <w:spacing w:val="-7"/>
          <w:sz w:val="20"/>
          <w:vertAlign w:val="baseline"/>
        </w:rPr>
        <w:t> </w:t>
      </w:r>
      <w:r>
        <w:rPr>
          <w:rFonts w:ascii="Calibri"/>
          <w:sz w:val="20"/>
          <w:vertAlign w:val="baseline"/>
        </w:rPr>
        <w:t>Board</w:t>
      </w:r>
      <w:r>
        <w:rPr>
          <w:rFonts w:ascii="Calibri"/>
          <w:spacing w:val="-6"/>
          <w:sz w:val="20"/>
          <w:vertAlign w:val="baseline"/>
        </w:rPr>
        <w:t> </w:t>
      </w:r>
      <w:r>
        <w:rPr>
          <w:rFonts w:ascii="Calibri"/>
          <w:sz w:val="20"/>
          <w:vertAlign w:val="baseline"/>
        </w:rPr>
        <w:t>of</w:t>
      </w:r>
      <w:r>
        <w:rPr>
          <w:rFonts w:ascii="Calibri"/>
          <w:spacing w:val="-8"/>
          <w:sz w:val="20"/>
          <w:vertAlign w:val="baseline"/>
        </w:rPr>
        <w:t> </w:t>
      </w:r>
      <w:r>
        <w:rPr>
          <w:rFonts w:ascii="Calibri"/>
          <w:sz w:val="20"/>
          <w:vertAlign w:val="baseline"/>
        </w:rPr>
        <w:t>Inland</w:t>
      </w:r>
      <w:r>
        <w:rPr>
          <w:rFonts w:ascii="Calibri"/>
          <w:spacing w:val="-6"/>
          <w:sz w:val="20"/>
          <w:vertAlign w:val="baseline"/>
        </w:rPr>
        <w:t> </w:t>
      </w:r>
      <w:r>
        <w:rPr>
          <w:rFonts w:ascii="Calibri"/>
          <w:spacing w:val="-2"/>
          <w:sz w:val="20"/>
          <w:vertAlign w:val="baseline"/>
        </w:rPr>
        <w:t>Revenue</w:t>
      </w:r>
    </w:p>
    <w:p>
      <w:pPr>
        <w:spacing w:line="243" w:lineRule="exact" w:before="1"/>
        <w:ind w:left="360" w:right="0" w:firstLine="0"/>
        <w:jc w:val="left"/>
        <w:rPr>
          <w:rFonts w:ascii="Calibri"/>
          <w:sz w:val="20"/>
        </w:rPr>
      </w:pPr>
      <w:r>
        <w:rPr>
          <w:rFonts w:ascii="Calibri"/>
          <w:spacing w:val="-2"/>
          <w:sz w:val="20"/>
          <w:vertAlign w:val="superscript"/>
        </w:rPr>
        <w:t>44</w:t>
      </w:r>
      <w:r>
        <w:rPr>
          <w:rFonts w:ascii="Calibri"/>
          <w:spacing w:val="-2"/>
          <w:sz w:val="20"/>
          <w:vertAlign w:val="baseline"/>
        </w:rPr>
        <w:t>Supra</w:t>
      </w:r>
    </w:p>
    <w:p>
      <w:pPr>
        <w:spacing w:before="0"/>
        <w:ind w:left="360" w:right="0" w:firstLine="0"/>
        <w:jc w:val="left"/>
        <w:rPr>
          <w:rFonts w:ascii="Calibri" w:hAnsi="Calibri"/>
          <w:i/>
          <w:sz w:val="20"/>
        </w:rPr>
      </w:pPr>
      <w:r>
        <w:rPr>
          <w:rFonts w:ascii="Calibri" w:hAnsi="Calibri"/>
          <w:sz w:val="20"/>
          <w:vertAlign w:val="superscript"/>
        </w:rPr>
        <w:t>45</w:t>
      </w:r>
      <w:r>
        <w:rPr>
          <w:rFonts w:ascii="Calibri" w:hAnsi="Calibri"/>
          <w:sz w:val="20"/>
          <w:vertAlign w:val="baseline"/>
        </w:rPr>
        <w:t>It</w:t>
      </w:r>
      <w:r>
        <w:rPr>
          <w:rFonts w:ascii="Calibri" w:hAnsi="Calibri"/>
          <w:spacing w:val="-3"/>
          <w:sz w:val="20"/>
          <w:vertAlign w:val="baseline"/>
        </w:rPr>
        <w:t> </w:t>
      </w:r>
      <w:r>
        <w:rPr>
          <w:rFonts w:ascii="Calibri" w:hAnsi="Calibri"/>
          <w:sz w:val="20"/>
          <w:vertAlign w:val="baseline"/>
        </w:rPr>
        <w:t>was</w:t>
      </w:r>
      <w:r>
        <w:rPr>
          <w:rFonts w:ascii="Calibri" w:hAnsi="Calibri"/>
          <w:spacing w:val="-5"/>
          <w:sz w:val="20"/>
          <w:vertAlign w:val="baseline"/>
        </w:rPr>
        <w:t> </w:t>
      </w:r>
      <w:r>
        <w:rPr>
          <w:rFonts w:ascii="Calibri" w:hAnsi="Calibri"/>
          <w:sz w:val="20"/>
          <w:vertAlign w:val="baseline"/>
        </w:rPr>
        <w:t>held</w:t>
      </w:r>
      <w:r>
        <w:rPr>
          <w:rFonts w:ascii="Calibri" w:hAnsi="Calibri"/>
          <w:spacing w:val="-3"/>
          <w:sz w:val="20"/>
          <w:vertAlign w:val="baseline"/>
        </w:rPr>
        <w:t> </w:t>
      </w:r>
      <w:r>
        <w:rPr>
          <w:rFonts w:ascii="Calibri" w:hAnsi="Calibri"/>
          <w:sz w:val="20"/>
          <w:vertAlign w:val="baseline"/>
        </w:rPr>
        <w:t>by</w:t>
      </w:r>
      <w:r>
        <w:rPr>
          <w:rFonts w:ascii="Calibri" w:hAnsi="Calibri"/>
          <w:spacing w:val="-3"/>
          <w:sz w:val="20"/>
          <w:vertAlign w:val="baseline"/>
        </w:rPr>
        <w:t> </w:t>
      </w:r>
      <w:r>
        <w:rPr>
          <w:rFonts w:ascii="Calibri" w:hAnsi="Calibri"/>
          <w:sz w:val="20"/>
          <w:vertAlign w:val="baseline"/>
        </w:rPr>
        <w:t>the</w:t>
      </w:r>
      <w:r>
        <w:rPr>
          <w:rFonts w:ascii="Calibri" w:hAnsi="Calibri"/>
          <w:spacing w:val="-4"/>
          <w:sz w:val="20"/>
          <w:vertAlign w:val="baseline"/>
        </w:rPr>
        <w:t> </w:t>
      </w:r>
      <w:r>
        <w:rPr>
          <w:rFonts w:ascii="Calibri" w:hAnsi="Calibri"/>
          <w:sz w:val="20"/>
          <w:vertAlign w:val="baseline"/>
        </w:rPr>
        <w:t>then</w:t>
      </w:r>
      <w:r>
        <w:rPr>
          <w:rFonts w:ascii="Calibri" w:hAnsi="Calibri"/>
          <w:spacing w:val="-3"/>
          <w:sz w:val="20"/>
          <w:vertAlign w:val="baseline"/>
        </w:rPr>
        <w:t> </w:t>
      </w:r>
      <w:r>
        <w:rPr>
          <w:rFonts w:ascii="Calibri" w:hAnsi="Calibri"/>
          <w:sz w:val="20"/>
          <w:vertAlign w:val="baseline"/>
        </w:rPr>
        <w:t>Federal</w:t>
      </w:r>
      <w:r>
        <w:rPr>
          <w:rFonts w:ascii="Calibri" w:hAnsi="Calibri"/>
          <w:spacing w:val="-3"/>
          <w:sz w:val="20"/>
          <w:vertAlign w:val="baseline"/>
        </w:rPr>
        <w:t> </w:t>
      </w:r>
      <w:r>
        <w:rPr>
          <w:rFonts w:ascii="Calibri" w:hAnsi="Calibri"/>
          <w:sz w:val="20"/>
          <w:vertAlign w:val="baseline"/>
        </w:rPr>
        <w:t>Revenue</w:t>
      </w:r>
      <w:r>
        <w:rPr>
          <w:rFonts w:ascii="Calibri" w:hAnsi="Calibri"/>
          <w:spacing w:val="-4"/>
          <w:sz w:val="20"/>
          <w:vertAlign w:val="baseline"/>
        </w:rPr>
        <w:t> </w:t>
      </w:r>
      <w:r>
        <w:rPr>
          <w:rFonts w:ascii="Calibri" w:hAnsi="Calibri"/>
          <w:sz w:val="20"/>
          <w:vertAlign w:val="baseline"/>
        </w:rPr>
        <w:t>Court</w:t>
      </w:r>
      <w:r>
        <w:rPr>
          <w:rFonts w:ascii="Calibri" w:hAnsi="Calibri"/>
          <w:spacing w:val="-3"/>
          <w:sz w:val="20"/>
          <w:vertAlign w:val="baseline"/>
        </w:rPr>
        <w:t> </w:t>
      </w:r>
      <w:r>
        <w:rPr>
          <w:rFonts w:ascii="Calibri" w:hAnsi="Calibri"/>
          <w:sz w:val="20"/>
          <w:vertAlign w:val="baseline"/>
        </w:rPr>
        <w:t>in</w:t>
      </w:r>
      <w:r>
        <w:rPr>
          <w:rFonts w:ascii="Calibri" w:hAnsi="Calibri"/>
          <w:spacing w:val="-3"/>
          <w:sz w:val="20"/>
          <w:vertAlign w:val="baseline"/>
        </w:rPr>
        <w:t> </w:t>
      </w:r>
      <w:r>
        <w:rPr>
          <w:rFonts w:ascii="Calibri" w:hAnsi="Calibri"/>
          <w:sz w:val="20"/>
          <w:vertAlign w:val="baseline"/>
        </w:rPr>
        <w:t>the</w:t>
      </w:r>
      <w:r>
        <w:rPr>
          <w:rFonts w:ascii="Calibri" w:hAnsi="Calibri"/>
          <w:spacing w:val="-4"/>
          <w:sz w:val="20"/>
          <w:vertAlign w:val="baseline"/>
        </w:rPr>
        <w:t> </w:t>
      </w:r>
      <w:r>
        <w:rPr>
          <w:rFonts w:ascii="Calibri" w:hAnsi="Calibri"/>
          <w:sz w:val="20"/>
          <w:vertAlign w:val="baseline"/>
        </w:rPr>
        <w:t>case</w:t>
      </w:r>
      <w:r>
        <w:rPr>
          <w:rFonts w:ascii="Calibri" w:hAnsi="Calibri"/>
          <w:spacing w:val="-4"/>
          <w:sz w:val="20"/>
          <w:vertAlign w:val="baseline"/>
        </w:rPr>
        <w:t> </w:t>
      </w:r>
      <w:r>
        <w:rPr>
          <w:rFonts w:ascii="Calibri" w:hAnsi="Calibri"/>
          <w:sz w:val="20"/>
          <w:vertAlign w:val="baseline"/>
        </w:rPr>
        <w:t>of </w:t>
      </w:r>
      <w:r>
        <w:rPr>
          <w:rFonts w:ascii="Calibri" w:hAnsi="Calibri"/>
          <w:i/>
          <w:sz w:val="20"/>
          <w:vertAlign w:val="baseline"/>
        </w:rPr>
        <w:t>Shell</w:t>
      </w:r>
      <w:r>
        <w:rPr>
          <w:rFonts w:ascii="Calibri" w:hAnsi="Calibri"/>
          <w:i/>
          <w:spacing w:val="-4"/>
          <w:sz w:val="20"/>
          <w:vertAlign w:val="baseline"/>
        </w:rPr>
        <w:t> </w:t>
      </w:r>
      <w:r>
        <w:rPr>
          <w:rFonts w:ascii="Calibri" w:hAnsi="Calibri"/>
          <w:i/>
          <w:sz w:val="20"/>
          <w:vertAlign w:val="baseline"/>
        </w:rPr>
        <w:t>B.P</w:t>
      </w:r>
      <w:r>
        <w:rPr>
          <w:rFonts w:ascii="Calibri" w:hAnsi="Calibri"/>
          <w:i/>
          <w:spacing w:val="-3"/>
          <w:sz w:val="20"/>
          <w:vertAlign w:val="baseline"/>
        </w:rPr>
        <w:t> </w:t>
      </w:r>
      <w:r>
        <w:rPr>
          <w:rFonts w:ascii="Calibri" w:hAnsi="Calibri"/>
          <w:i/>
          <w:sz w:val="20"/>
          <w:vertAlign w:val="baseline"/>
        </w:rPr>
        <w:t>PetroleumDevelopment Company</w:t>
      </w:r>
      <w:r>
        <w:rPr>
          <w:rFonts w:ascii="Calibri" w:hAnsi="Calibri"/>
          <w:i/>
          <w:spacing w:val="-4"/>
          <w:sz w:val="20"/>
          <w:vertAlign w:val="baseline"/>
        </w:rPr>
        <w:t> </w:t>
      </w:r>
      <w:r>
        <w:rPr>
          <w:rFonts w:ascii="Calibri" w:hAnsi="Calibri"/>
          <w:i/>
          <w:sz w:val="20"/>
          <w:vertAlign w:val="baseline"/>
        </w:rPr>
        <w:t>v. Federal Board of Inland Revenue NOGC 1[1961–1995]</w:t>
      </w:r>
    </w:p>
    <w:p>
      <w:pPr>
        <w:spacing w:before="0"/>
        <w:ind w:left="360" w:right="158" w:firstLine="0"/>
        <w:jc w:val="left"/>
        <w:rPr>
          <w:rFonts w:ascii="Calibri" w:hAnsi="Calibri"/>
          <w:sz w:val="20"/>
        </w:rPr>
      </w:pPr>
      <w:r>
        <w:rPr>
          <w:rFonts w:ascii="Calibri" w:hAnsi="Calibri"/>
          <w:sz w:val="20"/>
          <w:vertAlign w:val="superscript"/>
        </w:rPr>
        <w:t>46</w:t>
      </w:r>
      <w:r>
        <w:rPr>
          <w:rFonts w:ascii="Calibri" w:hAnsi="Calibri"/>
          <w:sz w:val="20"/>
          <w:vertAlign w:val="baseline"/>
        </w:rPr>
        <w:t>In</w:t>
      </w:r>
      <w:r>
        <w:rPr>
          <w:rFonts w:ascii="Calibri" w:hAnsi="Calibri"/>
          <w:spacing w:val="-3"/>
          <w:sz w:val="20"/>
          <w:vertAlign w:val="baseline"/>
        </w:rPr>
        <w:t> </w:t>
      </w:r>
      <w:r>
        <w:rPr>
          <w:rFonts w:ascii="Calibri" w:hAnsi="Calibri"/>
          <w:sz w:val="20"/>
          <w:vertAlign w:val="baseline"/>
        </w:rPr>
        <w:t>relation</w:t>
      </w:r>
      <w:r>
        <w:rPr>
          <w:rFonts w:ascii="Calibri" w:hAnsi="Calibri"/>
          <w:spacing w:val="-3"/>
          <w:sz w:val="20"/>
          <w:vertAlign w:val="baseline"/>
        </w:rPr>
        <w:t> </w:t>
      </w:r>
      <w:r>
        <w:rPr>
          <w:rFonts w:ascii="Calibri" w:hAnsi="Calibri"/>
          <w:sz w:val="20"/>
          <w:vertAlign w:val="baseline"/>
        </w:rPr>
        <w:t>to</w:t>
      </w:r>
      <w:r>
        <w:rPr>
          <w:rFonts w:ascii="Calibri" w:hAnsi="Calibri"/>
          <w:spacing w:val="-3"/>
          <w:sz w:val="20"/>
          <w:vertAlign w:val="baseline"/>
        </w:rPr>
        <w:t> </w:t>
      </w:r>
      <w:r>
        <w:rPr>
          <w:rFonts w:ascii="Calibri" w:hAnsi="Calibri"/>
          <w:sz w:val="20"/>
          <w:vertAlign w:val="baseline"/>
        </w:rPr>
        <w:t>chargeable</w:t>
      </w:r>
      <w:r>
        <w:rPr>
          <w:rFonts w:ascii="Calibri" w:hAnsi="Calibri"/>
          <w:spacing w:val="-5"/>
          <w:sz w:val="20"/>
          <w:vertAlign w:val="baseline"/>
        </w:rPr>
        <w:t> </w:t>
      </w:r>
      <w:r>
        <w:rPr>
          <w:rFonts w:ascii="Calibri" w:hAnsi="Calibri"/>
          <w:sz w:val="20"/>
          <w:vertAlign w:val="baseline"/>
        </w:rPr>
        <w:t>oil</w:t>
      </w:r>
      <w:r>
        <w:rPr>
          <w:rFonts w:ascii="Calibri" w:hAnsi="Calibri"/>
          <w:spacing w:val="-4"/>
          <w:sz w:val="20"/>
          <w:vertAlign w:val="baseline"/>
        </w:rPr>
        <w:t> </w:t>
      </w:r>
      <w:r>
        <w:rPr>
          <w:rFonts w:ascii="Calibri" w:hAnsi="Calibri"/>
          <w:sz w:val="20"/>
          <w:vertAlign w:val="baseline"/>
        </w:rPr>
        <w:t>owned</w:t>
      </w:r>
      <w:r>
        <w:rPr>
          <w:rFonts w:ascii="Calibri" w:hAnsi="Calibri"/>
          <w:spacing w:val="-3"/>
          <w:sz w:val="20"/>
          <w:vertAlign w:val="baseline"/>
        </w:rPr>
        <w:t> </w:t>
      </w:r>
      <w:r>
        <w:rPr>
          <w:rFonts w:ascii="Calibri" w:hAnsi="Calibri"/>
          <w:sz w:val="20"/>
          <w:vertAlign w:val="baseline"/>
        </w:rPr>
        <w:t>by</w:t>
      </w:r>
      <w:r>
        <w:rPr>
          <w:rFonts w:ascii="Calibri" w:hAnsi="Calibri"/>
          <w:spacing w:val="-3"/>
          <w:sz w:val="20"/>
          <w:vertAlign w:val="baseline"/>
        </w:rPr>
        <w:t> </w:t>
      </w:r>
      <w:r>
        <w:rPr>
          <w:rFonts w:ascii="Calibri" w:hAnsi="Calibri"/>
          <w:sz w:val="20"/>
          <w:vertAlign w:val="baseline"/>
        </w:rPr>
        <w:t>a</w:t>
      </w:r>
      <w:r>
        <w:rPr>
          <w:rFonts w:ascii="Calibri" w:hAnsi="Calibri"/>
          <w:spacing w:val="-3"/>
          <w:sz w:val="20"/>
          <w:vertAlign w:val="baseline"/>
        </w:rPr>
        <w:t> </w:t>
      </w:r>
      <w:r>
        <w:rPr>
          <w:rFonts w:ascii="Calibri" w:hAnsi="Calibri"/>
          <w:sz w:val="20"/>
          <w:vertAlign w:val="baseline"/>
        </w:rPr>
        <w:t>company,</w:t>
      </w:r>
      <w:r>
        <w:rPr>
          <w:rFonts w:ascii="Calibri" w:hAnsi="Calibri"/>
          <w:spacing w:val="-3"/>
          <w:sz w:val="20"/>
          <w:vertAlign w:val="baseline"/>
        </w:rPr>
        <w:t> </w:t>
      </w:r>
      <w:r>
        <w:rPr>
          <w:rFonts w:ascii="Calibri" w:hAnsi="Calibri"/>
          <w:sz w:val="20"/>
          <w:vertAlign w:val="baseline"/>
        </w:rPr>
        <w:t>‘disposed</w:t>
      </w:r>
      <w:r>
        <w:rPr>
          <w:rFonts w:ascii="Calibri" w:hAnsi="Calibri"/>
          <w:spacing w:val="-3"/>
          <w:sz w:val="20"/>
          <w:vertAlign w:val="baseline"/>
        </w:rPr>
        <w:t> </w:t>
      </w:r>
      <w:r>
        <w:rPr>
          <w:rFonts w:ascii="Calibri" w:hAnsi="Calibri"/>
          <w:sz w:val="20"/>
          <w:vertAlign w:val="baseline"/>
        </w:rPr>
        <w:t>of’</w:t>
      </w:r>
      <w:r>
        <w:rPr>
          <w:rFonts w:ascii="Calibri" w:hAnsi="Calibri"/>
          <w:spacing w:val="-3"/>
          <w:sz w:val="20"/>
          <w:vertAlign w:val="baseline"/>
        </w:rPr>
        <w:t> </w:t>
      </w:r>
      <w:r>
        <w:rPr>
          <w:rFonts w:ascii="Calibri" w:hAnsi="Calibri"/>
          <w:sz w:val="20"/>
          <w:vertAlign w:val="baseline"/>
        </w:rPr>
        <w:t>connotes</w:t>
      </w:r>
      <w:r>
        <w:rPr>
          <w:rFonts w:ascii="Calibri" w:hAnsi="Calibri"/>
          <w:spacing w:val="-5"/>
          <w:sz w:val="20"/>
          <w:vertAlign w:val="baseline"/>
        </w:rPr>
        <w:t> </w:t>
      </w:r>
      <w:r>
        <w:rPr>
          <w:rFonts w:ascii="Calibri" w:hAnsi="Calibri"/>
          <w:sz w:val="20"/>
          <w:vertAlign w:val="baseline"/>
        </w:rPr>
        <w:t>delivery,without</w:t>
      </w:r>
      <w:r>
        <w:rPr>
          <w:rFonts w:ascii="Calibri" w:hAnsi="Calibri"/>
          <w:spacing w:val="-3"/>
          <w:sz w:val="20"/>
          <w:vertAlign w:val="baseline"/>
        </w:rPr>
        <w:t> </w:t>
      </w:r>
      <w:r>
        <w:rPr>
          <w:rFonts w:ascii="Calibri" w:hAnsi="Calibri"/>
          <w:sz w:val="20"/>
          <w:vertAlign w:val="baseline"/>
        </w:rPr>
        <w:t>sale,</w:t>
      </w:r>
      <w:r>
        <w:rPr>
          <w:rFonts w:ascii="Calibri" w:hAnsi="Calibri"/>
          <w:spacing w:val="-3"/>
          <w:sz w:val="20"/>
          <w:vertAlign w:val="baseline"/>
        </w:rPr>
        <w:t> </w:t>
      </w:r>
      <w:r>
        <w:rPr>
          <w:rFonts w:ascii="Calibri" w:hAnsi="Calibri"/>
          <w:sz w:val="20"/>
          <w:vertAlign w:val="baseline"/>
        </w:rPr>
        <w:t>of</w:t>
      </w:r>
      <w:r>
        <w:rPr>
          <w:rFonts w:ascii="Calibri" w:hAnsi="Calibri"/>
          <w:spacing w:val="-5"/>
          <w:sz w:val="20"/>
          <w:vertAlign w:val="baseline"/>
        </w:rPr>
        <w:t> </w:t>
      </w:r>
      <w:r>
        <w:rPr>
          <w:rFonts w:ascii="Calibri" w:hAnsi="Calibri"/>
          <w:sz w:val="20"/>
          <w:vertAlign w:val="baseline"/>
        </w:rPr>
        <w:t>chargeable oil to a refinery or to an adjacent tank for refining by thecompany. See Advance Taxation, ICAN Study Park of the debt which is proved to have become doubtful during that accounting period.</w:t>
      </w:r>
    </w:p>
    <w:p>
      <w:pPr>
        <w:spacing w:line="244" w:lineRule="exact" w:before="0"/>
        <w:ind w:left="360" w:right="0" w:firstLine="0"/>
        <w:jc w:val="left"/>
        <w:rPr>
          <w:rFonts w:ascii="Calibri"/>
          <w:sz w:val="20"/>
        </w:rPr>
      </w:pPr>
      <w:r>
        <w:rPr>
          <w:rFonts w:ascii="Calibri"/>
          <w:sz w:val="20"/>
          <w:vertAlign w:val="superscript"/>
        </w:rPr>
        <w:t>47</w:t>
      </w:r>
      <w:r>
        <w:rPr>
          <w:rFonts w:ascii="Calibri"/>
          <w:sz w:val="20"/>
          <w:vertAlign w:val="baseline"/>
        </w:rPr>
        <w:t>Section</w:t>
      </w:r>
      <w:r>
        <w:rPr>
          <w:rFonts w:ascii="Calibri"/>
          <w:spacing w:val="-7"/>
          <w:sz w:val="20"/>
          <w:vertAlign w:val="baseline"/>
        </w:rPr>
        <w:t> </w:t>
      </w:r>
      <w:r>
        <w:rPr>
          <w:rFonts w:ascii="Calibri"/>
          <w:sz w:val="20"/>
          <w:vertAlign w:val="baseline"/>
        </w:rPr>
        <w:t>9(1)</w:t>
      </w:r>
      <w:r>
        <w:rPr>
          <w:rFonts w:ascii="Calibri"/>
          <w:spacing w:val="-7"/>
          <w:sz w:val="20"/>
          <w:vertAlign w:val="baseline"/>
        </w:rPr>
        <w:t> </w:t>
      </w:r>
      <w:r>
        <w:rPr>
          <w:rFonts w:ascii="Calibri"/>
          <w:sz w:val="20"/>
          <w:vertAlign w:val="baseline"/>
        </w:rPr>
        <w:t>of</w:t>
      </w:r>
      <w:r>
        <w:rPr>
          <w:rFonts w:ascii="Calibri"/>
          <w:spacing w:val="-8"/>
          <w:sz w:val="20"/>
          <w:vertAlign w:val="baseline"/>
        </w:rPr>
        <w:t> </w:t>
      </w:r>
      <w:r>
        <w:rPr>
          <w:rFonts w:ascii="Calibri"/>
          <w:sz w:val="20"/>
          <w:vertAlign w:val="baseline"/>
        </w:rPr>
        <w:t>the</w:t>
      </w:r>
      <w:r>
        <w:rPr>
          <w:rFonts w:ascii="Calibri"/>
          <w:spacing w:val="-7"/>
          <w:sz w:val="20"/>
          <w:vertAlign w:val="baseline"/>
        </w:rPr>
        <w:t> </w:t>
      </w:r>
      <w:r>
        <w:rPr>
          <w:rFonts w:ascii="Calibri"/>
          <w:sz w:val="20"/>
          <w:vertAlign w:val="baseline"/>
        </w:rPr>
        <w:t>Petroleum</w:t>
      </w:r>
      <w:r>
        <w:rPr>
          <w:rFonts w:ascii="Calibri"/>
          <w:spacing w:val="-5"/>
          <w:sz w:val="20"/>
          <w:vertAlign w:val="baseline"/>
        </w:rPr>
        <w:t> </w:t>
      </w:r>
      <w:r>
        <w:rPr>
          <w:rFonts w:ascii="Calibri"/>
          <w:sz w:val="20"/>
          <w:vertAlign w:val="baseline"/>
        </w:rPr>
        <w:t>Profit</w:t>
      </w:r>
      <w:r>
        <w:rPr>
          <w:rFonts w:ascii="Calibri"/>
          <w:spacing w:val="-6"/>
          <w:sz w:val="20"/>
          <w:vertAlign w:val="baseline"/>
        </w:rPr>
        <w:t> </w:t>
      </w:r>
      <w:r>
        <w:rPr>
          <w:rFonts w:ascii="Calibri"/>
          <w:sz w:val="20"/>
          <w:vertAlign w:val="baseline"/>
        </w:rPr>
        <w:t>Tax</w:t>
      </w:r>
      <w:r>
        <w:rPr>
          <w:rFonts w:ascii="Calibri"/>
          <w:spacing w:val="-6"/>
          <w:sz w:val="20"/>
          <w:vertAlign w:val="baseline"/>
        </w:rPr>
        <w:t> </w:t>
      </w:r>
      <w:r>
        <w:rPr>
          <w:rFonts w:ascii="Calibri"/>
          <w:spacing w:val="-4"/>
          <w:sz w:val="20"/>
          <w:vertAlign w:val="baseline"/>
        </w:rPr>
        <w:t>Act.</w:t>
      </w:r>
    </w:p>
    <w:p>
      <w:pPr>
        <w:spacing w:after="0" w:line="244" w:lineRule="exact"/>
        <w:jc w:val="left"/>
        <w:rPr>
          <w:rFonts w:ascii="Calibri"/>
          <w:sz w:val="20"/>
        </w:rPr>
        <w:sectPr>
          <w:type w:val="continuous"/>
          <w:pgSz w:w="11910" w:h="16840"/>
          <w:pgMar w:header="0" w:footer="1000" w:top="1340" w:bottom="1200" w:left="1080" w:right="1280"/>
        </w:sectPr>
      </w:pPr>
    </w:p>
    <w:p>
      <w:pPr>
        <w:pStyle w:val="BodyText"/>
        <w:spacing w:line="480" w:lineRule="auto" w:before="74"/>
        <w:ind w:left="360" w:right="167"/>
        <w:jc w:val="both"/>
      </w:pPr>
      <w:r>
        <w:rPr/>
        <w:t>deducted as well as any</w:t>
      </w:r>
      <w:r>
        <w:rPr>
          <w:spacing w:val="-3"/>
        </w:rPr>
        <w:t> </w:t>
      </w:r>
      <w:r>
        <w:rPr/>
        <w:t>cost incurred by</w:t>
      </w:r>
      <w:r>
        <w:rPr>
          <w:spacing w:val="-3"/>
        </w:rPr>
        <w:t> </w:t>
      </w:r>
      <w:r>
        <w:rPr/>
        <w:t>the company</w:t>
      </w:r>
      <w:r>
        <w:rPr>
          <w:spacing w:val="-3"/>
        </w:rPr>
        <w:t> </w:t>
      </w:r>
      <w:r>
        <w:rPr/>
        <w:t>in transportation and storage of that oil between the field of production and the place of its disposal.</w:t>
      </w:r>
    </w:p>
    <w:p>
      <w:pPr>
        <w:pStyle w:val="Heading3"/>
        <w:numPr>
          <w:ilvl w:val="2"/>
          <w:numId w:val="8"/>
        </w:numPr>
        <w:tabs>
          <w:tab w:pos="1079" w:val="left" w:leader="none"/>
        </w:tabs>
        <w:spacing w:line="240" w:lineRule="auto" w:before="5" w:after="0"/>
        <w:ind w:left="1079" w:right="0" w:hanging="719"/>
        <w:jc w:val="both"/>
      </w:pPr>
      <w:r>
        <w:rPr/>
        <w:t>Adjusted</w:t>
      </w:r>
      <w:r>
        <w:rPr>
          <w:spacing w:val="1"/>
        </w:rPr>
        <w:t> </w:t>
      </w:r>
      <w:r>
        <w:rPr>
          <w:spacing w:val="-2"/>
        </w:rPr>
        <w:t>Profit</w:t>
      </w:r>
    </w:p>
    <w:p>
      <w:pPr>
        <w:pStyle w:val="BodyText"/>
        <w:spacing w:line="480" w:lineRule="auto" w:before="271"/>
        <w:ind w:left="360" w:right="153" w:firstLine="719"/>
        <w:jc w:val="both"/>
      </w:pPr>
      <w:r>
        <w:rPr/>
        <w:t>The adjusted profit of a company in any accounting year means the profit for that period after the deductions of allowable expenses as contained in section 10(1)</w:t>
      </w:r>
      <w:r>
        <w:rPr>
          <w:vertAlign w:val="superscript"/>
        </w:rPr>
        <w:t>48</w:t>
      </w:r>
      <w:r>
        <w:rPr>
          <w:vertAlign w:val="baseline"/>
        </w:rPr>
        <w:t>. The nature of petroleum operations necessarily require that certain expenses will have to be incurred for the business that could not be tied directly</w:t>
      </w:r>
      <w:r>
        <w:rPr>
          <w:spacing w:val="-5"/>
          <w:vertAlign w:val="baseline"/>
        </w:rPr>
        <w:t> </w:t>
      </w:r>
      <w:r>
        <w:rPr>
          <w:vertAlign w:val="baseline"/>
        </w:rPr>
        <w:t>to the income produced. It is clear that such would have been incurred for the petroleum operations but have not produced income/profits. Consequently, section 10(1) of the Act allows a company engaged in petroleum operations to make some deductions before calculating its profit payable by it. These are regarded as allowable expenses, and they include.</w:t>
      </w:r>
    </w:p>
    <w:p>
      <w:pPr>
        <w:pStyle w:val="ListParagraph"/>
        <w:numPr>
          <w:ilvl w:val="3"/>
          <w:numId w:val="8"/>
        </w:numPr>
        <w:tabs>
          <w:tab w:pos="1799" w:val="left" w:leader="none"/>
        </w:tabs>
        <w:spacing w:line="240" w:lineRule="auto" w:before="1" w:after="0"/>
        <w:ind w:left="1799" w:right="0" w:hanging="359"/>
        <w:jc w:val="both"/>
        <w:rPr>
          <w:sz w:val="24"/>
        </w:rPr>
      </w:pPr>
      <w:r>
        <w:rPr>
          <w:sz w:val="24"/>
        </w:rPr>
        <w:t>Rent</w:t>
      </w:r>
      <w:r>
        <w:rPr>
          <w:spacing w:val="-1"/>
          <w:sz w:val="24"/>
        </w:rPr>
        <w:t> </w:t>
      </w:r>
      <w:r>
        <w:rPr>
          <w:sz w:val="24"/>
        </w:rPr>
        <w:t>incurred by</w:t>
      </w:r>
      <w:r>
        <w:rPr>
          <w:spacing w:val="-5"/>
          <w:sz w:val="24"/>
        </w:rPr>
        <w:t> </w:t>
      </w:r>
      <w:r>
        <w:rPr>
          <w:sz w:val="24"/>
        </w:rPr>
        <w:t>the</w:t>
      </w:r>
      <w:r>
        <w:rPr>
          <w:spacing w:val="1"/>
          <w:sz w:val="24"/>
        </w:rPr>
        <w:t> </w:t>
      </w:r>
      <w:r>
        <w:rPr>
          <w:spacing w:val="-2"/>
          <w:sz w:val="24"/>
        </w:rPr>
        <w:t>company;</w:t>
      </w:r>
    </w:p>
    <w:p>
      <w:pPr>
        <w:pStyle w:val="BodyText"/>
      </w:pPr>
    </w:p>
    <w:p>
      <w:pPr>
        <w:pStyle w:val="ListParagraph"/>
        <w:numPr>
          <w:ilvl w:val="3"/>
          <w:numId w:val="8"/>
        </w:numPr>
        <w:tabs>
          <w:tab w:pos="1800" w:val="left" w:leader="none"/>
        </w:tabs>
        <w:spacing w:line="480" w:lineRule="auto" w:before="0" w:after="0"/>
        <w:ind w:left="1800" w:right="160" w:hanging="360"/>
        <w:jc w:val="left"/>
        <w:rPr>
          <w:sz w:val="24"/>
        </w:rPr>
      </w:pPr>
      <w:r>
        <w:rPr>
          <w:sz w:val="24"/>
        </w:rPr>
        <w:t>All non-productive rents, the liability of which was incurred by the company during that period;</w:t>
      </w:r>
    </w:p>
    <w:p>
      <w:pPr>
        <w:pStyle w:val="ListParagraph"/>
        <w:numPr>
          <w:ilvl w:val="3"/>
          <w:numId w:val="8"/>
        </w:numPr>
        <w:tabs>
          <w:tab w:pos="1799" w:val="left" w:leader="none"/>
        </w:tabs>
        <w:spacing w:line="240" w:lineRule="auto" w:before="0" w:after="0"/>
        <w:ind w:left="1799" w:right="0" w:hanging="359"/>
        <w:jc w:val="both"/>
        <w:rPr>
          <w:sz w:val="24"/>
        </w:rPr>
      </w:pPr>
      <w:r>
        <w:rPr>
          <w:sz w:val="24"/>
        </w:rPr>
        <w:t>All</w:t>
      </w:r>
      <w:r>
        <w:rPr>
          <w:spacing w:val="-2"/>
          <w:sz w:val="24"/>
        </w:rPr>
        <w:t> royalties;</w:t>
      </w:r>
    </w:p>
    <w:p>
      <w:pPr>
        <w:pStyle w:val="BodyText"/>
      </w:pPr>
    </w:p>
    <w:p>
      <w:pPr>
        <w:pStyle w:val="ListParagraph"/>
        <w:numPr>
          <w:ilvl w:val="3"/>
          <w:numId w:val="8"/>
        </w:numPr>
        <w:tabs>
          <w:tab w:pos="1800" w:val="left" w:leader="none"/>
        </w:tabs>
        <w:spacing w:line="240" w:lineRule="auto" w:before="0" w:after="0"/>
        <w:ind w:left="1800" w:right="0" w:hanging="360"/>
        <w:jc w:val="left"/>
        <w:rPr>
          <w:sz w:val="24"/>
        </w:rPr>
      </w:pPr>
      <w:r>
        <w:rPr>
          <w:sz w:val="24"/>
        </w:rPr>
        <w:t>Sums</w:t>
      </w:r>
      <w:r>
        <w:rPr>
          <w:spacing w:val="-2"/>
          <w:sz w:val="24"/>
        </w:rPr>
        <w:t> </w:t>
      </w:r>
      <w:r>
        <w:rPr>
          <w:sz w:val="24"/>
        </w:rPr>
        <w:t>incurred</w:t>
      </w:r>
      <w:r>
        <w:rPr>
          <w:spacing w:val="1"/>
          <w:sz w:val="24"/>
        </w:rPr>
        <w:t> </w:t>
      </w:r>
      <w:r>
        <w:rPr>
          <w:sz w:val="24"/>
        </w:rPr>
        <w:t>by</w:t>
      </w:r>
      <w:r>
        <w:rPr>
          <w:spacing w:val="-5"/>
          <w:sz w:val="24"/>
        </w:rPr>
        <w:t> </w:t>
      </w:r>
      <w:r>
        <w:rPr>
          <w:sz w:val="24"/>
        </w:rPr>
        <w:t>way</w:t>
      </w:r>
      <w:r>
        <w:rPr>
          <w:spacing w:val="-4"/>
          <w:sz w:val="24"/>
        </w:rPr>
        <w:t> </w:t>
      </w:r>
      <w:r>
        <w:rPr>
          <w:sz w:val="24"/>
        </w:rPr>
        <w:t>of</w:t>
      </w:r>
      <w:r>
        <w:rPr>
          <w:spacing w:val="1"/>
          <w:sz w:val="24"/>
        </w:rPr>
        <w:t> </w:t>
      </w:r>
      <w:r>
        <w:rPr>
          <w:sz w:val="24"/>
        </w:rPr>
        <w:t>interest</w:t>
      </w:r>
      <w:r>
        <w:rPr>
          <w:spacing w:val="1"/>
          <w:sz w:val="24"/>
        </w:rPr>
        <w:t> </w:t>
      </w:r>
      <w:r>
        <w:rPr>
          <w:sz w:val="24"/>
        </w:rPr>
        <w:t>up money</w:t>
      </w:r>
      <w:r>
        <w:rPr>
          <w:spacing w:val="-4"/>
          <w:sz w:val="24"/>
        </w:rPr>
        <w:t> </w:t>
      </w:r>
      <w:r>
        <w:rPr>
          <w:sz w:val="24"/>
        </w:rPr>
        <w:t>borrowed by</w:t>
      </w:r>
      <w:r>
        <w:rPr>
          <w:spacing w:val="-4"/>
          <w:sz w:val="24"/>
        </w:rPr>
        <w:t> </w:t>
      </w:r>
      <w:r>
        <w:rPr>
          <w:sz w:val="24"/>
        </w:rPr>
        <w:t>the</w:t>
      </w:r>
      <w:r>
        <w:rPr>
          <w:spacing w:val="1"/>
          <w:sz w:val="24"/>
        </w:rPr>
        <w:t> </w:t>
      </w:r>
      <w:r>
        <w:rPr>
          <w:spacing w:val="-2"/>
          <w:sz w:val="24"/>
        </w:rPr>
        <w:t>company;</w:t>
      </w:r>
    </w:p>
    <w:p>
      <w:pPr>
        <w:pStyle w:val="BodyText"/>
      </w:pPr>
    </w:p>
    <w:p>
      <w:pPr>
        <w:pStyle w:val="ListParagraph"/>
        <w:numPr>
          <w:ilvl w:val="3"/>
          <w:numId w:val="8"/>
        </w:numPr>
        <w:tabs>
          <w:tab w:pos="1799" w:val="left" w:leader="none"/>
        </w:tabs>
        <w:spacing w:line="240" w:lineRule="auto" w:before="0" w:after="0"/>
        <w:ind w:left="1799" w:right="0" w:hanging="359"/>
        <w:jc w:val="left"/>
        <w:rPr>
          <w:sz w:val="24"/>
        </w:rPr>
      </w:pPr>
      <w:r>
        <w:rPr>
          <w:sz w:val="24"/>
        </w:rPr>
        <w:t>Expenses</w:t>
      </w:r>
      <w:r>
        <w:rPr>
          <w:spacing w:val="-3"/>
          <w:sz w:val="24"/>
        </w:rPr>
        <w:t> </w:t>
      </w:r>
      <w:r>
        <w:rPr>
          <w:sz w:val="24"/>
        </w:rPr>
        <w:t>incurred for</w:t>
      </w:r>
      <w:r>
        <w:rPr>
          <w:spacing w:val="-1"/>
          <w:sz w:val="24"/>
        </w:rPr>
        <w:t> </w:t>
      </w:r>
      <w:r>
        <w:rPr>
          <w:sz w:val="24"/>
        </w:rPr>
        <w:t>repair of</w:t>
      </w:r>
      <w:r>
        <w:rPr>
          <w:spacing w:val="-1"/>
          <w:sz w:val="24"/>
        </w:rPr>
        <w:t> </w:t>
      </w:r>
      <w:r>
        <w:rPr>
          <w:sz w:val="24"/>
        </w:rPr>
        <w:t>premises,</w:t>
      </w:r>
      <w:r>
        <w:rPr>
          <w:spacing w:val="-1"/>
          <w:sz w:val="24"/>
        </w:rPr>
        <w:t> </w:t>
      </w:r>
      <w:r>
        <w:rPr>
          <w:sz w:val="24"/>
        </w:rPr>
        <w:t>plant, machinery</w:t>
      </w:r>
      <w:r>
        <w:rPr>
          <w:spacing w:val="-5"/>
          <w:sz w:val="24"/>
        </w:rPr>
        <w:t> </w:t>
      </w:r>
      <w:r>
        <w:rPr>
          <w:sz w:val="24"/>
        </w:rPr>
        <w:t>or </w:t>
      </w:r>
      <w:r>
        <w:rPr>
          <w:spacing w:val="-2"/>
          <w:sz w:val="24"/>
        </w:rPr>
        <w:t>fixtures;</w:t>
      </w:r>
    </w:p>
    <w:p>
      <w:pPr>
        <w:pStyle w:val="BodyText"/>
        <w:spacing w:before="1"/>
      </w:pPr>
    </w:p>
    <w:p>
      <w:pPr>
        <w:pStyle w:val="ListParagraph"/>
        <w:numPr>
          <w:ilvl w:val="3"/>
          <w:numId w:val="8"/>
        </w:numPr>
        <w:tabs>
          <w:tab w:pos="1800" w:val="left" w:leader="none"/>
        </w:tabs>
        <w:spacing w:line="480" w:lineRule="auto" w:before="0" w:after="0"/>
        <w:ind w:left="1800" w:right="163" w:hanging="360"/>
        <w:jc w:val="left"/>
        <w:rPr>
          <w:sz w:val="24"/>
        </w:rPr>
      </w:pPr>
      <w:r>
        <w:rPr>
          <w:sz w:val="24"/>
        </w:rPr>
        <w:t>Debts directly incurred by the company and proved to the satisfaction of the</w:t>
      </w:r>
      <w:r>
        <w:rPr>
          <w:spacing w:val="80"/>
          <w:sz w:val="24"/>
        </w:rPr>
        <w:t> </w:t>
      </w:r>
      <w:r>
        <w:rPr>
          <w:sz w:val="24"/>
        </w:rPr>
        <w:t>Board to have become bad or doubtful in the accounting period</w:t>
      </w:r>
      <w:r>
        <w:rPr>
          <w:sz w:val="24"/>
          <w:vertAlign w:val="superscript"/>
        </w:rPr>
        <w:t>49</w:t>
      </w:r>
    </w:p>
    <w:p>
      <w:pPr>
        <w:pStyle w:val="ListParagraph"/>
        <w:numPr>
          <w:ilvl w:val="3"/>
          <w:numId w:val="8"/>
        </w:numPr>
        <w:tabs>
          <w:tab w:pos="1800" w:val="left" w:leader="none"/>
        </w:tabs>
        <w:spacing w:line="480" w:lineRule="auto" w:before="0" w:after="0"/>
        <w:ind w:left="1800" w:right="163" w:hanging="360"/>
        <w:jc w:val="left"/>
        <w:rPr>
          <w:sz w:val="24"/>
        </w:rPr>
      </w:pPr>
      <w:r>
        <w:rPr>
          <w:sz w:val="24"/>
        </w:rPr>
        <w:t>Exploration</w:t>
      </w:r>
      <w:r>
        <w:rPr>
          <w:spacing w:val="32"/>
          <w:sz w:val="24"/>
        </w:rPr>
        <w:t> </w:t>
      </w:r>
      <w:r>
        <w:rPr>
          <w:sz w:val="24"/>
        </w:rPr>
        <w:t>and</w:t>
      </w:r>
      <w:r>
        <w:rPr>
          <w:spacing w:val="32"/>
          <w:sz w:val="24"/>
        </w:rPr>
        <w:t> </w:t>
      </w:r>
      <w:r>
        <w:rPr>
          <w:sz w:val="24"/>
        </w:rPr>
        <w:t>drilling</w:t>
      </w:r>
      <w:r>
        <w:rPr>
          <w:spacing w:val="30"/>
          <w:sz w:val="24"/>
        </w:rPr>
        <w:t> </w:t>
      </w:r>
      <w:r>
        <w:rPr>
          <w:sz w:val="24"/>
        </w:rPr>
        <w:t>costs,</w:t>
      </w:r>
      <w:r>
        <w:rPr>
          <w:spacing w:val="32"/>
          <w:sz w:val="24"/>
        </w:rPr>
        <w:t> </w:t>
      </w:r>
      <w:r>
        <w:rPr>
          <w:sz w:val="24"/>
        </w:rPr>
        <w:t>including</w:t>
      </w:r>
      <w:r>
        <w:rPr>
          <w:spacing w:val="33"/>
          <w:sz w:val="24"/>
        </w:rPr>
        <w:t> </w:t>
      </w:r>
      <w:r>
        <w:rPr>
          <w:sz w:val="24"/>
        </w:rPr>
        <w:t>costs</w:t>
      </w:r>
      <w:r>
        <w:rPr>
          <w:spacing w:val="33"/>
          <w:sz w:val="24"/>
        </w:rPr>
        <w:t> </w:t>
      </w:r>
      <w:r>
        <w:rPr>
          <w:sz w:val="24"/>
        </w:rPr>
        <w:t>relating</w:t>
      </w:r>
      <w:r>
        <w:rPr>
          <w:spacing w:val="30"/>
          <w:sz w:val="24"/>
        </w:rPr>
        <w:t> </w:t>
      </w:r>
      <w:r>
        <w:rPr>
          <w:sz w:val="24"/>
        </w:rPr>
        <w:t>to</w:t>
      </w:r>
      <w:r>
        <w:rPr>
          <w:spacing w:val="33"/>
          <w:sz w:val="24"/>
        </w:rPr>
        <w:t> </w:t>
      </w:r>
      <w:r>
        <w:rPr>
          <w:sz w:val="24"/>
        </w:rPr>
        <w:t>the</w:t>
      </w:r>
      <w:r>
        <w:rPr>
          <w:spacing w:val="34"/>
          <w:sz w:val="24"/>
        </w:rPr>
        <w:t> </w:t>
      </w:r>
      <w:r>
        <w:rPr>
          <w:sz w:val="24"/>
        </w:rPr>
        <w:t>drilling</w:t>
      </w:r>
      <w:r>
        <w:rPr>
          <w:spacing w:val="30"/>
          <w:sz w:val="24"/>
        </w:rPr>
        <w:t> </w:t>
      </w:r>
      <w:r>
        <w:rPr>
          <w:sz w:val="24"/>
        </w:rPr>
        <w:t>of</w:t>
      </w:r>
      <w:r>
        <w:rPr>
          <w:spacing w:val="34"/>
          <w:sz w:val="24"/>
        </w:rPr>
        <w:t> </w:t>
      </w:r>
      <w:r>
        <w:rPr>
          <w:sz w:val="24"/>
        </w:rPr>
        <w:t>the first two appraisal wells in a particular field;</w:t>
      </w:r>
    </w:p>
    <w:p>
      <w:pPr>
        <w:pStyle w:val="ListParagraph"/>
        <w:numPr>
          <w:ilvl w:val="3"/>
          <w:numId w:val="8"/>
        </w:numPr>
        <w:tabs>
          <w:tab w:pos="1800" w:val="left" w:leader="none"/>
        </w:tabs>
        <w:spacing w:line="480" w:lineRule="auto" w:before="0" w:after="0"/>
        <w:ind w:left="1800" w:right="158" w:hanging="360"/>
        <w:jc w:val="left"/>
        <w:rPr>
          <w:sz w:val="24"/>
        </w:rPr>
      </w:pPr>
      <w:r>
        <w:rPr>
          <w:sz w:val="24"/>
        </w:rPr>
        <w:t>All sum incurred by way of interest on any inter-company loans under terms</w:t>
      </w:r>
      <w:r>
        <w:rPr>
          <w:spacing w:val="40"/>
          <w:sz w:val="24"/>
        </w:rPr>
        <w:t> </w:t>
      </w:r>
      <w:r>
        <w:rPr>
          <w:sz w:val="24"/>
        </w:rPr>
        <w:t>prevailing in the open market;</w:t>
      </w:r>
    </w:p>
    <w:p>
      <w:pPr>
        <w:pStyle w:val="BodyText"/>
        <w:spacing w:before="167"/>
        <w:rPr>
          <w:sz w:val="20"/>
        </w:rPr>
      </w:pPr>
      <w:r>
        <w:rPr/>
        <mc:AlternateContent>
          <mc:Choice Requires="wps">
            <w:drawing>
              <wp:anchor distT="0" distB="0" distL="0" distR="0" allowOverlap="1" layoutInCell="1" locked="0" behindDoc="1" simplePos="0" relativeHeight="487610368">
                <wp:simplePos x="0" y="0"/>
                <wp:positionH relativeFrom="page">
                  <wp:posOffset>914704</wp:posOffset>
                </wp:positionH>
                <wp:positionV relativeFrom="paragraph">
                  <wp:posOffset>267877</wp:posOffset>
                </wp:positionV>
                <wp:extent cx="1829435" cy="9525"/>
                <wp:effectExtent l="0" t="0" r="0" b="0"/>
                <wp:wrapTopAndBottom/>
                <wp:docPr id="49" name="Graphic 49"/>
                <wp:cNvGraphicFramePr>
                  <a:graphicFrameLocks/>
                </wp:cNvGraphicFramePr>
                <a:graphic>
                  <a:graphicData uri="http://schemas.microsoft.com/office/word/2010/wordprocessingShape">
                    <wps:wsp>
                      <wps:cNvPr id="49" name="Graphic 49"/>
                      <wps:cNvSpPr/>
                      <wps:spPr>
                        <a:xfrm>
                          <a:off x="0" y="0"/>
                          <a:ext cx="1829435" cy="9525"/>
                        </a:xfrm>
                        <a:custGeom>
                          <a:avLst/>
                          <a:gdLst/>
                          <a:ahLst/>
                          <a:cxnLst/>
                          <a:rect l="l" t="t" r="r" b="b"/>
                          <a:pathLst>
                            <a:path w="1829435" h="9525">
                              <a:moveTo>
                                <a:pt x="1829054" y="0"/>
                              </a:moveTo>
                              <a:lnTo>
                                <a:pt x="0" y="0"/>
                              </a:lnTo>
                              <a:lnTo>
                                <a:pt x="0" y="9144"/>
                              </a:lnTo>
                              <a:lnTo>
                                <a:pt x="1829054" y="9144"/>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21.092705pt;width:144.020pt;height:.72003pt;mso-position-horizontal-relative:page;mso-position-vertical-relative:paragraph;z-index:-15706112;mso-wrap-distance-left:0;mso-wrap-distance-right:0" id="docshape49" filled="true" fillcolor="#000000" stroked="false">
                <v:fill type="solid"/>
                <w10:wrap type="topAndBottom"/>
              </v:rect>
            </w:pict>
          </mc:Fallback>
        </mc:AlternateContent>
      </w:r>
    </w:p>
    <w:p>
      <w:pPr>
        <w:spacing w:line="243" w:lineRule="exact" w:before="102"/>
        <w:ind w:left="360" w:right="0" w:firstLine="0"/>
        <w:jc w:val="left"/>
        <w:rPr>
          <w:rFonts w:ascii="Calibri"/>
          <w:sz w:val="20"/>
        </w:rPr>
      </w:pPr>
      <w:r>
        <w:rPr>
          <w:rFonts w:ascii="Calibri"/>
          <w:sz w:val="20"/>
          <w:vertAlign w:val="superscript"/>
        </w:rPr>
        <w:t>48</w:t>
      </w:r>
      <w:r>
        <w:rPr>
          <w:rFonts w:ascii="Calibri"/>
          <w:sz w:val="20"/>
          <w:vertAlign w:val="baseline"/>
        </w:rPr>
        <w:t>Section</w:t>
      </w:r>
      <w:r>
        <w:rPr>
          <w:rFonts w:ascii="Calibri"/>
          <w:spacing w:val="-7"/>
          <w:sz w:val="20"/>
          <w:vertAlign w:val="baseline"/>
        </w:rPr>
        <w:t> </w:t>
      </w:r>
      <w:r>
        <w:rPr>
          <w:rFonts w:ascii="Calibri"/>
          <w:sz w:val="20"/>
          <w:vertAlign w:val="baseline"/>
        </w:rPr>
        <w:t>9</w:t>
      </w:r>
      <w:r>
        <w:rPr>
          <w:rFonts w:ascii="Calibri"/>
          <w:spacing w:val="-6"/>
          <w:sz w:val="20"/>
          <w:vertAlign w:val="baseline"/>
        </w:rPr>
        <w:t> </w:t>
      </w:r>
      <w:r>
        <w:rPr>
          <w:rFonts w:ascii="Calibri"/>
          <w:sz w:val="20"/>
          <w:vertAlign w:val="baseline"/>
        </w:rPr>
        <w:t>(3)</w:t>
      </w:r>
      <w:r>
        <w:rPr>
          <w:rFonts w:ascii="Calibri"/>
          <w:spacing w:val="-6"/>
          <w:sz w:val="20"/>
          <w:vertAlign w:val="baseline"/>
        </w:rPr>
        <w:t> </w:t>
      </w:r>
      <w:r>
        <w:rPr>
          <w:rFonts w:ascii="Calibri"/>
          <w:spacing w:val="-4"/>
          <w:sz w:val="20"/>
          <w:vertAlign w:val="baseline"/>
        </w:rPr>
        <w:t>Ibid</w:t>
      </w:r>
    </w:p>
    <w:p>
      <w:pPr>
        <w:spacing w:before="0"/>
        <w:ind w:left="360" w:right="223" w:firstLine="0"/>
        <w:jc w:val="left"/>
        <w:rPr>
          <w:rFonts w:ascii="Calibri"/>
          <w:sz w:val="20"/>
        </w:rPr>
      </w:pPr>
      <w:r>
        <w:rPr>
          <w:rFonts w:ascii="Calibri"/>
          <w:sz w:val="20"/>
          <w:vertAlign w:val="superscript"/>
        </w:rPr>
        <w:t>49</w:t>
      </w:r>
      <w:r>
        <w:rPr>
          <w:rFonts w:ascii="Calibri"/>
          <w:sz w:val="20"/>
          <w:vertAlign w:val="baseline"/>
        </w:rPr>
        <w:t>The</w:t>
      </w:r>
      <w:r>
        <w:rPr>
          <w:rFonts w:ascii="Calibri"/>
          <w:spacing w:val="-3"/>
          <w:sz w:val="20"/>
          <w:vertAlign w:val="baseline"/>
        </w:rPr>
        <w:t> </w:t>
      </w:r>
      <w:r>
        <w:rPr>
          <w:rFonts w:ascii="Calibri"/>
          <w:sz w:val="20"/>
          <w:vertAlign w:val="baseline"/>
        </w:rPr>
        <w:t>deduction</w:t>
      </w:r>
      <w:r>
        <w:rPr>
          <w:rFonts w:ascii="Calibri"/>
          <w:spacing w:val="-2"/>
          <w:sz w:val="20"/>
          <w:vertAlign w:val="baseline"/>
        </w:rPr>
        <w:t> </w:t>
      </w:r>
      <w:r>
        <w:rPr>
          <w:rFonts w:ascii="Calibri"/>
          <w:sz w:val="20"/>
          <w:vertAlign w:val="baseline"/>
        </w:rPr>
        <w:t>to</w:t>
      </w:r>
      <w:r>
        <w:rPr>
          <w:rFonts w:ascii="Calibri"/>
          <w:spacing w:val="-2"/>
          <w:sz w:val="20"/>
          <w:vertAlign w:val="baseline"/>
        </w:rPr>
        <w:t> </w:t>
      </w:r>
      <w:r>
        <w:rPr>
          <w:rFonts w:ascii="Calibri"/>
          <w:sz w:val="20"/>
          <w:vertAlign w:val="baseline"/>
        </w:rPr>
        <w:t>be</w:t>
      </w:r>
      <w:r>
        <w:rPr>
          <w:rFonts w:ascii="Calibri"/>
          <w:spacing w:val="-3"/>
          <w:sz w:val="20"/>
          <w:vertAlign w:val="baseline"/>
        </w:rPr>
        <w:t> </w:t>
      </w:r>
      <w:r>
        <w:rPr>
          <w:rFonts w:ascii="Calibri"/>
          <w:sz w:val="20"/>
          <w:vertAlign w:val="baseline"/>
        </w:rPr>
        <w:t>made</w:t>
      </w:r>
      <w:r>
        <w:rPr>
          <w:rFonts w:ascii="Calibri"/>
          <w:spacing w:val="-3"/>
          <w:sz w:val="20"/>
          <w:vertAlign w:val="baseline"/>
        </w:rPr>
        <w:t> </w:t>
      </w:r>
      <w:r>
        <w:rPr>
          <w:rFonts w:ascii="Calibri"/>
          <w:sz w:val="20"/>
          <w:vertAlign w:val="baseline"/>
        </w:rPr>
        <w:t>in</w:t>
      </w:r>
      <w:r>
        <w:rPr>
          <w:rFonts w:ascii="Calibri"/>
          <w:spacing w:val="-2"/>
          <w:sz w:val="20"/>
          <w:vertAlign w:val="baseline"/>
        </w:rPr>
        <w:t> </w:t>
      </w:r>
      <w:r>
        <w:rPr>
          <w:rFonts w:ascii="Calibri"/>
          <w:sz w:val="20"/>
          <w:vertAlign w:val="baseline"/>
        </w:rPr>
        <w:t>respect</w:t>
      </w:r>
      <w:r>
        <w:rPr>
          <w:rFonts w:ascii="Calibri"/>
          <w:spacing w:val="-2"/>
          <w:sz w:val="20"/>
          <w:vertAlign w:val="baseline"/>
        </w:rPr>
        <w:t> </w:t>
      </w:r>
      <w:r>
        <w:rPr>
          <w:rFonts w:ascii="Calibri"/>
          <w:sz w:val="20"/>
          <w:vertAlign w:val="baseline"/>
        </w:rPr>
        <w:t>of</w:t>
      </w:r>
      <w:r>
        <w:rPr>
          <w:rFonts w:ascii="Calibri"/>
          <w:spacing w:val="-4"/>
          <w:sz w:val="20"/>
          <w:vertAlign w:val="baseline"/>
        </w:rPr>
        <w:t> </w:t>
      </w:r>
      <w:r>
        <w:rPr>
          <w:rFonts w:ascii="Calibri"/>
          <w:sz w:val="20"/>
          <w:vertAlign w:val="baseline"/>
        </w:rPr>
        <w:t>a</w:t>
      </w:r>
      <w:r>
        <w:rPr>
          <w:rFonts w:ascii="Calibri"/>
          <w:spacing w:val="-2"/>
          <w:sz w:val="20"/>
          <w:vertAlign w:val="baseline"/>
        </w:rPr>
        <w:t> </w:t>
      </w:r>
      <w:r>
        <w:rPr>
          <w:rFonts w:ascii="Calibri"/>
          <w:sz w:val="20"/>
          <w:vertAlign w:val="baseline"/>
        </w:rPr>
        <w:t>doubtful</w:t>
      </w:r>
      <w:r>
        <w:rPr>
          <w:rFonts w:ascii="Calibri"/>
          <w:spacing w:val="-3"/>
          <w:sz w:val="20"/>
          <w:vertAlign w:val="baseline"/>
        </w:rPr>
        <w:t> </w:t>
      </w:r>
      <w:r>
        <w:rPr>
          <w:rFonts w:ascii="Calibri"/>
          <w:sz w:val="20"/>
          <w:vertAlign w:val="baseline"/>
        </w:rPr>
        <w:t>debt</w:t>
      </w:r>
      <w:r>
        <w:rPr>
          <w:rFonts w:ascii="Calibri"/>
          <w:spacing w:val="-2"/>
          <w:sz w:val="20"/>
          <w:vertAlign w:val="baseline"/>
        </w:rPr>
        <w:t> </w:t>
      </w:r>
      <w:r>
        <w:rPr>
          <w:rFonts w:ascii="Calibri"/>
          <w:sz w:val="20"/>
          <w:vertAlign w:val="baseline"/>
        </w:rPr>
        <w:t>shall</w:t>
      </w:r>
      <w:r>
        <w:rPr>
          <w:rFonts w:ascii="Calibri"/>
          <w:spacing w:val="-2"/>
          <w:sz w:val="20"/>
          <w:vertAlign w:val="baseline"/>
        </w:rPr>
        <w:t> </w:t>
      </w:r>
      <w:r>
        <w:rPr>
          <w:rFonts w:ascii="Calibri"/>
          <w:sz w:val="20"/>
          <w:vertAlign w:val="baseline"/>
        </w:rPr>
        <w:t>not</w:t>
      </w:r>
      <w:r>
        <w:rPr>
          <w:rFonts w:ascii="Calibri"/>
          <w:spacing w:val="-2"/>
          <w:sz w:val="20"/>
          <w:vertAlign w:val="baseline"/>
        </w:rPr>
        <w:t> </w:t>
      </w:r>
      <w:r>
        <w:rPr>
          <w:rFonts w:ascii="Calibri"/>
          <w:sz w:val="20"/>
          <w:vertAlign w:val="baseline"/>
        </w:rPr>
        <w:t>exceed</w:t>
      </w:r>
      <w:r>
        <w:rPr>
          <w:rFonts w:ascii="Calibri"/>
          <w:spacing w:val="-2"/>
          <w:sz w:val="20"/>
          <w:vertAlign w:val="baseline"/>
        </w:rPr>
        <w:t> </w:t>
      </w:r>
      <w:r>
        <w:rPr>
          <w:rFonts w:ascii="Calibri"/>
          <w:sz w:val="20"/>
          <w:vertAlign w:val="baseline"/>
        </w:rPr>
        <w:t>that</w:t>
      </w:r>
      <w:r>
        <w:rPr>
          <w:rFonts w:ascii="Calibri"/>
          <w:spacing w:val="-2"/>
          <w:sz w:val="20"/>
          <w:vertAlign w:val="baseline"/>
        </w:rPr>
        <w:t> </w:t>
      </w:r>
      <w:r>
        <w:rPr>
          <w:rFonts w:ascii="Calibri"/>
          <w:sz w:val="20"/>
          <w:vertAlign w:val="baseline"/>
        </w:rPr>
        <w:t>portion</w:t>
      </w:r>
      <w:r>
        <w:rPr>
          <w:rFonts w:ascii="Calibri"/>
          <w:spacing w:val="-2"/>
          <w:sz w:val="20"/>
          <w:vertAlign w:val="baseline"/>
        </w:rPr>
        <w:t> </w:t>
      </w:r>
      <w:r>
        <w:rPr>
          <w:rFonts w:ascii="Calibri"/>
          <w:sz w:val="20"/>
          <w:vertAlign w:val="baseline"/>
        </w:rPr>
        <w:t>of</w:t>
      </w:r>
      <w:r>
        <w:rPr>
          <w:rFonts w:ascii="Calibri"/>
          <w:spacing w:val="-4"/>
          <w:sz w:val="20"/>
          <w:vertAlign w:val="baseline"/>
        </w:rPr>
        <w:t> </w:t>
      </w:r>
      <w:r>
        <w:rPr>
          <w:rFonts w:ascii="Calibri"/>
          <w:sz w:val="20"/>
          <w:vertAlign w:val="baseline"/>
        </w:rPr>
        <w:t>the</w:t>
      </w:r>
      <w:r>
        <w:rPr>
          <w:rFonts w:ascii="Calibri"/>
          <w:spacing w:val="-3"/>
          <w:sz w:val="20"/>
          <w:vertAlign w:val="baseline"/>
        </w:rPr>
        <w:t> </w:t>
      </w:r>
      <w:r>
        <w:rPr>
          <w:rFonts w:ascii="Calibri"/>
          <w:sz w:val="20"/>
          <w:vertAlign w:val="baseline"/>
        </w:rPr>
        <w:t>debt</w:t>
      </w:r>
      <w:r>
        <w:rPr>
          <w:rFonts w:ascii="Calibri"/>
          <w:spacing w:val="-2"/>
          <w:sz w:val="20"/>
          <w:vertAlign w:val="baseline"/>
        </w:rPr>
        <w:t> </w:t>
      </w:r>
      <w:r>
        <w:rPr>
          <w:rFonts w:ascii="Calibri"/>
          <w:sz w:val="20"/>
          <w:vertAlign w:val="baseline"/>
        </w:rPr>
        <w:t>which</w:t>
      </w:r>
      <w:r>
        <w:rPr>
          <w:rFonts w:ascii="Calibri"/>
          <w:spacing w:val="-2"/>
          <w:sz w:val="20"/>
          <w:vertAlign w:val="baseline"/>
        </w:rPr>
        <w:t> </w:t>
      </w:r>
      <w:r>
        <w:rPr>
          <w:rFonts w:ascii="Calibri"/>
          <w:sz w:val="20"/>
          <w:vertAlign w:val="baseline"/>
        </w:rPr>
        <w:t>is proved to have become doubtful during that accounting period.</w:t>
      </w:r>
    </w:p>
    <w:p>
      <w:pPr>
        <w:spacing w:after="0"/>
        <w:jc w:val="left"/>
        <w:rPr>
          <w:rFonts w:ascii="Calibri"/>
          <w:sz w:val="20"/>
        </w:rPr>
        <w:sectPr>
          <w:pgSz w:w="11910" w:h="16840"/>
          <w:pgMar w:header="0" w:footer="1000" w:top="1340" w:bottom="1200" w:left="1080" w:right="1280"/>
        </w:sectPr>
      </w:pPr>
    </w:p>
    <w:p>
      <w:pPr>
        <w:pStyle w:val="ListParagraph"/>
        <w:numPr>
          <w:ilvl w:val="3"/>
          <w:numId w:val="8"/>
        </w:numPr>
        <w:tabs>
          <w:tab w:pos="1798" w:val="left" w:leader="none"/>
          <w:tab w:pos="1800" w:val="left" w:leader="none"/>
        </w:tabs>
        <w:spacing w:line="480" w:lineRule="auto" w:before="74" w:after="0"/>
        <w:ind w:left="1800" w:right="163" w:hanging="360"/>
        <w:jc w:val="both"/>
        <w:rPr>
          <w:sz w:val="24"/>
        </w:rPr>
      </w:pPr>
      <w:r>
        <w:rPr>
          <w:sz w:val="24"/>
        </w:rPr>
        <w:t>Any contribution to pension, provident or other society, scheme or fund as</w:t>
      </w:r>
      <w:r>
        <w:rPr>
          <w:spacing w:val="40"/>
          <w:sz w:val="24"/>
        </w:rPr>
        <w:t> </w:t>
      </w:r>
      <w:r>
        <w:rPr>
          <w:sz w:val="24"/>
        </w:rPr>
        <w:t>may be approved; etc.</w:t>
      </w:r>
    </w:p>
    <w:p>
      <w:pPr>
        <w:pStyle w:val="BodyText"/>
        <w:spacing w:line="480" w:lineRule="auto"/>
        <w:ind w:left="360" w:right="157" w:firstLine="719"/>
        <w:jc w:val="both"/>
      </w:pPr>
      <w:r>
        <w:rPr/>
        <w:t>Bank charges and scholarships are, ordinarily, not deductible as allowable expenses. However, where the charges arose or were imposed by</w:t>
      </w:r>
      <w:r>
        <w:rPr>
          <w:spacing w:val="-3"/>
        </w:rPr>
        <w:t> </w:t>
      </w:r>
      <w:r>
        <w:rPr/>
        <w:t>the Federal Government in the course of the company‟s operation relating to petroleum operation, such charges will be allowed. In other words, they International Journal of Advanced Legal Studies and Governance, Vol. 4, No. 2, August 2013 10 (charges) will be allowed once they are incidental to petroleum operations. It was held by the Supreme Court in the case of </w:t>
      </w:r>
      <w:r>
        <w:rPr>
          <w:b/>
          <w:i/>
        </w:rPr>
        <w:t>Shell Petroleum Development Company (Nig.) Ltd V. F.B.I.R</w:t>
      </w:r>
      <w:r>
        <w:rPr>
          <w:vertAlign w:val="superscript"/>
        </w:rPr>
        <w:t>50</w:t>
      </w:r>
      <w:r>
        <w:rPr>
          <w:vertAlign w:val="baseline"/>
        </w:rPr>
        <w:t> that scholarship expenses incurred by a company will qualify</w:t>
      </w:r>
      <w:r>
        <w:rPr>
          <w:spacing w:val="-3"/>
          <w:vertAlign w:val="baseline"/>
        </w:rPr>
        <w:t> </w:t>
      </w:r>
      <w:r>
        <w:rPr>
          <w:vertAlign w:val="baseline"/>
        </w:rPr>
        <w:t>as allowable</w:t>
      </w:r>
      <w:r>
        <w:rPr>
          <w:spacing w:val="-1"/>
          <w:vertAlign w:val="baseline"/>
        </w:rPr>
        <w:t> </w:t>
      </w:r>
      <w:r>
        <w:rPr>
          <w:vertAlign w:val="baseline"/>
        </w:rPr>
        <w:t>expenses</w:t>
      </w:r>
      <w:r>
        <w:rPr>
          <w:spacing w:val="-1"/>
          <w:vertAlign w:val="baseline"/>
        </w:rPr>
        <w:t> </w:t>
      </w:r>
      <w:r>
        <w:rPr>
          <w:vertAlign w:val="baseline"/>
        </w:rPr>
        <w:t>under</w:t>
      </w:r>
      <w:r>
        <w:rPr>
          <w:spacing w:val="-1"/>
          <w:vertAlign w:val="baseline"/>
        </w:rPr>
        <w:t> </w:t>
      </w:r>
      <w:r>
        <w:rPr>
          <w:vertAlign w:val="baseline"/>
        </w:rPr>
        <w:t>section 10(1) of</w:t>
      </w:r>
      <w:r>
        <w:rPr>
          <w:spacing w:val="-1"/>
          <w:vertAlign w:val="baseline"/>
        </w:rPr>
        <w:t> </w:t>
      </w:r>
      <w:r>
        <w:rPr>
          <w:vertAlign w:val="baseline"/>
        </w:rPr>
        <w:t>the</w:t>
      </w:r>
      <w:r>
        <w:rPr>
          <w:spacing w:val="-1"/>
          <w:vertAlign w:val="baseline"/>
        </w:rPr>
        <w:t> </w:t>
      </w:r>
      <w:r>
        <w:rPr>
          <w:vertAlign w:val="baseline"/>
        </w:rPr>
        <w:t>Act. In that case, one</w:t>
      </w:r>
      <w:r>
        <w:rPr>
          <w:spacing w:val="-1"/>
          <w:vertAlign w:val="baseline"/>
        </w:rPr>
        <w:t> </w:t>
      </w:r>
      <w:r>
        <w:rPr>
          <w:vertAlign w:val="baseline"/>
        </w:rPr>
        <w:t>of</w:t>
      </w:r>
      <w:r>
        <w:rPr>
          <w:spacing w:val="-1"/>
          <w:vertAlign w:val="baseline"/>
        </w:rPr>
        <w:t> </w:t>
      </w:r>
      <w:r>
        <w:rPr>
          <w:vertAlign w:val="baseline"/>
        </w:rPr>
        <w:t>the</w:t>
      </w:r>
      <w:r>
        <w:rPr>
          <w:spacing w:val="-1"/>
          <w:vertAlign w:val="baseline"/>
        </w:rPr>
        <w:t> </w:t>
      </w:r>
      <w:r>
        <w:rPr>
          <w:vertAlign w:val="baseline"/>
        </w:rPr>
        <w:t>issues in contention was whether or not the scholarship expense incurred by the company was deductive as an allowable expense or not. Uwais, C.J.N that case succinctly put the position</w:t>
      </w:r>
      <w:r>
        <w:rPr>
          <w:spacing w:val="40"/>
          <w:vertAlign w:val="baseline"/>
        </w:rPr>
        <w:t> </w:t>
      </w:r>
      <w:r>
        <w:rPr>
          <w:vertAlign w:val="baseline"/>
        </w:rPr>
        <w:t>as follows:</w:t>
      </w:r>
    </w:p>
    <w:p>
      <w:pPr>
        <w:pStyle w:val="BodyText"/>
        <w:spacing w:before="1"/>
        <w:ind w:left="1800" w:right="1596"/>
        <w:jc w:val="both"/>
      </w:pPr>
      <w:r>
        <w:rPr/>
        <w:t>It seems to me obvious that in computing the adjusted profit of the appellant, bank charges cannot be deducted under the provisions of section 10 subsection (1) (G). This is because the Central Bank of Nigeria, as rightly</w:t>
      </w:r>
      <w:r>
        <w:rPr>
          <w:spacing w:val="-1"/>
        </w:rPr>
        <w:t> </w:t>
      </w:r>
      <w:r>
        <w:rPr/>
        <w:t>held by</w:t>
      </w:r>
      <w:r>
        <w:rPr>
          <w:spacing w:val="-1"/>
        </w:rPr>
        <w:t> </w:t>
      </w:r>
      <w:r>
        <w:rPr/>
        <w:t>the Court of Appeal (per Awogu, J.C.A) is neither the Federal Government of Nigeria, nor Government of any State no a Local Authority. However, the situation differs with regard to the provisions of section 10 (1) simpliciter. What needs to be determined there under is the question whether the payment of bank charges arose in the course of the operations of the appellant as defined under the definition of „petroleum operations‟ in section 2 of the Petroleum Profit Tax Act</w:t>
      </w:r>
      <w:r>
        <w:rPr>
          <w:vertAlign w:val="superscript"/>
        </w:rPr>
        <w:t>51</w:t>
      </w:r>
    </w:p>
    <w:p>
      <w:pPr>
        <w:pStyle w:val="BodyText"/>
      </w:pPr>
    </w:p>
    <w:p>
      <w:pPr>
        <w:pStyle w:val="BodyText"/>
        <w:spacing w:before="1"/>
      </w:pPr>
    </w:p>
    <w:p>
      <w:pPr>
        <w:pStyle w:val="BodyText"/>
        <w:ind w:left="360"/>
      </w:pPr>
      <w:r>
        <w:rPr/>
        <w:t>The</w:t>
      </w:r>
      <w:r>
        <w:rPr>
          <w:spacing w:val="-3"/>
        </w:rPr>
        <w:t> </w:t>
      </w:r>
      <w:r>
        <w:rPr/>
        <w:t>Court</w:t>
      </w:r>
      <w:r>
        <w:rPr>
          <w:spacing w:val="-1"/>
        </w:rPr>
        <w:t> </w:t>
      </w:r>
      <w:r>
        <w:rPr/>
        <w:t>went </w:t>
      </w:r>
      <w:r>
        <w:rPr>
          <w:spacing w:val="-2"/>
        </w:rPr>
        <w:t>further:</w:t>
      </w:r>
    </w:p>
    <w:p>
      <w:pPr>
        <w:pStyle w:val="BodyText"/>
      </w:pPr>
    </w:p>
    <w:p>
      <w:pPr>
        <w:pStyle w:val="BodyText"/>
        <w:ind w:left="1800" w:right="1603"/>
        <w:jc w:val="both"/>
      </w:pPr>
      <w:r>
        <w:rPr/>
        <w:t>In my respective opinion, the bank charges qualify for deduction</w:t>
      </w:r>
      <w:r>
        <w:rPr>
          <w:spacing w:val="2"/>
        </w:rPr>
        <w:t> </w:t>
      </w:r>
      <w:r>
        <w:rPr/>
        <w:t>under</w:t>
      </w:r>
      <w:r>
        <w:rPr>
          <w:spacing w:val="2"/>
        </w:rPr>
        <w:t> </w:t>
      </w:r>
      <w:r>
        <w:rPr/>
        <w:t>the</w:t>
      </w:r>
      <w:r>
        <w:rPr>
          <w:spacing w:val="7"/>
        </w:rPr>
        <w:t> </w:t>
      </w:r>
      <w:r>
        <w:rPr/>
        <w:t>general</w:t>
      </w:r>
      <w:r>
        <w:rPr>
          <w:spacing w:val="4"/>
        </w:rPr>
        <w:t> </w:t>
      </w:r>
      <w:r>
        <w:rPr/>
        <w:t>provisions</w:t>
      </w:r>
      <w:r>
        <w:rPr>
          <w:spacing w:val="3"/>
        </w:rPr>
        <w:t> </w:t>
      </w:r>
      <w:r>
        <w:rPr/>
        <w:t>of</w:t>
      </w:r>
      <w:r>
        <w:rPr>
          <w:spacing w:val="2"/>
        </w:rPr>
        <w:t> </w:t>
      </w:r>
      <w:r>
        <w:rPr/>
        <w:t>section</w:t>
      </w:r>
      <w:r>
        <w:rPr>
          <w:spacing w:val="3"/>
        </w:rPr>
        <w:t> </w:t>
      </w:r>
      <w:r>
        <w:rPr/>
        <w:t>10</w:t>
      </w:r>
      <w:r>
        <w:rPr>
          <w:spacing w:val="3"/>
        </w:rPr>
        <w:t> </w:t>
      </w:r>
      <w:r>
        <w:rPr>
          <w:spacing w:val="-2"/>
        </w:rPr>
        <w:t>subsection</w:t>
      </w:r>
    </w:p>
    <w:p>
      <w:pPr>
        <w:pStyle w:val="BodyText"/>
        <w:ind w:left="1800"/>
      </w:pPr>
      <w:r>
        <w:rPr/>
        <w:t>(1)</w:t>
      </w:r>
      <w:r>
        <w:rPr>
          <w:spacing w:val="-3"/>
        </w:rPr>
        <w:t> </w:t>
      </w:r>
      <w:r>
        <w:rPr/>
        <w:t>of the</w:t>
      </w:r>
      <w:r>
        <w:rPr>
          <w:spacing w:val="-3"/>
        </w:rPr>
        <w:t> </w:t>
      </w:r>
      <w:r>
        <w:rPr/>
        <w:t>Petroleum Profit</w:t>
      </w:r>
      <w:r>
        <w:rPr>
          <w:spacing w:val="-1"/>
        </w:rPr>
        <w:t> </w:t>
      </w:r>
      <w:r>
        <w:rPr/>
        <w:t>Tax</w:t>
      </w:r>
      <w:r>
        <w:rPr>
          <w:spacing w:val="2"/>
        </w:rPr>
        <w:t> </w:t>
      </w:r>
      <w:r>
        <w:rPr>
          <w:spacing w:val="-2"/>
        </w:rPr>
        <w:t>Act</w:t>
      </w:r>
      <w:r>
        <w:rPr>
          <w:spacing w:val="-2"/>
          <w:vertAlign w:val="superscript"/>
        </w:rPr>
        <w:t>52</w:t>
      </w:r>
      <w:r>
        <w:rPr>
          <w:spacing w:val="-2"/>
          <w:vertAlign w:val="baseline"/>
        </w:rPr>
        <w:t>.</w:t>
      </w:r>
    </w:p>
    <w:p>
      <w:pPr>
        <w:pStyle w:val="BodyText"/>
        <w:rPr>
          <w:sz w:val="20"/>
        </w:rPr>
      </w:pPr>
    </w:p>
    <w:p>
      <w:pPr>
        <w:pStyle w:val="BodyText"/>
        <w:spacing w:before="213"/>
        <w:rPr>
          <w:sz w:val="20"/>
        </w:rPr>
      </w:pPr>
      <w:r>
        <w:rPr/>
        <mc:AlternateContent>
          <mc:Choice Requires="wps">
            <w:drawing>
              <wp:anchor distT="0" distB="0" distL="0" distR="0" allowOverlap="1" layoutInCell="1" locked="0" behindDoc="1" simplePos="0" relativeHeight="487610880">
                <wp:simplePos x="0" y="0"/>
                <wp:positionH relativeFrom="page">
                  <wp:posOffset>914704</wp:posOffset>
                </wp:positionH>
                <wp:positionV relativeFrom="paragraph">
                  <wp:posOffset>297099</wp:posOffset>
                </wp:positionV>
                <wp:extent cx="1829435" cy="9525"/>
                <wp:effectExtent l="0" t="0" r="0" b="0"/>
                <wp:wrapTopAndBottom/>
                <wp:docPr id="50" name="Graphic 50"/>
                <wp:cNvGraphicFramePr>
                  <a:graphicFrameLocks/>
                </wp:cNvGraphicFramePr>
                <a:graphic>
                  <a:graphicData uri="http://schemas.microsoft.com/office/word/2010/wordprocessingShape">
                    <wps:wsp>
                      <wps:cNvPr id="50" name="Graphic 50"/>
                      <wps:cNvSpPr/>
                      <wps:spPr>
                        <a:xfrm>
                          <a:off x="0" y="0"/>
                          <a:ext cx="1829435" cy="9525"/>
                        </a:xfrm>
                        <a:custGeom>
                          <a:avLst/>
                          <a:gdLst/>
                          <a:ahLst/>
                          <a:cxnLst/>
                          <a:rect l="l" t="t" r="r" b="b"/>
                          <a:pathLst>
                            <a:path w="1829435" h="9525">
                              <a:moveTo>
                                <a:pt x="1829054" y="0"/>
                              </a:moveTo>
                              <a:lnTo>
                                <a:pt x="0" y="0"/>
                              </a:lnTo>
                              <a:lnTo>
                                <a:pt x="0" y="9144"/>
                              </a:lnTo>
                              <a:lnTo>
                                <a:pt x="1829054" y="9144"/>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23.393681pt;width:144.020pt;height:.72003pt;mso-position-horizontal-relative:page;mso-position-vertical-relative:paragraph;z-index:-15705600;mso-wrap-distance-left:0;mso-wrap-distance-right:0" id="docshape50" filled="true" fillcolor="#000000" stroked="false">
                <v:fill type="solid"/>
                <w10:wrap type="topAndBottom"/>
              </v:rect>
            </w:pict>
          </mc:Fallback>
        </mc:AlternateContent>
      </w:r>
    </w:p>
    <w:p>
      <w:pPr>
        <w:spacing w:line="243" w:lineRule="exact" w:before="102"/>
        <w:ind w:left="360" w:right="0" w:firstLine="0"/>
        <w:jc w:val="left"/>
        <w:rPr>
          <w:rFonts w:ascii="Calibri"/>
          <w:sz w:val="20"/>
        </w:rPr>
      </w:pPr>
      <w:r>
        <w:rPr>
          <w:rFonts w:ascii="Calibri"/>
          <w:spacing w:val="-2"/>
          <w:sz w:val="20"/>
          <w:vertAlign w:val="superscript"/>
        </w:rPr>
        <w:t>50</w:t>
      </w:r>
      <w:r>
        <w:rPr>
          <w:rFonts w:ascii="Calibri"/>
          <w:spacing w:val="-2"/>
          <w:sz w:val="20"/>
          <w:vertAlign w:val="baseline"/>
        </w:rPr>
        <w:t>(supra)</w:t>
      </w:r>
    </w:p>
    <w:p>
      <w:pPr>
        <w:spacing w:line="243" w:lineRule="exact" w:before="0"/>
        <w:ind w:left="360" w:right="0" w:firstLine="0"/>
        <w:jc w:val="left"/>
        <w:rPr>
          <w:rFonts w:ascii="Calibri" w:hAnsi="Calibri"/>
          <w:sz w:val="20"/>
        </w:rPr>
      </w:pPr>
      <w:r>
        <w:rPr>
          <w:rFonts w:ascii="Calibri" w:hAnsi="Calibri"/>
          <w:sz w:val="20"/>
          <w:vertAlign w:val="superscript"/>
        </w:rPr>
        <w:t>51</w:t>
      </w:r>
      <w:r>
        <w:rPr>
          <w:rFonts w:ascii="Calibri" w:hAnsi="Calibri"/>
          <w:sz w:val="20"/>
          <w:vertAlign w:val="baseline"/>
        </w:rPr>
        <w:t>P.104,</w:t>
      </w:r>
      <w:r>
        <w:rPr>
          <w:rFonts w:ascii="Calibri" w:hAnsi="Calibri"/>
          <w:spacing w:val="-6"/>
          <w:sz w:val="20"/>
          <w:vertAlign w:val="baseline"/>
        </w:rPr>
        <w:t> </w:t>
      </w:r>
      <w:r>
        <w:rPr>
          <w:rFonts w:ascii="Calibri" w:hAnsi="Calibri"/>
          <w:sz w:val="20"/>
          <w:vertAlign w:val="baseline"/>
        </w:rPr>
        <w:t>paragraphs.</w:t>
      </w:r>
      <w:r>
        <w:rPr>
          <w:rFonts w:ascii="Calibri" w:hAnsi="Calibri"/>
          <w:spacing w:val="-5"/>
          <w:sz w:val="20"/>
          <w:vertAlign w:val="baseline"/>
        </w:rPr>
        <w:t> </w:t>
      </w:r>
      <w:r>
        <w:rPr>
          <w:rFonts w:ascii="Calibri" w:hAnsi="Calibri"/>
          <w:sz w:val="20"/>
          <w:vertAlign w:val="baseline"/>
        </w:rPr>
        <w:t>c</w:t>
      </w:r>
      <w:r>
        <w:rPr>
          <w:rFonts w:ascii="Calibri" w:hAnsi="Calibri"/>
          <w:spacing w:val="-5"/>
          <w:sz w:val="20"/>
          <w:vertAlign w:val="baseline"/>
        </w:rPr>
        <w:t> </w:t>
      </w:r>
      <w:r>
        <w:rPr>
          <w:rFonts w:ascii="Calibri" w:hAnsi="Calibri"/>
          <w:sz w:val="20"/>
          <w:vertAlign w:val="baseline"/>
        </w:rPr>
        <w:t>–</w:t>
      </w:r>
      <w:r>
        <w:rPr>
          <w:rFonts w:ascii="Calibri" w:hAnsi="Calibri"/>
          <w:spacing w:val="-6"/>
          <w:sz w:val="20"/>
          <w:vertAlign w:val="baseline"/>
        </w:rPr>
        <w:t> </w:t>
      </w:r>
      <w:r>
        <w:rPr>
          <w:rFonts w:ascii="Calibri" w:hAnsi="Calibri"/>
          <w:spacing w:val="-5"/>
          <w:sz w:val="20"/>
          <w:vertAlign w:val="baseline"/>
        </w:rPr>
        <w:t>e.</w:t>
      </w:r>
    </w:p>
    <w:p>
      <w:pPr>
        <w:spacing w:before="1"/>
        <w:ind w:left="360" w:right="0" w:firstLine="0"/>
        <w:jc w:val="left"/>
        <w:rPr>
          <w:rFonts w:ascii="Calibri"/>
          <w:sz w:val="20"/>
        </w:rPr>
      </w:pPr>
      <w:r>
        <w:rPr>
          <w:rFonts w:ascii="Calibri"/>
          <w:sz w:val="20"/>
          <w:vertAlign w:val="superscript"/>
        </w:rPr>
        <w:t>52</w:t>
      </w:r>
      <w:r>
        <w:rPr>
          <w:rFonts w:ascii="Calibri"/>
          <w:sz w:val="20"/>
          <w:vertAlign w:val="baseline"/>
        </w:rPr>
        <w:t>P.105,</w:t>
      </w:r>
      <w:r>
        <w:rPr>
          <w:rFonts w:ascii="Calibri"/>
          <w:spacing w:val="-9"/>
          <w:sz w:val="20"/>
          <w:vertAlign w:val="baseline"/>
        </w:rPr>
        <w:t> </w:t>
      </w:r>
      <w:r>
        <w:rPr>
          <w:rFonts w:ascii="Calibri"/>
          <w:sz w:val="20"/>
          <w:vertAlign w:val="baseline"/>
        </w:rPr>
        <w:t>paragraph</w:t>
      </w:r>
      <w:r>
        <w:rPr>
          <w:rFonts w:ascii="Calibri"/>
          <w:spacing w:val="-8"/>
          <w:sz w:val="20"/>
          <w:vertAlign w:val="baseline"/>
        </w:rPr>
        <w:t> </w:t>
      </w:r>
      <w:r>
        <w:rPr>
          <w:rFonts w:ascii="Calibri"/>
          <w:spacing w:val="-5"/>
          <w:sz w:val="20"/>
          <w:vertAlign w:val="baseline"/>
        </w:rPr>
        <w:t>H.</w:t>
      </w:r>
    </w:p>
    <w:p>
      <w:pPr>
        <w:spacing w:after="0"/>
        <w:jc w:val="left"/>
        <w:rPr>
          <w:rFonts w:ascii="Calibri"/>
          <w:sz w:val="20"/>
        </w:rPr>
        <w:sectPr>
          <w:pgSz w:w="11910" w:h="16840"/>
          <w:pgMar w:header="0" w:footer="1000" w:top="1340" w:bottom="1200" w:left="1080" w:right="1280"/>
        </w:sectPr>
      </w:pPr>
    </w:p>
    <w:p>
      <w:pPr>
        <w:pStyle w:val="BodyText"/>
        <w:spacing w:line="480" w:lineRule="auto" w:before="74"/>
        <w:ind w:left="360" w:right="156" w:firstLine="719"/>
        <w:jc w:val="both"/>
      </w:pPr>
      <w:r>
        <w:rPr/>
        <w:t>This decision was followed by the Nigerian Court of Appeal in the case of </w:t>
      </w:r>
      <w:r>
        <w:rPr>
          <w:b/>
          <w:i/>
        </w:rPr>
        <w:t>Gulf Oil Company (Nig.) Ltd V. F. B. I. R</w:t>
      </w:r>
      <w:r>
        <w:rPr>
          <w:vertAlign w:val="superscript"/>
        </w:rPr>
        <w:t>53</w:t>
      </w:r>
      <w:r>
        <w:rPr>
          <w:vertAlign w:val="baseline"/>
        </w:rPr>
        <w:t>The deductions allowed by virtue of the provisions of section 10 (1) are however limited</w:t>
      </w:r>
      <w:r>
        <w:rPr>
          <w:vertAlign w:val="superscript"/>
        </w:rPr>
        <w:t>54</w:t>
      </w:r>
      <w:r>
        <w:rPr>
          <w:vertAlign w:val="baseline"/>
        </w:rPr>
        <w:t>. The following expenses are not allowed for the purpose of calculating adjusted profit;</w:t>
      </w:r>
    </w:p>
    <w:p>
      <w:pPr>
        <w:pStyle w:val="ListParagraph"/>
        <w:numPr>
          <w:ilvl w:val="0"/>
          <w:numId w:val="10"/>
        </w:numPr>
        <w:tabs>
          <w:tab w:pos="1077" w:val="left" w:leader="none"/>
          <w:tab w:pos="1080" w:val="left" w:leader="none"/>
        </w:tabs>
        <w:spacing w:line="480" w:lineRule="auto" w:before="0" w:after="0"/>
        <w:ind w:left="1080" w:right="162" w:hanging="488"/>
        <w:jc w:val="both"/>
        <w:rPr>
          <w:sz w:val="24"/>
        </w:rPr>
      </w:pPr>
      <w:r>
        <w:rPr>
          <w:sz w:val="24"/>
        </w:rPr>
        <w:t>Any disbursement or expenses not been money wholly and exclusively laid out or expended, or any liability not being a liability wholly or exclusively incurred, for the purpose of those operations;</w:t>
      </w:r>
    </w:p>
    <w:p>
      <w:pPr>
        <w:pStyle w:val="ListParagraph"/>
        <w:numPr>
          <w:ilvl w:val="0"/>
          <w:numId w:val="10"/>
        </w:numPr>
        <w:tabs>
          <w:tab w:pos="1079" w:val="left" w:leader="none"/>
        </w:tabs>
        <w:spacing w:line="240" w:lineRule="auto" w:before="1" w:after="0"/>
        <w:ind w:left="1079" w:right="0" w:hanging="553"/>
        <w:jc w:val="both"/>
        <w:rPr>
          <w:sz w:val="24"/>
        </w:rPr>
      </w:pPr>
      <w:r>
        <w:rPr>
          <w:sz w:val="24"/>
        </w:rPr>
        <w:t>Any</w:t>
      </w:r>
      <w:r>
        <w:rPr>
          <w:spacing w:val="-6"/>
          <w:sz w:val="24"/>
        </w:rPr>
        <w:t> </w:t>
      </w:r>
      <w:r>
        <w:rPr>
          <w:sz w:val="24"/>
        </w:rPr>
        <w:t>capital</w:t>
      </w:r>
      <w:r>
        <w:rPr>
          <w:spacing w:val="-1"/>
          <w:sz w:val="24"/>
        </w:rPr>
        <w:t> </w:t>
      </w:r>
      <w:r>
        <w:rPr>
          <w:sz w:val="24"/>
        </w:rPr>
        <w:t>withdrawn</w:t>
      </w:r>
      <w:r>
        <w:rPr>
          <w:spacing w:val="-1"/>
          <w:sz w:val="24"/>
        </w:rPr>
        <w:t> </w:t>
      </w:r>
      <w:r>
        <w:rPr>
          <w:sz w:val="24"/>
        </w:rPr>
        <w:t>or</w:t>
      </w:r>
      <w:r>
        <w:rPr>
          <w:spacing w:val="-1"/>
          <w:sz w:val="24"/>
        </w:rPr>
        <w:t> </w:t>
      </w:r>
      <w:r>
        <w:rPr>
          <w:sz w:val="24"/>
        </w:rPr>
        <w:t>any</w:t>
      </w:r>
      <w:r>
        <w:rPr>
          <w:spacing w:val="-5"/>
          <w:sz w:val="24"/>
        </w:rPr>
        <w:t> </w:t>
      </w:r>
      <w:r>
        <w:rPr>
          <w:sz w:val="24"/>
        </w:rPr>
        <w:t>sum</w:t>
      </w:r>
      <w:r>
        <w:rPr>
          <w:spacing w:val="-1"/>
          <w:sz w:val="24"/>
        </w:rPr>
        <w:t> </w:t>
      </w:r>
      <w:r>
        <w:rPr>
          <w:sz w:val="24"/>
        </w:rPr>
        <w:t>employed</w:t>
      </w:r>
      <w:r>
        <w:rPr>
          <w:spacing w:val="-1"/>
          <w:sz w:val="24"/>
        </w:rPr>
        <w:t> </w:t>
      </w:r>
      <w:r>
        <w:rPr>
          <w:sz w:val="24"/>
        </w:rPr>
        <w:t>or</w:t>
      </w:r>
      <w:r>
        <w:rPr>
          <w:spacing w:val="-1"/>
          <w:sz w:val="24"/>
        </w:rPr>
        <w:t> </w:t>
      </w:r>
      <w:r>
        <w:rPr>
          <w:sz w:val="24"/>
        </w:rPr>
        <w:t>intended to</w:t>
      </w:r>
      <w:r>
        <w:rPr>
          <w:spacing w:val="-1"/>
          <w:sz w:val="24"/>
        </w:rPr>
        <w:t> </w:t>
      </w:r>
      <w:r>
        <w:rPr>
          <w:sz w:val="24"/>
        </w:rPr>
        <w:t>be</w:t>
      </w:r>
      <w:r>
        <w:rPr>
          <w:spacing w:val="-1"/>
          <w:sz w:val="24"/>
        </w:rPr>
        <w:t> </w:t>
      </w:r>
      <w:r>
        <w:rPr>
          <w:sz w:val="24"/>
        </w:rPr>
        <w:t>employed</w:t>
      </w:r>
      <w:r>
        <w:rPr>
          <w:spacing w:val="6"/>
          <w:sz w:val="24"/>
        </w:rPr>
        <w:t> </w:t>
      </w:r>
      <w:r>
        <w:rPr>
          <w:sz w:val="24"/>
        </w:rPr>
        <w:t>as </w:t>
      </w:r>
      <w:r>
        <w:rPr>
          <w:spacing w:val="-2"/>
          <w:sz w:val="24"/>
        </w:rPr>
        <w:t>capital;</w:t>
      </w:r>
    </w:p>
    <w:p>
      <w:pPr>
        <w:pStyle w:val="ListParagraph"/>
        <w:numPr>
          <w:ilvl w:val="0"/>
          <w:numId w:val="10"/>
        </w:numPr>
        <w:tabs>
          <w:tab w:pos="1078" w:val="left" w:leader="none"/>
        </w:tabs>
        <w:spacing w:line="240" w:lineRule="auto" w:before="276" w:after="0"/>
        <w:ind w:left="1078" w:right="0" w:hanging="617"/>
        <w:jc w:val="both"/>
        <w:rPr>
          <w:sz w:val="24"/>
        </w:rPr>
      </w:pPr>
      <w:r>
        <w:rPr>
          <w:sz w:val="24"/>
        </w:rPr>
        <w:t>Any</w:t>
      </w:r>
      <w:r>
        <w:rPr>
          <w:spacing w:val="-6"/>
          <w:sz w:val="24"/>
        </w:rPr>
        <w:t> </w:t>
      </w:r>
      <w:r>
        <w:rPr>
          <w:sz w:val="24"/>
        </w:rPr>
        <w:t>capital</w:t>
      </w:r>
      <w:r>
        <w:rPr>
          <w:spacing w:val="-1"/>
          <w:sz w:val="24"/>
        </w:rPr>
        <w:t> </w:t>
      </w:r>
      <w:r>
        <w:rPr>
          <w:sz w:val="24"/>
        </w:rPr>
        <w:t>employed</w:t>
      </w:r>
      <w:r>
        <w:rPr>
          <w:spacing w:val="-1"/>
          <w:sz w:val="24"/>
        </w:rPr>
        <w:t> </w:t>
      </w:r>
      <w:r>
        <w:rPr>
          <w:sz w:val="24"/>
        </w:rPr>
        <w:t>in</w:t>
      </w:r>
      <w:r>
        <w:rPr>
          <w:spacing w:val="1"/>
          <w:sz w:val="24"/>
        </w:rPr>
        <w:t> </w:t>
      </w:r>
      <w:r>
        <w:rPr>
          <w:sz w:val="24"/>
        </w:rPr>
        <w:t>improvement</w:t>
      </w:r>
      <w:r>
        <w:rPr>
          <w:spacing w:val="-1"/>
          <w:sz w:val="24"/>
        </w:rPr>
        <w:t> </w:t>
      </w:r>
      <w:r>
        <w:rPr>
          <w:sz w:val="24"/>
        </w:rPr>
        <w:t>as</w:t>
      </w:r>
      <w:r>
        <w:rPr>
          <w:spacing w:val="-1"/>
          <w:sz w:val="24"/>
        </w:rPr>
        <w:t> </w:t>
      </w:r>
      <w:r>
        <w:rPr>
          <w:sz w:val="24"/>
        </w:rPr>
        <w:t>distinct</w:t>
      </w:r>
      <w:r>
        <w:rPr>
          <w:spacing w:val="-1"/>
          <w:sz w:val="24"/>
        </w:rPr>
        <w:t> </w:t>
      </w:r>
      <w:r>
        <w:rPr>
          <w:sz w:val="24"/>
        </w:rPr>
        <w:t>from</w:t>
      </w:r>
      <w:r>
        <w:rPr>
          <w:spacing w:val="-1"/>
          <w:sz w:val="24"/>
        </w:rPr>
        <w:t> </w:t>
      </w:r>
      <w:r>
        <w:rPr>
          <w:spacing w:val="-2"/>
          <w:sz w:val="24"/>
        </w:rPr>
        <w:t>repairs;</w:t>
      </w:r>
    </w:p>
    <w:p>
      <w:pPr>
        <w:pStyle w:val="ListParagraph"/>
        <w:numPr>
          <w:ilvl w:val="0"/>
          <w:numId w:val="10"/>
        </w:numPr>
        <w:tabs>
          <w:tab w:pos="1079" w:val="left" w:leader="none"/>
        </w:tabs>
        <w:spacing w:line="240" w:lineRule="auto" w:before="276" w:after="0"/>
        <w:ind w:left="1079" w:right="0" w:hanging="606"/>
        <w:jc w:val="both"/>
        <w:rPr>
          <w:sz w:val="24"/>
        </w:rPr>
      </w:pPr>
      <w:r>
        <w:rPr>
          <w:sz w:val="24"/>
        </w:rPr>
        <w:t>Any</w:t>
      </w:r>
      <w:r>
        <w:rPr>
          <w:spacing w:val="-8"/>
          <w:sz w:val="24"/>
        </w:rPr>
        <w:t> </w:t>
      </w:r>
      <w:r>
        <w:rPr>
          <w:sz w:val="24"/>
        </w:rPr>
        <w:t>sum</w:t>
      </w:r>
      <w:r>
        <w:rPr>
          <w:spacing w:val="-1"/>
          <w:sz w:val="24"/>
        </w:rPr>
        <w:t> </w:t>
      </w:r>
      <w:r>
        <w:rPr>
          <w:sz w:val="24"/>
        </w:rPr>
        <w:t>recoverable under</w:t>
      </w:r>
      <w:r>
        <w:rPr>
          <w:spacing w:val="-1"/>
          <w:sz w:val="24"/>
        </w:rPr>
        <w:t> </w:t>
      </w:r>
      <w:r>
        <w:rPr>
          <w:sz w:val="24"/>
        </w:rPr>
        <w:t>an insurance</w:t>
      </w:r>
      <w:r>
        <w:rPr>
          <w:spacing w:val="-2"/>
          <w:sz w:val="24"/>
        </w:rPr>
        <w:t> </w:t>
      </w:r>
      <w:r>
        <w:rPr>
          <w:sz w:val="24"/>
        </w:rPr>
        <w:t>or contract</w:t>
      </w:r>
      <w:r>
        <w:rPr>
          <w:spacing w:val="-1"/>
          <w:sz w:val="24"/>
        </w:rPr>
        <w:t> </w:t>
      </w:r>
      <w:r>
        <w:rPr>
          <w:sz w:val="24"/>
        </w:rPr>
        <w:t>of </w:t>
      </w:r>
      <w:r>
        <w:rPr>
          <w:spacing w:val="-2"/>
          <w:sz w:val="24"/>
        </w:rPr>
        <w:t>indemnity</w:t>
      </w:r>
    </w:p>
    <w:p>
      <w:pPr>
        <w:pStyle w:val="ListParagraph"/>
        <w:numPr>
          <w:ilvl w:val="0"/>
          <w:numId w:val="10"/>
        </w:numPr>
        <w:tabs>
          <w:tab w:pos="1080" w:val="left" w:leader="none"/>
        </w:tabs>
        <w:spacing w:line="480" w:lineRule="auto" w:before="276" w:after="0"/>
        <w:ind w:left="1080" w:right="164" w:hanging="540"/>
        <w:jc w:val="both"/>
        <w:rPr>
          <w:sz w:val="24"/>
        </w:rPr>
      </w:pPr>
      <w:r>
        <w:rPr>
          <w:sz w:val="24"/>
        </w:rPr>
        <w:t>Rental of or cost of repairs to any premises or part of premises not incurred for the purpose of those operations; etc.</w:t>
      </w:r>
    </w:p>
    <w:p>
      <w:pPr>
        <w:pStyle w:val="BodyText"/>
        <w:spacing w:line="480" w:lineRule="auto"/>
        <w:ind w:left="360" w:right="162" w:firstLine="360"/>
        <w:jc w:val="both"/>
      </w:pPr>
      <w:r>
        <w:rPr/>
        <w:t>The Act also allows some adjustments to be made in accordance with the provisions of section</w:t>
      </w:r>
      <w:r>
        <w:rPr>
          <w:spacing w:val="-2"/>
        </w:rPr>
        <w:t> </w:t>
      </w:r>
      <w:r>
        <w:rPr/>
        <w:t>14</w:t>
      </w:r>
      <w:r>
        <w:rPr>
          <w:spacing w:val="-2"/>
        </w:rPr>
        <w:t> </w:t>
      </w:r>
      <w:r>
        <w:rPr/>
        <w:t>of</w:t>
      </w:r>
      <w:r>
        <w:rPr>
          <w:spacing w:val="-3"/>
        </w:rPr>
        <w:t> </w:t>
      </w:r>
      <w:r>
        <w:rPr/>
        <w:t>the</w:t>
      </w:r>
      <w:r>
        <w:rPr>
          <w:spacing w:val="-2"/>
        </w:rPr>
        <w:t> </w:t>
      </w:r>
      <w:r>
        <w:rPr/>
        <w:t>Act.</w:t>
      </w:r>
      <w:r>
        <w:rPr>
          <w:spacing w:val="-2"/>
        </w:rPr>
        <w:t> </w:t>
      </w:r>
      <w:r>
        <w:rPr/>
        <w:t>Section</w:t>
      </w:r>
      <w:r>
        <w:rPr>
          <w:spacing w:val="-2"/>
        </w:rPr>
        <w:t> </w:t>
      </w:r>
      <w:r>
        <w:rPr/>
        <w:t>14</w:t>
      </w:r>
      <w:r>
        <w:rPr>
          <w:spacing w:val="-2"/>
        </w:rPr>
        <w:t> </w:t>
      </w:r>
      <w:r>
        <w:rPr/>
        <w:t>excludes</w:t>
      </w:r>
      <w:r>
        <w:rPr>
          <w:spacing w:val="-2"/>
        </w:rPr>
        <w:t> </w:t>
      </w:r>
      <w:r>
        <w:rPr/>
        <w:t>the</w:t>
      </w:r>
      <w:r>
        <w:rPr>
          <w:spacing w:val="-2"/>
        </w:rPr>
        <w:t> </w:t>
      </w:r>
      <w:r>
        <w:rPr/>
        <w:t>inclusion</w:t>
      </w:r>
      <w:r>
        <w:rPr>
          <w:spacing w:val="-2"/>
        </w:rPr>
        <w:t> </w:t>
      </w:r>
      <w:r>
        <w:rPr/>
        <w:t>of</w:t>
      </w:r>
      <w:r>
        <w:rPr>
          <w:spacing w:val="-2"/>
        </w:rPr>
        <w:t> </w:t>
      </w:r>
      <w:r>
        <w:rPr/>
        <w:t>certain</w:t>
      </w:r>
      <w:r>
        <w:rPr>
          <w:spacing w:val="-2"/>
        </w:rPr>
        <w:t> </w:t>
      </w:r>
      <w:r>
        <w:rPr/>
        <w:t>profit</w:t>
      </w:r>
      <w:r>
        <w:rPr>
          <w:spacing w:val="-2"/>
        </w:rPr>
        <w:t> </w:t>
      </w:r>
      <w:r>
        <w:rPr/>
        <w:t>in</w:t>
      </w:r>
      <w:r>
        <w:rPr>
          <w:spacing w:val="-1"/>
        </w:rPr>
        <w:t> </w:t>
      </w:r>
      <w:r>
        <w:rPr/>
        <w:t>the</w:t>
      </w:r>
      <w:r>
        <w:rPr>
          <w:spacing w:val="-2"/>
        </w:rPr>
        <w:t> </w:t>
      </w:r>
      <w:r>
        <w:rPr/>
        <w:t>computation</w:t>
      </w:r>
      <w:r>
        <w:rPr>
          <w:spacing w:val="-2"/>
        </w:rPr>
        <w:t> </w:t>
      </w:r>
      <w:r>
        <w:rPr/>
        <w:t>of petroleum profit tax.</w:t>
      </w:r>
    </w:p>
    <w:p>
      <w:pPr>
        <w:pStyle w:val="BodyText"/>
        <w:spacing w:line="480" w:lineRule="auto"/>
        <w:ind w:left="360" w:right="158" w:firstLine="360"/>
        <w:jc w:val="both"/>
      </w:pPr>
      <w:r>
        <w:rPr/>
        <w:t>International Journal of Advanced Legal Studies and Governance, Vol. 4, No. 2, August 2013 11,the section provides thus;</w:t>
      </w:r>
    </w:p>
    <w:p>
      <w:pPr>
        <w:pStyle w:val="BodyText"/>
        <w:spacing w:before="1"/>
        <w:ind w:left="1800" w:right="1597"/>
        <w:jc w:val="both"/>
      </w:pPr>
      <w:r>
        <w:rPr/>
        <w:t>Where a company engaged in petroleum operation is engaged</w:t>
      </w:r>
      <w:r>
        <w:rPr>
          <w:spacing w:val="40"/>
        </w:rPr>
        <w:t> </w:t>
      </w:r>
      <w:r>
        <w:rPr/>
        <w:t>in the transportation of chargeable oil by ocean going oil- tankers operated by or on behalf of the company from Nigeria to another territory then such adjustments shall be made in computing an adjusted profit or loss as shall have the effect of excluding therefrom any profit or loss attributable to such </w:t>
      </w:r>
      <w:r>
        <w:rPr>
          <w:spacing w:val="-2"/>
        </w:rPr>
        <w:t>transportation.</w:t>
      </w:r>
    </w:p>
    <w:p>
      <w:pPr>
        <w:pStyle w:val="BodyText"/>
      </w:pPr>
    </w:p>
    <w:p>
      <w:pPr>
        <w:pStyle w:val="BodyText"/>
      </w:pPr>
    </w:p>
    <w:p>
      <w:pPr>
        <w:pStyle w:val="BodyText"/>
        <w:spacing w:line="480" w:lineRule="auto"/>
        <w:ind w:left="360" w:right="161" w:firstLine="719"/>
        <w:jc w:val="both"/>
      </w:pPr>
      <w:r>
        <w:rPr/>
        <w:t>The income derived from the transportation of crude oil by an ocean-going tanker is not</w:t>
      </w:r>
      <w:r>
        <w:rPr>
          <w:spacing w:val="58"/>
          <w:w w:val="150"/>
        </w:rPr>
        <w:t> </w:t>
      </w:r>
      <w:r>
        <w:rPr/>
        <w:t>an</w:t>
      </w:r>
      <w:r>
        <w:rPr>
          <w:spacing w:val="59"/>
          <w:w w:val="150"/>
        </w:rPr>
        <w:t> </w:t>
      </w:r>
      <w:r>
        <w:rPr/>
        <w:t>income</w:t>
      </w:r>
      <w:r>
        <w:rPr>
          <w:spacing w:val="59"/>
          <w:w w:val="150"/>
        </w:rPr>
        <w:t> </w:t>
      </w:r>
      <w:r>
        <w:rPr/>
        <w:t>derived</w:t>
      </w:r>
      <w:r>
        <w:rPr>
          <w:spacing w:val="63"/>
          <w:w w:val="150"/>
        </w:rPr>
        <w:t> </w:t>
      </w:r>
      <w:r>
        <w:rPr/>
        <w:t>from</w:t>
      </w:r>
      <w:r>
        <w:rPr>
          <w:spacing w:val="60"/>
          <w:w w:val="150"/>
        </w:rPr>
        <w:t> </w:t>
      </w:r>
      <w:r>
        <w:rPr/>
        <w:t>petroleum</w:t>
      </w:r>
      <w:r>
        <w:rPr>
          <w:spacing w:val="60"/>
          <w:w w:val="150"/>
        </w:rPr>
        <w:t> </w:t>
      </w:r>
      <w:r>
        <w:rPr/>
        <w:t>operation.</w:t>
      </w:r>
      <w:r>
        <w:rPr>
          <w:spacing w:val="64"/>
          <w:w w:val="150"/>
        </w:rPr>
        <w:t> </w:t>
      </w:r>
      <w:r>
        <w:rPr/>
        <w:t>Consequently,</w:t>
      </w:r>
      <w:r>
        <w:rPr>
          <w:spacing w:val="60"/>
          <w:w w:val="150"/>
        </w:rPr>
        <w:t> </w:t>
      </w:r>
      <w:r>
        <w:rPr/>
        <w:t>such</w:t>
      </w:r>
      <w:r>
        <w:rPr>
          <w:spacing w:val="59"/>
          <w:w w:val="150"/>
        </w:rPr>
        <w:t> </w:t>
      </w:r>
      <w:r>
        <w:rPr/>
        <w:t>income</w:t>
      </w:r>
      <w:r>
        <w:rPr>
          <w:spacing w:val="59"/>
          <w:w w:val="150"/>
        </w:rPr>
        <w:t> </w:t>
      </w:r>
      <w:r>
        <w:rPr/>
        <w:t>is</w:t>
      </w:r>
      <w:r>
        <w:rPr>
          <w:spacing w:val="61"/>
          <w:w w:val="150"/>
        </w:rPr>
        <w:t> </w:t>
      </w:r>
      <w:r>
        <w:rPr>
          <w:spacing w:val="-5"/>
        </w:rPr>
        <w:t>not</w:t>
      </w:r>
    </w:p>
    <w:p>
      <w:pPr>
        <w:pStyle w:val="BodyText"/>
        <w:spacing w:before="134"/>
        <w:rPr>
          <w:sz w:val="20"/>
        </w:rPr>
      </w:pPr>
      <w:r>
        <w:rPr/>
        <mc:AlternateContent>
          <mc:Choice Requires="wps">
            <w:drawing>
              <wp:anchor distT="0" distB="0" distL="0" distR="0" allowOverlap="1" layoutInCell="1" locked="0" behindDoc="1" simplePos="0" relativeHeight="487611392">
                <wp:simplePos x="0" y="0"/>
                <wp:positionH relativeFrom="page">
                  <wp:posOffset>914704</wp:posOffset>
                </wp:positionH>
                <wp:positionV relativeFrom="paragraph">
                  <wp:posOffset>246526</wp:posOffset>
                </wp:positionV>
                <wp:extent cx="1829435" cy="9525"/>
                <wp:effectExtent l="0" t="0" r="0" b="0"/>
                <wp:wrapTopAndBottom/>
                <wp:docPr id="51" name="Graphic 51"/>
                <wp:cNvGraphicFramePr>
                  <a:graphicFrameLocks/>
                </wp:cNvGraphicFramePr>
                <a:graphic>
                  <a:graphicData uri="http://schemas.microsoft.com/office/word/2010/wordprocessingShape">
                    <wps:wsp>
                      <wps:cNvPr id="51" name="Graphic 51"/>
                      <wps:cNvSpPr/>
                      <wps:spPr>
                        <a:xfrm>
                          <a:off x="0" y="0"/>
                          <a:ext cx="1829435" cy="9525"/>
                        </a:xfrm>
                        <a:custGeom>
                          <a:avLst/>
                          <a:gdLst/>
                          <a:ahLst/>
                          <a:cxnLst/>
                          <a:rect l="l" t="t" r="r" b="b"/>
                          <a:pathLst>
                            <a:path w="1829435" h="9525">
                              <a:moveTo>
                                <a:pt x="1829054" y="0"/>
                              </a:moveTo>
                              <a:lnTo>
                                <a:pt x="0" y="0"/>
                              </a:lnTo>
                              <a:lnTo>
                                <a:pt x="0" y="9144"/>
                              </a:lnTo>
                              <a:lnTo>
                                <a:pt x="1829054" y="9144"/>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19.411533pt;width:144.020pt;height:.72003pt;mso-position-horizontal-relative:page;mso-position-vertical-relative:paragraph;z-index:-15705088;mso-wrap-distance-left:0;mso-wrap-distance-right:0" id="docshape51" filled="true" fillcolor="#000000" stroked="false">
                <v:fill type="solid"/>
                <w10:wrap type="topAndBottom"/>
              </v:rect>
            </w:pict>
          </mc:Fallback>
        </mc:AlternateContent>
      </w:r>
    </w:p>
    <w:p>
      <w:pPr>
        <w:spacing w:before="102"/>
        <w:ind w:left="360" w:right="0" w:firstLine="0"/>
        <w:jc w:val="left"/>
        <w:rPr>
          <w:rFonts w:ascii="Calibri"/>
          <w:sz w:val="20"/>
        </w:rPr>
      </w:pPr>
      <w:r>
        <w:rPr>
          <w:rFonts w:ascii="Calibri"/>
          <w:sz w:val="20"/>
          <w:vertAlign w:val="superscript"/>
        </w:rPr>
        <w:t>53</w:t>
      </w:r>
      <w:r>
        <w:rPr>
          <w:rFonts w:ascii="Calibri"/>
          <w:sz w:val="20"/>
          <w:vertAlign w:val="baseline"/>
        </w:rPr>
        <w:t>(supra).</w:t>
      </w:r>
      <w:r>
        <w:rPr>
          <w:rFonts w:ascii="Calibri"/>
          <w:spacing w:val="-7"/>
          <w:sz w:val="20"/>
          <w:vertAlign w:val="baseline"/>
        </w:rPr>
        <w:t> </w:t>
      </w:r>
      <w:r>
        <w:rPr>
          <w:rFonts w:ascii="Calibri"/>
          <w:sz w:val="20"/>
          <w:vertAlign w:val="baseline"/>
        </w:rPr>
        <w:t>Also</w:t>
      </w:r>
      <w:r>
        <w:rPr>
          <w:rFonts w:ascii="Calibri"/>
          <w:spacing w:val="-5"/>
          <w:sz w:val="20"/>
          <w:vertAlign w:val="baseline"/>
        </w:rPr>
        <w:t> </w:t>
      </w:r>
      <w:r>
        <w:rPr>
          <w:rFonts w:ascii="Calibri"/>
          <w:sz w:val="20"/>
          <w:vertAlign w:val="baseline"/>
        </w:rPr>
        <w:t>reported</w:t>
      </w:r>
      <w:r>
        <w:rPr>
          <w:rFonts w:ascii="Calibri"/>
          <w:spacing w:val="-6"/>
          <w:sz w:val="20"/>
          <w:vertAlign w:val="baseline"/>
        </w:rPr>
        <w:t> </w:t>
      </w:r>
      <w:r>
        <w:rPr>
          <w:rFonts w:ascii="Calibri"/>
          <w:sz w:val="20"/>
          <w:vertAlign w:val="baseline"/>
        </w:rPr>
        <w:t>in</w:t>
      </w:r>
      <w:r>
        <w:rPr>
          <w:rFonts w:ascii="Calibri"/>
          <w:spacing w:val="-5"/>
          <w:sz w:val="20"/>
          <w:vertAlign w:val="baseline"/>
        </w:rPr>
        <w:t> </w:t>
      </w:r>
      <w:r>
        <w:rPr>
          <w:rFonts w:ascii="Calibri"/>
          <w:sz w:val="20"/>
          <w:vertAlign w:val="baseline"/>
        </w:rPr>
        <w:t>NOGC</w:t>
      </w:r>
      <w:r>
        <w:rPr>
          <w:rFonts w:ascii="Calibri"/>
          <w:spacing w:val="-6"/>
          <w:sz w:val="20"/>
          <w:vertAlign w:val="baseline"/>
        </w:rPr>
        <w:t> </w:t>
      </w:r>
      <w:r>
        <w:rPr>
          <w:rFonts w:ascii="Calibri"/>
          <w:sz w:val="20"/>
          <w:vertAlign w:val="baseline"/>
        </w:rPr>
        <w:t>2</w:t>
      </w:r>
      <w:r>
        <w:rPr>
          <w:rFonts w:ascii="Calibri"/>
          <w:spacing w:val="-6"/>
          <w:sz w:val="20"/>
          <w:vertAlign w:val="baseline"/>
        </w:rPr>
        <w:t> </w:t>
      </w:r>
      <w:r>
        <w:rPr>
          <w:rFonts w:ascii="Calibri"/>
          <w:sz w:val="20"/>
          <w:vertAlign w:val="baseline"/>
        </w:rPr>
        <w:t>[1996-2000]</w:t>
      </w:r>
      <w:r>
        <w:rPr>
          <w:rFonts w:ascii="Calibri"/>
          <w:spacing w:val="-8"/>
          <w:sz w:val="20"/>
          <w:vertAlign w:val="baseline"/>
        </w:rPr>
        <w:t> </w:t>
      </w:r>
      <w:r>
        <w:rPr>
          <w:rFonts w:ascii="Calibri"/>
          <w:sz w:val="20"/>
          <w:vertAlign w:val="baseline"/>
        </w:rPr>
        <w:t>156</w:t>
      </w:r>
      <w:r>
        <w:rPr>
          <w:rFonts w:ascii="Calibri"/>
          <w:spacing w:val="-3"/>
          <w:sz w:val="20"/>
          <w:vertAlign w:val="baseline"/>
        </w:rPr>
        <w:t> </w:t>
      </w:r>
      <w:r>
        <w:rPr>
          <w:rFonts w:ascii="Calibri"/>
          <w:spacing w:val="-5"/>
          <w:sz w:val="20"/>
          <w:vertAlign w:val="baseline"/>
        </w:rPr>
        <w:t>CA.</w:t>
      </w:r>
    </w:p>
    <w:p>
      <w:pPr>
        <w:spacing w:before="1"/>
        <w:ind w:left="360" w:right="0" w:firstLine="0"/>
        <w:jc w:val="left"/>
        <w:rPr>
          <w:rFonts w:ascii="Calibri"/>
          <w:sz w:val="20"/>
        </w:rPr>
      </w:pPr>
      <w:r>
        <w:rPr>
          <w:rFonts w:ascii="Calibri"/>
          <w:sz w:val="20"/>
          <w:vertAlign w:val="superscript"/>
        </w:rPr>
        <w:t>54</w:t>
      </w:r>
      <w:r>
        <w:rPr>
          <w:rFonts w:ascii="Calibri"/>
          <w:sz w:val="20"/>
          <w:vertAlign w:val="baseline"/>
        </w:rPr>
        <w:t>Section</w:t>
      </w:r>
      <w:r>
        <w:rPr>
          <w:rFonts w:ascii="Calibri"/>
          <w:spacing w:val="-8"/>
          <w:sz w:val="20"/>
          <w:vertAlign w:val="baseline"/>
        </w:rPr>
        <w:t> </w:t>
      </w:r>
      <w:r>
        <w:rPr>
          <w:rFonts w:ascii="Calibri"/>
          <w:sz w:val="20"/>
          <w:vertAlign w:val="baseline"/>
        </w:rPr>
        <w:t>13</w:t>
      </w:r>
      <w:r>
        <w:rPr>
          <w:rFonts w:ascii="Calibri"/>
          <w:spacing w:val="-7"/>
          <w:sz w:val="20"/>
          <w:vertAlign w:val="baseline"/>
        </w:rPr>
        <w:t> </w:t>
      </w:r>
      <w:r>
        <w:rPr>
          <w:rFonts w:ascii="Calibri"/>
          <w:spacing w:val="-4"/>
          <w:sz w:val="20"/>
          <w:vertAlign w:val="baseline"/>
        </w:rPr>
        <w:t>Ibid</w:t>
      </w:r>
    </w:p>
    <w:p>
      <w:pPr>
        <w:spacing w:after="0"/>
        <w:jc w:val="left"/>
        <w:rPr>
          <w:rFonts w:ascii="Calibri"/>
          <w:sz w:val="20"/>
        </w:rPr>
        <w:sectPr>
          <w:pgSz w:w="11910" w:h="16840"/>
          <w:pgMar w:header="0" w:footer="1000" w:top="1340" w:bottom="1200" w:left="1080" w:right="1280"/>
        </w:sectPr>
      </w:pPr>
    </w:p>
    <w:p>
      <w:pPr>
        <w:pStyle w:val="BodyText"/>
        <w:spacing w:line="480" w:lineRule="auto" w:before="74"/>
        <w:ind w:left="360" w:right="154"/>
        <w:jc w:val="both"/>
      </w:pPr>
      <w:r>
        <w:rPr/>
        <w:t>chargeable to tax under the provisions of the Petroleum Profit Tax Act. The position of the law is that such income should be subject to tax under the provisions of the Companies Income Tax Act. Thus, any expenses incurred to earn the income from the transportation of crude oil shall be treated as a non-allowable expense under the Petroleum profit Tax Act. It follows then that the profit of the company will be adjusted in such a way as to exclude that portion of the profit relating to transportation of oil outside the shores of the country. The profit so excluded shall be subject to tax under the Companies Income Tax Act. Apart from this, there are other incomes which are regarded as non-taxable incomes, and for which adjustments must be made. These include:</w:t>
      </w:r>
    </w:p>
    <w:p>
      <w:pPr>
        <w:pStyle w:val="ListParagraph"/>
        <w:numPr>
          <w:ilvl w:val="0"/>
          <w:numId w:val="11"/>
        </w:numPr>
        <w:tabs>
          <w:tab w:pos="1078" w:val="left" w:leader="none"/>
        </w:tabs>
        <w:spacing w:line="240" w:lineRule="auto" w:before="1" w:after="0"/>
        <w:ind w:left="1078" w:right="0" w:hanging="485"/>
        <w:jc w:val="both"/>
        <w:rPr>
          <w:sz w:val="24"/>
        </w:rPr>
      </w:pPr>
      <w:r>
        <w:rPr>
          <w:sz w:val="24"/>
        </w:rPr>
        <w:t>Income</w:t>
      </w:r>
      <w:r>
        <w:rPr>
          <w:spacing w:val="-2"/>
          <w:sz w:val="24"/>
        </w:rPr>
        <w:t> </w:t>
      </w:r>
      <w:r>
        <w:rPr>
          <w:sz w:val="24"/>
        </w:rPr>
        <w:t>from refinery</w:t>
      </w:r>
      <w:r>
        <w:rPr>
          <w:spacing w:val="-6"/>
          <w:sz w:val="24"/>
        </w:rPr>
        <w:t> </w:t>
      </w:r>
      <w:r>
        <w:rPr>
          <w:spacing w:val="-2"/>
          <w:sz w:val="24"/>
        </w:rPr>
        <w:t>operations;</w:t>
      </w:r>
    </w:p>
    <w:p>
      <w:pPr>
        <w:pStyle w:val="BodyText"/>
      </w:pPr>
    </w:p>
    <w:p>
      <w:pPr>
        <w:pStyle w:val="ListParagraph"/>
        <w:numPr>
          <w:ilvl w:val="0"/>
          <w:numId w:val="11"/>
        </w:numPr>
        <w:tabs>
          <w:tab w:pos="1079" w:val="left" w:leader="none"/>
        </w:tabs>
        <w:spacing w:line="240" w:lineRule="auto" w:before="0" w:after="0"/>
        <w:ind w:left="1079" w:right="0" w:hanging="553"/>
        <w:jc w:val="both"/>
        <w:rPr>
          <w:sz w:val="24"/>
        </w:rPr>
      </w:pPr>
      <w:r>
        <w:rPr>
          <w:sz w:val="24"/>
        </w:rPr>
        <w:t>Any</w:t>
      </w:r>
      <w:r>
        <w:rPr>
          <w:spacing w:val="-3"/>
          <w:sz w:val="24"/>
        </w:rPr>
        <w:t> </w:t>
      </w:r>
      <w:r>
        <w:rPr>
          <w:sz w:val="24"/>
        </w:rPr>
        <w:t>reversal into income</w:t>
      </w:r>
      <w:r>
        <w:rPr>
          <w:spacing w:val="1"/>
          <w:sz w:val="24"/>
        </w:rPr>
        <w:t> </w:t>
      </w:r>
      <w:r>
        <w:rPr>
          <w:sz w:val="24"/>
        </w:rPr>
        <w:t>of a</w:t>
      </w:r>
      <w:r>
        <w:rPr>
          <w:spacing w:val="-2"/>
          <w:sz w:val="24"/>
        </w:rPr>
        <w:t> </w:t>
      </w:r>
      <w:r>
        <w:rPr>
          <w:sz w:val="24"/>
        </w:rPr>
        <w:t>previously</w:t>
      </w:r>
      <w:r>
        <w:rPr>
          <w:spacing w:val="55"/>
          <w:sz w:val="24"/>
        </w:rPr>
        <w:t> </w:t>
      </w:r>
      <w:r>
        <w:rPr>
          <w:sz w:val="24"/>
        </w:rPr>
        <w:t>disallowed </w:t>
      </w:r>
      <w:r>
        <w:rPr>
          <w:spacing w:val="-2"/>
          <w:sz w:val="24"/>
        </w:rPr>
        <w:t>expenses</w:t>
      </w:r>
    </w:p>
    <w:p>
      <w:pPr>
        <w:pStyle w:val="BodyText"/>
      </w:pPr>
    </w:p>
    <w:p>
      <w:pPr>
        <w:pStyle w:val="ListParagraph"/>
        <w:numPr>
          <w:ilvl w:val="0"/>
          <w:numId w:val="11"/>
        </w:numPr>
        <w:tabs>
          <w:tab w:pos="1078" w:val="left" w:leader="none"/>
        </w:tabs>
        <w:spacing w:line="240" w:lineRule="auto" w:before="0" w:after="0"/>
        <w:ind w:left="1078" w:right="0" w:hanging="617"/>
        <w:jc w:val="both"/>
        <w:rPr>
          <w:sz w:val="24"/>
        </w:rPr>
      </w:pPr>
      <w:r>
        <w:rPr>
          <w:sz w:val="24"/>
        </w:rPr>
        <w:t>Any</w:t>
      </w:r>
      <w:r>
        <w:rPr>
          <w:spacing w:val="-7"/>
          <w:sz w:val="24"/>
        </w:rPr>
        <w:t> </w:t>
      </w:r>
      <w:r>
        <w:rPr>
          <w:sz w:val="24"/>
        </w:rPr>
        <w:t>profit on the</w:t>
      </w:r>
      <w:r>
        <w:rPr>
          <w:spacing w:val="1"/>
          <w:sz w:val="24"/>
        </w:rPr>
        <w:t> </w:t>
      </w:r>
      <w:r>
        <w:rPr>
          <w:sz w:val="24"/>
        </w:rPr>
        <w:t>disposal of fixed</w:t>
      </w:r>
      <w:r>
        <w:rPr>
          <w:spacing w:val="1"/>
          <w:sz w:val="24"/>
        </w:rPr>
        <w:t> </w:t>
      </w:r>
      <w:r>
        <w:rPr>
          <w:spacing w:val="-2"/>
          <w:sz w:val="24"/>
        </w:rPr>
        <w:t>asset;</w:t>
      </w:r>
    </w:p>
    <w:p>
      <w:pPr>
        <w:pStyle w:val="BodyText"/>
      </w:pPr>
    </w:p>
    <w:p>
      <w:pPr>
        <w:pStyle w:val="BodyText"/>
        <w:spacing w:line="480" w:lineRule="auto"/>
        <w:ind w:left="360" w:right="155" w:firstLine="719"/>
        <w:jc w:val="both"/>
      </w:pPr>
      <w:r>
        <w:rPr/>
        <w:t>There is no provision under the Act, unlike the Companies Income Tax Act, relating</w:t>
      </w:r>
      <w:r>
        <w:rPr>
          <w:spacing w:val="40"/>
        </w:rPr>
        <w:t> </w:t>
      </w:r>
      <w:r>
        <w:rPr/>
        <w:t>to allowable donations. It is therefore correct to say that any donation made by a company engaged in petroleum operations shall be regarded as a non-allowable expense. It should also be noted that before expenses can be regarded as incidental to petroleum operation such expenses</w:t>
      </w:r>
      <w:r>
        <w:rPr>
          <w:spacing w:val="-1"/>
        </w:rPr>
        <w:t> </w:t>
      </w:r>
      <w:r>
        <w:rPr/>
        <w:t>must wholly, exclusively</w:t>
      </w:r>
      <w:r>
        <w:rPr>
          <w:spacing w:val="-8"/>
        </w:rPr>
        <w:t> </w:t>
      </w:r>
      <w:r>
        <w:rPr/>
        <w:t>and necessarily</w:t>
      </w:r>
      <w:r>
        <w:rPr>
          <w:spacing w:val="-3"/>
        </w:rPr>
        <w:t> </w:t>
      </w:r>
      <w:r>
        <w:rPr/>
        <w:t>be</w:t>
      </w:r>
      <w:r>
        <w:rPr>
          <w:spacing w:val="-1"/>
        </w:rPr>
        <w:t> </w:t>
      </w:r>
      <w:r>
        <w:rPr/>
        <w:t>incurred by</w:t>
      </w:r>
      <w:r>
        <w:rPr>
          <w:spacing w:val="-5"/>
        </w:rPr>
        <w:t> </w:t>
      </w:r>
      <w:r>
        <w:rPr/>
        <w:t>the</w:t>
      </w:r>
      <w:r>
        <w:rPr>
          <w:spacing w:val="-1"/>
        </w:rPr>
        <w:t> </w:t>
      </w:r>
      <w:r>
        <w:rPr/>
        <w:t>company. The</w:t>
      </w:r>
      <w:r>
        <w:rPr>
          <w:spacing w:val="-2"/>
        </w:rPr>
        <w:t> </w:t>
      </w:r>
      <w:r>
        <w:rPr/>
        <w:t>Supreme Court held that such must be;” expenses wholly, exclusively and necessarily be incurred for the purpose of petroleum operation</w:t>
      </w:r>
      <w:r>
        <w:rPr>
          <w:spacing w:val="-15"/>
        </w:rPr>
        <w:t> </w:t>
      </w:r>
      <w:r>
        <w:rPr>
          <w:vertAlign w:val="superscript"/>
        </w:rPr>
        <w:t>55</w:t>
      </w:r>
      <w:r>
        <w:rPr>
          <w:spacing w:val="-15"/>
          <w:vertAlign w:val="baseline"/>
        </w:rPr>
        <w:t> </w:t>
      </w:r>
      <w:r>
        <w:rPr>
          <w:vertAlign w:val="baseline"/>
        </w:rPr>
        <w:t>, which phrase been interpreted to mean solely or entirely. Where a deduction has been allowed to a company under section 10 in respect of</w:t>
      </w:r>
      <w:r>
        <w:rPr>
          <w:spacing w:val="80"/>
          <w:vertAlign w:val="baseline"/>
        </w:rPr>
        <w:t> </w:t>
      </w:r>
      <w:r>
        <w:rPr>
          <w:vertAlign w:val="baseline"/>
        </w:rPr>
        <w:t>any liability or any part thereof corresponding to such part of the liability, shall, for the purpose of subsection (1) (d) of section 9, be treated as income of the company of the accounting period in which such waiver or real ease was made or given.</w:t>
      </w:r>
    </w:p>
    <w:p>
      <w:pPr>
        <w:pStyle w:val="BodyText"/>
        <w:rPr>
          <w:sz w:val="20"/>
        </w:rPr>
      </w:pPr>
    </w:p>
    <w:p>
      <w:pPr>
        <w:pStyle w:val="BodyText"/>
        <w:spacing w:before="181"/>
        <w:rPr>
          <w:sz w:val="20"/>
        </w:rPr>
      </w:pPr>
      <w:r>
        <w:rPr/>
        <mc:AlternateContent>
          <mc:Choice Requires="wps">
            <w:drawing>
              <wp:anchor distT="0" distB="0" distL="0" distR="0" allowOverlap="1" layoutInCell="1" locked="0" behindDoc="1" simplePos="0" relativeHeight="487611904">
                <wp:simplePos x="0" y="0"/>
                <wp:positionH relativeFrom="page">
                  <wp:posOffset>914704</wp:posOffset>
                </wp:positionH>
                <wp:positionV relativeFrom="paragraph">
                  <wp:posOffset>276413</wp:posOffset>
                </wp:positionV>
                <wp:extent cx="1829435" cy="9525"/>
                <wp:effectExtent l="0" t="0" r="0" b="0"/>
                <wp:wrapTopAndBottom/>
                <wp:docPr id="52" name="Graphic 52"/>
                <wp:cNvGraphicFramePr>
                  <a:graphicFrameLocks/>
                </wp:cNvGraphicFramePr>
                <a:graphic>
                  <a:graphicData uri="http://schemas.microsoft.com/office/word/2010/wordprocessingShape">
                    <wps:wsp>
                      <wps:cNvPr id="52" name="Graphic 52"/>
                      <wps:cNvSpPr/>
                      <wps:spPr>
                        <a:xfrm>
                          <a:off x="0" y="0"/>
                          <a:ext cx="1829435" cy="9525"/>
                        </a:xfrm>
                        <a:custGeom>
                          <a:avLst/>
                          <a:gdLst/>
                          <a:ahLst/>
                          <a:cxnLst/>
                          <a:rect l="l" t="t" r="r" b="b"/>
                          <a:pathLst>
                            <a:path w="1829435" h="9525">
                              <a:moveTo>
                                <a:pt x="1829054" y="0"/>
                              </a:moveTo>
                              <a:lnTo>
                                <a:pt x="0" y="0"/>
                              </a:lnTo>
                              <a:lnTo>
                                <a:pt x="0" y="9144"/>
                              </a:lnTo>
                              <a:lnTo>
                                <a:pt x="1829054" y="9144"/>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21.764853pt;width:144.020pt;height:.72003pt;mso-position-horizontal-relative:page;mso-position-vertical-relative:paragraph;z-index:-15704576;mso-wrap-distance-left:0;mso-wrap-distance-right:0" id="docshape52" filled="true" fillcolor="#000000" stroked="false">
                <v:fill type="solid"/>
                <w10:wrap type="topAndBottom"/>
              </v:rect>
            </w:pict>
          </mc:Fallback>
        </mc:AlternateContent>
      </w:r>
    </w:p>
    <w:p>
      <w:pPr>
        <w:spacing w:before="102"/>
        <w:ind w:left="360" w:right="0" w:firstLine="0"/>
        <w:jc w:val="left"/>
        <w:rPr>
          <w:rFonts w:ascii="Calibri"/>
          <w:sz w:val="20"/>
        </w:rPr>
      </w:pPr>
      <w:r>
        <w:rPr>
          <w:rFonts w:ascii="Calibri"/>
          <w:sz w:val="20"/>
          <w:vertAlign w:val="superscript"/>
        </w:rPr>
        <w:t>55</w:t>
      </w:r>
      <w:r>
        <w:rPr>
          <w:rFonts w:ascii="Calibri"/>
          <w:sz w:val="20"/>
          <w:vertAlign w:val="baseline"/>
        </w:rPr>
        <w:t>Per</w:t>
      </w:r>
      <w:r>
        <w:rPr>
          <w:rFonts w:ascii="Calibri"/>
          <w:spacing w:val="-8"/>
          <w:sz w:val="20"/>
          <w:vertAlign w:val="baseline"/>
        </w:rPr>
        <w:t> </w:t>
      </w:r>
      <w:r>
        <w:rPr>
          <w:rFonts w:ascii="Calibri"/>
          <w:sz w:val="20"/>
          <w:vertAlign w:val="baseline"/>
        </w:rPr>
        <w:t>Uwais,</w:t>
      </w:r>
      <w:r>
        <w:rPr>
          <w:rFonts w:ascii="Calibri"/>
          <w:spacing w:val="-6"/>
          <w:sz w:val="20"/>
          <w:vertAlign w:val="baseline"/>
        </w:rPr>
        <w:t> </w:t>
      </w:r>
      <w:r>
        <w:rPr>
          <w:rFonts w:ascii="Calibri"/>
          <w:sz w:val="20"/>
          <w:vertAlign w:val="baseline"/>
        </w:rPr>
        <w:t>CJN</w:t>
      </w:r>
      <w:r>
        <w:rPr>
          <w:rFonts w:ascii="Calibri"/>
          <w:spacing w:val="-6"/>
          <w:sz w:val="20"/>
          <w:vertAlign w:val="baseline"/>
        </w:rPr>
        <w:t> </w:t>
      </w:r>
      <w:r>
        <w:rPr>
          <w:rFonts w:ascii="Calibri"/>
          <w:sz w:val="20"/>
          <w:vertAlign w:val="baseline"/>
        </w:rPr>
        <w:t>in</w:t>
      </w:r>
      <w:r>
        <w:rPr>
          <w:rFonts w:ascii="Calibri"/>
          <w:spacing w:val="-4"/>
          <w:sz w:val="20"/>
          <w:vertAlign w:val="baseline"/>
        </w:rPr>
        <w:t> </w:t>
      </w:r>
      <w:r>
        <w:rPr>
          <w:rFonts w:ascii="Calibri"/>
          <w:i/>
          <w:sz w:val="20"/>
          <w:vertAlign w:val="baseline"/>
        </w:rPr>
        <w:t>Shell</w:t>
      </w:r>
      <w:r>
        <w:rPr>
          <w:rFonts w:ascii="Calibri"/>
          <w:i/>
          <w:spacing w:val="-8"/>
          <w:sz w:val="20"/>
          <w:vertAlign w:val="baseline"/>
        </w:rPr>
        <w:t> </w:t>
      </w:r>
      <w:r>
        <w:rPr>
          <w:rFonts w:ascii="Calibri"/>
          <w:i/>
          <w:sz w:val="20"/>
          <w:vertAlign w:val="baseline"/>
        </w:rPr>
        <w:t>Petroleum</w:t>
      </w:r>
      <w:r>
        <w:rPr>
          <w:rFonts w:ascii="Calibri"/>
          <w:i/>
          <w:spacing w:val="-6"/>
          <w:sz w:val="20"/>
          <w:vertAlign w:val="baseline"/>
        </w:rPr>
        <w:t> </w:t>
      </w:r>
      <w:r>
        <w:rPr>
          <w:rFonts w:ascii="Calibri"/>
          <w:i/>
          <w:sz w:val="20"/>
          <w:vertAlign w:val="baseline"/>
        </w:rPr>
        <w:t>Development</w:t>
      </w:r>
      <w:r>
        <w:rPr>
          <w:rFonts w:ascii="Calibri"/>
          <w:i/>
          <w:spacing w:val="-6"/>
          <w:sz w:val="20"/>
          <w:vertAlign w:val="baseline"/>
        </w:rPr>
        <w:t> </w:t>
      </w:r>
      <w:r>
        <w:rPr>
          <w:rFonts w:ascii="Calibri"/>
          <w:i/>
          <w:sz w:val="20"/>
          <w:vertAlign w:val="baseline"/>
        </w:rPr>
        <w:t>Company</w:t>
      </w:r>
      <w:r>
        <w:rPr>
          <w:rFonts w:ascii="Calibri"/>
          <w:i/>
          <w:spacing w:val="-7"/>
          <w:sz w:val="20"/>
          <w:vertAlign w:val="baseline"/>
        </w:rPr>
        <w:t> </w:t>
      </w:r>
      <w:r>
        <w:rPr>
          <w:rFonts w:ascii="Calibri"/>
          <w:i/>
          <w:sz w:val="20"/>
          <w:vertAlign w:val="baseline"/>
        </w:rPr>
        <w:t>Ltd.</w:t>
      </w:r>
      <w:r>
        <w:rPr>
          <w:rFonts w:ascii="Calibri"/>
          <w:i/>
          <w:spacing w:val="-6"/>
          <w:sz w:val="20"/>
          <w:vertAlign w:val="baseline"/>
        </w:rPr>
        <w:t> </w:t>
      </w:r>
      <w:r>
        <w:rPr>
          <w:rFonts w:ascii="Calibri"/>
          <w:i/>
          <w:sz w:val="20"/>
          <w:vertAlign w:val="baseline"/>
        </w:rPr>
        <w:t>v.</w:t>
      </w:r>
      <w:r>
        <w:rPr>
          <w:rFonts w:ascii="Calibri"/>
          <w:i/>
          <w:spacing w:val="-6"/>
          <w:sz w:val="20"/>
          <w:vertAlign w:val="baseline"/>
        </w:rPr>
        <w:t> </w:t>
      </w:r>
      <w:r>
        <w:rPr>
          <w:rFonts w:ascii="Calibri"/>
          <w:i/>
          <w:sz w:val="20"/>
          <w:vertAlign w:val="baseline"/>
        </w:rPr>
        <w:t>Federal</w:t>
      </w:r>
      <w:r>
        <w:rPr>
          <w:rFonts w:ascii="Calibri"/>
          <w:i/>
          <w:spacing w:val="-7"/>
          <w:sz w:val="20"/>
          <w:vertAlign w:val="baseline"/>
        </w:rPr>
        <w:t> </w:t>
      </w:r>
      <w:r>
        <w:rPr>
          <w:rFonts w:ascii="Calibri"/>
          <w:i/>
          <w:sz w:val="20"/>
          <w:vertAlign w:val="baseline"/>
        </w:rPr>
        <w:t>Board</w:t>
      </w:r>
      <w:r>
        <w:rPr>
          <w:rFonts w:ascii="Calibri"/>
          <w:i/>
          <w:spacing w:val="-7"/>
          <w:sz w:val="20"/>
          <w:vertAlign w:val="baseline"/>
        </w:rPr>
        <w:t> </w:t>
      </w:r>
      <w:r>
        <w:rPr>
          <w:rFonts w:ascii="Calibri"/>
          <w:i/>
          <w:sz w:val="20"/>
          <w:vertAlign w:val="baseline"/>
        </w:rPr>
        <w:t>ofInternal</w:t>
      </w:r>
      <w:r>
        <w:rPr>
          <w:rFonts w:ascii="Calibri"/>
          <w:i/>
          <w:spacing w:val="-7"/>
          <w:sz w:val="20"/>
          <w:vertAlign w:val="baseline"/>
        </w:rPr>
        <w:t> </w:t>
      </w:r>
      <w:r>
        <w:rPr>
          <w:rFonts w:ascii="Calibri"/>
          <w:i/>
          <w:sz w:val="20"/>
          <w:vertAlign w:val="baseline"/>
        </w:rPr>
        <w:t>Revenue</w:t>
      </w:r>
      <w:r>
        <w:rPr>
          <w:rFonts w:ascii="Calibri"/>
          <w:i/>
          <w:spacing w:val="-6"/>
          <w:sz w:val="20"/>
          <w:vertAlign w:val="baseline"/>
        </w:rPr>
        <w:t> </w:t>
      </w:r>
      <w:r>
        <w:rPr>
          <w:rFonts w:ascii="Calibri"/>
          <w:i/>
          <w:sz w:val="20"/>
          <w:vertAlign w:val="baseline"/>
        </w:rPr>
        <w:t>(</w:t>
      </w:r>
      <w:r>
        <w:rPr>
          <w:rFonts w:ascii="Calibri"/>
          <w:sz w:val="20"/>
          <w:vertAlign w:val="baseline"/>
        </w:rPr>
        <w:t>supra)</w:t>
      </w:r>
      <w:r>
        <w:rPr>
          <w:rFonts w:ascii="Calibri"/>
          <w:spacing w:val="-7"/>
          <w:sz w:val="20"/>
          <w:vertAlign w:val="baseline"/>
        </w:rPr>
        <w:t> </w:t>
      </w:r>
      <w:r>
        <w:rPr>
          <w:rFonts w:ascii="Calibri"/>
          <w:spacing w:val="-5"/>
          <w:sz w:val="20"/>
          <w:vertAlign w:val="baseline"/>
        </w:rPr>
        <w:t>at</w:t>
      </w:r>
    </w:p>
    <w:p>
      <w:pPr>
        <w:spacing w:before="1"/>
        <w:ind w:left="360" w:right="0" w:firstLine="0"/>
        <w:jc w:val="left"/>
        <w:rPr>
          <w:rFonts w:ascii="Calibri"/>
          <w:sz w:val="20"/>
        </w:rPr>
      </w:pPr>
      <w:r>
        <w:rPr>
          <w:rFonts w:ascii="Calibri"/>
          <w:sz w:val="20"/>
        </w:rPr>
        <w:t>p.</w:t>
      </w:r>
      <w:r>
        <w:rPr>
          <w:rFonts w:ascii="Calibri"/>
          <w:spacing w:val="-5"/>
          <w:sz w:val="20"/>
        </w:rPr>
        <w:t> </w:t>
      </w:r>
      <w:r>
        <w:rPr>
          <w:rFonts w:ascii="Calibri"/>
          <w:sz w:val="20"/>
        </w:rPr>
        <w:t>109,</w:t>
      </w:r>
      <w:r>
        <w:rPr>
          <w:rFonts w:ascii="Calibri"/>
          <w:spacing w:val="-5"/>
          <w:sz w:val="20"/>
        </w:rPr>
        <w:t> </w:t>
      </w:r>
      <w:r>
        <w:rPr>
          <w:rFonts w:ascii="Calibri"/>
          <w:sz w:val="20"/>
        </w:rPr>
        <w:t>paragraph</w:t>
      </w:r>
      <w:r>
        <w:rPr>
          <w:rFonts w:ascii="Calibri"/>
          <w:spacing w:val="-4"/>
          <w:sz w:val="20"/>
        </w:rPr>
        <w:t> </w:t>
      </w:r>
      <w:r>
        <w:rPr>
          <w:rFonts w:ascii="Calibri"/>
          <w:spacing w:val="-5"/>
          <w:sz w:val="20"/>
        </w:rPr>
        <w:t>f.</w:t>
      </w:r>
    </w:p>
    <w:p>
      <w:pPr>
        <w:spacing w:after="0"/>
        <w:jc w:val="left"/>
        <w:rPr>
          <w:rFonts w:ascii="Calibri"/>
          <w:sz w:val="20"/>
        </w:rPr>
        <w:sectPr>
          <w:pgSz w:w="11910" w:h="16840"/>
          <w:pgMar w:header="0" w:footer="1000" w:top="1340" w:bottom="1200" w:left="1080" w:right="1280"/>
        </w:sectPr>
      </w:pPr>
    </w:p>
    <w:p>
      <w:pPr>
        <w:pStyle w:val="Heading3"/>
        <w:numPr>
          <w:ilvl w:val="2"/>
          <w:numId w:val="8"/>
        </w:numPr>
        <w:tabs>
          <w:tab w:pos="1079" w:val="left" w:leader="none"/>
        </w:tabs>
        <w:spacing w:line="240" w:lineRule="auto" w:before="78" w:after="0"/>
        <w:ind w:left="1079" w:right="0" w:hanging="719"/>
        <w:jc w:val="both"/>
      </w:pPr>
      <w:r>
        <w:rPr/>
        <w:t>Assessable </w:t>
      </w:r>
      <w:r>
        <w:rPr>
          <w:spacing w:val="-2"/>
        </w:rPr>
        <w:t>Profit</w:t>
      </w:r>
    </w:p>
    <w:p>
      <w:pPr>
        <w:pStyle w:val="BodyText"/>
        <w:spacing w:line="480" w:lineRule="auto" w:before="272"/>
        <w:ind w:left="360" w:right="156" w:firstLine="719"/>
        <w:jc w:val="both"/>
      </w:pPr>
      <w:r>
        <w:rPr/>
        <w:t>This refers to adjusted profit less the loss incurred by the company during the</w:t>
      </w:r>
      <w:r>
        <w:rPr>
          <w:spacing w:val="40"/>
        </w:rPr>
        <w:t> </w:t>
      </w:r>
      <w:r>
        <w:rPr/>
        <w:t>previous accounting year in accordance with section 16</w:t>
      </w:r>
      <w:r>
        <w:rPr>
          <w:vertAlign w:val="superscript"/>
        </w:rPr>
        <w:t>56</w:t>
      </w:r>
      <w:r>
        <w:rPr>
          <w:vertAlign w:val="baseline"/>
        </w:rPr>
        <w:t>. International Journal of Advanced Legal Studies and Governance, Vol. 4, No. 2, August 2013 12 Section 16 (1) provides:</w:t>
      </w:r>
    </w:p>
    <w:p>
      <w:pPr>
        <w:pStyle w:val="BodyText"/>
        <w:ind w:left="1800" w:right="1596"/>
        <w:jc w:val="both"/>
      </w:pPr>
      <w:r>
        <w:rPr/>
        <w:t>Subject to the provisions of this section, the assessable profit of any company for any accounting period shall be the amount of the adjusted profit of that period after the deduction of – a) The amount of any loss incurred by that company during any previous accounting period; and (b) In a case to which section 18 of this Act applies, the amount of any loss which under that section is deemed to be a loss incurred by that company in its trade or business during its first accounting period.</w:t>
      </w:r>
    </w:p>
    <w:p>
      <w:pPr>
        <w:pStyle w:val="BodyText"/>
      </w:pPr>
    </w:p>
    <w:p>
      <w:pPr>
        <w:pStyle w:val="BodyText"/>
      </w:pPr>
    </w:p>
    <w:p>
      <w:pPr>
        <w:pStyle w:val="BodyText"/>
        <w:spacing w:line="480" w:lineRule="auto" w:before="1"/>
        <w:ind w:left="360" w:right="156" w:firstLine="719"/>
        <w:jc w:val="both"/>
      </w:pPr>
      <w:r>
        <w:rPr/>
        <w:t>Losses incurred by a company engaged in petroleum operation may be carried</w:t>
      </w:r>
      <w:r>
        <w:rPr>
          <w:spacing w:val="40"/>
        </w:rPr>
        <w:t> </w:t>
      </w:r>
      <w:r>
        <w:rPr/>
        <w:t>forward indefinitely. Thus, for a company subject to tax under the Petroleum profit Tax Act,</w:t>
      </w:r>
      <w:r>
        <w:rPr>
          <w:spacing w:val="40"/>
        </w:rPr>
        <w:t> </w:t>
      </w:r>
      <w:r>
        <w:rPr/>
        <w:t>it is possible for the relief of the loss to be deferred to the succeeding accounting period upon a formal application to the relevant tax authority. This application can only be made not later than five months after the year end.</w:t>
      </w:r>
      <w:r>
        <w:rPr>
          <w:vertAlign w:val="superscript"/>
        </w:rPr>
        <w:t>57</w:t>
      </w:r>
    </w:p>
    <w:p>
      <w:pPr>
        <w:pStyle w:val="Heading3"/>
        <w:numPr>
          <w:ilvl w:val="2"/>
          <w:numId w:val="8"/>
        </w:numPr>
        <w:tabs>
          <w:tab w:pos="1079" w:val="left" w:leader="none"/>
        </w:tabs>
        <w:spacing w:line="240" w:lineRule="auto" w:before="5" w:after="0"/>
        <w:ind w:left="1079" w:right="0" w:hanging="719"/>
        <w:jc w:val="both"/>
      </w:pPr>
      <w:r>
        <w:rPr/>
        <w:t>Chargeable</w:t>
      </w:r>
      <w:r>
        <w:rPr>
          <w:spacing w:val="-1"/>
        </w:rPr>
        <w:t> </w:t>
      </w:r>
      <w:r>
        <w:rPr>
          <w:spacing w:val="-2"/>
        </w:rPr>
        <w:t>Profit</w:t>
      </w:r>
    </w:p>
    <w:p>
      <w:pPr>
        <w:pStyle w:val="BodyText"/>
        <w:spacing w:line="480" w:lineRule="auto" w:before="271"/>
        <w:ind w:left="360" w:right="160" w:firstLine="719"/>
        <w:jc w:val="both"/>
      </w:pPr>
      <w:r>
        <w:rPr/>
        <w:t>This is the amount of assessable profit of the accounting period less the sum total of capital allowances provided in the Second Schedule to the Act. In other word, it the amount</w:t>
      </w:r>
      <w:r>
        <w:rPr>
          <w:spacing w:val="40"/>
        </w:rPr>
        <w:t> </w:t>
      </w:r>
      <w:r>
        <w:rPr/>
        <w:t>of assessable profit after deduction of any amount allowed as capital allowance. In</w:t>
      </w:r>
      <w:r>
        <w:rPr>
          <w:spacing w:val="40"/>
        </w:rPr>
        <w:t> </w:t>
      </w:r>
      <w:r>
        <w:rPr/>
        <w:t>calculating the amount to be deducted for the accounting period, it is provided that the limitation imposed by subsection (4) shall apply to ensure that the amount of any tax chargeable on the company for the period shall not be less than fifteen per cent of the tax which would be chargeable on the company. Section 20 (4) provides as follows:</w:t>
      </w:r>
    </w:p>
    <w:p>
      <w:pPr>
        <w:pStyle w:val="BodyText"/>
        <w:spacing w:before="1"/>
        <w:ind w:left="1800" w:right="1599"/>
        <w:jc w:val="both"/>
      </w:pPr>
      <w:r>
        <w:rPr/>
        <w:t>The amount to be allowed as a deduction under subsection (1) in respect of the said allowances shall be – a) the aggregate amount</w:t>
      </w:r>
      <w:r>
        <w:rPr>
          <w:spacing w:val="23"/>
        </w:rPr>
        <w:t> </w:t>
      </w:r>
      <w:r>
        <w:rPr/>
        <w:t>computed</w:t>
      </w:r>
      <w:r>
        <w:rPr>
          <w:spacing w:val="22"/>
        </w:rPr>
        <w:t> </w:t>
      </w:r>
      <w:r>
        <w:rPr/>
        <w:t>under</w:t>
      </w:r>
      <w:r>
        <w:rPr>
          <w:spacing w:val="25"/>
        </w:rPr>
        <w:t> </w:t>
      </w:r>
      <w:r>
        <w:rPr/>
        <w:t>subsection</w:t>
      </w:r>
      <w:r>
        <w:rPr>
          <w:spacing w:val="22"/>
        </w:rPr>
        <w:t> </w:t>
      </w:r>
      <w:r>
        <w:rPr/>
        <w:t>(2)</w:t>
      </w:r>
      <w:r>
        <w:rPr>
          <w:spacing w:val="22"/>
        </w:rPr>
        <w:t> </w:t>
      </w:r>
      <w:r>
        <w:rPr/>
        <w:t>of</w:t>
      </w:r>
      <w:r>
        <w:rPr>
          <w:spacing w:val="22"/>
        </w:rPr>
        <w:t> </w:t>
      </w:r>
      <w:r>
        <w:rPr/>
        <w:t>this</w:t>
      </w:r>
      <w:r>
        <w:rPr>
          <w:spacing w:val="23"/>
        </w:rPr>
        <w:t> </w:t>
      </w:r>
      <w:r>
        <w:rPr/>
        <w:t>section;</w:t>
      </w:r>
      <w:r>
        <w:rPr>
          <w:spacing w:val="24"/>
        </w:rPr>
        <w:t> </w:t>
      </w:r>
      <w:r>
        <w:rPr/>
        <w:t>or</w:t>
      </w:r>
      <w:r>
        <w:rPr>
          <w:spacing w:val="22"/>
        </w:rPr>
        <w:t> </w:t>
      </w:r>
      <w:r>
        <w:rPr/>
        <w:t>b)</w:t>
      </w:r>
      <w:r>
        <w:rPr>
          <w:spacing w:val="23"/>
        </w:rPr>
        <w:t> </w:t>
      </w:r>
      <w:r>
        <w:rPr>
          <w:spacing w:val="-10"/>
        </w:rPr>
        <w:t>a</w:t>
      </w:r>
    </w:p>
    <w:p>
      <w:pPr>
        <w:pStyle w:val="BodyText"/>
        <w:spacing w:before="134"/>
        <w:rPr>
          <w:sz w:val="20"/>
        </w:rPr>
      </w:pPr>
      <w:r>
        <w:rPr/>
        <mc:AlternateContent>
          <mc:Choice Requires="wps">
            <w:drawing>
              <wp:anchor distT="0" distB="0" distL="0" distR="0" allowOverlap="1" layoutInCell="1" locked="0" behindDoc="1" simplePos="0" relativeHeight="487612416">
                <wp:simplePos x="0" y="0"/>
                <wp:positionH relativeFrom="page">
                  <wp:posOffset>914704</wp:posOffset>
                </wp:positionH>
                <wp:positionV relativeFrom="paragraph">
                  <wp:posOffset>246541</wp:posOffset>
                </wp:positionV>
                <wp:extent cx="1829435" cy="9525"/>
                <wp:effectExtent l="0" t="0" r="0" b="0"/>
                <wp:wrapTopAndBottom/>
                <wp:docPr id="53" name="Graphic 53"/>
                <wp:cNvGraphicFramePr>
                  <a:graphicFrameLocks/>
                </wp:cNvGraphicFramePr>
                <a:graphic>
                  <a:graphicData uri="http://schemas.microsoft.com/office/word/2010/wordprocessingShape">
                    <wps:wsp>
                      <wps:cNvPr id="53" name="Graphic 53"/>
                      <wps:cNvSpPr/>
                      <wps:spPr>
                        <a:xfrm>
                          <a:off x="0" y="0"/>
                          <a:ext cx="1829435" cy="9525"/>
                        </a:xfrm>
                        <a:custGeom>
                          <a:avLst/>
                          <a:gdLst/>
                          <a:ahLst/>
                          <a:cxnLst/>
                          <a:rect l="l" t="t" r="r" b="b"/>
                          <a:pathLst>
                            <a:path w="1829435" h="9525">
                              <a:moveTo>
                                <a:pt x="1829054" y="0"/>
                              </a:moveTo>
                              <a:lnTo>
                                <a:pt x="0" y="0"/>
                              </a:lnTo>
                              <a:lnTo>
                                <a:pt x="0" y="9144"/>
                              </a:lnTo>
                              <a:lnTo>
                                <a:pt x="1829054" y="9144"/>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19.412704pt;width:144.020pt;height:.72003pt;mso-position-horizontal-relative:page;mso-position-vertical-relative:paragraph;z-index:-15704064;mso-wrap-distance-left:0;mso-wrap-distance-right:0" id="docshape53" filled="true" fillcolor="#000000" stroked="false">
                <v:fill type="solid"/>
                <w10:wrap type="topAndBottom"/>
              </v:rect>
            </w:pict>
          </mc:Fallback>
        </mc:AlternateContent>
      </w:r>
    </w:p>
    <w:p>
      <w:pPr>
        <w:spacing w:before="102"/>
        <w:ind w:left="360" w:right="0" w:firstLine="0"/>
        <w:jc w:val="left"/>
        <w:rPr>
          <w:rFonts w:ascii="Calibri"/>
          <w:sz w:val="20"/>
        </w:rPr>
      </w:pPr>
      <w:r>
        <w:rPr>
          <w:rFonts w:ascii="Calibri"/>
          <w:sz w:val="20"/>
          <w:vertAlign w:val="superscript"/>
        </w:rPr>
        <w:t>56</w:t>
      </w:r>
      <w:r>
        <w:rPr>
          <w:rFonts w:ascii="Calibri"/>
          <w:sz w:val="20"/>
          <w:vertAlign w:val="baseline"/>
        </w:rPr>
        <w:t>Section</w:t>
      </w:r>
      <w:r>
        <w:rPr>
          <w:rFonts w:ascii="Calibri"/>
          <w:spacing w:val="-6"/>
          <w:sz w:val="20"/>
          <w:vertAlign w:val="baseline"/>
        </w:rPr>
        <w:t> </w:t>
      </w:r>
      <w:r>
        <w:rPr>
          <w:rFonts w:ascii="Calibri"/>
          <w:sz w:val="20"/>
          <w:vertAlign w:val="baseline"/>
        </w:rPr>
        <w:t>9</w:t>
      </w:r>
      <w:r>
        <w:rPr>
          <w:rFonts w:ascii="Calibri"/>
          <w:spacing w:val="-5"/>
          <w:sz w:val="20"/>
          <w:vertAlign w:val="baseline"/>
        </w:rPr>
        <w:t> </w:t>
      </w:r>
      <w:r>
        <w:rPr>
          <w:rFonts w:ascii="Calibri"/>
          <w:sz w:val="20"/>
          <w:vertAlign w:val="baseline"/>
        </w:rPr>
        <w:t>(4)</w:t>
      </w:r>
      <w:r>
        <w:rPr>
          <w:rFonts w:ascii="Calibri"/>
          <w:spacing w:val="-7"/>
          <w:sz w:val="20"/>
          <w:vertAlign w:val="baseline"/>
        </w:rPr>
        <w:t> </w:t>
      </w:r>
      <w:r>
        <w:rPr>
          <w:rFonts w:ascii="Calibri"/>
          <w:sz w:val="20"/>
          <w:vertAlign w:val="baseline"/>
        </w:rPr>
        <w:t>of</w:t>
      </w:r>
      <w:r>
        <w:rPr>
          <w:rFonts w:ascii="Calibri"/>
          <w:spacing w:val="-8"/>
          <w:sz w:val="20"/>
          <w:vertAlign w:val="baseline"/>
        </w:rPr>
        <w:t> </w:t>
      </w:r>
      <w:r>
        <w:rPr>
          <w:rFonts w:ascii="Calibri"/>
          <w:sz w:val="20"/>
          <w:vertAlign w:val="baseline"/>
        </w:rPr>
        <w:t>the</w:t>
      </w:r>
      <w:r>
        <w:rPr>
          <w:rFonts w:ascii="Calibri"/>
          <w:spacing w:val="-6"/>
          <w:sz w:val="20"/>
          <w:vertAlign w:val="baseline"/>
        </w:rPr>
        <w:t> </w:t>
      </w:r>
      <w:r>
        <w:rPr>
          <w:rFonts w:ascii="Calibri"/>
          <w:sz w:val="20"/>
          <w:vertAlign w:val="baseline"/>
        </w:rPr>
        <w:t>Petroleum</w:t>
      </w:r>
      <w:r>
        <w:rPr>
          <w:rFonts w:ascii="Calibri"/>
          <w:spacing w:val="-4"/>
          <w:sz w:val="20"/>
          <w:vertAlign w:val="baseline"/>
        </w:rPr>
        <w:t> </w:t>
      </w:r>
      <w:r>
        <w:rPr>
          <w:rFonts w:ascii="Calibri"/>
          <w:sz w:val="20"/>
          <w:vertAlign w:val="baseline"/>
        </w:rPr>
        <w:t>Profit</w:t>
      </w:r>
      <w:r>
        <w:rPr>
          <w:rFonts w:ascii="Calibri"/>
          <w:spacing w:val="-6"/>
          <w:sz w:val="20"/>
          <w:vertAlign w:val="baseline"/>
        </w:rPr>
        <w:t> </w:t>
      </w:r>
      <w:r>
        <w:rPr>
          <w:rFonts w:ascii="Calibri"/>
          <w:sz w:val="20"/>
          <w:vertAlign w:val="baseline"/>
        </w:rPr>
        <w:t>Tax</w:t>
      </w:r>
      <w:r>
        <w:rPr>
          <w:rFonts w:ascii="Calibri"/>
          <w:spacing w:val="-5"/>
          <w:sz w:val="20"/>
          <w:vertAlign w:val="baseline"/>
        </w:rPr>
        <w:t> </w:t>
      </w:r>
      <w:r>
        <w:rPr>
          <w:rFonts w:ascii="Calibri"/>
          <w:spacing w:val="-4"/>
          <w:sz w:val="20"/>
          <w:vertAlign w:val="baseline"/>
        </w:rPr>
        <w:t>Act.</w:t>
      </w:r>
    </w:p>
    <w:p>
      <w:pPr>
        <w:spacing w:before="1"/>
        <w:ind w:left="360" w:right="0" w:firstLine="0"/>
        <w:jc w:val="left"/>
        <w:rPr>
          <w:rFonts w:ascii="Calibri"/>
          <w:sz w:val="20"/>
        </w:rPr>
      </w:pPr>
      <w:r>
        <w:rPr>
          <w:rFonts w:ascii="Calibri"/>
          <w:sz w:val="20"/>
          <w:vertAlign w:val="superscript"/>
        </w:rPr>
        <w:t>57</w:t>
      </w:r>
      <w:r>
        <w:rPr>
          <w:rFonts w:ascii="Calibri"/>
          <w:sz w:val="20"/>
          <w:vertAlign w:val="baseline"/>
        </w:rPr>
        <w:t>See</w:t>
      </w:r>
      <w:r>
        <w:rPr>
          <w:rFonts w:ascii="Calibri"/>
          <w:spacing w:val="-6"/>
          <w:sz w:val="20"/>
          <w:vertAlign w:val="baseline"/>
        </w:rPr>
        <w:t> </w:t>
      </w:r>
      <w:r>
        <w:rPr>
          <w:rFonts w:ascii="Calibri"/>
          <w:sz w:val="20"/>
          <w:vertAlign w:val="baseline"/>
        </w:rPr>
        <w:t>Section</w:t>
      </w:r>
      <w:r>
        <w:rPr>
          <w:rFonts w:ascii="Calibri"/>
          <w:spacing w:val="-5"/>
          <w:sz w:val="20"/>
          <w:vertAlign w:val="baseline"/>
        </w:rPr>
        <w:t> </w:t>
      </w:r>
      <w:r>
        <w:rPr>
          <w:rFonts w:ascii="Calibri"/>
          <w:sz w:val="20"/>
          <w:vertAlign w:val="baseline"/>
        </w:rPr>
        <w:t>16</w:t>
      </w:r>
      <w:r>
        <w:rPr>
          <w:rFonts w:ascii="Calibri"/>
          <w:spacing w:val="-5"/>
          <w:sz w:val="20"/>
          <w:vertAlign w:val="baseline"/>
        </w:rPr>
        <w:t> </w:t>
      </w:r>
      <w:r>
        <w:rPr>
          <w:rFonts w:ascii="Calibri"/>
          <w:sz w:val="20"/>
          <w:vertAlign w:val="baseline"/>
        </w:rPr>
        <w:t>(3)</w:t>
      </w:r>
      <w:r>
        <w:rPr>
          <w:rFonts w:ascii="Calibri"/>
          <w:spacing w:val="-6"/>
          <w:sz w:val="20"/>
          <w:vertAlign w:val="baseline"/>
        </w:rPr>
        <w:t> </w:t>
      </w:r>
      <w:r>
        <w:rPr>
          <w:rFonts w:ascii="Calibri"/>
          <w:sz w:val="20"/>
          <w:vertAlign w:val="baseline"/>
        </w:rPr>
        <w:t>of</w:t>
      </w:r>
      <w:r>
        <w:rPr>
          <w:rFonts w:ascii="Calibri"/>
          <w:spacing w:val="-7"/>
          <w:sz w:val="20"/>
          <w:vertAlign w:val="baseline"/>
        </w:rPr>
        <w:t> </w:t>
      </w:r>
      <w:r>
        <w:rPr>
          <w:rFonts w:ascii="Calibri"/>
          <w:sz w:val="20"/>
          <w:vertAlign w:val="baseline"/>
        </w:rPr>
        <w:t>the</w:t>
      </w:r>
      <w:r>
        <w:rPr>
          <w:rFonts w:ascii="Calibri"/>
          <w:spacing w:val="-5"/>
          <w:sz w:val="20"/>
          <w:vertAlign w:val="baseline"/>
        </w:rPr>
        <w:t> </w:t>
      </w:r>
      <w:r>
        <w:rPr>
          <w:rFonts w:ascii="Calibri"/>
          <w:sz w:val="20"/>
          <w:vertAlign w:val="baseline"/>
        </w:rPr>
        <w:t>Petroleum</w:t>
      </w:r>
      <w:r>
        <w:rPr>
          <w:rFonts w:ascii="Calibri"/>
          <w:spacing w:val="-6"/>
          <w:sz w:val="20"/>
          <w:vertAlign w:val="baseline"/>
        </w:rPr>
        <w:t> </w:t>
      </w:r>
      <w:r>
        <w:rPr>
          <w:rFonts w:ascii="Calibri"/>
          <w:sz w:val="20"/>
          <w:vertAlign w:val="baseline"/>
        </w:rPr>
        <w:t>Profit</w:t>
      </w:r>
      <w:r>
        <w:rPr>
          <w:rFonts w:ascii="Calibri"/>
          <w:spacing w:val="-3"/>
          <w:sz w:val="20"/>
          <w:vertAlign w:val="baseline"/>
        </w:rPr>
        <w:t> </w:t>
      </w:r>
      <w:r>
        <w:rPr>
          <w:rFonts w:ascii="Calibri"/>
          <w:sz w:val="20"/>
          <w:vertAlign w:val="baseline"/>
        </w:rPr>
        <w:t>Tax</w:t>
      </w:r>
      <w:r>
        <w:rPr>
          <w:rFonts w:ascii="Calibri"/>
          <w:spacing w:val="-5"/>
          <w:sz w:val="20"/>
          <w:vertAlign w:val="baseline"/>
        </w:rPr>
        <w:t> </w:t>
      </w:r>
      <w:r>
        <w:rPr>
          <w:rFonts w:ascii="Calibri"/>
          <w:spacing w:val="-4"/>
          <w:sz w:val="20"/>
          <w:vertAlign w:val="baseline"/>
        </w:rPr>
        <w:t>Act.</w:t>
      </w:r>
    </w:p>
    <w:p>
      <w:pPr>
        <w:spacing w:after="0"/>
        <w:jc w:val="left"/>
        <w:rPr>
          <w:rFonts w:ascii="Calibri"/>
          <w:sz w:val="20"/>
        </w:rPr>
        <w:sectPr>
          <w:pgSz w:w="11910" w:h="16840"/>
          <w:pgMar w:header="0" w:footer="1000" w:top="1340" w:bottom="1200" w:left="1080" w:right="1280"/>
        </w:sectPr>
      </w:pPr>
    </w:p>
    <w:p>
      <w:pPr>
        <w:pStyle w:val="BodyText"/>
        <w:spacing w:before="74"/>
        <w:ind w:left="1800" w:right="1601"/>
        <w:jc w:val="both"/>
      </w:pPr>
      <w:r>
        <w:rPr/>
        <w:t>sum equal to 85% of the assessable profit of the accounting period less 170% of the total amount of the deduction allowed as petroleum investment allowance computed under the second Schedule to this Act for that period, whichever is the less.</w:t>
      </w:r>
    </w:p>
    <w:p>
      <w:pPr>
        <w:pStyle w:val="BodyText"/>
      </w:pPr>
    </w:p>
    <w:p>
      <w:pPr>
        <w:pStyle w:val="BodyText"/>
      </w:pPr>
    </w:p>
    <w:p>
      <w:pPr>
        <w:pStyle w:val="BodyText"/>
        <w:spacing w:line="480" w:lineRule="auto"/>
        <w:ind w:left="360" w:right="162" w:firstLine="719"/>
        <w:jc w:val="both"/>
      </w:pPr>
      <w:r>
        <w:rPr/>
        <w:t>Capital allowance is granted to a company engaged in petroleum operations in lieu of depreciation. This includes acquisition of right in or over petroleum deposits, searching for and discovery and testing of petroleum deposits and winning access thereto or the construction of any work or buildings which are likely to be of little or no value when the petroleum operations for which they were constructed ceased to be carried on. Capital allowance may be claimed on the following qualifying capital expenditure, which can be classified into four headings:</w:t>
      </w:r>
    </w:p>
    <w:p>
      <w:pPr>
        <w:pStyle w:val="BodyText"/>
        <w:spacing w:line="480" w:lineRule="auto" w:before="1"/>
        <w:ind w:left="360" w:right="164"/>
        <w:jc w:val="both"/>
      </w:pPr>
      <w:r>
        <w:rPr/>
        <w:t>International</w:t>
      </w:r>
      <w:r>
        <w:rPr>
          <w:spacing w:val="-3"/>
        </w:rPr>
        <w:t> </w:t>
      </w:r>
      <w:r>
        <w:rPr/>
        <w:t>Journal</w:t>
      </w:r>
      <w:r>
        <w:rPr>
          <w:spacing w:val="-3"/>
        </w:rPr>
        <w:t> </w:t>
      </w:r>
      <w:r>
        <w:rPr/>
        <w:t>of</w:t>
      </w:r>
      <w:r>
        <w:rPr>
          <w:spacing w:val="-2"/>
        </w:rPr>
        <w:t> </w:t>
      </w:r>
      <w:r>
        <w:rPr/>
        <w:t>Advanced Legal</w:t>
      </w:r>
      <w:r>
        <w:rPr>
          <w:spacing w:val="-3"/>
        </w:rPr>
        <w:t> </w:t>
      </w:r>
      <w:r>
        <w:rPr/>
        <w:t>Studies</w:t>
      </w:r>
      <w:r>
        <w:rPr>
          <w:spacing w:val="-1"/>
        </w:rPr>
        <w:t> </w:t>
      </w:r>
      <w:r>
        <w:rPr/>
        <w:t>and</w:t>
      </w:r>
      <w:r>
        <w:rPr>
          <w:spacing w:val="-3"/>
        </w:rPr>
        <w:t> </w:t>
      </w:r>
      <w:r>
        <w:rPr/>
        <w:t>Governance,</w:t>
      </w:r>
      <w:r>
        <w:rPr>
          <w:spacing w:val="-1"/>
        </w:rPr>
        <w:t> </w:t>
      </w:r>
      <w:r>
        <w:rPr/>
        <w:t>Vol.</w:t>
      </w:r>
      <w:r>
        <w:rPr>
          <w:spacing w:val="-3"/>
        </w:rPr>
        <w:t> </w:t>
      </w:r>
      <w:r>
        <w:rPr/>
        <w:t>4,</w:t>
      </w:r>
      <w:r>
        <w:rPr>
          <w:spacing w:val="-1"/>
        </w:rPr>
        <w:t> </w:t>
      </w:r>
      <w:r>
        <w:rPr/>
        <w:t>No.</w:t>
      </w:r>
      <w:r>
        <w:rPr>
          <w:spacing w:val="-3"/>
        </w:rPr>
        <w:t> </w:t>
      </w:r>
      <w:r>
        <w:rPr/>
        <w:t>2,</w:t>
      </w:r>
      <w:r>
        <w:rPr>
          <w:spacing w:val="-3"/>
        </w:rPr>
        <w:t> </w:t>
      </w:r>
      <w:r>
        <w:rPr/>
        <w:t>August</w:t>
      </w:r>
      <w:r>
        <w:rPr>
          <w:spacing w:val="-1"/>
        </w:rPr>
        <w:t> </w:t>
      </w:r>
      <w:r>
        <w:rPr/>
        <w:t>2013 Qualifying Plant Expenditure</w:t>
      </w:r>
    </w:p>
    <w:p>
      <w:pPr>
        <w:pStyle w:val="ListParagraph"/>
        <w:numPr>
          <w:ilvl w:val="0"/>
          <w:numId w:val="12"/>
        </w:numPr>
        <w:tabs>
          <w:tab w:pos="1078" w:val="left" w:leader="none"/>
        </w:tabs>
        <w:spacing w:line="240" w:lineRule="auto" w:before="0" w:after="0"/>
        <w:ind w:left="1078" w:right="0" w:hanging="485"/>
        <w:jc w:val="both"/>
        <w:rPr>
          <w:sz w:val="24"/>
        </w:rPr>
      </w:pPr>
      <w:r>
        <w:rPr>
          <w:sz w:val="24"/>
        </w:rPr>
        <w:t>Qualifying</w:t>
      </w:r>
      <w:r>
        <w:rPr>
          <w:spacing w:val="-6"/>
          <w:sz w:val="24"/>
        </w:rPr>
        <w:t> </w:t>
      </w:r>
      <w:r>
        <w:rPr>
          <w:sz w:val="24"/>
        </w:rPr>
        <w:t>Pipeline</w:t>
      </w:r>
      <w:r>
        <w:rPr>
          <w:spacing w:val="-3"/>
          <w:sz w:val="24"/>
        </w:rPr>
        <w:t> </w:t>
      </w:r>
      <w:r>
        <w:rPr>
          <w:sz w:val="24"/>
        </w:rPr>
        <w:t>and</w:t>
      </w:r>
      <w:r>
        <w:rPr>
          <w:spacing w:val="-1"/>
          <w:sz w:val="24"/>
        </w:rPr>
        <w:t> </w:t>
      </w:r>
      <w:r>
        <w:rPr>
          <w:sz w:val="24"/>
        </w:rPr>
        <w:t>Storage</w:t>
      </w:r>
      <w:r>
        <w:rPr>
          <w:spacing w:val="-1"/>
          <w:sz w:val="24"/>
        </w:rPr>
        <w:t> </w:t>
      </w:r>
      <w:r>
        <w:rPr>
          <w:spacing w:val="-2"/>
          <w:sz w:val="24"/>
        </w:rPr>
        <w:t>Expenditure</w:t>
      </w:r>
    </w:p>
    <w:p>
      <w:pPr>
        <w:pStyle w:val="BodyText"/>
      </w:pPr>
    </w:p>
    <w:p>
      <w:pPr>
        <w:pStyle w:val="ListParagraph"/>
        <w:numPr>
          <w:ilvl w:val="0"/>
          <w:numId w:val="12"/>
        </w:numPr>
        <w:tabs>
          <w:tab w:pos="1079" w:val="left" w:leader="none"/>
        </w:tabs>
        <w:spacing w:line="240" w:lineRule="auto" w:before="0" w:after="0"/>
        <w:ind w:left="1079" w:right="0" w:hanging="553"/>
        <w:jc w:val="both"/>
        <w:rPr>
          <w:sz w:val="24"/>
        </w:rPr>
      </w:pPr>
      <w:r>
        <w:rPr>
          <w:sz w:val="24"/>
        </w:rPr>
        <w:t>Qualifying</w:t>
      </w:r>
      <w:r>
        <w:rPr>
          <w:spacing w:val="-5"/>
          <w:sz w:val="24"/>
        </w:rPr>
        <w:t> </w:t>
      </w:r>
      <w:r>
        <w:rPr>
          <w:sz w:val="24"/>
        </w:rPr>
        <w:t>Building</w:t>
      </w:r>
      <w:r>
        <w:rPr>
          <w:spacing w:val="-4"/>
          <w:sz w:val="24"/>
        </w:rPr>
        <w:t> </w:t>
      </w:r>
      <w:r>
        <w:rPr>
          <w:spacing w:val="-2"/>
          <w:sz w:val="24"/>
        </w:rPr>
        <w:t>Expenditure</w:t>
      </w:r>
    </w:p>
    <w:p>
      <w:pPr>
        <w:pStyle w:val="BodyText"/>
      </w:pPr>
    </w:p>
    <w:p>
      <w:pPr>
        <w:pStyle w:val="ListParagraph"/>
        <w:numPr>
          <w:ilvl w:val="0"/>
          <w:numId w:val="12"/>
        </w:numPr>
        <w:tabs>
          <w:tab w:pos="1078" w:val="left" w:leader="none"/>
        </w:tabs>
        <w:spacing w:line="240" w:lineRule="auto" w:before="0" w:after="0"/>
        <w:ind w:left="1078" w:right="0" w:hanging="617"/>
        <w:jc w:val="both"/>
        <w:rPr>
          <w:sz w:val="24"/>
        </w:rPr>
      </w:pPr>
      <w:r>
        <w:rPr>
          <w:sz w:val="24"/>
        </w:rPr>
        <w:t>Qualifying</w:t>
      </w:r>
      <w:r>
        <w:rPr>
          <w:spacing w:val="-5"/>
          <w:sz w:val="24"/>
        </w:rPr>
        <w:t> </w:t>
      </w:r>
      <w:r>
        <w:rPr>
          <w:sz w:val="24"/>
        </w:rPr>
        <w:t>Drilling</w:t>
      </w:r>
      <w:r>
        <w:rPr>
          <w:spacing w:val="-5"/>
          <w:sz w:val="24"/>
        </w:rPr>
        <w:t> </w:t>
      </w:r>
      <w:r>
        <w:rPr>
          <w:spacing w:val="-2"/>
          <w:sz w:val="24"/>
        </w:rPr>
        <w:t>Expenditure</w:t>
      </w:r>
    </w:p>
    <w:p>
      <w:pPr>
        <w:pStyle w:val="BodyText"/>
      </w:pPr>
    </w:p>
    <w:p>
      <w:pPr>
        <w:pStyle w:val="BodyText"/>
        <w:spacing w:line="480" w:lineRule="auto" w:after="12"/>
        <w:ind w:left="360" w:right="223" w:firstLine="360"/>
      </w:pPr>
      <w:r>
        <w:rPr/>
        <w:t>Capital allowance on capital expenditure is claimed on a straight-line basis over a period of five years at the following rates:</w:t>
      </w:r>
    </w:p>
    <w:tbl>
      <w:tblPr>
        <w:tblW w:w="0" w:type="auto"/>
        <w:jc w:val="left"/>
        <w:tblInd w:w="3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170"/>
        <w:gridCol w:w="4321"/>
        <w:gridCol w:w="810"/>
      </w:tblGrid>
      <w:tr>
        <w:trPr>
          <w:trHeight w:val="408" w:hRule="atLeast"/>
        </w:trPr>
        <w:tc>
          <w:tcPr>
            <w:tcW w:w="1170" w:type="dxa"/>
          </w:tcPr>
          <w:p>
            <w:pPr>
              <w:pStyle w:val="TableParagraph"/>
              <w:spacing w:line="266" w:lineRule="exact" w:before="0"/>
              <w:rPr>
                <w:sz w:val="24"/>
              </w:rPr>
            </w:pPr>
            <w:r>
              <w:rPr>
                <w:sz w:val="24"/>
              </w:rPr>
              <w:t>Year</w:t>
            </w:r>
            <w:r>
              <w:rPr>
                <w:spacing w:val="-2"/>
                <w:sz w:val="24"/>
              </w:rPr>
              <w:t> </w:t>
            </w:r>
            <w:r>
              <w:rPr>
                <w:sz w:val="24"/>
              </w:rPr>
              <w:t>1</w:t>
            </w:r>
            <w:r>
              <w:rPr>
                <w:spacing w:val="15"/>
                <w:sz w:val="24"/>
              </w:rPr>
              <w:t> </w:t>
            </w:r>
            <w:r>
              <w:rPr>
                <w:spacing w:val="-10"/>
                <w:sz w:val="24"/>
              </w:rPr>
              <w:t>-</w:t>
            </w:r>
          </w:p>
        </w:tc>
        <w:tc>
          <w:tcPr>
            <w:tcW w:w="4321" w:type="dxa"/>
          </w:tcPr>
          <w:p>
            <w:pPr>
              <w:pStyle w:val="TableParagraph"/>
              <w:tabs>
                <w:tab w:pos="720" w:val="left" w:leader="none"/>
                <w:tab w:pos="1440" w:val="left" w:leader="none"/>
                <w:tab w:pos="2160" w:val="left" w:leader="none"/>
                <w:tab w:pos="2880" w:val="left" w:leader="none"/>
                <w:tab w:pos="3600" w:val="left" w:leader="none"/>
              </w:tabs>
              <w:spacing w:line="266" w:lineRule="exact" w:before="0"/>
              <w:ind w:left="0"/>
              <w:jc w:val="center"/>
              <w:rPr>
                <w:sz w:val="24"/>
              </w:rPr>
            </w:pP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p>
        </w:tc>
        <w:tc>
          <w:tcPr>
            <w:tcW w:w="810" w:type="dxa"/>
          </w:tcPr>
          <w:p>
            <w:pPr>
              <w:pStyle w:val="TableParagraph"/>
              <w:spacing w:line="266" w:lineRule="exact" w:before="0"/>
              <w:ind w:left="0" w:right="48"/>
              <w:jc w:val="right"/>
              <w:rPr>
                <w:sz w:val="24"/>
              </w:rPr>
            </w:pPr>
            <w:r>
              <w:rPr>
                <w:spacing w:val="-5"/>
                <w:sz w:val="24"/>
              </w:rPr>
              <w:t>20%</w:t>
            </w:r>
          </w:p>
        </w:tc>
      </w:tr>
      <w:tr>
        <w:trPr>
          <w:trHeight w:val="551" w:hRule="atLeast"/>
        </w:trPr>
        <w:tc>
          <w:tcPr>
            <w:tcW w:w="1170" w:type="dxa"/>
          </w:tcPr>
          <w:p>
            <w:pPr>
              <w:pStyle w:val="TableParagraph"/>
              <w:rPr>
                <w:sz w:val="24"/>
              </w:rPr>
            </w:pPr>
            <w:r>
              <w:rPr>
                <w:sz w:val="24"/>
              </w:rPr>
              <w:t>Year</w:t>
            </w:r>
            <w:r>
              <w:rPr>
                <w:spacing w:val="-2"/>
                <w:sz w:val="24"/>
              </w:rPr>
              <w:t> </w:t>
            </w:r>
            <w:r>
              <w:rPr>
                <w:sz w:val="24"/>
              </w:rPr>
              <w:t>2</w:t>
            </w:r>
            <w:r>
              <w:rPr>
                <w:spacing w:val="15"/>
                <w:sz w:val="24"/>
              </w:rPr>
              <w:t> </w:t>
            </w:r>
            <w:r>
              <w:rPr>
                <w:spacing w:val="-10"/>
                <w:sz w:val="24"/>
              </w:rPr>
              <w:t>-</w:t>
            </w:r>
          </w:p>
        </w:tc>
        <w:tc>
          <w:tcPr>
            <w:tcW w:w="4321" w:type="dxa"/>
          </w:tcPr>
          <w:p>
            <w:pPr>
              <w:pStyle w:val="TableParagraph"/>
              <w:tabs>
                <w:tab w:pos="720" w:val="left" w:leader="none"/>
                <w:tab w:pos="1440" w:val="left" w:leader="none"/>
                <w:tab w:pos="2160" w:val="left" w:leader="none"/>
                <w:tab w:pos="2880" w:val="left" w:leader="none"/>
                <w:tab w:pos="3600" w:val="left" w:leader="none"/>
              </w:tabs>
              <w:ind w:left="0"/>
              <w:jc w:val="center"/>
              <w:rPr>
                <w:sz w:val="24"/>
              </w:rPr>
            </w:pP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p>
        </w:tc>
        <w:tc>
          <w:tcPr>
            <w:tcW w:w="810" w:type="dxa"/>
          </w:tcPr>
          <w:p>
            <w:pPr>
              <w:pStyle w:val="TableParagraph"/>
              <w:ind w:left="0" w:right="48"/>
              <w:jc w:val="right"/>
              <w:rPr>
                <w:sz w:val="24"/>
              </w:rPr>
            </w:pPr>
            <w:r>
              <w:rPr>
                <w:spacing w:val="-5"/>
                <w:sz w:val="24"/>
              </w:rPr>
              <w:t>20%</w:t>
            </w:r>
          </w:p>
        </w:tc>
      </w:tr>
      <w:tr>
        <w:trPr>
          <w:trHeight w:val="552" w:hRule="atLeast"/>
        </w:trPr>
        <w:tc>
          <w:tcPr>
            <w:tcW w:w="1170" w:type="dxa"/>
          </w:tcPr>
          <w:p>
            <w:pPr>
              <w:pStyle w:val="TableParagraph"/>
              <w:rPr>
                <w:sz w:val="24"/>
              </w:rPr>
            </w:pPr>
            <w:r>
              <w:rPr>
                <w:sz w:val="24"/>
              </w:rPr>
              <w:t>Year</w:t>
            </w:r>
            <w:r>
              <w:rPr>
                <w:spacing w:val="-2"/>
                <w:sz w:val="24"/>
              </w:rPr>
              <w:t> </w:t>
            </w:r>
            <w:r>
              <w:rPr>
                <w:sz w:val="24"/>
              </w:rPr>
              <w:t>3</w:t>
            </w:r>
            <w:r>
              <w:rPr>
                <w:spacing w:val="15"/>
                <w:sz w:val="24"/>
              </w:rPr>
              <w:t> </w:t>
            </w:r>
            <w:r>
              <w:rPr>
                <w:spacing w:val="-10"/>
                <w:sz w:val="24"/>
              </w:rPr>
              <w:t>-</w:t>
            </w:r>
          </w:p>
        </w:tc>
        <w:tc>
          <w:tcPr>
            <w:tcW w:w="4321" w:type="dxa"/>
          </w:tcPr>
          <w:p>
            <w:pPr>
              <w:pStyle w:val="TableParagraph"/>
              <w:tabs>
                <w:tab w:pos="720" w:val="left" w:leader="none"/>
                <w:tab w:pos="1440" w:val="left" w:leader="none"/>
                <w:tab w:pos="2160" w:val="left" w:leader="none"/>
                <w:tab w:pos="2880" w:val="left" w:leader="none"/>
                <w:tab w:pos="3600" w:val="left" w:leader="none"/>
              </w:tabs>
              <w:ind w:left="0"/>
              <w:jc w:val="center"/>
              <w:rPr>
                <w:sz w:val="24"/>
              </w:rPr>
            </w:pP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p>
        </w:tc>
        <w:tc>
          <w:tcPr>
            <w:tcW w:w="810" w:type="dxa"/>
          </w:tcPr>
          <w:p>
            <w:pPr>
              <w:pStyle w:val="TableParagraph"/>
              <w:ind w:left="0" w:right="48"/>
              <w:jc w:val="right"/>
              <w:rPr>
                <w:sz w:val="24"/>
              </w:rPr>
            </w:pPr>
            <w:r>
              <w:rPr>
                <w:spacing w:val="-5"/>
                <w:sz w:val="24"/>
              </w:rPr>
              <w:t>20%</w:t>
            </w:r>
          </w:p>
        </w:tc>
      </w:tr>
      <w:tr>
        <w:trPr>
          <w:trHeight w:val="551" w:hRule="atLeast"/>
        </w:trPr>
        <w:tc>
          <w:tcPr>
            <w:tcW w:w="1170" w:type="dxa"/>
          </w:tcPr>
          <w:p>
            <w:pPr>
              <w:pStyle w:val="TableParagraph"/>
              <w:rPr>
                <w:sz w:val="24"/>
              </w:rPr>
            </w:pPr>
            <w:r>
              <w:rPr>
                <w:sz w:val="24"/>
              </w:rPr>
              <w:t>Year</w:t>
            </w:r>
            <w:r>
              <w:rPr>
                <w:spacing w:val="-2"/>
                <w:sz w:val="24"/>
              </w:rPr>
              <w:t> </w:t>
            </w:r>
            <w:r>
              <w:rPr>
                <w:sz w:val="24"/>
              </w:rPr>
              <w:t>4</w:t>
            </w:r>
            <w:r>
              <w:rPr>
                <w:spacing w:val="15"/>
                <w:sz w:val="24"/>
              </w:rPr>
              <w:t> </w:t>
            </w:r>
            <w:r>
              <w:rPr>
                <w:spacing w:val="-10"/>
                <w:sz w:val="24"/>
              </w:rPr>
              <w:t>-</w:t>
            </w:r>
          </w:p>
        </w:tc>
        <w:tc>
          <w:tcPr>
            <w:tcW w:w="4321" w:type="dxa"/>
          </w:tcPr>
          <w:p>
            <w:pPr>
              <w:pStyle w:val="TableParagraph"/>
              <w:tabs>
                <w:tab w:pos="720" w:val="left" w:leader="none"/>
                <w:tab w:pos="1440" w:val="left" w:leader="none"/>
                <w:tab w:pos="2160" w:val="left" w:leader="none"/>
                <w:tab w:pos="2880" w:val="left" w:leader="none"/>
                <w:tab w:pos="3600" w:val="left" w:leader="none"/>
              </w:tabs>
              <w:ind w:left="0"/>
              <w:jc w:val="center"/>
              <w:rPr>
                <w:sz w:val="24"/>
              </w:rPr>
            </w:pP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p>
        </w:tc>
        <w:tc>
          <w:tcPr>
            <w:tcW w:w="810" w:type="dxa"/>
          </w:tcPr>
          <w:p>
            <w:pPr>
              <w:pStyle w:val="TableParagraph"/>
              <w:ind w:left="0" w:right="48"/>
              <w:jc w:val="right"/>
              <w:rPr>
                <w:sz w:val="24"/>
              </w:rPr>
            </w:pPr>
            <w:r>
              <w:rPr>
                <w:spacing w:val="-5"/>
                <w:sz w:val="24"/>
              </w:rPr>
              <w:t>20%</w:t>
            </w:r>
          </w:p>
        </w:tc>
      </w:tr>
      <w:tr>
        <w:trPr>
          <w:trHeight w:val="408" w:hRule="atLeast"/>
        </w:trPr>
        <w:tc>
          <w:tcPr>
            <w:tcW w:w="1170" w:type="dxa"/>
          </w:tcPr>
          <w:p>
            <w:pPr>
              <w:pStyle w:val="TableParagraph"/>
              <w:spacing w:line="256" w:lineRule="exact"/>
              <w:rPr>
                <w:sz w:val="24"/>
              </w:rPr>
            </w:pPr>
            <w:r>
              <w:rPr>
                <w:sz w:val="24"/>
              </w:rPr>
              <w:t>Year</w:t>
            </w:r>
            <w:r>
              <w:rPr>
                <w:spacing w:val="-2"/>
                <w:sz w:val="24"/>
              </w:rPr>
              <w:t> </w:t>
            </w:r>
            <w:r>
              <w:rPr>
                <w:sz w:val="24"/>
              </w:rPr>
              <w:t>5</w:t>
            </w:r>
            <w:r>
              <w:rPr>
                <w:spacing w:val="15"/>
                <w:sz w:val="24"/>
              </w:rPr>
              <w:t> </w:t>
            </w:r>
            <w:r>
              <w:rPr>
                <w:spacing w:val="-10"/>
                <w:sz w:val="24"/>
              </w:rPr>
              <w:t>-</w:t>
            </w:r>
          </w:p>
        </w:tc>
        <w:tc>
          <w:tcPr>
            <w:tcW w:w="4321" w:type="dxa"/>
          </w:tcPr>
          <w:p>
            <w:pPr>
              <w:pStyle w:val="TableParagraph"/>
              <w:tabs>
                <w:tab w:pos="720" w:val="left" w:leader="none"/>
                <w:tab w:pos="1440" w:val="left" w:leader="none"/>
                <w:tab w:pos="2160" w:val="left" w:leader="none"/>
                <w:tab w:pos="2880" w:val="left" w:leader="none"/>
                <w:tab w:pos="3600" w:val="left" w:leader="none"/>
              </w:tabs>
              <w:spacing w:line="256" w:lineRule="exact"/>
              <w:ind w:left="0"/>
              <w:jc w:val="center"/>
              <w:rPr>
                <w:sz w:val="24"/>
              </w:rPr>
            </w:pP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r>
              <w:rPr>
                <w:sz w:val="24"/>
              </w:rPr>
              <w:tab/>
            </w:r>
            <w:r>
              <w:rPr>
                <w:spacing w:val="-10"/>
                <w:sz w:val="24"/>
              </w:rPr>
              <w:t>-</w:t>
            </w:r>
          </w:p>
        </w:tc>
        <w:tc>
          <w:tcPr>
            <w:tcW w:w="810" w:type="dxa"/>
          </w:tcPr>
          <w:p>
            <w:pPr>
              <w:pStyle w:val="TableParagraph"/>
              <w:spacing w:line="256" w:lineRule="exact"/>
              <w:ind w:left="0" w:right="48"/>
              <w:jc w:val="right"/>
              <w:rPr>
                <w:sz w:val="24"/>
              </w:rPr>
            </w:pPr>
            <w:r>
              <w:rPr>
                <w:spacing w:val="-5"/>
                <w:sz w:val="24"/>
              </w:rPr>
              <w:t>19%</w:t>
            </w:r>
          </w:p>
        </w:tc>
      </w:tr>
    </w:tbl>
    <w:p>
      <w:pPr>
        <w:pStyle w:val="BodyText"/>
        <w:spacing w:before="3"/>
      </w:pPr>
    </w:p>
    <w:p>
      <w:pPr>
        <w:pStyle w:val="BodyText"/>
        <w:spacing w:line="480" w:lineRule="auto" w:before="1"/>
        <w:ind w:left="360" w:right="159" w:firstLine="719"/>
        <w:jc w:val="both"/>
      </w:pPr>
      <w:r>
        <w:rPr/>
        <w:t>The balance of 1% represents the residual value of the qualifying capital expenditure. This must be retained for as long as long as the asset has not been sold. It must also be noted that</w:t>
      </w:r>
      <w:r>
        <w:rPr>
          <w:spacing w:val="11"/>
        </w:rPr>
        <w:t> </w:t>
      </w:r>
      <w:r>
        <w:rPr/>
        <w:t>even</w:t>
      </w:r>
      <w:r>
        <w:rPr>
          <w:spacing w:val="15"/>
        </w:rPr>
        <w:t> </w:t>
      </w:r>
      <w:r>
        <w:rPr/>
        <w:t>where</w:t>
      </w:r>
      <w:r>
        <w:rPr>
          <w:spacing w:val="13"/>
        </w:rPr>
        <w:t> </w:t>
      </w:r>
      <w:r>
        <w:rPr/>
        <w:t>the</w:t>
      </w:r>
      <w:r>
        <w:rPr>
          <w:spacing w:val="14"/>
        </w:rPr>
        <w:t> </w:t>
      </w:r>
      <w:r>
        <w:rPr/>
        <w:t>asset</w:t>
      </w:r>
      <w:r>
        <w:rPr>
          <w:spacing w:val="13"/>
        </w:rPr>
        <w:t> </w:t>
      </w:r>
      <w:r>
        <w:rPr/>
        <w:t>is</w:t>
      </w:r>
      <w:r>
        <w:rPr>
          <w:spacing w:val="14"/>
        </w:rPr>
        <w:t> </w:t>
      </w:r>
      <w:r>
        <w:rPr/>
        <w:t>sold,</w:t>
      </w:r>
      <w:r>
        <w:rPr>
          <w:spacing w:val="13"/>
        </w:rPr>
        <w:t> </w:t>
      </w:r>
      <w:r>
        <w:rPr/>
        <w:t>approval</w:t>
      </w:r>
      <w:r>
        <w:rPr>
          <w:spacing w:val="13"/>
        </w:rPr>
        <w:t> </w:t>
      </w:r>
      <w:r>
        <w:rPr/>
        <w:t>must</w:t>
      </w:r>
      <w:r>
        <w:rPr>
          <w:spacing w:val="17"/>
        </w:rPr>
        <w:t> </w:t>
      </w:r>
      <w:r>
        <w:rPr/>
        <w:t>be</w:t>
      </w:r>
      <w:r>
        <w:rPr>
          <w:spacing w:val="12"/>
        </w:rPr>
        <w:t> </w:t>
      </w:r>
      <w:r>
        <w:rPr/>
        <w:t>obtained</w:t>
      </w:r>
      <w:r>
        <w:rPr>
          <w:spacing w:val="15"/>
        </w:rPr>
        <w:t> </w:t>
      </w:r>
      <w:r>
        <w:rPr/>
        <w:t>from</w:t>
      </w:r>
      <w:r>
        <w:rPr>
          <w:spacing w:val="14"/>
        </w:rPr>
        <w:t> </w:t>
      </w:r>
      <w:r>
        <w:rPr/>
        <w:t>the</w:t>
      </w:r>
      <w:r>
        <w:rPr>
          <w:spacing w:val="14"/>
        </w:rPr>
        <w:t> </w:t>
      </w:r>
      <w:r>
        <w:rPr/>
        <w:t>Minister</w:t>
      </w:r>
      <w:r>
        <w:rPr>
          <w:spacing w:val="12"/>
        </w:rPr>
        <w:t> </w:t>
      </w:r>
      <w:r>
        <w:rPr/>
        <w:t>of</w:t>
      </w:r>
      <w:r>
        <w:rPr>
          <w:spacing w:val="21"/>
        </w:rPr>
        <w:t> </w:t>
      </w:r>
      <w:r>
        <w:rPr>
          <w:spacing w:val="-2"/>
        </w:rPr>
        <w:t>Petroleum</w:t>
      </w:r>
    </w:p>
    <w:p>
      <w:pPr>
        <w:spacing w:after="0" w:line="480" w:lineRule="auto"/>
        <w:jc w:val="both"/>
        <w:sectPr>
          <w:pgSz w:w="11910" w:h="16840"/>
          <w:pgMar w:header="0" w:footer="1000" w:top="1340" w:bottom="1200" w:left="1080" w:right="1280"/>
        </w:sectPr>
      </w:pPr>
    </w:p>
    <w:p>
      <w:pPr>
        <w:pStyle w:val="BodyText"/>
        <w:spacing w:line="480" w:lineRule="auto" w:before="74"/>
        <w:ind w:left="360" w:right="159"/>
        <w:jc w:val="both"/>
      </w:pPr>
      <w:r>
        <w:rPr/>
        <w:t>Resources</w:t>
      </w:r>
      <w:r>
        <w:rPr>
          <w:spacing w:val="-1"/>
        </w:rPr>
        <w:t> </w:t>
      </w:r>
      <w:r>
        <w:rPr/>
        <w:t>before the</w:t>
      </w:r>
      <w:r>
        <w:rPr>
          <w:spacing w:val="-2"/>
        </w:rPr>
        <w:t> </w:t>
      </w:r>
      <w:r>
        <w:rPr/>
        <w:t>residual</w:t>
      </w:r>
      <w:r>
        <w:rPr>
          <w:spacing w:val="-1"/>
        </w:rPr>
        <w:t> </w:t>
      </w:r>
      <w:r>
        <w:rPr/>
        <w:t>can</w:t>
      </w:r>
      <w:r>
        <w:rPr>
          <w:spacing w:val="-1"/>
        </w:rPr>
        <w:t> </w:t>
      </w:r>
      <w:r>
        <w:rPr/>
        <w:t>be</w:t>
      </w:r>
      <w:r>
        <w:rPr>
          <w:spacing w:val="-2"/>
        </w:rPr>
        <w:t> </w:t>
      </w:r>
      <w:r>
        <w:rPr/>
        <w:t>expunged from</w:t>
      </w:r>
      <w:r>
        <w:rPr>
          <w:spacing w:val="-1"/>
        </w:rPr>
        <w:t> </w:t>
      </w:r>
      <w:r>
        <w:rPr/>
        <w:t>the</w:t>
      </w:r>
      <w:r>
        <w:rPr>
          <w:spacing w:val="-2"/>
        </w:rPr>
        <w:t> </w:t>
      </w:r>
      <w:r>
        <w:rPr/>
        <w:t>book.</w:t>
      </w:r>
      <w:r>
        <w:rPr>
          <w:spacing w:val="-1"/>
        </w:rPr>
        <w:t> </w:t>
      </w:r>
      <w:r>
        <w:rPr/>
        <w:t>Allowances are</w:t>
      </w:r>
      <w:r>
        <w:rPr>
          <w:spacing w:val="-1"/>
        </w:rPr>
        <w:t> </w:t>
      </w:r>
      <w:r>
        <w:rPr/>
        <w:t>also</w:t>
      </w:r>
      <w:r>
        <w:rPr>
          <w:spacing w:val="-1"/>
        </w:rPr>
        <w:t> </w:t>
      </w:r>
      <w:r>
        <w:rPr/>
        <w:t>granted at varying rates</w:t>
      </w:r>
      <w:r>
        <w:rPr>
          <w:spacing w:val="-1"/>
        </w:rPr>
        <w:t> </w:t>
      </w:r>
      <w:r>
        <w:rPr/>
        <w:t>on the</w:t>
      </w:r>
      <w:r>
        <w:rPr>
          <w:spacing w:val="-1"/>
        </w:rPr>
        <w:t> </w:t>
      </w:r>
      <w:r>
        <w:rPr/>
        <w:t>cost of</w:t>
      </w:r>
      <w:r>
        <w:rPr>
          <w:spacing w:val="-1"/>
        </w:rPr>
        <w:t> </w:t>
      </w:r>
      <w:r>
        <w:rPr/>
        <w:t>the</w:t>
      </w:r>
      <w:r>
        <w:rPr>
          <w:spacing w:val="-1"/>
        </w:rPr>
        <w:t> </w:t>
      </w:r>
      <w:r>
        <w:rPr/>
        <w:t>assets. One</w:t>
      </w:r>
      <w:r>
        <w:rPr>
          <w:spacing w:val="-2"/>
        </w:rPr>
        <w:t> </w:t>
      </w:r>
      <w:r>
        <w:rPr/>
        <w:t>of</w:t>
      </w:r>
      <w:r>
        <w:rPr>
          <w:spacing w:val="-1"/>
        </w:rPr>
        <w:t> </w:t>
      </w:r>
      <w:r>
        <w:rPr/>
        <w:t>such is the</w:t>
      </w:r>
      <w:r>
        <w:rPr>
          <w:spacing w:val="-1"/>
        </w:rPr>
        <w:t> </w:t>
      </w:r>
      <w:r>
        <w:rPr/>
        <w:t>Petroleum Investment Allowance. A company is allowed to deduct Petroleum Investment Allowance. The Petroleum Investment Allowance is an allowance granted in the first year a qualifying capital expenditure is</w:t>
      </w:r>
      <w:r>
        <w:rPr>
          <w:spacing w:val="40"/>
        </w:rPr>
        <w:t> </w:t>
      </w:r>
      <w:r>
        <w:rPr/>
        <w:t>incurred for the purpose of the company‟s operation. The applicable rate depends on the</w:t>
      </w:r>
      <w:r>
        <w:rPr>
          <w:spacing w:val="40"/>
        </w:rPr>
        <w:t> </w:t>
      </w:r>
      <w:r>
        <w:rPr/>
        <w:t>fiscal regime under which the company operates. Petroleum Investment Allowance shall be added to the annual allowance. Where the expenditure is incurred in respect of an asset that has been disposed of by</w:t>
      </w:r>
      <w:r>
        <w:rPr>
          <w:spacing w:val="-2"/>
        </w:rPr>
        <w:t> </w:t>
      </w:r>
      <w:r>
        <w:rPr/>
        <w:t>the company before the beginning of its first accounting period, then any loss suffered by the company on the disposal of such asset shall be deemed to be qualifying drilling expenditure incurred by the company on that day, and shall be deemed to have</w:t>
      </w:r>
      <w:r>
        <w:rPr>
          <w:spacing w:val="-2"/>
        </w:rPr>
        <w:t> </w:t>
      </w:r>
      <w:r>
        <w:rPr/>
        <w:t>been</w:t>
      </w:r>
      <w:r>
        <w:rPr>
          <w:spacing w:val="-1"/>
        </w:rPr>
        <w:t> </w:t>
      </w:r>
      <w:r>
        <w:rPr/>
        <w:t>brought</w:t>
      </w:r>
      <w:r>
        <w:rPr>
          <w:spacing w:val="-1"/>
        </w:rPr>
        <w:t> </w:t>
      </w:r>
      <w:r>
        <w:rPr/>
        <w:t>into</w:t>
      </w:r>
      <w:r>
        <w:rPr>
          <w:spacing w:val="-1"/>
        </w:rPr>
        <w:t> </w:t>
      </w:r>
      <w:r>
        <w:rPr/>
        <w:t>existence</w:t>
      </w:r>
      <w:r>
        <w:rPr>
          <w:spacing w:val="-2"/>
        </w:rPr>
        <w:t> </w:t>
      </w:r>
      <w:r>
        <w:rPr/>
        <w:t>an asset</w:t>
      </w:r>
      <w:r>
        <w:rPr>
          <w:spacing w:val="-1"/>
        </w:rPr>
        <w:t> </w:t>
      </w:r>
      <w:r>
        <w:rPr/>
        <w:t>owned by</w:t>
      </w:r>
      <w:r>
        <w:rPr>
          <w:spacing w:val="-6"/>
        </w:rPr>
        <w:t> </w:t>
      </w:r>
      <w:r>
        <w:rPr/>
        <w:t>the company</w:t>
      </w:r>
      <w:r>
        <w:rPr>
          <w:spacing w:val="-6"/>
        </w:rPr>
        <w:t> </w:t>
      </w:r>
      <w:r>
        <w:rPr/>
        <w:t>in</w:t>
      </w:r>
      <w:r>
        <w:rPr>
          <w:spacing w:val="-1"/>
        </w:rPr>
        <w:t> </w:t>
      </w:r>
      <w:r>
        <w:rPr/>
        <w:t>use</w:t>
      </w:r>
      <w:r>
        <w:rPr>
          <w:spacing w:val="-2"/>
        </w:rPr>
        <w:t> </w:t>
      </w:r>
      <w:r>
        <w:rPr/>
        <w:t>for</w:t>
      </w:r>
      <w:r>
        <w:rPr>
          <w:spacing w:val="-1"/>
        </w:rPr>
        <w:t> </w:t>
      </w:r>
      <w:r>
        <w:rPr/>
        <w:t>the</w:t>
      </w:r>
      <w:r>
        <w:rPr>
          <w:spacing w:val="-3"/>
        </w:rPr>
        <w:t> </w:t>
      </w:r>
      <w:r>
        <w:rPr/>
        <w:t>purpose</w:t>
      </w:r>
      <w:r>
        <w:rPr>
          <w:spacing w:val="-2"/>
        </w:rPr>
        <w:t> </w:t>
      </w:r>
      <w:r>
        <w:rPr/>
        <w:t>of</w:t>
      </w:r>
      <w:r>
        <w:rPr>
          <w:spacing w:val="-1"/>
        </w:rPr>
        <w:t> </w:t>
      </w:r>
      <w:r>
        <w:rPr/>
        <w:t>the petroleum operations carried on by the company.</w:t>
      </w:r>
    </w:p>
    <w:p>
      <w:pPr>
        <w:pStyle w:val="BodyText"/>
        <w:spacing w:before="1"/>
        <w:ind w:left="1080"/>
        <w:jc w:val="both"/>
      </w:pPr>
      <w:r>
        <w:rPr/>
        <w:t>The</w:t>
      </w:r>
      <w:r>
        <w:rPr>
          <w:spacing w:val="-5"/>
        </w:rPr>
        <w:t> </w:t>
      </w:r>
      <w:r>
        <w:rPr/>
        <w:t>petroleum</w:t>
      </w:r>
      <w:r>
        <w:rPr>
          <w:spacing w:val="-1"/>
        </w:rPr>
        <w:t> </w:t>
      </w:r>
      <w:r>
        <w:rPr/>
        <w:t>investment</w:t>
      </w:r>
      <w:r>
        <w:rPr>
          <w:spacing w:val="-1"/>
        </w:rPr>
        <w:t> </w:t>
      </w:r>
      <w:r>
        <w:rPr/>
        <w:t>allowance</w:t>
      </w:r>
      <w:r>
        <w:rPr>
          <w:spacing w:val="-2"/>
        </w:rPr>
        <w:t> </w:t>
      </w:r>
      <w:r>
        <w:rPr/>
        <w:t>is</w:t>
      </w:r>
      <w:r>
        <w:rPr>
          <w:spacing w:val="-1"/>
        </w:rPr>
        <w:t> </w:t>
      </w:r>
      <w:r>
        <w:rPr/>
        <w:t>calculated as </w:t>
      </w:r>
      <w:r>
        <w:rPr>
          <w:spacing w:val="-2"/>
        </w:rPr>
        <w:t>follows:</w:t>
      </w:r>
    </w:p>
    <w:p>
      <w:pPr>
        <w:pStyle w:val="BodyText"/>
      </w:pPr>
    </w:p>
    <w:p>
      <w:pPr>
        <w:pStyle w:val="BodyText"/>
        <w:tabs>
          <w:tab w:pos="1800" w:val="left" w:leader="none"/>
          <w:tab w:pos="2520" w:val="left" w:leader="none"/>
          <w:tab w:pos="3240" w:val="left" w:leader="none"/>
          <w:tab w:pos="3960" w:val="left" w:leader="none"/>
          <w:tab w:pos="4680" w:val="left" w:leader="none"/>
          <w:tab w:pos="5401" w:val="left" w:leader="none"/>
          <w:tab w:pos="6121" w:val="left" w:leader="none"/>
          <w:tab w:pos="6841" w:val="left" w:leader="none"/>
          <w:tab w:pos="7561" w:val="left" w:leader="none"/>
        </w:tabs>
        <w:spacing w:line="480" w:lineRule="auto"/>
        <w:ind w:left="360" w:right="1542"/>
      </w:pPr>
      <w:r>
        <w:rPr>
          <w:spacing w:val="-2"/>
        </w:rPr>
        <w:t>Onshore</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6"/>
        </w:rPr>
        <w:t>5% </w:t>
      </w:r>
      <w:r>
        <w:rPr/>
        <w:t>Offshore up to and including 100 meters above Continental Shelves</w:t>
        <w:tab/>
      </w:r>
      <w:r>
        <w:rPr>
          <w:spacing w:val="-4"/>
        </w:rPr>
        <w:t>10% </w:t>
      </w:r>
      <w:r>
        <w:rPr/>
        <w:t>Offshore between 100 – 200meters</w:t>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4"/>
        </w:rPr>
        <w:t>15% </w:t>
      </w:r>
      <w:r>
        <w:rPr/>
        <w:t>Offshore</w:t>
      </w:r>
      <w:r>
        <w:rPr>
          <w:spacing w:val="-1"/>
        </w:rPr>
        <w:t> </w:t>
      </w:r>
      <w:r>
        <w:rPr/>
        <w:t>above</w:t>
      </w:r>
      <w:r>
        <w:rPr>
          <w:spacing w:val="-3"/>
        </w:rPr>
        <w:t> </w:t>
      </w:r>
      <w:r>
        <w:rPr/>
        <w:t>200</w:t>
      </w:r>
      <w:r>
        <w:rPr>
          <w:spacing w:val="-1"/>
        </w:rPr>
        <w:t> </w:t>
      </w:r>
      <w:r>
        <w:rPr>
          <w:spacing w:val="-2"/>
        </w:rPr>
        <w:t>meters</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10"/>
        </w:rPr>
        <w:t>-</w:t>
      </w:r>
      <w:r>
        <w:rPr/>
        <w:tab/>
      </w:r>
      <w:r>
        <w:rPr>
          <w:spacing w:val="-5"/>
        </w:rPr>
        <w:t>20%</w:t>
      </w:r>
    </w:p>
    <w:p>
      <w:pPr>
        <w:pStyle w:val="Heading3"/>
        <w:numPr>
          <w:ilvl w:val="2"/>
          <w:numId w:val="8"/>
        </w:numPr>
        <w:tabs>
          <w:tab w:pos="1080" w:val="left" w:leader="none"/>
        </w:tabs>
        <w:spacing w:line="240" w:lineRule="auto" w:before="6" w:after="0"/>
        <w:ind w:left="1080" w:right="0" w:hanging="720"/>
        <w:jc w:val="left"/>
      </w:pPr>
      <w:r>
        <w:rPr/>
        <w:t>Assessable </w:t>
      </w:r>
      <w:r>
        <w:rPr>
          <w:spacing w:val="-5"/>
        </w:rPr>
        <w:t>Tax</w:t>
      </w:r>
    </w:p>
    <w:p>
      <w:pPr>
        <w:pStyle w:val="BodyText"/>
        <w:spacing w:line="480" w:lineRule="auto" w:before="271"/>
        <w:ind w:left="360" w:right="160" w:firstLine="719"/>
        <w:jc w:val="both"/>
      </w:pPr>
      <w:r>
        <w:rPr/>
        <w:t>This refers to the tax arrived at using the appropriate tax rate on the chargeable profit. In other</w:t>
      </w:r>
      <w:r>
        <w:rPr>
          <w:spacing w:val="-1"/>
        </w:rPr>
        <w:t> </w:t>
      </w:r>
      <w:r>
        <w:rPr/>
        <w:t>words, it is the</w:t>
      </w:r>
      <w:r>
        <w:rPr>
          <w:spacing w:val="-1"/>
        </w:rPr>
        <w:t> </w:t>
      </w:r>
      <w:r>
        <w:rPr/>
        <w:t>amount of</w:t>
      </w:r>
      <w:r>
        <w:rPr>
          <w:spacing w:val="-1"/>
        </w:rPr>
        <w:t> </w:t>
      </w:r>
      <w:r>
        <w:rPr/>
        <w:t>assessable</w:t>
      </w:r>
      <w:r>
        <w:rPr>
          <w:spacing w:val="-1"/>
        </w:rPr>
        <w:t> </w:t>
      </w:r>
      <w:r>
        <w:rPr/>
        <w:t>tax less certain tax offset. Up to the</w:t>
      </w:r>
      <w:r>
        <w:rPr>
          <w:spacing w:val="-1"/>
        </w:rPr>
        <w:t> </w:t>
      </w:r>
      <w:r>
        <w:rPr/>
        <w:t>end of</w:t>
      </w:r>
      <w:r>
        <w:rPr>
          <w:spacing w:val="-1"/>
        </w:rPr>
        <w:t> </w:t>
      </w:r>
      <w:r>
        <w:rPr/>
        <w:t>1994 year of assessment, the provisions of the PPTA is that tax offset should be used to reduce the assessable profit to obtain chargeable profit. Tax offset items include:</w:t>
      </w:r>
    </w:p>
    <w:p>
      <w:pPr>
        <w:pStyle w:val="ListParagraph"/>
        <w:numPr>
          <w:ilvl w:val="0"/>
          <w:numId w:val="13"/>
        </w:numPr>
        <w:tabs>
          <w:tab w:pos="1077" w:val="left" w:leader="none"/>
          <w:tab w:pos="1080" w:val="left" w:leader="none"/>
        </w:tabs>
        <w:spacing w:line="480" w:lineRule="auto" w:before="0" w:after="0"/>
        <w:ind w:left="1080" w:right="160" w:hanging="488"/>
        <w:jc w:val="both"/>
        <w:rPr>
          <w:sz w:val="24"/>
        </w:rPr>
      </w:pPr>
      <w:r>
        <w:rPr>
          <w:sz w:val="24"/>
        </w:rPr>
        <w:t>Non-productive rent International Journal of Advanced Legal Studies and Governance, Vol. 4, No. 2, August 2013 14</w:t>
      </w:r>
    </w:p>
    <w:p>
      <w:pPr>
        <w:pStyle w:val="ListParagraph"/>
        <w:numPr>
          <w:ilvl w:val="0"/>
          <w:numId w:val="13"/>
        </w:numPr>
        <w:tabs>
          <w:tab w:pos="1079" w:val="left" w:leader="none"/>
        </w:tabs>
        <w:spacing w:line="240" w:lineRule="auto" w:before="1" w:after="0"/>
        <w:ind w:left="1079" w:right="0" w:hanging="553"/>
        <w:jc w:val="both"/>
        <w:rPr>
          <w:sz w:val="24"/>
        </w:rPr>
      </w:pPr>
      <w:r>
        <w:rPr>
          <w:sz w:val="24"/>
        </w:rPr>
        <w:t>Royalties</w:t>
      </w:r>
      <w:r>
        <w:rPr>
          <w:spacing w:val="-4"/>
          <w:sz w:val="24"/>
        </w:rPr>
        <w:t> </w:t>
      </w:r>
      <w:r>
        <w:rPr>
          <w:sz w:val="24"/>
        </w:rPr>
        <w:t>on</w:t>
      </w:r>
      <w:r>
        <w:rPr>
          <w:spacing w:val="-2"/>
          <w:sz w:val="24"/>
        </w:rPr>
        <w:t> </w:t>
      </w:r>
      <w:r>
        <w:rPr>
          <w:sz w:val="24"/>
        </w:rPr>
        <w:t>local</w:t>
      </w:r>
      <w:r>
        <w:rPr>
          <w:spacing w:val="-2"/>
          <w:sz w:val="24"/>
        </w:rPr>
        <w:t> </w:t>
      </w:r>
      <w:r>
        <w:rPr>
          <w:spacing w:val="-4"/>
          <w:sz w:val="24"/>
        </w:rPr>
        <w:t>sales</w:t>
      </w:r>
    </w:p>
    <w:p>
      <w:pPr>
        <w:spacing w:after="0" w:line="240" w:lineRule="auto"/>
        <w:jc w:val="both"/>
        <w:rPr>
          <w:sz w:val="24"/>
        </w:rPr>
        <w:sectPr>
          <w:pgSz w:w="11910" w:h="16840"/>
          <w:pgMar w:header="0" w:footer="1000" w:top="1340" w:bottom="1200" w:left="1080" w:right="1280"/>
        </w:sectPr>
      </w:pPr>
    </w:p>
    <w:p>
      <w:pPr>
        <w:pStyle w:val="ListParagraph"/>
        <w:numPr>
          <w:ilvl w:val="0"/>
          <w:numId w:val="13"/>
        </w:numPr>
        <w:tabs>
          <w:tab w:pos="1080" w:val="left" w:leader="none"/>
        </w:tabs>
        <w:spacing w:line="240" w:lineRule="auto" w:before="74" w:after="0"/>
        <w:ind w:left="1080" w:right="0" w:hanging="619"/>
        <w:jc w:val="left"/>
        <w:rPr>
          <w:sz w:val="24"/>
        </w:rPr>
      </w:pPr>
      <w:r>
        <w:rPr>
          <w:sz w:val="24"/>
        </w:rPr>
        <w:t>Investment</w:t>
      </w:r>
      <w:r>
        <w:rPr>
          <w:spacing w:val="-5"/>
          <w:sz w:val="24"/>
        </w:rPr>
        <w:t> </w:t>
      </w:r>
      <w:r>
        <w:rPr>
          <w:sz w:val="24"/>
        </w:rPr>
        <w:t>tax</w:t>
      </w:r>
      <w:r>
        <w:rPr>
          <w:spacing w:val="-1"/>
          <w:sz w:val="24"/>
        </w:rPr>
        <w:t> </w:t>
      </w:r>
      <w:r>
        <w:rPr>
          <w:sz w:val="24"/>
        </w:rPr>
        <w:t>credit,</w:t>
      </w:r>
      <w:r>
        <w:rPr>
          <w:spacing w:val="-2"/>
          <w:sz w:val="24"/>
        </w:rPr>
        <w:t> </w:t>
      </w:r>
      <w:r>
        <w:rPr>
          <w:spacing w:val="-4"/>
          <w:sz w:val="24"/>
        </w:rPr>
        <w:t>etc.</w:t>
      </w:r>
    </w:p>
    <w:p>
      <w:pPr>
        <w:pStyle w:val="ListParagraph"/>
        <w:numPr>
          <w:ilvl w:val="0"/>
          <w:numId w:val="13"/>
        </w:numPr>
        <w:tabs>
          <w:tab w:pos="1080" w:val="left" w:leader="none"/>
        </w:tabs>
        <w:spacing w:line="240" w:lineRule="auto" w:before="276" w:after="0"/>
        <w:ind w:left="1080" w:right="0" w:hanging="607"/>
        <w:jc w:val="left"/>
        <w:rPr>
          <w:sz w:val="24"/>
        </w:rPr>
      </w:pPr>
      <w:r>
        <w:rPr>
          <w:sz w:val="24"/>
        </w:rPr>
        <w:t>Customs duty</w:t>
      </w:r>
      <w:r>
        <w:rPr>
          <w:spacing w:val="-7"/>
          <w:sz w:val="24"/>
        </w:rPr>
        <w:t> </w:t>
      </w:r>
      <w:r>
        <w:rPr>
          <w:sz w:val="24"/>
        </w:rPr>
        <w:t>on essential</w:t>
      </w:r>
      <w:r>
        <w:rPr>
          <w:spacing w:val="1"/>
          <w:sz w:val="24"/>
        </w:rPr>
        <w:t> </w:t>
      </w:r>
      <w:r>
        <w:rPr>
          <w:sz w:val="24"/>
        </w:rPr>
        <w:t>items,</w:t>
      </w:r>
      <w:r>
        <w:rPr>
          <w:spacing w:val="1"/>
          <w:sz w:val="24"/>
        </w:rPr>
        <w:t> </w:t>
      </w:r>
      <w:r>
        <w:rPr>
          <w:spacing w:val="-4"/>
          <w:sz w:val="24"/>
        </w:rPr>
        <w:t>etc.</w:t>
      </w:r>
    </w:p>
    <w:p>
      <w:pPr>
        <w:pStyle w:val="BodyText"/>
      </w:pPr>
    </w:p>
    <w:p>
      <w:pPr>
        <w:pStyle w:val="BodyText"/>
        <w:spacing w:line="480" w:lineRule="auto"/>
        <w:ind w:left="360" w:right="156" w:firstLine="719"/>
        <w:jc w:val="both"/>
      </w:pPr>
      <w:r>
        <w:rPr/>
        <w:t>The assessable tax of a company engaged in petroleum operation in any accounting period is the amount equal to 85% of its chargeable profit for that period. Where, however, a company has not yet commenced to make sale or bulk disposal of chargeable oil under a program of continuous production and sale, its assessable tax for any accounting period during</w:t>
      </w:r>
      <w:r>
        <w:rPr>
          <w:spacing w:val="28"/>
        </w:rPr>
        <w:t> </w:t>
      </w:r>
      <w:r>
        <w:rPr/>
        <w:t>which</w:t>
      </w:r>
      <w:r>
        <w:rPr>
          <w:spacing w:val="33"/>
        </w:rPr>
        <w:t> </w:t>
      </w:r>
      <w:r>
        <w:rPr/>
        <w:t>it</w:t>
      </w:r>
      <w:r>
        <w:rPr>
          <w:spacing w:val="34"/>
        </w:rPr>
        <w:t> </w:t>
      </w:r>
      <w:r>
        <w:rPr/>
        <w:t>has</w:t>
      </w:r>
      <w:r>
        <w:rPr>
          <w:spacing w:val="33"/>
        </w:rPr>
        <w:t> </w:t>
      </w:r>
      <w:r>
        <w:rPr/>
        <w:t>not</w:t>
      </w:r>
      <w:r>
        <w:rPr>
          <w:spacing w:val="36"/>
        </w:rPr>
        <w:t> </w:t>
      </w:r>
      <w:r>
        <w:rPr/>
        <w:t>fully</w:t>
      </w:r>
      <w:r>
        <w:rPr>
          <w:spacing w:val="28"/>
        </w:rPr>
        <w:t> </w:t>
      </w:r>
      <w:r>
        <w:rPr/>
        <w:t>amortized</w:t>
      </w:r>
      <w:r>
        <w:rPr>
          <w:spacing w:val="33"/>
        </w:rPr>
        <w:t> </w:t>
      </w:r>
      <w:r>
        <w:rPr/>
        <w:t>all</w:t>
      </w:r>
      <w:r>
        <w:rPr>
          <w:spacing w:val="34"/>
        </w:rPr>
        <w:t> </w:t>
      </w:r>
      <w:r>
        <w:rPr/>
        <w:t>pre-production</w:t>
      </w:r>
      <w:r>
        <w:rPr>
          <w:spacing w:val="33"/>
        </w:rPr>
        <w:t> </w:t>
      </w:r>
      <w:r>
        <w:rPr/>
        <w:t>capitalized</w:t>
      </w:r>
      <w:r>
        <w:rPr>
          <w:spacing w:val="33"/>
        </w:rPr>
        <w:t> </w:t>
      </w:r>
      <w:r>
        <w:rPr/>
        <w:t>expenditure</w:t>
      </w:r>
      <w:r>
        <w:rPr>
          <w:spacing w:val="32"/>
        </w:rPr>
        <w:t> </w:t>
      </w:r>
      <w:r>
        <w:rPr/>
        <w:t>shall</w:t>
      </w:r>
      <w:r>
        <w:rPr>
          <w:spacing w:val="33"/>
        </w:rPr>
        <w:t> </w:t>
      </w:r>
      <w:r>
        <w:rPr>
          <w:spacing w:val="-5"/>
        </w:rPr>
        <w:t>be</w:t>
      </w:r>
    </w:p>
    <w:p>
      <w:pPr>
        <w:pStyle w:val="BodyText"/>
        <w:spacing w:before="1"/>
        <w:ind w:left="360"/>
        <w:jc w:val="both"/>
      </w:pPr>
      <w:r>
        <w:rPr/>
        <w:t>65.75</w:t>
      </w:r>
      <w:r>
        <w:rPr>
          <w:spacing w:val="-1"/>
        </w:rPr>
        <w:t> </w:t>
      </w:r>
      <w:r>
        <w:rPr/>
        <w:t>per cent</w:t>
      </w:r>
      <w:r>
        <w:rPr>
          <w:spacing w:val="-1"/>
        </w:rPr>
        <w:t> </w:t>
      </w:r>
      <w:r>
        <w:rPr/>
        <w:t>of the</w:t>
      </w:r>
      <w:r>
        <w:rPr>
          <w:spacing w:val="-3"/>
        </w:rPr>
        <w:t> </w:t>
      </w:r>
      <w:r>
        <w:rPr/>
        <w:t>chargeable profits</w:t>
      </w:r>
      <w:r>
        <w:rPr>
          <w:spacing w:val="-1"/>
        </w:rPr>
        <w:t> </w:t>
      </w:r>
      <w:r>
        <w:rPr/>
        <w:t>for</w:t>
      </w:r>
      <w:r>
        <w:rPr>
          <w:spacing w:val="-1"/>
        </w:rPr>
        <w:t> </w:t>
      </w:r>
      <w:r>
        <w:rPr/>
        <w:t>that </w:t>
      </w:r>
      <w:r>
        <w:rPr>
          <w:spacing w:val="-2"/>
        </w:rPr>
        <w:t>period.</w:t>
      </w:r>
    </w:p>
    <w:p>
      <w:pPr>
        <w:pStyle w:val="BodyText"/>
        <w:spacing w:before="4"/>
      </w:pPr>
    </w:p>
    <w:p>
      <w:pPr>
        <w:pStyle w:val="Heading3"/>
        <w:numPr>
          <w:ilvl w:val="2"/>
          <w:numId w:val="8"/>
        </w:numPr>
        <w:tabs>
          <w:tab w:pos="1079" w:val="left" w:leader="none"/>
        </w:tabs>
        <w:spacing w:line="240" w:lineRule="auto" w:before="0" w:after="0"/>
        <w:ind w:left="1079" w:right="0" w:hanging="719"/>
        <w:jc w:val="both"/>
      </w:pPr>
      <w:r>
        <w:rPr/>
        <w:t>Chargeable</w:t>
      </w:r>
      <w:r>
        <w:rPr>
          <w:spacing w:val="-1"/>
        </w:rPr>
        <w:t> </w:t>
      </w:r>
      <w:r>
        <w:rPr>
          <w:spacing w:val="-5"/>
        </w:rPr>
        <w:t>Tax</w:t>
      </w:r>
    </w:p>
    <w:p>
      <w:pPr>
        <w:pStyle w:val="BodyText"/>
        <w:spacing w:before="272"/>
        <w:ind w:left="1080"/>
      </w:pPr>
      <w:r>
        <w:rPr/>
        <w:t>This</w:t>
      </w:r>
      <w:r>
        <w:rPr>
          <w:spacing w:val="1"/>
        </w:rPr>
        <w:t> </w:t>
      </w:r>
      <w:r>
        <w:rPr/>
        <w:t>is</w:t>
      </w:r>
      <w:r>
        <w:rPr>
          <w:spacing w:val="1"/>
        </w:rPr>
        <w:t> </w:t>
      </w:r>
      <w:r>
        <w:rPr/>
        <w:t>calculated</w:t>
      </w:r>
      <w:r>
        <w:rPr>
          <w:spacing w:val="4"/>
        </w:rPr>
        <w:t> </w:t>
      </w:r>
      <w:r>
        <w:rPr/>
        <w:t>as</w:t>
      </w:r>
      <w:r>
        <w:rPr>
          <w:spacing w:val="1"/>
        </w:rPr>
        <w:t> </w:t>
      </w:r>
      <w:r>
        <w:rPr/>
        <w:t>the</w:t>
      </w:r>
      <w:r>
        <w:rPr>
          <w:spacing w:val="6"/>
        </w:rPr>
        <w:t> </w:t>
      </w:r>
      <w:r>
        <w:rPr/>
        <w:t>amount</w:t>
      </w:r>
      <w:r>
        <w:rPr>
          <w:spacing w:val="1"/>
        </w:rPr>
        <w:t> </w:t>
      </w:r>
      <w:r>
        <w:rPr/>
        <w:t>of</w:t>
      </w:r>
      <w:r>
        <w:rPr>
          <w:spacing w:val="2"/>
        </w:rPr>
        <w:t> </w:t>
      </w:r>
      <w:r>
        <w:rPr/>
        <w:t>assessable</w:t>
      </w:r>
      <w:r>
        <w:rPr>
          <w:spacing w:val="3"/>
        </w:rPr>
        <w:t> </w:t>
      </w:r>
      <w:r>
        <w:rPr/>
        <w:t>tax</w:t>
      </w:r>
      <w:r>
        <w:rPr>
          <w:spacing w:val="2"/>
        </w:rPr>
        <w:t> </w:t>
      </w:r>
      <w:r>
        <w:rPr/>
        <w:t>less</w:t>
      </w:r>
      <w:r>
        <w:rPr>
          <w:spacing w:val="2"/>
        </w:rPr>
        <w:t> </w:t>
      </w:r>
      <w:r>
        <w:rPr/>
        <w:t>the certain</w:t>
      </w:r>
      <w:r>
        <w:rPr>
          <w:spacing w:val="4"/>
        </w:rPr>
        <w:t> </w:t>
      </w:r>
      <w:r>
        <w:rPr/>
        <w:t>tax</w:t>
      </w:r>
      <w:r>
        <w:rPr>
          <w:spacing w:val="2"/>
        </w:rPr>
        <w:t> </w:t>
      </w:r>
      <w:r>
        <w:rPr/>
        <w:t>offset66.</w:t>
      </w:r>
      <w:r>
        <w:rPr>
          <w:spacing w:val="2"/>
        </w:rPr>
        <w:t> </w:t>
      </w:r>
      <w:r>
        <w:rPr>
          <w:spacing w:val="-2"/>
        </w:rPr>
        <w:t>Section</w:t>
      </w:r>
    </w:p>
    <w:p>
      <w:pPr>
        <w:pStyle w:val="BodyText"/>
        <w:spacing w:line="480" w:lineRule="auto" w:before="276"/>
        <w:ind w:left="360" w:right="154"/>
        <w:jc w:val="both"/>
      </w:pPr>
      <w:r>
        <w:rPr/>
        <w:t>22 (3) provides that in computing the tax payable, the Investment Tax Credit shall be applicable in full to petroleum operations in the contracts such that chargeable tax is the amount of assessable tax less the Investment Tax Credit. The investment tax Credit rate for a company</w:t>
      </w:r>
      <w:r>
        <w:rPr>
          <w:spacing w:val="-6"/>
        </w:rPr>
        <w:t> </w:t>
      </w:r>
      <w:r>
        <w:rPr/>
        <w:t>operating</w:t>
      </w:r>
      <w:r>
        <w:rPr>
          <w:spacing w:val="-1"/>
        </w:rPr>
        <w:t> </w:t>
      </w:r>
      <w:r>
        <w:rPr/>
        <w:t>Product Service Contract with the Nigerian National Petroleum Company (NNPC) is 50% flat rate for the contract area, regardless of the duration of the contract. The Investment</w:t>
      </w:r>
      <w:r>
        <w:rPr>
          <w:spacing w:val="-3"/>
        </w:rPr>
        <w:t> </w:t>
      </w:r>
      <w:r>
        <w:rPr/>
        <w:t>Tax</w:t>
      </w:r>
      <w:r>
        <w:rPr>
          <w:spacing w:val="-1"/>
        </w:rPr>
        <w:t> </w:t>
      </w:r>
      <w:r>
        <w:rPr/>
        <w:t>Credit</w:t>
      </w:r>
      <w:r>
        <w:rPr>
          <w:spacing w:val="-3"/>
        </w:rPr>
        <w:t> </w:t>
      </w:r>
      <w:r>
        <w:rPr/>
        <w:t>allowance</w:t>
      </w:r>
      <w:r>
        <w:rPr>
          <w:spacing w:val="-3"/>
        </w:rPr>
        <w:t> </w:t>
      </w:r>
      <w:r>
        <w:rPr/>
        <w:t>shall</w:t>
      </w:r>
      <w:r>
        <w:rPr>
          <w:spacing w:val="-3"/>
        </w:rPr>
        <w:t> </w:t>
      </w:r>
      <w:r>
        <w:rPr/>
        <w:t>be</w:t>
      </w:r>
      <w:r>
        <w:rPr>
          <w:spacing w:val="-3"/>
        </w:rPr>
        <w:t> </w:t>
      </w:r>
      <w:r>
        <w:rPr/>
        <w:t>offset</w:t>
      </w:r>
      <w:r>
        <w:rPr>
          <w:spacing w:val="-1"/>
        </w:rPr>
        <w:t> </w:t>
      </w:r>
      <w:r>
        <w:rPr/>
        <w:t>against</w:t>
      </w:r>
      <w:r>
        <w:rPr>
          <w:spacing w:val="-3"/>
        </w:rPr>
        <w:t> </w:t>
      </w:r>
      <w:r>
        <w:rPr/>
        <w:t>the</w:t>
      </w:r>
      <w:r>
        <w:rPr>
          <w:spacing w:val="-2"/>
        </w:rPr>
        <w:t> </w:t>
      </w:r>
      <w:r>
        <w:rPr/>
        <w:t>chargeable</w:t>
      </w:r>
      <w:r>
        <w:rPr>
          <w:spacing w:val="-3"/>
        </w:rPr>
        <w:t> </w:t>
      </w:r>
      <w:r>
        <w:rPr/>
        <w:t>tax in</w:t>
      </w:r>
      <w:r>
        <w:rPr>
          <w:spacing w:val="-3"/>
        </w:rPr>
        <w:t> </w:t>
      </w:r>
      <w:r>
        <w:rPr/>
        <w:t>accordance</w:t>
      </w:r>
      <w:r>
        <w:rPr>
          <w:spacing w:val="-3"/>
        </w:rPr>
        <w:t> </w:t>
      </w:r>
      <w:r>
        <w:rPr/>
        <w:t>with the provisions of the production sharing contract.</w:t>
      </w:r>
    </w:p>
    <w:p>
      <w:pPr>
        <w:pStyle w:val="BodyText"/>
        <w:spacing w:line="480" w:lineRule="auto" w:before="1"/>
        <w:ind w:left="360" w:right="158" w:firstLine="719"/>
        <w:jc w:val="both"/>
      </w:pPr>
      <w:r>
        <w:rPr/>
        <w:t>An oil exploration company files two types of returns under the Petroleum Profit Tax Act; Estimated Petroleum Profit Tax Returns and Annual Petroleum Profit Tax. In respect of the</w:t>
      </w:r>
      <w:r>
        <w:rPr>
          <w:spacing w:val="-2"/>
        </w:rPr>
        <w:t> </w:t>
      </w:r>
      <w:r>
        <w:rPr/>
        <w:t>estimated</w:t>
      </w:r>
      <w:r>
        <w:rPr>
          <w:spacing w:val="-2"/>
        </w:rPr>
        <w:t> </w:t>
      </w:r>
      <w:r>
        <w:rPr/>
        <w:t>petroleum profit</w:t>
      </w:r>
      <w:r>
        <w:rPr>
          <w:spacing w:val="-2"/>
        </w:rPr>
        <w:t> </w:t>
      </w:r>
      <w:r>
        <w:rPr/>
        <w:t>tax,</w:t>
      </w:r>
      <w:r>
        <w:rPr>
          <w:spacing w:val="-2"/>
        </w:rPr>
        <w:t> </w:t>
      </w:r>
      <w:r>
        <w:rPr/>
        <w:t>tax</w:t>
      </w:r>
      <w:r>
        <w:rPr>
          <w:spacing w:val="-1"/>
        </w:rPr>
        <w:t> </w:t>
      </w:r>
      <w:r>
        <w:rPr/>
        <w:t>for</w:t>
      </w:r>
      <w:r>
        <w:rPr>
          <w:spacing w:val="-3"/>
        </w:rPr>
        <w:t> </w:t>
      </w:r>
      <w:r>
        <w:rPr/>
        <w:t>any</w:t>
      </w:r>
      <w:r>
        <w:rPr>
          <w:spacing w:val="-5"/>
        </w:rPr>
        <w:t> </w:t>
      </w:r>
      <w:r>
        <w:rPr/>
        <w:t>accounting year</w:t>
      </w:r>
      <w:r>
        <w:rPr>
          <w:spacing w:val="-1"/>
        </w:rPr>
        <w:t> </w:t>
      </w:r>
      <w:r>
        <w:rPr/>
        <w:t>is</w:t>
      </w:r>
      <w:r>
        <w:rPr>
          <w:spacing w:val="-2"/>
        </w:rPr>
        <w:t> </w:t>
      </w:r>
      <w:r>
        <w:rPr/>
        <w:t>payable</w:t>
      </w:r>
      <w:r>
        <w:rPr>
          <w:spacing w:val="-2"/>
        </w:rPr>
        <w:t> </w:t>
      </w:r>
      <w:r>
        <w:rPr/>
        <w:t>in</w:t>
      </w:r>
      <w:r>
        <w:rPr>
          <w:spacing w:val="-2"/>
        </w:rPr>
        <w:t> </w:t>
      </w:r>
      <w:r>
        <w:rPr/>
        <w:t>twelve</w:t>
      </w:r>
      <w:r>
        <w:rPr>
          <w:spacing w:val="-1"/>
        </w:rPr>
        <w:t> </w:t>
      </w:r>
      <w:r>
        <w:rPr/>
        <w:t>(12)</w:t>
      </w:r>
      <w:r>
        <w:rPr>
          <w:spacing w:val="-2"/>
        </w:rPr>
        <w:t> </w:t>
      </w:r>
      <w:r>
        <w:rPr/>
        <w:t>equal installments commencing from March of the accounting year and ending in February of the following accounting year. In other words, the first installment is payable not later than the third month of the accounting period. Subsequent installments will be due and payable not later</w:t>
      </w:r>
      <w:r>
        <w:rPr>
          <w:spacing w:val="6"/>
        </w:rPr>
        <w:t> </w:t>
      </w:r>
      <w:r>
        <w:rPr/>
        <w:t>than</w:t>
      </w:r>
      <w:r>
        <w:rPr>
          <w:spacing w:val="8"/>
        </w:rPr>
        <w:t> </w:t>
      </w:r>
      <w:r>
        <w:rPr/>
        <w:t>the</w:t>
      </w:r>
      <w:r>
        <w:rPr>
          <w:spacing w:val="7"/>
        </w:rPr>
        <w:t> </w:t>
      </w:r>
      <w:r>
        <w:rPr/>
        <w:t>last</w:t>
      </w:r>
      <w:r>
        <w:rPr>
          <w:spacing w:val="7"/>
        </w:rPr>
        <w:t> </w:t>
      </w:r>
      <w:r>
        <w:rPr/>
        <w:t>day</w:t>
      </w:r>
      <w:r>
        <w:rPr>
          <w:spacing w:val="2"/>
        </w:rPr>
        <w:t> </w:t>
      </w:r>
      <w:r>
        <w:rPr/>
        <w:t>of</w:t>
      </w:r>
      <w:r>
        <w:rPr>
          <w:spacing w:val="9"/>
        </w:rPr>
        <w:t> </w:t>
      </w:r>
      <w:r>
        <w:rPr/>
        <w:t>each</w:t>
      </w:r>
      <w:r>
        <w:rPr>
          <w:spacing w:val="9"/>
        </w:rPr>
        <w:t> </w:t>
      </w:r>
      <w:r>
        <w:rPr/>
        <w:t>month</w:t>
      </w:r>
      <w:r>
        <w:rPr>
          <w:vertAlign w:val="superscript"/>
        </w:rPr>
        <w:t>58</w:t>
      </w:r>
      <w:r>
        <w:rPr>
          <w:vertAlign w:val="baseline"/>
        </w:rPr>
        <w:t>.</w:t>
      </w:r>
      <w:r>
        <w:rPr>
          <w:spacing w:val="6"/>
          <w:vertAlign w:val="baseline"/>
        </w:rPr>
        <w:t> </w:t>
      </w:r>
      <w:r>
        <w:rPr>
          <w:vertAlign w:val="baseline"/>
        </w:rPr>
        <w:t>The</w:t>
      </w:r>
      <w:r>
        <w:rPr>
          <w:spacing w:val="9"/>
          <w:vertAlign w:val="baseline"/>
        </w:rPr>
        <w:t> </w:t>
      </w:r>
      <w:r>
        <w:rPr>
          <w:vertAlign w:val="baseline"/>
        </w:rPr>
        <w:t>estimated</w:t>
      </w:r>
      <w:r>
        <w:rPr>
          <w:spacing w:val="6"/>
          <w:vertAlign w:val="baseline"/>
        </w:rPr>
        <w:t> </w:t>
      </w:r>
      <w:r>
        <w:rPr>
          <w:vertAlign w:val="baseline"/>
        </w:rPr>
        <w:t>petroleum</w:t>
      </w:r>
      <w:r>
        <w:rPr>
          <w:spacing w:val="10"/>
          <w:vertAlign w:val="baseline"/>
        </w:rPr>
        <w:t> </w:t>
      </w:r>
      <w:r>
        <w:rPr>
          <w:vertAlign w:val="baseline"/>
        </w:rPr>
        <w:t>profit</w:t>
      </w:r>
      <w:r>
        <w:rPr>
          <w:spacing w:val="7"/>
          <w:vertAlign w:val="baseline"/>
        </w:rPr>
        <w:t> </w:t>
      </w:r>
      <w:r>
        <w:rPr>
          <w:vertAlign w:val="baseline"/>
        </w:rPr>
        <w:t>tax</w:t>
      </w:r>
      <w:r>
        <w:rPr>
          <w:spacing w:val="8"/>
          <w:vertAlign w:val="baseline"/>
        </w:rPr>
        <w:t> </w:t>
      </w:r>
      <w:r>
        <w:rPr>
          <w:vertAlign w:val="baseline"/>
        </w:rPr>
        <w:t>shall</w:t>
      </w:r>
      <w:r>
        <w:rPr>
          <w:spacing w:val="8"/>
          <w:vertAlign w:val="baseline"/>
        </w:rPr>
        <w:t> </w:t>
      </w:r>
      <w:r>
        <w:rPr>
          <w:vertAlign w:val="baseline"/>
        </w:rPr>
        <w:t>be</w:t>
      </w:r>
      <w:r>
        <w:rPr>
          <w:spacing w:val="6"/>
          <w:vertAlign w:val="baseline"/>
        </w:rPr>
        <w:t> </w:t>
      </w:r>
      <w:r>
        <w:rPr>
          <w:spacing w:val="-2"/>
          <w:vertAlign w:val="baseline"/>
        </w:rPr>
        <w:t>submitted</w:t>
      </w:r>
    </w:p>
    <w:p>
      <w:pPr>
        <w:pStyle w:val="BodyText"/>
        <w:spacing w:before="103"/>
        <w:rPr>
          <w:sz w:val="20"/>
        </w:rPr>
      </w:pPr>
      <w:r>
        <w:rPr/>
        <mc:AlternateContent>
          <mc:Choice Requires="wps">
            <w:drawing>
              <wp:anchor distT="0" distB="0" distL="0" distR="0" allowOverlap="1" layoutInCell="1" locked="0" behindDoc="1" simplePos="0" relativeHeight="487612928">
                <wp:simplePos x="0" y="0"/>
                <wp:positionH relativeFrom="page">
                  <wp:posOffset>914704</wp:posOffset>
                </wp:positionH>
                <wp:positionV relativeFrom="paragraph">
                  <wp:posOffset>226729</wp:posOffset>
                </wp:positionV>
                <wp:extent cx="1829435" cy="9525"/>
                <wp:effectExtent l="0" t="0" r="0" b="0"/>
                <wp:wrapTopAndBottom/>
                <wp:docPr id="54" name="Graphic 54"/>
                <wp:cNvGraphicFramePr>
                  <a:graphicFrameLocks/>
                </wp:cNvGraphicFramePr>
                <a:graphic>
                  <a:graphicData uri="http://schemas.microsoft.com/office/word/2010/wordprocessingShape">
                    <wps:wsp>
                      <wps:cNvPr id="54" name="Graphic 54"/>
                      <wps:cNvSpPr/>
                      <wps:spPr>
                        <a:xfrm>
                          <a:off x="0" y="0"/>
                          <a:ext cx="1829435" cy="9525"/>
                        </a:xfrm>
                        <a:custGeom>
                          <a:avLst/>
                          <a:gdLst/>
                          <a:ahLst/>
                          <a:cxnLst/>
                          <a:rect l="l" t="t" r="r" b="b"/>
                          <a:pathLst>
                            <a:path w="1829435" h="9525">
                              <a:moveTo>
                                <a:pt x="1829054" y="0"/>
                              </a:moveTo>
                              <a:lnTo>
                                <a:pt x="0" y="0"/>
                              </a:lnTo>
                              <a:lnTo>
                                <a:pt x="0" y="9144"/>
                              </a:lnTo>
                              <a:lnTo>
                                <a:pt x="1829054" y="9144"/>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17.852705pt;width:144.020pt;height:.72003pt;mso-position-horizontal-relative:page;mso-position-vertical-relative:paragraph;z-index:-15703552;mso-wrap-distance-left:0;mso-wrap-distance-right:0" id="docshape54" filled="true" fillcolor="#000000" stroked="false">
                <v:fill type="solid"/>
                <w10:wrap type="topAndBottom"/>
              </v:rect>
            </w:pict>
          </mc:Fallback>
        </mc:AlternateContent>
      </w:r>
    </w:p>
    <w:p>
      <w:pPr>
        <w:spacing w:before="102"/>
        <w:ind w:left="360" w:right="0" w:firstLine="0"/>
        <w:jc w:val="left"/>
        <w:rPr>
          <w:rFonts w:ascii="Calibri"/>
          <w:sz w:val="20"/>
        </w:rPr>
      </w:pPr>
      <w:r>
        <w:rPr>
          <w:rFonts w:ascii="Calibri"/>
          <w:sz w:val="20"/>
          <w:vertAlign w:val="superscript"/>
        </w:rPr>
        <w:t>58</w:t>
      </w:r>
      <w:r>
        <w:rPr>
          <w:rFonts w:ascii="Calibri"/>
          <w:sz w:val="20"/>
          <w:vertAlign w:val="baseline"/>
        </w:rPr>
        <w:t>Section</w:t>
      </w:r>
      <w:r>
        <w:rPr>
          <w:rFonts w:ascii="Calibri"/>
          <w:spacing w:val="-6"/>
          <w:sz w:val="20"/>
          <w:vertAlign w:val="baseline"/>
        </w:rPr>
        <w:t> </w:t>
      </w:r>
      <w:r>
        <w:rPr>
          <w:rFonts w:ascii="Calibri"/>
          <w:sz w:val="20"/>
          <w:vertAlign w:val="baseline"/>
        </w:rPr>
        <w:t>45</w:t>
      </w:r>
      <w:r>
        <w:rPr>
          <w:rFonts w:ascii="Calibri"/>
          <w:spacing w:val="-5"/>
          <w:sz w:val="20"/>
          <w:vertAlign w:val="baseline"/>
        </w:rPr>
        <w:t> </w:t>
      </w:r>
      <w:r>
        <w:rPr>
          <w:rFonts w:ascii="Calibri"/>
          <w:sz w:val="20"/>
          <w:vertAlign w:val="baseline"/>
        </w:rPr>
        <w:t>(3)</w:t>
      </w:r>
      <w:r>
        <w:rPr>
          <w:rFonts w:ascii="Calibri"/>
          <w:spacing w:val="-6"/>
          <w:sz w:val="20"/>
          <w:vertAlign w:val="baseline"/>
        </w:rPr>
        <w:t> </w:t>
      </w:r>
      <w:r>
        <w:rPr>
          <w:rFonts w:ascii="Calibri"/>
          <w:sz w:val="20"/>
          <w:vertAlign w:val="baseline"/>
        </w:rPr>
        <w:t>of</w:t>
      </w:r>
      <w:r>
        <w:rPr>
          <w:rFonts w:ascii="Calibri"/>
          <w:spacing w:val="-7"/>
          <w:sz w:val="20"/>
          <w:vertAlign w:val="baseline"/>
        </w:rPr>
        <w:t> </w:t>
      </w:r>
      <w:r>
        <w:rPr>
          <w:rFonts w:ascii="Calibri"/>
          <w:sz w:val="20"/>
          <w:vertAlign w:val="baseline"/>
        </w:rPr>
        <w:t>the</w:t>
      </w:r>
      <w:r>
        <w:rPr>
          <w:rFonts w:ascii="Calibri"/>
          <w:spacing w:val="-6"/>
          <w:sz w:val="20"/>
          <w:vertAlign w:val="baseline"/>
        </w:rPr>
        <w:t> </w:t>
      </w:r>
      <w:r>
        <w:rPr>
          <w:rFonts w:ascii="Calibri"/>
          <w:sz w:val="20"/>
          <w:vertAlign w:val="baseline"/>
        </w:rPr>
        <w:t>Petroleum</w:t>
      </w:r>
      <w:r>
        <w:rPr>
          <w:rFonts w:ascii="Calibri"/>
          <w:spacing w:val="-6"/>
          <w:sz w:val="20"/>
          <w:vertAlign w:val="baseline"/>
        </w:rPr>
        <w:t> </w:t>
      </w:r>
      <w:r>
        <w:rPr>
          <w:rFonts w:ascii="Calibri"/>
          <w:sz w:val="20"/>
          <w:vertAlign w:val="baseline"/>
        </w:rPr>
        <w:t>Profit</w:t>
      </w:r>
      <w:r>
        <w:rPr>
          <w:rFonts w:ascii="Calibri"/>
          <w:spacing w:val="-5"/>
          <w:sz w:val="20"/>
          <w:vertAlign w:val="baseline"/>
        </w:rPr>
        <w:t> </w:t>
      </w:r>
      <w:r>
        <w:rPr>
          <w:rFonts w:ascii="Calibri"/>
          <w:sz w:val="20"/>
          <w:vertAlign w:val="baseline"/>
        </w:rPr>
        <w:t>Tax</w:t>
      </w:r>
      <w:r>
        <w:rPr>
          <w:rFonts w:ascii="Calibri"/>
          <w:spacing w:val="-5"/>
          <w:sz w:val="20"/>
          <w:vertAlign w:val="baseline"/>
        </w:rPr>
        <w:t> Act</w:t>
      </w:r>
    </w:p>
    <w:p>
      <w:pPr>
        <w:spacing w:after="0"/>
        <w:jc w:val="left"/>
        <w:rPr>
          <w:rFonts w:ascii="Calibri"/>
          <w:sz w:val="20"/>
        </w:rPr>
        <w:sectPr>
          <w:pgSz w:w="11910" w:h="16840"/>
          <w:pgMar w:header="0" w:footer="1000" w:top="1340" w:bottom="1200" w:left="1080" w:right="1280"/>
        </w:sectPr>
      </w:pPr>
    </w:p>
    <w:p>
      <w:pPr>
        <w:pStyle w:val="BodyText"/>
        <w:spacing w:line="480" w:lineRule="auto" w:before="74"/>
        <w:ind w:left="360" w:right="158"/>
        <w:jc w:val="both"/>
      </w:pPr>
      <w:r>
        <w:rPr/>
        <w:t>to the Board not later than two (2) months after the commencement of the accounting period</w:t>
      </w:r>
      <w:r>
        <w:rPr>
          <w:vertAlign w:val="superscript"/>
        </w:rPr>
        <w:t>59</w:t>
      </w:r>
      <w:r>
        <w:rPr>
          <w:vertAlign w:val="baseline"/>
        </w:rPr>
        <w:t>. The audited account is expected to be finalized and the actual tax return filed by May of the subsequent year.</w:t>
      </w:r>
    </w:p>
    <w:p>
      <w:pPr>
        <w:pStyle w:val="BodyText"/>
        <w:spacing w:line="480" w:lineRule="auto"/>
        <w:ind w:left="360" w:right="149" w:firstLine="719"/>
        <w:jc w:val="both"/>
      </w:pPr>
      <w:r>
        <w:rPr/>
        <w:t>The annual petroleum tax returns, also known as the 13th installment, is payable in July of the following accounting year. Where the total amount paid in advance exceeds the</w:t>
      </w:r>
      <w:r>
        <w:rPr>
          <w:spacing w:val="40"/>
        </w:rPr>
        <w:t> </w:t>
      </w:r>
      <w:r>
        <w:rPr/>
        <w:t>tax computed per account, the excess is granted as a tax creditagainst future installment. If any installment due and payable is not paid within the appropriate time limit, a sum equal to five (5) per cent of the amount due as installment shall be added to amount due</w:t>
      </w:r>
      <w:r>
        <w:rPr>
          <w:vertAlign w:val="superscript"/>
        </w:rPr>
        <w:t>60</w:t>
      </w:r>
      <w:r>
        <w:rPr>
          <w:vertAlign w:val="baseline"/>
        </w:rPr>
        <w:t>. Any company disagreeing with the assessment served on it by the Board has a right of appeal under the Act</w:t>
      </w:r>
      <w:r>
        <w:rPr>
          <w:vertAlign w:val="superscript"/>
        </w:rPr>
        <w:t>61</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215"/>
        <w:rPr>
          <w:sz w:val="20"/>
        </w:rPr>
      </w:pPr>
      <w:r>
        <w:rPr/>
        <mc:AlternateContent>
          <mc:Choice Requires="wps">
            <w:drawing>
              <wp:anchor distT="0" distB="0" distL="0" distR="0" allowOverlap="1" layoutInCell="1" locked="0" behindDoc="1" simplePos="0" relativeHeight="487613440">
                <wp:simplePos x="0" y="0"/>
                <wp:positionH relativeFrom="page">
                  <wp:posOffset>914704</wp:posOffset>
                </wp:positionH>
                <wp:positionV relativeFrom="paragraph">
                  <wp:posOffset>298369</wp:posOffset>
                </wp:positionV>
                <wp:extent cx="1829435" cy="9525"/>
                <wp:effectExtent l="0" t="0" r="0" b="0"/>
                <wp:wrapTopAndBottom/>
                <wp:docPr id="55" name="Graphic 55"/>
                <wp:cNvGraphicFramePr>
                  <a:graphicFrameLocks/>
                </wp:cNvGraphicFramePr>
                <a:graphic>
                  <a:graphicData uri="http://schemas.microsoft.com/office/word/2010/wordprocessingShape">
                    <wps:wsp>
                      <wps:cNvPr id="55" name="Graphic 55"/>
                      <wps:cNvSpPr/>
                      <wps:spPr>
                        <a:xfrm>
                          <a:off x="0" y="0"/>
                          <a:ext cx="1829435" cy="9525"/>
                        </a:xfrm>
                        <a:custGeom>
                          <a:avLst/>
                          <a:gdLst/>
                          <a:ahLst/>
                          <a:cxnLst/>
                          <a:rect l="l" t="t" r="r" b="b"/>
                          <a:pathLst>
                            <a:path w="1829435" h="9525">
                              <a:moveTo>
                                <a:pt x="1829054" y="0"/>
                              </a:moveTo>
                              <a:lnTo>
                                <a:pt x="0" y="0"/>
                              </a:lnTo>
                              <a:lnTo>
                                <a:pt x="0" y="9144"/>
                              </a:lnTo>
                              <a:lnTo>
                                <a:pt x="1829054" y="9144"/>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23.493681pt;width:144.020pt;height:.72003pt;mso-position-horizontal-relative:page;mso-position-vertical-relative:paragraph;z-index:-15703040;mso-wrap-distance-left:0;mso-wrap-distance-right:0" id="docshape55" filled="true" fillcolor="#000000" stroked="false">
                <v:fill type="solid"/>
                <w10:wrap type="topAndBottom"/>
              </v:rect>
            </w:pict>
          </mc:Fallback>
        </mc:AlternateContent>
      </w:r>
    </w:p>
    <w:p>
      <w:pPr>
        <w:spacing w:line="243" w:lineRule="exact" w:before="102"/>
        <w:ind w:left="360" w:right="0" w:firstLine="0"/>
        <w:jc w:val="left"/>
        <w:rPr>
          <w:rFonts w:ascii="Calibri"/>
          <w:sz w:val="20"/>
        </w:rPr>
      </w:pPr>
      <w:r>
        <w:rPr>
          <w:rFonts w:ascii="Calibri"/>
          <w:sz w:val="20"/>
          <w:vertAlign w:val="superscript"/>
        </w:rPr>
        <w:t>59</w:t>
      </w:r>
      <w:r>
        <w:rPr>
          <w:rFonts w:ascii="Calibri"/>
          <w:sz w:val="20"/>
          <w:vertAlign w:val="baseline"/>
        </w:rPr>
        <w:t>Section</w:t>
      </w:r>
      <w:r>
        <w:rPr>
          <w:rFonts w:ascii="Calibri"/>
          <w:spacing w:val="-8"/>
          <w:sz w:val="20"/>
          <w:vertAlign w:val="baseline"/>
        </w:rPr>
        <w:t> </w:t>
      </w:r>
      <w:r>
        <w:rPr>
          <w:rFonts w:ascii="Calibri"/>
          <w:sz w:val="20"/>
          <w:vertAlign w:val="baseline"/>
        </w:rPr>
        <w:t>33</w:t>
      </w:r>
      <w:r>
        <w:rPr>
          <w:rFonts w:ascii="Calibri"/>
          <w:spacing w:val="-7"/>
          <w:sz w:val="20"/>
          <w:vertAlign w:val="baseline"/>
        </w:rPr>
        <w:t> </w:t>
      </w:r>
      <w:r>
        <w:rPr>
          <w:rFonts w:ascii="Calibri"/>
          <w:spacing w:val="-4"/>
          <w:sz w:val="20"/>
          <w:vertAlign w:val="baseline"/>
        </w:rPr>
        <w:t>Ibid</w:t>
      </w:r>
    </w:p>
    <w:p>
      <w:pPr>
        <w:spacing w:line="243" w:lineRule="exact" w:before="0"/>
        <w:ind w:left="360" w:right="0" w:firstLine="0"/>
        <w:jc w:val="left"/>
        <w:rPr>
          <w:rFonts w:ascii="Calibri"/>
          <w:sz w:val="20"/>
        </w:rPr>
      </w:pPr>
      <w:r>
        <w:rPr>
          <w:rFonts w:ascii="Calibri"/>
          <w:sz w:val="20"/>
          <w:vertAlign w:val="superscript"/>
        </w:rPr>
        <w:t>60</w:t>
      </w:r>
      <w:r>
        <w:rPr>
          <w:rFonts w:ascii="Calibri"/>
          <w:sz w:val="20"/>
          <w:vertAlign w:val="baseline"/>
        </w:rPr>
        <w:t>Section</w:t>
      </w:r>
      <w:r>
        <w:rPr>
          <w:rFonts w:ascii="Calibri"/>
          <w:spacing w:val="-8"/>
          <w:sz w:val="20"/>
          <w:vertAlign w:val="baseline"/>
        </w:rPr>
        <w:t> </w:t>
      </w:r>
      <w:r>
        <w:rPr>
          <w:rFonts w:ascii="Calibri"/>
          <w:sz w:val="20"/>
          <w:vertAlign w:val="baseline"/>
        </w:rPr>
        <w:t>46</w:t>
      </w:r>
      <w:r>
        <w:rPr>
          <w:rFonts w:ascii="Calibri"/>
          <w:spacing w:val="-7"/>
          <w:sz w:val="20"/>
          <w:vertAlign w:val="baseline"/>
        </w:rPr>
        <w:t> </w:t>
      </w:r>
      <w:r>
        <w:rPr>
          <w:rFonts w:ascii="Calibri"/>
          <w:spacing w:val="-4"/>
          <w:sz w:val="20"/>
          <w:vertAlign w:val="baseline"/>
        </w:rPr>
        <w:t>Ibid</w:t>
      </w:r>
    </w:p>
    <w:p>
      <w:pPr>
        <w:spacing w:before="1"/>
        <w:ind w:left="360" w:right="0" w:firstLine="0"/>
        <w:jc w:val="left"/>
        <w:rPr>
          <w:rFonts w:ascii="Calibri"/>
          <w:sz w:val="20"/>
        </w:rPr>
      </w:pPr>
      <w:r>
        <w:rPr>
          <w:rFonts w:ascii="Calibri"/>
          <w:sz w:val="20"/>
          <w:vertAlign w:val="superscript"/>
        </w:rPr>
        <w:t>61</w:t>
      </w:r>
      <w:r>
        <w:rPr>
          <w:rFonts w:ascii="Calibri"/>
          <w:sz w:val="20"/>
          <w:vertAlign w:val="baseline"/>
        </w:rPr>
        <w:t>Section</w:t>
      </w:r>
      <w:r>
        <w:rPr>
          <w:rFonts w:ascii="Calibri"/>
          <w:spacing w:val="-8"/>
          <w:sz w:val="20"/>
          <w:vertAlign w:val="baseline"/>
        </w:rPr>
        <w:t> </w:t>
      </w:r>
      <w:r>
        <w:rPr>
          <w:rFonts w:ascii="Calibri"/>
          <w:sz w:val="20"/>
          <w:vertAlign w:val="baseline"/>
        </w:rPr>
        <w:t>41</w:t>
      </w:r>
      <w:r>
        <w:rPr>
          <w:rFonts w:ascii="Calibri"/>
          <w:spacing w:val="-7"/>
          <w:sz w:val="20"/>
          <w:vertAlign w:val="baseline"/>
        </w:rPr>
        <w:t> </w:t>
      </w:r>
      <w:r>
        <w:rPr>
          <w:rFonts w:ascii="Calibri"/>
          <w:spacing w:val="-4"/>
          <w:sz w:val="20"/>
          <w:vertAlign w:val="baseline"/>
        </w:rPr>
        <w:t>Ibid</w:t>
      </w:r>
    </w:p>
    <w:p>
      <w:pPr>
        <w:spacing w:after="0"/>
        <w:jc w:val="left"/>
        <w:rPr>
          <w:rFonts w:ascii="Calibri"/>
          <w:sz w:val="20"/>
        </w:rPr>
        <w:sectPr>
          <w:pgSz w:w="11910" w:h="16840"/>
          <w:pgMar w:header="0" w:footer="1000" w:top="1340" w:bottom="1200" w:left="1080" w:right="1280"/>
        </w:sectPr>
      </w:pPr>
    </w:p>
    <w:p>
      <w:pPr>
        <w:pStyle w:val="Heading1"/>
        <w:spacing w:before="78"/>
        <w:ind w:left="440"/>
      </w:pPr>
      <w:r>
        <w:rPr>
          <w:spacing w:val="-6"/>
        </w:rPr>
        <w:t>CHAPTER</w:t>
      </w:r>
      <w:r>
        <w:rPr>
          <w:spacing w:val="-4"/>
        </w:rPr>
        <w:t> FOUR</w:t>
      </w:r>
    </w:p>
    <w:p>
      <w:pPr>
        <w:pStyle w:val="BodyText"/>
        <w:rPr>
          <w:b/>
        </w:rPr>
      </w:pPr>
    </w:p>
    <w:p>
      <w:pPr>
        <w:spacing w:before="0"/>
        <w:ind w:left="455" w:right="238" w:firstLine="0"/>
        <w:jc w:val="center"/>
        <w:rPr>
          <w:b/>
          <w:sz w:val="24"/>
        </w:rPr>
      </w:pPr>
      <w:r>
        <w:rPr>
          <w:b/>
          <w:spacing w:val="-6"/>
          <w:sz w:val="24"/>
        </w:rPr>
        <w:t>OFFENCES</w:t>
      </w:r>
      <w:r>
        <w:rPr>
          <w:b/>
          <w:spacing w:val="-13"/>
          <w:sz w:val="24"/>
        </w:rPr>
        <w:t> </w:t>
      </w:r>
      <w:r>
        <w:rPr>
          <w:b/>
          <w:spacing w:val="-6"/>
          <w:sz w:val="24"/>
        </w:rPr>
        <w:t>AND</w:t>
      </w:r>
      <w:r>
        <w:rPr>
          <w:b/>
          <w:spacing w:val="-13"/>
          <w:sz w:val="24"/>
        </w:rPr>
        <w:t> </w:t>
      </w:r>
      <w:r>
        <w:rPr>
          <w:b/>
          <w:spacing w:val="-6"/>
          <w:sz w:val="24"/>
        </w:rPr>
        <w:t>PENALTIES</w:t>
      </w:r>
      <w:r>
        <w:rPr>
          <w:b/>
          <w:spacing w:val="-14"/>
          <w:sz w:val="24"/>
        </w:rPr>
        <w:t> </w:t>
      </w:r>
      <w:r>
        <w:rPr>
          <w:b/>
          <w:spacing w:val="-6"/>
          <w:sz w:val="24"/>
        </w:rPr>
        <w:t>IN</w:t>
      </w:r>
      <w:r>
        <w:rPr>
          <w:b/>
          <w:spacing w:val="-14"/>
          <w:sz w:val="24"/>
        </w:rPr>
        <w:t> </w:t>
      </w:r>
      <w:r>
        <w:rPr>
          <w:b/>
          <w:spacing w:val="-6"/>
          <w:sz w:val="24"/>
        </w:rPr>
        <w:t>RELATION</w:t>
      </w:r>
      <w:r>
        <w:rPr>
          <w:b/>
          <w:spacing w:val="-13"/>
          <w:sz w:val="24"/>
        </w:rPr>
        <w:t> </w:t>
      </w:r>
      <w:r>
        <w:rPr>
          <w:b/>
          <w:spacing w:val="-6"/>
          <w:sz w:val="24"/>
        </w:rPr>
        <w:t>TO'THE</w:t>
      </w:r>
      <w:r>
        <w:rPr>
          <w:b/>
          <w:spacing w:val="-23"/>
          <w:sz w:val="24"/>
        </w:rPr>
        <w:t> </w:t>
      </w:r>
      <w:r>
        <w:rPr>
          <w:b/>
          <w:spacing w:val="-6"/>
          <w:sz w:val="24"/>
        </w:rPr>
        <w:t>PETROLEUM</w:t>
      </w:r>
      <w:r>
        <w:rPr>
          <w:b/>
          <w:spacing w:val="-22"/>
          <w:sz w:val="24"/>
        </w:rPr>
        <w:t> </w:t>
      </w:r>
      <w:r>
        <w:rPr>
          <w:b/>
          <w:spacing w:val="-6"/>
          <w:sz w:val="24"/>
        </w:rPr>
        <w:t>PROFIT</w:t>
      </w:r>
      <w:r>
        <w:rPr>
          <w:b/>
          <w:spacing w:val="-21"/>
          <w:sz w:val="24"/>
        </w:rPr>
        <w:t> </w:t>
      </w:r>
      <w:r>
        <w:rPr>
          <w:b/>
          <w:spacing w:val="-6"/>
          <w:sz w:val="24"/>
        </w:rPr>
        <w:t>TAX</w:t>
      </w:r>
    </w:p>
    <w:p>
      <w:pPr>
        <w:pStyle w:val="BodyText"/>
        <w:rPr>
          <w:b/>
        </w:rPr>
      </w:pPr>
    </w:p>
    <w:p>
      <w:pPr>
        <w:pStyle w:val="Heading2"/>
        <w:numPr>
          <w:ilvl w:val="1"/>
          <w:numId w:val="14"/>
        </w:numPr>
        <w:tabs>
          <w:tab w:pos="1079" w:val="left" w:leader="none"/>
        </w:tabs>
        <w:spacing w:line="240" w:lineRule="auto" w:before="1" w:after="0"/>
        <w:ind w:left="1079" w:right="0" w:hanging="719"/>
        <w:jc w:val="both"/>
      </w:pPr>
      <w:r>
        <w:rPr>
          <w:spacing w:val="-2"/>
        </w:rPr>
        <w:t>Introduction</w:t>
      </w:r>
    </w:p>
    <w:p>
      <w:pPr>
        <w:pStyle w:val="BodyText"/>
        <w:spacing w:line="480" w:lineRule="auto" w:before="271"/>
        <w:ind w:left="360" w:right="158" w:firstLine="878"/>
        <w:jc w:val="both"/>
      </w:pPr>
      <w:r>
        <w:rPr/>
        <w:t>Another issue in connection with the assessment of petroleum profit tax is that of enforcing the payment 6f PPT. It is clear that one of the obstacles that face the payment any tax is the problem of tax avoidance and evasion. It is a widespread problem not only in the Nigerian tax system, but also in every tax system. For instance the Nigerian government has repeatedly complained of widespread incidence of tax avoidance/evasion in the country. Taxpayers use different devices in order to escape or minimize their tax liability.</w:t>
      </w:r>
      <w:r>
        <w:rPr>
          <w:vertAlign w:val="superscript"/>
        </w:rPr>
        <w:t>1</w:t>
      </w:r>
      <w:r>
        <w:rPr>
          <w:vertAlign w:val="baseline"/>
        </w:rPr>
        <w:t>Companies deliberately employ fraudulent means of evading tax.</w:t>
      </w:r>
      <w:r>
        <w:rPr>
          <w:spacing w:val="40"/>
          <w:vertAlign w:val="baseline"/>
        </w:rPr>
        <w:t> </w:t>
      </w:r>
      <w:r>
        <w:rPr>
          <w:vertAlign w:val="baseline"/>
        </w:rPr>
        <w:t>Moreover the tendency of some</w:t>
      </w:r>
      <w:r>
        <w:rPr>
          <w:spacing w:val="80"/>
          <w:vertAlign w:val="baseline"/>
        </w:rPr>
        <w:t> </w:t>
      </w:r>
      <w:r>
        <w:rPr>
          <w:vertAlign w:val="baseline"/>
        </w:rPr>
        <w:t>corrupt tax officials does not help the matter. It is with connivance with them that the tax defaulters</w:t>
      </w:r>
      <w:r>
        <w:rPr>
          <w:spacing w:val="40"/>
          <w:vertAlign w:val="baseline"/>
        </w:rPr>
        <w:t> </w:t>
      </w:r>
      <w:r>
        <w:rPr>
          <w:vertAlign w:val="baseline"/>
        </w:rPr>
        <w:t>perpetrate the PPT offence or tax avoidance/evasion.</w:t>
      </w:r>
    </w:p>
    <w:p>
      <w:pPr>
        <w:pStyle w:val="BodyText"/>
        <w:spacing w:line="480" w:lineRule="auto" w:before="1"/>
        <w:ind w:left="360" w:right="159" w:firstLine="878"/>
        <w:jc w:val="both"/>
      </w:pPr>
      <w:r>
        <w:rPr/>
        <w:t>It</w:t>
      </w:r>
      <w:r>
        <w:rPr>
          <w:spacing w:val="39"/>
        </w:rPr>
        <w:t> </w:t>
      </w:r>
      <w:r>
        <w:rPr/>
        <w:t>is</w:t>
      </w:r>
      <w:r>
        <w:rPr>
          <w:spacing w:val="39"/>
        </w:rPr>
        <w:t> </w:t>
      </w:r>
      <w:r>
        <w:rPr/>
        <w:t>important</w:t>
      </w:r>
      <w:r>
        <w:rPr>
          <w:spacing w:val="36"/>
        </w:rPr>
        <w:t> </w:t>
      </w:r>
      <w:r>
        <w:rPr/>
        <w:t>to</w:t>
      </w:r>
      <w:r>
        <w:rPr>
          <w:spacing w:val="35"/>
        </w:rPr>
        <w:t> </w:t>
      </w:r>
      <w:r>
        <w:rPr/>
        <w:t>note</w:t>
      </w:r>
      <w:r>
        <w:rPr>
          <w:spacing w:val="38"/>
        </w:rPr>
        <w:t> </w:t>
      </w:r>
      <w:r>
        <w:rPr/>
        <w:t>that</w:t>
      </w:r>
      <w:r>
        <w:rPr>
          <w:spacing w:val="36"/>
        </w:rPr>
        <w:t> </w:t>
      </w:r>
      <w:r>
        <w:rPr/>
        <w:t>the</w:t>
      </w:r>
      <w:r>
        <w:rPr>
          <w:spacing w:val="38"/>
        </w:rPr>
        <w:t> </w:t>
      </w:r>
      <w:r>
        <w:rPr/>
        <w:t>two</w:t>
      </w:r>
      <w:r>
        <w:rPr>
          <w:spacing w:val="35"/>
        </w:rPr>
        <w:t> </w:t>
      </w:r>
      <w:r>
        <w:rPr/>
        <w:t>terms</w:t>
      </w:r>
      <w:r>
        <w:rPr>
          <w:spacing w:val="39"/>
        </w:rPr>
        <w:t> </w:t>
      </w:r>
      <w:r>
        <w:rPr/>
        <w:t>"tax</w:t>
      </w:r>
      <w:r>
        <w:rPr>
          <w:spacing w:val="39"/>
        </w:rPr>
        <w:t> </w:t>
      </w:r>
      <w:r>
        <w:rPr/>
        <w:t>avoidance"</w:t>
      </w:r>
      <w:r>
        <w:rPr>
          <w:spacing w:val="36"/>
        </w:rPr>
        <w:t> </w:t>
      </w:r>
      <w:r>
        <w:rPr/>
        <w:t>and</w:t>
      </w:r>
      <w:r>
        <w:rPr>
          <w:spacing w:val="40"/>
        </w:rPr>
        <w:t> </w:t>
      </w:r>
      <w:r>
        <w:rPr/>
        <w:t>"tax</w:t>
      </w:r>
      <w:r>
        <w:rPr>
          <w:spacing w:val="40"/>
        </w:rPr>
        <w:t> </w:t>
      </w:r>
      <w:r>
        <w:rPr/>
        <w:t>evasion"</w:t>
      </w:r>
      <w:r>
        <w:rPr>
          <w:spacing w:val="40"/>
        </w:rPr>
        <w:t> </w:t>
      </w:r>
      <w:r>
        <w:rPr/>
        <w:t>are not</w:t>
      </w:r>
      <w:r>
        <w:rPr>
          <w:spacing w:val="40"/>
        </w:rPr>
        <w:t> </w:t>
      </w:r>
      <w:r>
        <w:rPr/>
        <w:t>the</w:t>
      </w:r>
      <w:r>
        <w:rPr>
          <w:spacing w:val="40"/>
        </w:rPr>
        <w:t> </w:t>
      </w:r>
      <w:r>
        <w:rPr/>
        <w:t>same</w:t>
      </w:r>
      <w:r>
        <w:rPr>
          <w:spacing w:val="40"/>
        </w:rPr>
        <w:t> </w:t>
      </w:r>
      <w:r>
        <w:rPr/>
        <w:t>in</w:t>
      </w:r>
      <w:r>
        <w:rPr>
          <w:spacing w:val="40"/>
        </w:rPr>
        <w:t> </w:t>
      </w:r>
      <w:r>
        <w:rPr/>
        <w:t>meaning.</w:t>
      </w:r>
      <w:r>
        <w:rPr>
          <w:spacing w:val="40"/>
        </w:rPr>
        <w:t> </w:t>
      </w:r>
      <w:r>
        <w:rPr/>
        <w:t>However</w:t>
      </w:r>
      <w:r>
        <w:rPr>
          <w:spacing w:val="40"/>
        </w:rPr>
        <w:t> </w:t>
      </w:r>
      <w:r>
        <w:rPr/>
        <w:t>none</w:t>
      </w:r>
      <w:r>
        <w:rPr>
          <w:spacing w:val="40"/>
        </w:rPr>
        <w:t> </w:t>
      </w:r>
      <w:r>
        <w:rPr/>
        <w:t>of</w:t>
      </w:r>
      <w:r>
        <w:rPr>
          <w:spacing w:val="40"/>
        </w:rPr>
        <w:t> </w:t>
      </w:r>
      <w:r>
        <w:rPr/>
        <w:t>them</w:t>
      </w:r>
      <w:r>
        <w:rPr>
          <w:spacing w:val="40"/>
        </w:rPr>
        <w:t> </w:t>
      </w:r>
      <w:r>
        <w:rPr/>
        <w:t>has</w:t>
      </w:r>
      <w:r>
        <w:rPr>
          <w:spacing w:val="40"/>
        </w:rPr>
        <w:t> </w:t>
      </w:r>
      <w:r>
        <w:rPr/>
        <w:t>a</w:t>
      </w:r>
      <w:r>
        <w:rPr>
          <w:spacing w:val="40"/>
        </w:rPr>
        <w:t> </w:t>
      </w:r>
      <w:r>
        <w:rPr/>
        <w:t>statutory</w:t>
      </w:r>
      <w:r>
        <w:rPr>
          <w:spacing w:val="40"/>
        </w:rPr>
        <w:t> </w:t>
      </w:r>
      <w:r>
        <w:rPr/>
        <w:t>definition.</w:t>
      </w:r>
      <w:r>
        <w:rPr>
          <w:spacing w:val="40"/>
        </w:rPr>
        <w:t> </w:t>
      </w:r>
      <w:r>
        <w:rPr/>
        <w:t>In</w:t>
      </w:r>
      <w:r>
        <w:rPr>
          <w:spacing w:val="40"/>
        </w:rPr>
        <w:t> </w:t>
      </w:r>
      <w:r>
        <w:rPr/>
        <w:t>other words,</w:t>
      </w:r>
      <w:r>
        <w:rPr>
          <w:spacing w:val="40"/>
        </w:rPr>
        <w:t> </w:t>
      </w:r>
      <w:r>
        <w:rPr/>
        <w:t>neither</w:t>
      </w:r>
      <w:r>
        <w:rPr>
          <w:spacing w:val="40"/>
        </w:rPr>
        <w:t> </w:t>
      </w:r>
      <w:r>
        <w:rPr/>
        <w:t>the</w:t>
      </w:r>
      <w:r>
        <w:rPr>
          <w:spacing w:val="40"/>
        </w:rPr>
        <w:t> </w:t>
      </w:r>
      <w:r>
        <w:rPr/>
        <w:t>PPTA</w:t>
      </w:r>
      <w:r>
        <w:rPr>
          <w:spacing w:val="40"/>
        </w:rPr>
        <w:t> </w:t>
      </w:r>
      <w:r>
        <w:rPr/>
        <w:t>nor</w:t>
      </w:r>
      <w:r>
        <w:rPr>
          <w:spacing w:val="40"/>
        </w:rPr>
        <w:t> </w:t>
      </w:r>
      <w:r>
        <w:rPr/>
        <w:t>any</w:t>
      </w:r>
      <w:r>
        <w:rPr>
          <w:spacing w:val="40"/>
        </w:rPr>
        <w:t> </w:t>
      </w:r>
      <w:r>
        <w:rPr/>
        <w:t>tax</w:t>
      </w:r>
      <w:r>
        <w:rPr>
          <w:spacing w:val="40"/>
        </w:rPr>
        <w:t> </w:t>
      </w:r>
      <w:r>
        <w:rPr/>
        <w:t>law</w:t>
      </w:r>
      <w:r>
        <w:rPr>
          <w:spacing w:val="40"/>
        </w:rPr>
        <w:t> </w:t>
      </w:r>
      <w:r>
        <w:rPr/>
        <w:t>provides</w:t>
      </w:r>
      <w:r>
        <w:rPr>
          <w:spacing w:val="40"/>
        </w:rPr>
        <w:t> </w:t>
      </w:r>
      <w:r>
        <w:rPr/>
        <w:t>for</w:t>
      </w:r>
      <w:r>
        <w:rPr>
          <w:spacing w:val="40"/>
        </w:rPr>
        <w:t> </w:t>
      </w:r>
      <w:r>
        <w:rPr/>
        <w:t>the</w:t>
      </w:r>
      <w:r>
        <w:rPr>
          <w:spacing w:val="40"/>
        </w:rPr>
        <w:t> </w:t>
      </w:r>
      <w:r>
        <w:rPr/>
        <w:t>definition</w:t>
      </w:r>
      <w:r>
        <w:rPr>
          <w:spacing w:val="40"/>
        </w:rPr>
        <w:t> </w:t>
      </w:r>
      <w:r>
        <w:rPr/>
        <w:t>of</w:t>
      </w:r>
      <w:r>
        <w:rPr>
          <w:spacing w:val="40"/>
        </w:rPr>
        <w:t> </w:t>
      </w:r>
      <w:r>
        <w:rPr/>
        <w:t>the</w:t>
      </w:r>
      <w:r>
        <w:rPr>
          <w:spacing w:val="40"/>
        </w:rPr>
        <w:t> </w:t>
      </w:r>
      <w:r>
        <w:rPr/>
        <w:t>terms</w:t>
      </w:r>
      <w:r>
        <w:rPr>
          <w:spacing w:val="40"/>
        </w:rPr>
        <w:t> </w:t>
      </w:r>
      <w:r>
        <w:rPr/>
        <w:t>in general not to talk ofthe PPT avoidance/evasion.</w:t>
      </w:r>
    </w:p>
    <w:p>
      <w:pPr>
        <w:pStyle w:val="BodyText"/>
        <w:spacing w:line="480" w:lineRule="auto"/>
        <w:ind w:left="360" w:right="158" w:firstLine="878"/>
        <w:jc w:val="both"/>
      </w:pPr>
      <w:r>
        <w:rPr/>
        <w:t>The Oxford Advance Learners Dictionary defines tax avoidance as </w:t>
      </w:r>
      <w:r>
        <w:rPr>
          <w:spacing w:val="10"/>
        </w:rPr>
        <w:t>"the</w:t>
      </w:r>
      <w:r>
        <w:rPr>
          <w:spacing w:val="10"/>
        </w:rPr>
        <w:t> </w:t>
      </w:r>
      <w:r>
        <w:rPr>
          <w:spacing w:val="9"/>
        </w:rPr>
        <w:t>ways</w:t>
      </w:r>
      <w:r>
        <w:rPr>
          <w:spacing w:val="9"/>
        </w:rPr>
        <w:t> </w:t>
      </w:r>
      <w:r>
        <w:rPr/>
        <w:t>of </w:t>
      </w:r>
      <w:r>
        <w:rPr>
          <w:spacing w:val="11"/>
        </w:rPr>
        <w:t>paying</w:t>
      </w:r>
      <w:r>
        <w:rPr>
          <w:spacing w:val="11"/>
        </w:rPr>
        <w:t> only</w:t>
      </w:r>
      <w:r>
        <w:rPr>
          <w:spacing w:val="11"/>
        </w:rPr>
        <w:t> </w:t>
      </w:r>
      <w:r>
        <w:rPr>
          <w:spacing w:val="9"/>
        </w:rPr>
        <w:t>the</w:t>
      </w:r>
      <w:r>
        <w:rPr>
          <w:spacing w:val="9"/>
        </w:rPr>
        <w:t> </w:t>
      </w:r>
      <w:r>
        <w:rPr>
          <w:spacing w:val="12"/>
        </w:rPr>
        <w:t>smallest</w:t>
      </w:r>
      <w:r>
        <w:rPr>
          <w:spacing w:val="12"/>
        </w:rPr>
        <w:t> </w:t>
      </w:r>
      <w:r>
        <w:rPr>
          <w:spacing w:val="11"/>
        </w:rPr>
        <w:t>amount</w:t>
      </w:r>
      <w:r>
        <w:rPr>
          <w:spacing w:val="11"/>
        </w:rPr>
        <w:t> </w:t>
      </w:r>
      <w:r>
        <w:rPr/>
        <w:t>of</w:t>
      </w:r>
      <w:r>
        <w:rPr>
          <w:spacing w:val="40"/>
        </w:rPr>
        <w:t> </w:t>
      </w:r>
      <w:r>
        <w:rPr/>
        <w:t>tax</w:t>
      </w:r>
      <w:r>
        <w:rPr>
          <w:spacing w:val="9"/>
        </w:rPr>
        <w:t> that</w:t>
      </w:r>
      <w:r>
        <w:rPr>
          <w:spacing w:val="9"/>
        </w:rPr>
        <w:t> </w:t>
      </w:r>
      <w:r>
        <w:rPr/>
        <w:t>you</w:t>
      </w:r>
      <w:r>
        <w:rPr>
          <w:spacing w:val="40"/>
        </w:rPr>
        <w:t> </w:t>
      </w:r>
      <w:r>
        <w:rPr/>
        <w:t>legally have to."</w:t>
      </w:r>
      <w:r>
        <w:rPr>
          <w:vertAlign w:val="superscript"/>
        </w:rPr>
        <w:t>2</w:t>
      </w:r>
      <w:r>
        <w:rPr>
          <w:vertAlign w:val="baseline"/>
        </w:rPr>
        <w:t> It also defines the terms</w:t>
      </w:r>
      <w:r>
        <w:rPr>
          <w:spacing w:val="31"/>
          <w:vertAlign w:val="baseline"/>
        </w:rPr>
        <w:t> </w:t>
      </w:r>
      <w:r>
        <w:rPr>
          <w:vertAlign w:val="baseline"/>
        </w:rPr>
        <w:t>"tax</w:t>
      </w:r>
      <w:r>
        <w:rPr>
          <w:spacing w:val="32"/>
          <w:vertAlign w:val="baseline"/>
        </w:rPr>
        <w:t> </w:t>
      </w:r>
      <w:r>
        <w:rPr>
          <w:vertAlign w:val="baseline"/>
        </w:rPr>
        <w:t>evasion" as</w:t>
      </w:r>
      <w:r>
        <w:rPr>
          <w:spacing w:val="31"/>
          <w:vertAlign w:val="baseline"/>
        </w:rPr>
        <w:t> </w:t>
      </w:r>
      <w:r>
        <w:rPr>
          <w:vertAlign w:val="baseline"/>
        </w:rPr>
        <w:t>the crime"</w:t>
      </w:r>
      <w:r>
        <w:rPr>
          <w:spacing w:val="31"/>
          <w:vertAlign w:val="baseline"/>
        </w:rPr>
        <w:t> </w:t>
      </w:r>
      <w:r>
        <w:rPr>
          <w:vertAlign w:val="baseline"/>
        </w:rPr>
        <w:t>of</w:t>
      </w:r>
      <w:r>
        <w:rPr>
          <w:spacing w:val="38"/>
          <w:vertAlign w:val="baseline"/>
        </w:rPr>
        <w:t> </w:t>
      </w:r>
      <w:r>
        <w:rPr>
          <w:vertAlign w:val="baseline"/>
        </w:rPr>
        <w:t>deliberately</w:t>
      </w:r>
      <w:r>
        <w:rPr>
          <w:spacing w:val="33"/>
          <w:vertAlign w:val="baseline"/>
        </w:rPr>
        <w:t> </w:t>
      </w:r>
      <w:r>
        <w:rPr>
          <w:vertAlign w:val="baseline"/>
        </w:rPr>
        <w:t>not</w:t>
      </w:r>
      <w:r>
        <w:rPr>
          <w:spacing w:val="39"/>
          <w:vertAlign w:val="baseline"/>
        </w:rPr>
        <w:t> </w:t>
      </w:r>
      <w:r>
        <w:rPr>
          <w:vertAlign w:val="baseline"/>
        </w:rPr>
        <w:t>paying</w:t>
      </w:r>
      <w:r>
        <w:rPr>
          <w:spacing w:val="35"/>
          <w:vertAlign w:val="baseline"/>
        </w:rPr>
        <w:t> </w:t>
      </w:r>
      <w:r>
        <w:rPr>
          <w:vertAlign w:val="baseline"/>
        </w:rPr>
        <w:t>all</w:t>
      </w:r>
      <w:r>
        <w:rPr>
          <w:spacing w:val="35"/>
          <w:vertAlign w:val="baseline"/>
        </w:rPr>
        <w:t> </w:t>
      </w:r>
      <w:r>
        <w:rPr>
          <w:vertAlign w:val="baseline"/>
        </w:rPr>
        <w:t>the</w:t>
      </w:r>
      <w:r>
        <w:rPr>
          <w:spacing w:val="34"/>
          <w:vertAlign w:val="baseline"/>
        </w:rPr>
        <w:t> </w:t>
      </w:r>
      <w:r>
        <w:rPr>
          <w:vertAlign w:val="baseline"/>
        </w:rPr>
        <w:t>taxes</w:t>
      </w:r>
      <w:r>
        <w:rPr>
          <w:spacing w:val="38"/>
          <w:vertAlign w:val="baseline"/>
        </w:rPr>
        <w:t> </w:t>
      </w:r>
      <w:r>
        <w:rPr>
          <w:vertAlign w:val="baseline"/>
        </w:rPr>
        <w:t>that</w:t>
      </w:r>
      <w:r>
        <w:rPr>
          <w:spacing w:val="39"/>
          <w:vertAlign w:val="baseline"/>
        </w:rPr>
        <w:t> </w:t>
      </w:r>
      <w:r>
        <w:rPr>
          <w:vertAlign w:val="baseline"/>
        </w:rPr>
        <w:t>you</w:t>
      </w:r>
      <w:r>
        <w:rPr>
          <w:spacing w:val="38"/>
          <w:vertAlign w:val="baseline"/>
        </w:rPr>
        <w:t> </w:t>
      </w:r>
      <w:r>
        <w:rPr>
          <w:vertAlign w:val="baseline"/>
        </w:rPr>
        <w:t>should pay. </w:t>
      </w:r>
      <w:r>
        <w:rPr>
          <w:vertAlign w:val="superscript"/>
        </w:rPr>
        <w:t>3</w:t>
      </w:r>
      <w:r>
        <w:rPr>
          <w:spacing w:val="40"/>
          <w:vertAlign w:val="baseline"/>
        </w:rPr>
        <w:t> </w:t>
      </w:r>
      <w:r>
        <w:rPr>
          <w:vertAlign w:val="baseline"/>
        </w:rPr>
        <w:t>Ayua</w:t>
      </w:r>
      <w:r>
        <w:rPr>
          <w:spacing w:val="40"/>
          <w:vertAlign w:val="baseline"/>
        </w:rPr>
        <w:t> </w:t>
      </w:r>
      <w:r>
        <w:rPr>
          <w:spacing w:val="9"/>
          <w:vertAlign w:val="baseline"/>
        </w:rPr>
        <w:t>defines</w:t>
      </w:r>
      <w:r>
        <w:rPr>
          <w:spacing w:val="80"/>
          <w:vertAlign w:val="baseline"/>
        </w:rPr>
        <w:t> </w:t>
      </w:r>
      <w:r>
        <w:rPr>
          <w:vertAlign w:val="baseline"/>
        </w:rPr>
        <w:t>tax</w:t>
      </w:r>
      <w:r>
        <w:rPr>
          <w:spacing w:val="80"/>
          <w:vertAlign w:val="baseline"/>
        </w:rPr>
        <w:t> </w:t>
      </w:r>
      <w:r>
        <w:rPr>
          <w:spacing w:val="9"/>
          <w:vertAlign w:val="baseline"/>
        </w:rPr>
        <w:t>avoidance</w:t>
      </w:r>
      <w:r>
        <w:rPr>
          <w:spacing w:val="40"/>
          <w:vertAlign w:val="baseline"/>
        </w:rPr>
        <w:t> </w:t>
      </w:r>
      <w:r>
        <w:rPr>
          <w:vertAlign w:val="baseline"/>
        </w:rPr>
        <w:t>as</w:t>
      </w:r>
      <w:r>
        <w:rPr>
          <w:spacing w:val="80"/>
          <w:vertAlign w:val="baseline"/>
        </w:rPr>
        <w:t> </w:t>
      </w:r>
      <w:r>
        <w:rPr>
          <w:vertAlign w:val="baseline"/>
        </w:rPr>
        <w:t>the</w:t>
      </w:r>
      <w:r>
        <w:rPr>
          <w:spacing w:val="80"/>
          <w:vertAlign w:val="baseline"/>
        </w:rPr>
        <w:t> </w:t>
      </w:r>
      <w:r>
        <w:rPr>
          <w:spacing w:val="10"/>
          <w:vertAlign w:val="baseline"/>
        </w:rPr>
        <w:t>minimization</w:t>
      </w:r>
      <w:r>
        <w:rPr>
          <w:spacing w:val="80"/>
          <w:vertAlign w:val="baseline"/>
        </w:rPr>
        <w:t> </w:t>
      </w:r>
      <w:r>
        <w:rPr>
          <w:vertAlign w:val="baseline"/>
        </w:rPr>
        <w:t>of</w:t>
      </w:r>
      <w:r>
        <w:rPr>
          <w:spacing w:val="80"/>
          <w:vertAlign w:val="baseline"/>
        </w:rPr>
        <w:t> </w:t>
      </w:r>
      <w:r>
        <w:rPr>
          <w:vertAlign w:val="baseline"/>
        </w:rPr>
        <w:t>tax</w:t>
      </w:r>
      <w:r>
        <w:rPr>
          <w:spacing w:val="80"/>
          <w:vertAlign w:val="baseline"/>
        </w:rPr>
        <w:t> </w:t>
      </w:r>
      <w:r>
        <w:rPr>
          <w:spacing w:val="10"/>
          <w:vertAlign w:val="baseline"/>
        </w:rPr>
        <w:t>liability</w:t>
      </w:r>
      <w:r>
        <w:rPr>
          <w:spacing w:val="40"/>
          <w:vertAlign w:val="baseline"/>
        </w:rPr>
        <w:t> </w:t>
      </w:r>
      <w:r>
        <w:rPr>
          <w:vertAlign w:val="baseline"/>
        </w:rPr>
        <w:t>by</w:t>
      </w:r>
      <w:r>
        <w:rPr>
          <w:spacing w:val="40"/>
          <w:vertAlign w:val="baseline"/>
        </w:rPr>
        <w:t> </w:t>
      </w:r>
      <w:r>
        <w:rPr>
          <w:vertAlign w:val="baseline"/>
        </w:rPr>
        <w:t>so arranging</w:t>
      </w:r>
      <w:r>
        <w:rPr>
          <w:spacing w:val="40"/>
          <w:vertAlign w:val="baseline"/>
        </w:rPr>
        <w:t> </w:t>
      </w:r>
      <w:r>
        <w:rPr>
          <w:vertAlign w:val="baseline"/>
        </w:rPr>
        <w:t>ones</w:t>
      </w:r>
      <w:r>
        <w:rPr>
          <w:spacing w:val="40"/>
          <w:vertAlign w:val="baseline"/>
        </w:rPr>
        <w:t> </w:t>
      </w:r>
      <w:r>
        <w:rPr>
          <w:vertAlign w:val="baseline"/>
        </w:rPr>
        <w:t>affairs</w:t>
      </w:r>
      <w:r>
        <w:rPr>
          <w:spacing w:val="40"/>
          <w:vertAlign w:val="baseline"/>
        </w:rPr>
        <w:t> </w:t>
      </w:r>
      <w:r>
        <w:rPr>
          <w:vertAlign w:val="baseline"/>
        </w:rPr>
        <w:t>as</w:t>
      </w:r>
      <w:r>
        <w:rPr>
          <w:spacing w:val="40"/>
          <w:vertAlign w:val="baseline"/>
        </w:rPr>
        <w:t> </w:t>
      </w:r>
      <w:r>
        <w:rPr>
          <w:vertAlign w:val="baseline"/>
        </w:rPr>
        <w:t>to</w:t>
      </w:r>
      <w:r>
        <w:rPr>
          <w:spacing w:val="40"/>
          <w:vertAlign w:val="baseline"/>
        </w:rPr>
        <w:t> </w:t>
      </w:r>
      <w:r>
        <w:rPr>
          <w:vertAlign w:val="baseline"/>
        </w:rPr>
        <w:t>take</w:t>
      </w:r>
      <w:r>
        <w:rPr>
          <w:spacing w:val="40"/>
          <w:vertAlign w:val="baseline"/>
        </w:rPr>
        <w:t> </w:t>
      </w:r>
      <w:r>
        <w:rPr>
          <w:vertAlign w:val="baseline"/>
        </w:rPr>
        <w:t>advantage</w:t>
      </w:r>
      <w:r>
        <w:rPr>
          <w:spacing w:val="40"/>
          <w:vertAlign w:val="baseline"/>
        </w:rPr>
        <w:t> </w:t>
      </w:r>
      <w:r>
        <w:rPr>
          <w:vertAlign w:val="baseline"/>
        </w:rPr>
        <w:t>of</w:t>
      </w:r>
      <w:r>
        <w:rPr>
          <w:spacing w:val="40"/>
          <w:vertAlign w:val="baseline"/>
        </w:rPr>
        <w:t> </w:t>
      </w:r>
      <w:r>
        <w:rPr>
          <w:vertAlign w:val="baseline"/>
        </w:rPr>
        <w:t>provisions</w:t>
      </w:r>
      <w:r>
        <w:rPr>
          <w:spacing w:val="40"/>
          <w:vertAlign w:val="baseline"/>
        </w:rPr>
        <w:t> </w:t>
      </w:r>
      <w:r>
        <w:rPr>
          <w:vertAlign w:val="baseline"/>
        </w:rPr>
        <w:t>in</w:t>
      </w:r>
      <w:r>
        <w:rPr>
          <w:spacing w:val="40"/>
          <w:vertAlign w:val="baseline"/>
        </w:rPr>
        <w:t> </w:t>
      </w:r>
      <w:r>
        <w:rPr>
          <w:vertAlign w:val="baseline"/>
        </w:rPr>
        <w:t>the</w:t>
      </w:r>
      <w:r>
        <w:rPr>
          <w:spacing w:val="40"/>
          <w:vertAlign w:val="baseline"/>
        </w:rPr>
        <w:t> </w:t>
      </w:r>
      <w:r>
        <w:rPr>
          <w:vertAlign w:val="baseline"/>
        </w:rPr>
        <w:t>tax</w:t>
      </w:r>
      <w:r>
        <w:rPr>
          <w:spacing w:val="80"/>
          <w:vertAlign w:val="baseline"/>
        </w:rPr>
        <w:t> </w:t>
      </w:r>
      <w:r>
        <w:rPr>
          <w:vertAlign w:val="baseline"/>
        </w:rPr>
        <w:t>law.</w:t>
      </w:r>
      <w:r>
        <w:rPr>
          <w:spacing w:val="40"/>
          <w:vertAlign w:val="baseline"/>
        </w:rPr>
        <w:t> </w:t>
      </w:r>
      <w:r>
        <w:rPr>
          <w:vertAlign w:val="baseline"/>
        </w:rPr>
        <w:t>In</w:t>
      </w:r>
      <w:r>
        <w:rPr>
          <w:spacing w:val="40"/>
          <w:vertAlign w:val="baseline"/>
        </w:rPr>
        <w:t> </w:t>
      </w:r>
      <w:r>
        <w:rPr>
          <w:vertAlign w:val="baseline"/>
        </w:rPr>
        <w:t>the</w:t>
      </w:r>
      <w:r>
        <w:rPr>
          <w:spacing w:val="40"/>
          <w:vertAlign w:val="baseline"/>
        </w:rPr>
        <w:t> </w:t>
      </w:r>
      <w:r>
        <w:rPr>
          <w:vertAlign w:val="baseline"/>
        </w:rPr>
        <w:t>same vein,</w:t>
      </w:r>
      <w:r>
        <w:rPr>
          <w:spacing w:val="39"/>
          <w:vertAlign w:val="baseline"/>
        </w:rPr>
        <w:t> </w:t>
      </w:r>
      <w:r>
        <w:rPr>
          <w:vertAlign w:val="baseline"/>
        </w:rPr>
        <w:t>he</w:t>
      </w:r>
      <w:r>
        <w:rPr>
          <w:spacing w:val="38"/>
          <w:vertAlign w:val="baseline"/>
        </w:rPr>
        <w:t> </w:t>
      </w:r>
      <w:r>
        <w:rPr>
          <w:vertAlign w:val="baseline"/>
        </w:rPr>
        <w:t>stated</w:t>
      </w:r>
      <w:r>
        <w:rPr>
          <w:spacing w:val="39"/>
          <w:vertAlign w:val="baseline"/>
        </w:rPr>
        <w:t> </w:t>
      </w:r>
      <w:r>
        <w:rPr>
          <w:vertAlign w:val="baseline"/>
        </w:rPr>
        <w:t>that</w:t>
      </w:r>
      <w:r>
        <w:rPr>
          <w:spacing w:val="39"/>
          <w:vertAlign w:val="baseline"/>
        </w:rPr>
        <w:t> </w:t>
      </w:r>
      <w:r>
        <w:rPr>
          <w:vertAlign w:val="baseline"/>
        </w:rPr>
        <w:t>tax</w:t>
      </w:r>
      <w:r>
        <w:rPr>
          <w:spacing w:val="40"/>
          <w:vertAlign w:val="baseline"/>
        </w:rPr>
        <w:t> </w:t>
      </w:r>
      <w:r>
        <w:rPr>
          <w:vertAlign w:val="baseline"/>
        </w:rPr>
        <w:t>evasion</w:t>
      </w:r>
      <w:r>
        <w:rPr>
          <w:spacing w:val="39"/>
          <w:vertAlign w:val="baseline"/>
        </w:rPr>
        <w:t> </w:t>
      </w:r>
      <w:r>
        <w:rPr>
          <w:vertAlign w:val="baseline"/>
        </w:rPr>
        <w:t>is</w:t>
      </w:r>
      <w:r>
        <w:rPr>
          <w:spacing w:val="39"/>
          <w:vertAlign w:val="baseline"/>
        </w:rPr>
        <w:t> </w:t>
      </w:r>
      <w:r>
        <w:rPr>
          <w:vertAlign w:val="baseline"/>
        </w:rPr>
        <w:t>usually</w:t>
      </w:r>
      <w:r>
        <w:rPr>
          <w:spacing w:val="34"/>
          <w:vertAlign w:val="baseline"/>
        </w:rPr>
        <w:t> </w:t>
      </w:r>
      <w:r>
        <w:rPr>
          <w:vertAlign w:val="baseline"/>
        </w:rPr>
        <w:t>defined</w:t>
      </w:r>
      <w:r>
        <w:rPr>
          <w:spacing w:val="39"/>
          <w:vertAlign w:val="baseline"/>
        </w:rPr>
        <w:t> </w:t>
      </w:r>
      <w:r>
        <w:rPr>
          <w:vertAlign w:val="baseline"/>
        </w:rPr>
        <w:t>to</w:t>
      </w:r>
      <w:r>
        <w:rPr>
          <w:spacing w:val="40"/>
          <w:vertAlign w:val="baseline"/>
        </w:rPr>
        <w:t> </w:t>
      </w:r>
      <w:r>
        <w:rPr>
          <w:vertAlign w:val="baseline"/>
        </w:rPr>
        <w:t>mean</w:t>
      </w:r>
      <w:r>
        <w:rPr>
          <w:spacing w:val="31"/>
          <w:vertAlign w:val="baseline"/>
        </w:rPr>
        <w:t> </w:t>
      </w:r>
      <w:r>
        <w:rPr>
          <w:vertAlign w:val="baseline"/>
        </w:rPr>
        <w:t>the</w:t>
      </w:r>
      <w:r>
        <w:rPr>
          <w:spacing w:val="32"/>
          <w:vertAlign w:val="baseline"/>
        </w:rPr>
        <w:t> </w:t>
      </w:r>
      <w:r>
        <w:rPr>
          <w:vertAlign w:val="baseline"/>
        </w:rPr>
        <w:t>failure</w:t>
      </w:r>
      <w:r>
        <w:rPr>
          <w:spacing w:val="30"/>
          <w:vertAlign w:val="baseline"/>
        </w:rPr>
        <w:t> </w:t>
      </w:r>
      <w:r>
        <w:rPr>
          <w:vertAlign w:val="baseline"/>
        </w:rPr>
        <w:t>to</w:t>
      </w:r>
      <w:r>
        <w:rPr>
          <w:spacing w:val="31"/>
          <w:vertAlign w:val="baseline"/>
        </w:rPr>
        <w:t> </w:t>
      </w:r>
      <w:r>
        <w:rPr>
          <w:vertAlign w:val="baseline"/>
        </w:rPr>
        <w:t>pay</w:t>
      </w:r>
      <w:r>
        <w:rPr>
          <w:spacing w:val="28"/>
          <w:vertAlign w:val="baseline"/>
        </w:rPr>
        <w:t> </w:t>
      </w:r>
      <w:r>
        <w:rPr>
          <w:vertAlign w:val="baseline"/>
        </w:rPr>
        <w:t>one's</w:t>
      </w:r>
      <w:r>
        <w:rPr>
          <w:spacing w:val="31"/>
          <w:vertAlign w:val="baseline"/>
        </w:rPr>
        <w:t> </w:t>
      </w:r>
      <w:r>
        <w:rPr>
          <w:vertAlign w:val="baseline"/>
        </w:rPr>
        <w:t>tax</w:t>
      </w:r>
      <w:r>
        <w:rPr>
          <w:spacing w:val="34"/>
          <w:vertAlign w:val="baseline"/>
        </w:rPr>
        <w:t> </w:t>
      </w:r>
      <w:r>
        <w:rPr>
          <w:vertAlign w:val="baseline"/>
        </w:rPr>
        <w:t>qr</w:t>
      </w:r>
    </w:p>
    <w:p>
      <w:pPr>
        <w:pStyle w:val="BodyText"/>
        <w:rPr>
          <w:sz w:val="20"/>
        </w:rPr>
      </w:pPr>
    </w:p>
    <w:p>
      <w:pPr>
        <w:pStyle w:val="BodyText"/>
        <w:rPr>
          <w:sz w:val="20"/>
        </w:rPr>
      </w:pPr>
    </w:p>
    <w:p>
      <w:pPr>
        <w:pStyle w:val="BodyText"/>
        <w:rPr>
          <w:sz w:val="20"/>
        </w:rPr>
      </w:pPr>
    </w:p>
    <w:p>
      <w:pPr>
        <w:pStyle w:val="BodyText"/>
        <w:spacing w:before="30"/>
        <w:rPr>
          <w:sz w:val="20"/>
        </w:rPr>
      </w:pPr>
      <w:r>
        <w:rPr/>
        <mc:AlternateContent>
          <mc:Choice Requires="wps">
            <w:drawing>
              <wp:anchor distT="0" distB="0" distL="0" distR="0" allowOverlap="1" layoutInCell="1" locked="0" behindDoc="1" simplePos="0" relativeHeight="487613952">
                <wp:simplePos x="0" y="0"/>
                <wp:positionH relativeFrom="page">
                  <wp:posOffset>914704</wp:posOffset>
                </wp:positionH>
                <wp:positionV relativeFrom="paragraph">
                  <wp:posOffset>180889</wp:posOffset>
                </wp:positionV>
                <wp:extent cx="1829435" cy="9525"/>
                <wp:effectExtent l="0" t="0" r="0" b="0"/>
                <wp:wrapTopAndBottom/>
                <wp:docPr id="56" name="Graphic 56"/>
                <wp:cNvGraphicFramePr>
                  <a:graphicFrameLocks/>
                </wp:cNvGraphicFramePr>
                <a:graphic>
                  <a:graphicData uri="http://schemas.microsoft.com/office/word/2010/wordprocessingShape">
                    <wps:wsp>
                      <wps:cNvPr id="56" name="Graphic 56"/>
                      <wps:cNvSpPr/>
                      <wps:spPr>
                        <a:xfrm>
                          <a:off x="0" y="0"/>
                          <a:ext cx="1829435" cy="9525"/>
                        </a:xfrm>
                        <a:custGeom>
                          <a:avLst/>
                          <a:gdLst/>
                          <a:ahLst/>
                          <a:cxnLst/>
                          <a:rect l="l" t="t" r="r" b="b"/>
                          <a:pathLst>
                            <a:path w="1829435" h="9525">
                              <a:moveTo>
                                <a:pt x="1829054" y="0"/>
                              </a:moveTo>
                              <a:lnTo>
                                <a:pt x="0" y="0"/>
                              </a:lnTo>
                              <a:lnTo>
                                <a:pt x="0" y="9144"/>
                              </a:lnTo>
                              <a:lnTo>
                                <a:pt x="1829054" y="9144"/>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14.24329pt;width:144.020pt;height:.72003pt;mso-position-horizontal-relative:page;mso-position-vertical-relative:paragraph;z-index:-15702528;mso-wrap-distance-left:0;mso-wrap-distance-right:0" id="docshape56" filled="true" fillcolor="#000000" stroked="false">
                <v:fill type="solid"/>
                <w10:wrap type="topAndBottom"/>
              </v:rect>
            </w:pict>
          </mc:Fallback>
        </mc:AlternateContent>
      </w:r>
    </w:p>
    <w:p>
      <w:pPr>
        <w:spacing w:line="243" w:lineRule="exact" w:before="102"/>
        <w:ind w:left="360" w:right="0" w:firstLine="0"/>
        <w:jc w:val="left"/>
        <w:rPr>
          <w:rFonts w:ascii="Calibri"/>
          <w:sz w:val="20"/>
        </w:rPr>
      </w:pPr>
      <w:r>
        <w:rPr>
          <w:rFonts w:ascii="Calibri"/>
          <w:sz w:val="20"/>
          <w:vertAlign w:val="superscript"/>
        </w:rPr>
        <w:t>1</w:t>
      </w:r>
      <w:r>
        <w:rPr>
          <w:rFonts w:ascii="Calibri"/>
          <w:spacing w:val="-4"/>
          <w:sz w:val="20"/>
          <w:vertAlign w:val="baseline"/>
        </w:rPr>
        <w:t> </w:t>
      </w:r>
      <w:r>
        <w:rPr>
          <w:rFonts w:ascii="Calibri"/>
          <w:sz w:val="20"/>
          <w:vertAlign w:val="baseline"/>
        </w:rPr>
        <w:t>See</w:t>
      </w:r>
      <w:r>
        <w:rPr>
          <w:rFonts w:ascii="Calibri"/>
          <w:spacing w:val="-4"/>
          <w:sz w:val="20"/>
          <w:vertAlign w:val="baseline"/>
        </w:rPr>
        <w:t> </w:t>
      </w:r>
      <w:r>
        <w:rPr>
          <w:rFonts w:ascii="Calibri"/>
          <w:sz w:val="20"/>
          <w:vertAlign w:val="baseline"/>
        </w:rPr>
        <w:t>Ayua,</w:t>
      </w:r>
      <w:r>
        <w:rPr>
          <w:rFonts w:ascii="Calibri"/>
          <w:spacing w:val="-2"/>
          <w:sz w:val="20"/>
          <w:vertAlign w:val="baseline"/>
        </w:rPr>
        <w:t> </w:t>
      </w:r>
      <w:r>
        <w:rPr>
          <w:rFonts w:ascii="Calibri"/>
          <w:sz w:val="20"/>
          <w:vertAlign w:val="baseline"/>
        </w:rPr>
        <w:t>I.</w:t>
      </w:r>
      <w:r>
        <w:rPr>
          <w:rFonts w:ascii="Calibri"/>
          <w:spacing w:val="-3"/>
          <w:sz w:val="20"/>
          <w:vertAlign w:val="baseline"/>
        </w:rPr>
        <w:t> </w:t>
      </w:r>
      <w:r>
        <w:rPr>
          <w:rFonts w:ascii="Calibri"/>
          <w:sz w:val="20"/>
          <w:vertAlign w:val="baseline"/>
        </w:rPr>
        <w:t>A.</w:t>
      </w:r>
      <w:r>
        <w:rPr>
          <w:rFonts w:ascii="Calibri"/>
          <w:spacing w:val="-3"/>
          <w:sz w:val="20"/>
          <w:vertAlign w:val="baseline"/>
        </w:rPr>
        <w:t> </w:t>
      </w:r>
      <w:r>
        <w:rPr>
          <w:rFonts w:ascii="Calibri"/>
          <w:sz w:val="20"/>
          <w:vertAlign w:val="baseline"/>
        </w:rPr>
        <w:t>Op.</w:t>
      </w:r>
      <w:r>
        <w:rPr>
          <w:rFonts w:ascii="Calibri"/>
          <w:spacing w:val="-2"/>
          <w:sz w:val="20"/>
          <w:vertAlign w:val="baseline"/>
        </w:rPr>
        <w:t> </w:t>
      </w:r>
      <w:r>
        <w:rPr>
          <w:rFonts w:ascii="Calibri"/>
          <w:spacing w:val="-4"/>
          <w:sz w:val="20"/>
          <w:vertAlign w:val="baseline"/>
        </w:rPr>
        <w:t>Cit.</w:t>
      </w:r>
    </w:p>
    <w:p>
      <w:pPr>
        <w:spacing w:line="243" w:lineRule="exact" w:before="0"/>
        <w:ind w:left="360" w:right="0" w:firstLine="0"/>
        <w:jc w:val="left"/>
        <w:rPr>
          <w:rFonts w:ascii="Calibri"/>
          <w:sz w:val="20"/>
        </w:rPr>
      </w:pPr>
      <w:r>
        <w:rPr>
          <w:rFonts w:ascii="Calibri"/>
          <w:sz w:val="20"/>
          <w:vertAlign w:val="superscript"/>
        </w:rPr>
        <w:t>2</w:t>
      </w:r>
      <w:r>
        <w:rPr>
          <w:rFonts w:ascii="Calibri"/>
          <w:spacing w:val="-5"/>
          <w:sz w:val="20"/>
          <w:vertAlign w:val="baseline"/>
        </w:rPr>
        <w:t> </w:t>
      </w:r>
      <w:r>
        <w:rPr>
          <w:rFonts w:ascii="Calibri"/>
          <w:sz w:val="20"/>
          <w:vertAlign w:val="baseline"/>
        </w:rPr>
        <w:t>Hornby</w:t>
      </w:r>
      <w:r>
        <w:rPr>
          <w:rFonts w:ascii="Calibri"/>
          <w:spacing w:val="-5"/>
          <w:sz w:val="20"/>
          <w:vertAlign w:val="baseline"/>
        </w:rPr>
        <w:t> </w:t>
      </w:r>
      <w:r>
        <w:rPr>
          <w:rFonts w:ascii="Calibri"/>
          <w:sz w:val="20"/>
          <w:vertAlign w:val="baseline"/>
        </w:rPr>
        <w:t>A.S.,</w:t>
      </w:r>
      <w:r>
        <w:rPr>
          <w:rFonts w:ascii="Calibri"/>
          <w:spacing w:val="-4"/>
          <w:sz w:val="20"/>
          <w:vertAlign w:val="baseline"/>
        </w:rPr>
        <w:t> </w:t>
      </w:r>
      <w:r>
        <w:rPr>
          <w:rFonts w:ascii="Calibri"/>
          <w:sz w:val="20"/>
          <w:vertAlign w:val="baseline"/>
        </w:rPr>
        <w:t>Op.</w:t>
      </w:r>
      <w:r>
        <w:rPr>
          <w:rFonts w:ascii="Calibri"/>
          <w:spacing w:val="-4"/>
          <w:sz w:val="20"/>
          <w:vertAlign w:val="baseline"/>
        </w:rPr>
        <w:t> Cit.</w:t>
      </w:r>
    </w:p>
    <w:p>
      <w:pPr>
        <w:spacing w:before="1"/>
        <w:ind w:left="360" w:right="0" w:firstLine="0"/>
        <w:jc w:val="left"/>
        <w:rPr>
          <w:rFonts w:ascii="Calibri"/>
          <w:sz w:val="20"/>
        </w:rPr>
      </w:pPr>
      <w:r>
        <w:rPr>
          <w:rFonts w:ascii="Calibri"/>
          <w:sz w:val="20"/>
          <w:vertAlign w:val="superscript"/>
        </w:rPr>
        <w:t>3</w:t>
      </w:r>
      <w:r>
        <w:rPr>
          <w:rFonts w:ascii="Calibri"/>
          <w:spacing w:val="-2"/>
          <w:sz w:val="20"/>
          <w:vertAlign w:val="baseline"/>
        </w:rPr>
        <w:t> </w:t>
      </w:r>
      <w:r>
        <w:rPr>
          <w:rFonts w:ascii="Calibri"/>
          <w:spacing w:val="-4"/>
          <w:sz w:val="20"/>
          <w:vertAlign w:val="baseline"/>
        </w:rPr>
        <w:t>Ibid</w:t>
      </w:r>
    </w:p>
    <w:p>
      <w:pPr>
        <w:spacing w:after="0"/>
        <w:jc w:val="left"/>
        <w:rPr>
          <w:rFonts w:ascii="Calibri"/>
          <w:sz w:val="20"/>
        </w:rPr>
        <w:sectPr>
          <w:pgSz w:w="11910" w:h="16840"/>
          <w:pgMar w:header="0" w:footer="1000" w:top="1340" w:bottom="1200" w:left="1080" w:right="1280"/>
        </w:sectPr>
      </w:pPr>
    </w:p>
    <w:p>
      <w:pPr>
        <w:pStyle w:val="BodyText"/>
        <w:spacing w:line="480" w:lineRule="auto" w:before="74"/>
        <w:ind w:left="360" w:right="161"/>
        <w:jc w:val="both"/>
      </w:pPr>
      <w:r>
        <w:rPr/>
        <w:t>the reduction of one's tax liability through illegal or fraudulent returns or failure to make a return or evenfailure to pay tax on time.</w:t>
      </w:r>
      <w:r>
        <w:rPr>
          <w:vertAlign w:val="superscript"/>
        </w:rPr>
        <w:t>4</w:t>
      </w:r>
    </w:p>
    <w:p>
      <w:pPr>
        <w:pStyle w:val="BodyText"/>
        <w:spacing w:line="480" w:lineRule="auto"/>
        <w:ind w:left="360" w:right="163" w:firstLine="878"/>
        <w:jc w:val="both"/>
      </w:pPr>
      <w:r>
        <w:rPr/>
        <w:t>Therefore</w:t>
      </w:r>
      <w:r>
        <w:rPr>
          <w:spacing w:val="40"/>
        </w:rPr>
        <w:t> </w:t>
      </w:r>
      <w:r>
        <w:rPr/>
        <w:t>the</w:t>
      </w:r>
      <w:r>
        <w:rPr>
          <w:spacing w:val="40"/>
        </w:rPr>
        <w:t> </w:t>
      </w:r>
      <w:r>
        <w:rPr/>
        <w:t>PPT</w:t>
      </w:r>
      <w:r>
        <w:rPr>
          <w:spacing w:val="80"/>
        </w:rPr>
        <w:t> </w:t>
      </w:r>
      <w:r>
        <w:rPr/>
        <w:t>avoidance</w:t>
      </w:r>
      <w:r>
        <w:rPr>
          <w:spacing w:val="40"/>
        </w:rPr>
        <w:t> </w:t>
      </w:r>
      <w:r>
        <w:rPr/>
        <w:t>can</w:t>
      </w:r>
      <w:r>
        <w:rPr>
          <w:spacing w:val="80"/>
        </w:rPr>
        <w:t> </w:t>
      </w:r>
      <w:r>
        <w:rPr/>
        <w:t>be</w:t>
      </w:r>
      <w:r>
        <w:rPr>
          <w:spacing w:val="40"/>
        </w:rPr>
        <w:t> </w:t>
      </w:r>
      <w:r>
        <w:rPr>
          <w:spacing w:val="9"/>
        </w:rPr>
        <w:t>4</w:t>
      </w:r>
      <w:r>
        <w:rPr>
          <w:spacing w:val="9"/>
          <w:vertAlign w:val="superscript"/>
        </w:rPr>
        <w:t>e</w:t>
      </w:r>
      <w:r>
        <w:rPr>
          <w:spacing w:val="40"/>
          <w:vertAlign w:val="baseline"/>
        </w:rPr>
        <w:t> </w:t>
      </w:r>
      <w:r>
        <w:rPr>
          <w:vertAlign w:val="baseline"/>
        </w:rPr>
        <w:t>fined</w:t>
      </w:r>
      <w:r>
        <w:rPr>
          <w:spacing w:val="80"/>
          <w:vertAlign w:val="baseline"/>
        </w:rPr>
        <w:t> </w:t>
      </w:r>
      <w:r>
        <w:rPr>
          <w:vertAlign w:val="baseline"/>
        </w:rPr>
        <w:t>as</w:t>
      </w:r>
      <w:r>
        <w:rPr>
          <w:spacing w:val="80"/>
          <w:vertAlign w:val="baseline"/>
        </w:rPr>
        <w:t> </w:t>
      </w:r>
      <w:r>
        <w:rPr>
          <w:vertAlign w:val="baseline"/>
        </w:rPr>
        <w:t>crafty</w:t>
      </w:r>
      <w:r>
        <w:rPr>
          <w:spacing w:val="40"/>
          <w:vertAlign w:val="baseline"/>
        </w:rPr>
        <w:t> </w:t>
      </w:r>
      <w:r>
        <w:rPr>
          <w:vertAlign w:val="baseline"/>
        </w:rPr>
        <w:t>and</w:t>
      </w:r>
      <w:r>
        <w:rPr>
          <w:spacing w:val="80"/>
          <w:vertAlign w:val="baseline"/>
        </w:rPr>
        <w:t> </w:t>
      </w:r>
      <w:r>
        <w:rPr>
          <w:vertAlign w:val="baseline"/>
        </w:rPr>
        <w:t>dubious</w:t>
      </w:r>
      <w:r>
        <w:rPr>
          <w:spacing w:val="40"/>
          <w:vertAlign w:val="baseline"/>
        </w:rPr>
        <w:t> </w:t>
      </w:r>
      <w:r>
        <w:rPr>
          <w:vertAlign w:val="baseline"/>
        </w:rPr>
        <w:t>ways which could be employed by the oil producing</w:t>
      </w:r>
      <w:r>
        <w:rPr>
          <w:spacing w:val="40"/>
          <w:vertAlign w:val="baseline"/>
        </w:rPr>
        <w:t> </w:t>
      </w:r>
      <w:r>
        <w:rPr>
          <w:vertAlign w:val="baseline"/>
        </w:rPr>
        <w:t>companies, through the manipulation of</w:t>
      </w:r>
      <w:r>
        <w:rPr>
          <w:spacing w:val="40"/>
          <w:vertAlign w:val="baseline"/>
        </w:rPr>
        <w:t> </w:t>
      </w:r>
      <w:r>
        <w:rPr>
          <w:vertAlign w:val="baseline"/>
        </w:rPr>
        <w:t>taxing provisions in order to minimize their tax liability. While the PPT evasion could be defined to mean any of the followings:</w:t>
      </w:r>
    </w:p>
    <w:p>
      <w:pPr>
        <w:pStyle w:val="ListParagraph"/>
        <w:numPr>
          <w:ilvl w:val="0"/>
          <w:numId w:val="15"/>
        </w:numPr>
        <w:tabs>
          <w:tab w:pos="713" w:val="left" w:leader="none"/>
        </w:tabs>
        <w:spacing w:line="480" w:lineRule="auto" w:before="1" w:after="0"/>
        <w:ind w:left="713" w:right="160" w:hanging="353"/>
        <w:jc w:val="both"/>
        <w:rPr>
          <w:sz w:val="24"/>
        </w:rPr>
      </w:pPr>
      <w:r>
        <w:rPr>
          <w:sz w:val="24"/>
        </w:rPr>
        <w:t>Illegal</w:t>
      </w:r>
      <w:r>
        <w:rPr>
          <w:spacing w:val="40"/>
          <w:sz w:val="24"/>
        </w:rPr>
        <w:t> </w:t>
      </w:r>
      <w:r>
        <w:rPr>
          <w:sz w:val="24"/>
        </w:rPr>
        <w:t>means</w:t>
      </w:r>
      <w:r>
        <w:rPr>
          <w:spacing w:val="40"/>
          <w:sz w:val="24"/>
        </w:rPr>
        <w:t> </w:t>
      </w:r>
      <w:r>
        <w:rPr>
          <w:sz w:val="24"/>
        </w:rPr>
        <w:t>of</w:t>
      </w:r>
      <w:r>
        <w:rPr>
          <w:spacing w:val="40"/>
          <w:sz w:val="24"/>
        </w:rPr>
        <w:t> </w:t>
      </w:r>
      <w:r>
        <w:rPr>
          <w:sz w:val="24"/>
        </w:rPr>
        <w:t>limiting</w:t>
      </w:r>
      <w:r>
        <w:rPr>
          <w:spacing w:val="40"/>
          <w:sz w:val="24"/>
        </w:rPr>
        <w:t> </w:t>
      </w:r>
      <w:r>
        <w:rPr>
          <w:sz w:val="24"/>
        </w:rPr>
        <w:t>the</w:t>
      </w:r>
      <w:r>
        <w:rPr>
          <w:spacing w:val="40"/>
          <w:sz w:val="24"/>
        </w:rPr>
        <w:t> </w:t>
      </w:r>
      <w:r>
        <w:rPr>
          <w:sz w:val="24"/>
        </w:rPr>
        <w:t>tax</w:t>
      </w:r>
      <w:r>
        <w:rPr>
          <w:spacing w:val="40"/>
          <w:sz w:val="24"/>
        </w:rPr>
        <w:t> </w:t>
      </w:r>
      <w:r>
        <w:rPr>
          <w:sz w:val="24"/>
        </w:rPr>
        <w:t>liability</w:t>
      </w:r>
      <w:r>
        <w:rPr>
          <w:spacing w:val="40"/>
          <w:sz w:val="24"/>
        </w:rPr>
        <w:t> </w:t>
      </w:r>
      <w:r>
        <w:rPr>
          <w:sz w:val="24"/>
        </w:rPr>
        <w:t>of</w:t>
      </w:r>
      <w:r>
        <w:rPr>
          <w:spacing w:val="40"/>
          <w:sz w:val="24"/>
        </w:rPr>
        <w:t> </w:t>
      </w:r>
      <w:r>
        <w:rPr>
          <w:sz w:val="24"/>
        </w:rPr>
        <w:t>oil</w:t>
      </w:r>
      <w:r>
        <w:rPr>
          <w:spacing w:val="40"/>
          <w:sz w:val="24"/>
        </w:rPr>
        <w:t> </w:t>
      </w:r>
      <w:r>
        <w:rPr>
          <w:sz w:val="24"/>
        </w:rPr>
        <w:t>producing</w:t>
      </w:r>
      <w:r>
        <w:rPr>
          <w:spacing w:val="40"/>
          <w:sz w:val="24"/>
        </w:rPr>
        <w:t> </w:t>
      </w:r>
      <w:r>
        <w:rPr>
          <w:sz w:val="24"/>
        </w:rPr>
        <w:t>companies</w:t>
      </w:r>
      <w:r>
        <w:rPr>
          <w:spacing w:val="40"/>
          <w:sz w:val="24"/>
        </w:rPr>
        <w:t> </w:t>
      </w:r>
      <w:r>
        <w:rPr>
          <w:sz w:val="24"/>
        </w:rPr>
        <w:t>by</w:t>
      </w:r>
      <w:r>
        <w:rPr>
          <w:spacing w:val="40"/>
          <w:sz w:val="24"/>
        </w:rPr>
        <w:t> </w:t>
      </w:r>
      <w:r>
        <w:rPr>
          <w:sz w:val="24"/>
        </w:rPr>
        <w:t>delivering false returns.</w:t>
      </w:r>
    </w:p>
    <w:p>
      <w:pPr>
        <w:pStyle w:val="ListParagraph"/>
        <w:numPr>
          <w:ilvl w:val="0"/>
          <w:numId w:val="15"/>
        </w:numPr>
        <w:tabs>
          <w:tab w:pos="712" w:val="left" w:leader="none"/>
        </w:tabs>
        <w:spacing w:line="240" w:lineRule="auto" w:before="0" w:after="0"/>
        <w:ind w:left="712" w:right="0" w:hanging="352"/>
        <w:jc w:val="both"/>
        <w:rPr>
          <w:sz w:val="24"/>
        </w:rPr>
      </w:pPr>
      <w:r>
        <w:rPr>
          <w:sz w:val="24"/>
        </w:rPr>
        <w:t>Refusal</w:t>
      </w:r>
      <w:r>
        <w:rPr>
          <w:spacing w:val="-4"/>
          <w:sz w:val="24"/>
        </w:rPr>
        <w:t> </w:t>
      </w:r>
      <w:r>
        <w:rPr>
          <w:sz w:val="24"/>
        </w:rPr>
        <w:t>of</w:t>
      </w:r>
      <w:r>
        <w:rPr>
          <w:spacing w:val="-3"/>
          <w:sz w:val="24"/>
        </w:rPr>
        <w:t> </w:t>
      </w:r>
      <w:r>
        <w:rPr>
          <w:sz w:val="24"/>
        </w:rPr>
        <w:t>oil</w:t>
      </w:r>
      <w:r>
        <w:rPr>
          <w:spacing w:val="-3"/>
          <w:sz w:val="24"/>
        </w:rPr>
        <w:t> </w:t>
      </w:r>
      <w:r>
        <w:rPr>
          <w:sz w:val="24"/>
        </w:rPr>
        <w:t>producing</w:t>
      </w:r>
      <w:r>
        <w:rPr>
          <w:spacing w:val="-5"/>
          <w:sz w:val="24"/>
        </w:rPr>
        <w:t> </w:t>
      </w:r>
      <w:r>
        <w:rPr>
          <w:sz w:val="24"/>
        </w:rPr>
        <w:t>companies</w:t>
      </w:r>
      <w:r>
        <w:rPr>
          <w:spacing w:val="-3"/>
          <w:sz w:val="24"/>
        </w:rPr>
        <w:t> </w:t>
      </w:r>
      <w:r>
        <w:rPr>
          <w:sz w:val="24"/>
        </w:rPr>
        <w:t>to</w:t>
      </w:r>
      <w:r>
        <w:rPr>
          <w:spacing w:val="-3"/>
          <w:sz w:val="24"/>
        </w:rPr>
        <w:t> </w:t>
      </w:r>
      <w:r>
        <w:rPr>
          <w:sz w:val="24"/>
        </w:rPr>
        <w:t>pay</w:t>
      </w:r>
      <w:r>
        <w:rPr>
          <w:spacing w:val="-8"/>
          <w:sz w:val="24"/>
        </w:rPr>
        <w:t> </w:t>
      </w:r>
      <w:r>
        <w:rPr>
          <w:sz w:val="24"/>
        </w:rPr>
        <w:t>the</w:t>
      </w:r>
      <w:r>
        <w:rPr>
          <w:spacing w:val="-3"/>
          <w:sz w:val="24"/>
        </w:rPr>
        <w:t> </w:t>
      </w:r>
      <w:r>
        <w:rPr>
          <w:sz w:val="24"/>
        </w:rPr>
        <w:t>tax</w:t>
      </w:r>
      <w:r>
        <w:rPr>
          <w:spacing w:val="-2"/>
          <w:sz w:val="24"/>
        </w:rPr>
        <w:t> </w:t>
      </w:r>
      <w:r>
        <w:rPr>
          <w:sz w:val="24"/>
        </w:rPr>
        <w:t>at the</w:t>
      </w:r>
      <w:r>
        <w:rPr>
          <w:spacing w:val="-14"/>
          <w:sz w:val="24"/>
        </w:rPr>
        <w:t> </w:t>
      </w:r>
      <w:r>
        <w:rPr>
          <w:sz w:val="24"/>
        </w:rPr>
        <w:t>right</w:t>
      </w:r>
      <w:r>
        <w:rPr>
          <w:spacing w:val="-12"/>
          <w:sz w:val="24"/>
        </w:rPr>
        <w:t> </w:t>
      </w:r>
      <w:r>
        <w:rPr>
          <w:spacing w:val="-2"/>
          <w:sz w:val="24"/>
        </w:rPr>
        <w:t>time.</w:t>
      </w:r>
    </w:p>
    <w:p>
      <w:pPr>
        <w:pStyle w:val="ListParagraph"/>
        <w:numPr>
          <w:ilvl w:val="0"/>
          <w:numId w:val="15"/>
        </w:numPr>
        <w:tabs>
          <w:tab w:pos="712" w:val="left" w:leader="none"/>
        </w:tabs>
        <w:spacing w:line="240" w:lineRule="auto" w:before="276" w:after="0"/>
        <w:ind w:left="712" w:right="0" w:hanging="352"/>
        <w:jc w:val="both"/>
        <w:rPr>
          <w:sz w:val="24"/>
        </w:rPr>
      </w:pPr>
      <w:r>
        <w:rPr>
          <w:sz w:val="24"/>
        </w:rPr>
        <w:t>Refusal</w:t>
      </w:r>
      <w:r>
        <w:rPr>
          <w:spacing w:val="-3"/>
          <w:sz w:val="24"/>
        </w:rPr>
        <w:t> </w:t>
      </w:r>
      <w:r>
        <w:rPr>
          <w:sz w:val="24"/>
        </w:rPr>
        <w:t>to pay</w:t>
      </w:r>
      <w:r>
        <w:rPr>
          <w:spacing w:val="-5"/>
          <w:sz w:val="24"/>
        </w:rPr>
        <w:t> </w:t>
      </w:r>
      <w:r>
        <w:rPr>
          <w:sz w:val="24"/>
        </w:rPr>
        <w:t>the PPT at </w:t>
      </w:r>
      <w:r>
        <w:rPr>
          <w:spacing w:val="-4"/>
          <w:sz w:val="24"/>
        </w:rPr>
        <w:t>all.</w:t>
      </w:r>
    </w:p>
    <w:p>
      <w:pPr>
        <w:pStyle w:val="BodyText"/>
        <w:spacing w:before="4"/>
      </w:pPr>
    </w:p>
    <w:p>
      <w:pPr>
        <w:pStyle w:val="Heading2"/>
        <w:numPr>
          <w:ilvl w:val="1"/>
          <w:numId w:val="14"/>
        </w:numPr>
        <w:tabs>
          <w:tab w:pos="976" w:val="left" w:leader="none"/>
        </w:tabs>
        <w:spacing w:line="240" w:lineRule="auto" w:before="0" w:after="0"/>
        <w:ind w:left="976" w:right="0" w:hanging="616"/>
        <w:jc w:val="both"/>
      </w:pPr>
      <w:r>
        <w:rPr/>
        <w:t>Statutory</w:t>
      </w:r>
      <w:r>
        <w:rPr>
          <w:spacing w:val="10"/>
        </w:rPr>
        <w:t> </w:t>
      </w:r>
      <w:r>
        <w:rPr/>
        <w:t>Offences</w:t>
      </w:r>
      <w:r>
        <w:rPr>
          <w:spacing w:val="13"/>
        </w:rPr>
        <w:t> </w:t>
      </w:r>
      <w:r>
        <w:rPr/>
        <w:t>against</w:t>
      </w:r>
      <w:r>
        <w:rPr>
          <w:spacing w:val="13"/>
        </w:rPr>
        <w:t> </w:t>
      </w:r>
      <w:r>
        <w:rPr/>
        <w:t>the</w:t>
      </w:r>
      <w:r>
        <w:rPr>
          <w:spacing w:val="12"/>
        </w:rPr>
        <w:t> </w:t>
      </w:r>
      <w:r>
        <w:rPr/>
        <w:t>Petroleum</w:t>
      </w:r>
      <w:r>
        <w:rPr>
          <w:spacing w:val="12"/>
        </w:rPr>
        <w:t> </w:t>
      </w:r>
      <w:r>
        <w:rPr/>
        <w:t>Profit</w:t>
      </w:r>
      <w:r>
        <w:rPr>
          <w:spacing w:val="13"/>
        </w:rPr>
        <w:t> </w:t>
      </w:r>
      <w:r>
        <w:rPr>
          <w:spacing w:val="-5"/>
        </w:rPr>
        <w:t>Tax</w:t>
      </w:r>
    </w:p>
    <w:p>
      <w:pPr>
        <w:pStyle w:val="BodyText"/>
        <w:spacing w:line="480" w:lineRule="auto" w:before="272"/>
        <w:ind w:left="360" w:right="159" w:firstLine="719"/>
        <w:jc w:val="both"/>
      </w:pPr>
      <w:r>
        <w:rPr/>
        <w:t>In</w:t>
      </w:r>
      <w:r>
        <w:rPr>
          <w:spacing w:val="40"/>
        </w:rPr>
        <w:t> </w:t>
      </w:r>
      <w:r>
        <w:rPr/>
        <w:t>accordance</w:t>
      </w:r>
      <w:r>
        <w:rPr>
          <w:spacing w:val="40"/>
        </w:rPr>
        <w:t> </w:t>
      </w:r>
      <w:r>
        <w:rPr/>
        <w:t>with</w:t>
      </w:r>
      <w:r>
        <w:rPr>
          <w:spacing w:val="40"/>
        </w:rPr>
        <w:t> </w:t>
      </w:r>
      <w:r>
        <w:rPr/>
        <w:t>the</w:t>
      </w:r>
      <w:r>
        <w:rPr>
          <w:spacing w:val="40"/>
        </w:rPr>
        <w:t> </w:t>
      </w:r>
      <w:r>
        <w:rPr/>
        <w:t>provision</w:t>
      </w:r>
      <w:r>
        <w:rPr>
          <w:spacing w:val="40"/>
        </w:rPr>
        <w:t> </w:t>
      </w:r>
      <w:r>
        <w:rPr/>
        <w:t>of</w:t>
      </w:r>
      <w:r>
        <w:rPr>
          <w:spacing w:val="40"/>
        </w:rPr>
        <w:t> </w:t>
      </w:r>
      <w:r>
        <w:rPr/>
        <w:t>the</w:t>
      </w:r>
      <w:r>
        <w:rPr>
          <w:spacing w:val="40"/>
        </w:rPr>
        <w:t> </w:t>
      </w:r>
      <w:r>
        <w:rPr/>
        <w:t>Petroleum</w:t>
      </w:r>
      <w:r>
        <w:rPr>
          <w:spacing w:val="40"/>
        </w:rPr>
        <w:t> </w:t>
      </w:r>
      <w:r>
        <w:rPr/>
        <w:t>Profit</w:t>
      </w:r>
      <w:r>
        <w:rPr>
          <w:spacing w:val="40"/>
        </w:rPr>
        <w:t> </w:t>
      </w:r>
      <w:r>
        <w:rPr/>
        <w:t>Tax</w:t>
      </w:r>
      <w:r>
        <w:rPr>
          <w:spacing w:val="40"/>
        </w:rPr>
        <w:t> </w:t>
      </w:r>
      <w:r>
        <w:rPr/>
        <w:t>Act,</w:t>
      </w:r>
      <w:r>
        <w:rPr>
          <w:spacing w:val="40"/>
        </w:rPr>
        <w:t> </w:t>
      </w:r>
      <w:r>
        <w:rPr/>
        <w:t>a</w:t>
      </w:r>
      <w:r>
        <w:rPr>
          <w:spacing w:val="40"/>
        </w:rPr>
        <w:t> </w:t>
      </w:r>
      <w:r>
        <w:rPr/>
        <w:t>person</w:t>
      </w:r>
      <w:r>
        <w:rPr>
          <w:spacing w:val="40"/>
        </w:rPr>
        <w:t> </w:t>
      </w:r>
      <w:r>
        <w:rPr/>
        <w:t>is guilty of an offence against the Act if he is found to have committed any of the following statutory offences:-</w:t>
      </w:r>
    </w:p>
    <w:p>
      <w:pPr>
        <w:pStyle w:val="ListParagraph"/>
        <w:numPr>
          <w:ilvl w:val="0"/>
          <w:numId w:val="16"/>
        </w:numPr>
        <w:tabs>
          <w:tab w:pos="1078" w:val="left" w:leader="none"/>
        </w:tabs>
        <w:spacing w:line="240" w:lineRule="auto" w:before="0" w:after="0"/>
        <w:ind w:left="1078" w:right="0" w:hanging="718"/>
        <w:jc w:val="both"/>
        <w:rPr>
          <w:sz w:val="24"/>
        </w:rPr>
      </w:pPr>
      <w:r>
        <w:rPr>
          <w:sz w:val="24"/>
        </w:rPr>
        <w:t>Failure</w:t>
      </w:r>
      <w:r>
        <w:rPr>
          <w:spacing w:val="15"/>
          <w:sz w:val="24"/>
        </w:rPr>
        <w:t> </w:t>
      </w:r>
      <w:r>
        <w:rPr>
          <w:sz w:val="24"/>
        </w:rPr>
        <w:t>to</w:t>
      </w:r>
      <w:r>
        <w:rPr>
          <w:spacing w:val="16"/>
          <w:sz w:val="24"/>
        </w:rPr>
        <w:t> </w:t>
      </w:r>
      <w:r>
        <w:rPr>
          <w:sz w:val="24"/>
        </w:rPr>
        <w:t>comply</w:t>
      </w:r>
      <w:r>
        <w:rPr>
          <w:spacing w:val="12"/>
          <w:sz w:val="24"/>
        </w:rPr>
        <w:t> </w:t>
      </w:r>
      <w:r>
        <w:rPr>
          <w:sz w:val="24"/>
        </w:rPr>
        <w:t>with</w:t>
      </w:r>
      <w:r>
        <w:rPr>
          <w:spacing w:val="20"/>
          <w:sz w:val="24"/>
        </w:rPr>
        <w:t> </w:t>
      </w:r>
      <w:r>
        <w:rPr>
          <w:sz w:val="24"/>
        </w:rPr>
        <w:t>the</w:t>
      </w:r>
      <w:r>
        <w:rPr>
          <w:spacing w:val="19"/>
          <w:sz w:val="24"/>
        </w:rPr>
        <w:t> </w:t>
      </w:r>
      <w:r>
        <w:rPr>
          <w:sz w:val="24"/>
        </w:rPr>
        <w:t>requirement</w:t>
      </w:r>
      <w:r>
        <w:rPr>
          <w:spacing w:val="17"/>
          <w:sz w:val="24"/>
        </w:rPr>
        <w:t> </w:t>
      </w:r>
      <w:r>
        <w:rPr>
          <w:sz w:val="24"/>
        </w:rPr>
        <w:t>of</w:t>
      </w:r>
      <w:r>
        <w:rPr>
          <w:spacing w:val="19"/>
          <w:sz w:val="24"/>
        </w:rPr>
        <w:t> </w:t>
      </w:r>
      <w:r>
        <w:rPr>
          <w:sz w:val="24"/>
        </w:rPr>
        <w:t>any</w:t>
      </w:r>
      <w:r>
        <w:rPr>
          <w:spacing w:val="12"/>
          <w:sz w:val="24"/>
        </w:rPr>
        <w:t> </w:t>
      </w:r>
      <w:r>
        <w:rPr>
          <w:sz w:val="24"/>
        </w:rPr>
        <w:t>notice</w:t>
      </w:r>
      <w:r>
        <w:rPr>
          <w:spacing w:val="31"/>
          <w:sz w:val="24"/>
        </w:rPr>
        <w:t> </w:t>
      </w:r>
      <w:r>
        <w:rPr>
          <w:sz w:val="24"/>
        </w:rPr>
        <w:t>served</w:t>
      </w:r>
      <w:r>
        <w:rPr>
          <w:spacing w:val="9"/>
          <w:sz w:val="24"/>
        </w:rPr>
        <w:t> </w:t>
      </w:r>
      <w:r>
        <w:rPr>
          <w:sz w:val="24"/>
        </w:rPr>
        <w:t>to</w:t>
      </w:r>
      <w:r>
        <w:rPr>
          <w:spacing w:val="12"/>
          <w:sz w:val="24"/>
        </w:rPr>
        <w:t> </w:t>
      </w:r>
      <w:r>
        <w:rPr>
          <w:sz w:val="24"/>
        </w:rPr>
        <w:t>him</w:t>
      </w:r>
      <w:r>
        <w:rPr>
          <w:spacing w:val="15"/>
          <w:sz w:val="24"/>
        </w:rPr>
        <w:t> </w:t>
      </w:r>
      <w:r>
        <w:rPr>
          <w:sz w:val="24"/>
        </w:rPr>
        <w:t>under</w:t>
      </w:r>
      <w:r>
        <w:rPr>
          <w:spacing w:val="10"/>
          <w:sz w:val="24"/>
        </w:rPr>
        <w:t> </w:t>
      </w:r>
      <w:r>
        <w:rPr>
          <w:sz w:val="24"/>
        </w:rPr>
        <w:t>the</w:t>
      </w:r>
      <w:r>
        <w:rPr>
          <w:spacing w:val="11"/>
          <w:sz w:val="24"/>
        </w:rPr>
        <w:t> </w:t>
      </w:r>
      <w:r>
        <w:rPr>
          <w:spacing w:val="-2"/>
          <w:sz w:val="24"/>
        </w:rPr>
        <w:t>Act.</w:t>
      </w:r>
      <w:r>
        <w:rPr>
          <w:spacing w:val="-2"/>
          <w:sz w:val="24"/>
          <w:vertAlign w:val="superscript"/>
        </w:rPr>
        <w:t>5</w:t>
      </w:r>
    </w:p>
    <w:p>
      <w:pPr>
        <w:pStyle w:val="BodyText"/>
      </w:pPr>
    </w:p>
    <w:p>
      <w:pPr>
        <w:pStyle w:val="ListParagraph"/>
        <w:numPr>
          <w:ilvl w:val="0"/>
          <w:numId w:val="16"/>
        </w:numPr>
        <w:tabs>
          <w:tab w:pos="1078" w:val="left" w:leader="none"/>
        </w:tabs>
        <w:spacing w:line="240" w:lineRule="auto" w:before="0" w:after="0"/>
        <w:ind w:left="1078" w:right="0" w:hanging="718"/>
        <w:jc w:val="both"/>
        <w:rPr>
          <w:sz w:val="24"/>
        </w:rPr>
      </w:pPr>
      <w:r>
        <w:rPr>
          <w:sz w:val="24"/>
        </w:rPr>
        <w:t>Failure</w:t>
      </w:r>
      <w:r>
        <w:rPr>
          <w:spacing w:val="-11"/>
          <w:sz w:val="24"/>
        </w:rPr>
        <w:t> </w:t>
      </w:r>
      <w:r>
        <w:rPr>
          <w:sz w:val="24"/>
        </w:rPr>
        <w:t>to</w:t>
      </w:r>
      <w:r>
        <w:rPr>
          <w:spacing w:val="-7"/>
          <w:sz w:val="24"/>
        </w:rPr>
        <w:t> </w:t>
      </w:r>
      <w:r>
        <w:rPr>
          <w:sz w:val="24"/>
        </w:rPr>
        <w:t>render</w:t>
      </w:r>
      <w:r>
        <w:rPr>
          <w:spacing w:val="-5"/>
          <w:sz w:val="24"/>
        </w:rPr>
        <w:t> </w:t>
      </w:r>
      <w:r>
        <w:rPr>
          <w:sz w:val="24"/>
        </w:rPr>
        <w:t>returns</w:t>
      </w:r>
      <w:r>
        <w:rPr>
          <w:spacing w:val="-10"/>
          <w:sz w:val="24"/>
        </w:rPr>
        <w:t> </w:t>
      </w:r>
      <w:r>
        <w:rPr>
          <w:sz w:val="24"/>
        </w:rPr>
        <w:t>or</w:t>
      </w:r>
      <w:r>
        <w:rPr>
          <w:spacing w:val="-6"/>
          <w:sz w:val="24"/>
        </w:rPr>
        <w:t> </w:t>
      </w:r>
      <w:r>
        <w:rPr>
          <w:sz w:val="24"/>
        </w:rPr>
        <w:t>deliver</w:t>
      </w:r>
      <w:r>
        <w:rPr>
          <w:spacing w:val="-8"/>
          <w:sz w:val="24"/>
        </w:rPr>
        <w:t> </w:t>
      </w:r>
      <w:r>
        <w:rPr>
          <w:sz w:val="24"/>
        </w:rPr>
        <w:t>account</w:t>
      </w:r>
      <w:r>
        <w:rPr>
          <w:spacing w:val="-6"/>
          <w:sz w:val="24"/>
        </w:rPr>
        <w:t> </w:t>
      </w:r>
      <w:r>
        <w:rPr>
          <w:sz w:val="24"/>
        </w:rPr>
        <w:t>and</w:t>
      </w:r>
      <w:r>
        <w:rPr>
          <w:spacing w:val="-5"/>
          <w:sz w:val="24"/>
        </w:rPr>
        <w:t> </w:t>
      </w:r>
      <w:r>
        <w:rPr>
          <w:spacing w:val="-2"/>
          <w:sz w:val="24"/>
        </w:rPr>
        <w:t>particulars.</w:t>
      </w:r>
      <w:r>
        <w:rPr>
          <w:spacing w:val="-2"/>
          <w:sz w:val="24"/>
          <w:vertAlign w:val="superscript"/>
        </w:rPr>
        <w:t>6</w:t>
      </w:r>
    </w:p>
    <w:p>
      <w:pPr>
        <w:pStyle w:val="BodyText"/>
      </w:pPr>
    </w:p>
    <w:p>
      <w:pPr>
        <w:pStyle w:val="ListParagraph"/>
        <w:numPr>
          <w:ilvl w:val="0"/>
          <w:numId w:val="16"/>
        </w:numPr>
        <w:tabs>
          <w:tab w:pos="1080" w:val="left" w:leader="none"/>
        </w:tabs>
        <w:spacing w:line="480" w:lineRule="auto" w:before="0" w:after="0"/>
        <w:ind w:left="1080" w:right="171" w:hanging="720"/>
        <w:jc w:val="left"/>
        <w:rPr>
          <w:sz w:val="24"/>
        </w:rPr>
      </w:pPr>
      <w:r>
        <w:rPr>
          <w:spacing w:val="10"/>
          <w:sz w:val="24"/>
        </w:rPr>
        <w:t>Failure</w:t>
      </w:r>
      <w:r>
        <w:rPr>
          <w:spacing w:val="40"/>
          <w:sz w:val="24"/>
        </w:rPr>
        <w:t> </w:t>
      </w:r>
      <w:r>
        <w:rPr>
          <w:sz w:val="24"/>
        </w:rPr>
        <w:t>to</w:t>
      </w:r>
      <w:r>
        <w:rPr>
          <w:spacing w:val="40"/>
          <w:sz w:val="24"/>
        </w:rPr>
        <w:t> </w:t>
      </w:r>
      <w:r>
        <w:rPr>
          <w:spacing w:val="10"/>
          <w:sz w:val="24"/>
        </w:rPr>
        <w:t>attend</w:t>
      </w:r>
      <w:r>
        <w:rPr>
          <w:spacing w:val="40"/>
          <w:sz w:val="24"/>
        </w:rPr>
        <w:t> </w:t>
      </w:r>
      <w:r>
        <w:rPr>
          <w:sz w:val="24"/>
        </w:rPr>
        <w:t>or</w:t>
      </w:r>
      <w:r>
        <w:rPr>
          <w:spacing w:val="40"/>
          <w:sz w:val="24"/>
        </w:rPr>
        <w:t> </w:t>
      </w:r>
      <w:r>
        <w:rPr>
          <w:spacing w:val="10"/>
          <w:sz w:val="24"/>
        </w:rPr>
        <w:t>answer</w:t>
      </w:r>
      <w:r>
        <w:rPr>
          <w:spacing w:val="40"/>
          <w:sz w:val="24"/>
        </w:rPr>
        <w:t> </w:t>
      </w:r>
      <w:r>
        <w:rPr>
          <w:sz w:val="24"/>
        </w:rPr>
        <w:t>to</w:t>
      </w:r>
      <w:r>
        <w:rPr>
          <w:spacing w:val="40"/>
          <w:sz w:val="24"/>
        </w:rPr>
        <w:t> </w:t>
      </w:r>
      <w:r>
        <w:rPr>
          <w:sz w:val="24"/>
        </w:rPr>
        <w:t>a</w:t>
      </w:r>
      <w:r>
        <w:rPr>
          <w:spacing w:val="40"/>
          <w:sz w:val="24"/>
        </w:rPr>
        <w:t> </w:t>
      </w:r>
      <w:r>
        <w:rPr>
          <w:spacing w:val="10"/>
          <w:sz w:val="24"/>
        </w:rPr>
        <w:t>notice</w:t>
      </w:r>
      <w:r>
        <w:rPr>
          <w:spacing w:val="40"/>
          <w:sz w:val="24"/>
        </w:rPr>
        <w:t> </w:t>
      </w:r>
      <w:r>
        <w:rPr>
          <w:sz w:val="24"/>
        </w:rPr>
        <w:t>or</w:t>
      </w:r>
      <w:r>
        <w:rPr>
          <w:spacing w:val="40"/>
          <w:sz w:val="24"/>
        </w:rPr>
        <w:t> </w:t>
      </w:r>
      <w:r>
        <w:rPr>
          <w:spacing w:val="10"/>
          <w:sz w:val="24"/>
        </w:rPr>
        <w:t>summon</w:t>
      </w:r>
      <w:r>
        <w:rPr>
          <w:spacing w:val="66"/>
          <w:sz w:val="24"/>
        </w:rPr>
        <w:t> </w:t>
      </w:r>
      <w:r>
        <w:rPr>
          <w:sz w:val="24"/>
        </w:rPr>
        <w:t>served</w:t>
      </w:r>
      <w:r>
        <w:rPr>
          <w:spacing w:val="40"/>
          <w:sz w:val="24"/>
        </w:rPr>
        <w:t> </w:t>
      </w:r>
      <w:r>
        <w:rPr>
          <w:sz w:val="24"/>
        </w:rPr>
        <w:t>on</w:t>
      </w:r>
      <w:r>
        <w:rPr>
          <w:spacing w:val="40"/>
          <w:sz w:val="24"/>
        </w:rPr>
        <w:t> </w:t>
      </w:r>
      <w:r>
        <w:rPr>
          <w:sz w:val="24"/>
        </w:rPr>
        <w:t>a</w:t>
      </w:r>
      <w:r>
        <w:rPr>
          <w:spacing w:val="40"/>
          <w:sz w:val="24"/>
        </w:rPr>
        <w:t> </w:t>
      </w:r>
      <w:r>
        <w:rPr>
          <w:sz w:val="24"/>
        </w:rPr>
        <w:t>person</w:t>
      </w:r>
      <w:r>
        <w:rPr>
          <w:spacing w:val="40"/>
          <w:sz w:val="24"/>
        </w:rPr>
        <w:t> </w:t>
      </w:r>
      <w:r>
        <w:rPr>
          <w:sz w:val="24"/>
        </w:rPr>
        <w:t>under the</w:t>
      </w:r>
      <w:r>
        <w:rPr>
          <w:spacing w:val="40"/>
          <w:sz w:val="24"/>
        </w:rPr>
        <w:t> </w:t>
      </w:r>
      <w:r>
        <w:rPr>
          <w:sz w:val="24"/>
        </w:rPr>
        <w:t>Act;</w:t>
      </w:r>
      <w:r>
        <w:rPr>
          <w:spacing w:val="40"/>
          <w:sz w:val="24"/>
        </w:rPr>
        <w:t> </w:t>
      </w:r>
      <w:r>
        <w:rPr>
          <w:sz w:val="24"/>
        </w:rPr>
        <w:t>or</w:t>
      </w:r>
      <w:r>
        <w:rPr>
          <w:spacing w:val="40"/>
          <w:sz w:val="24"/>
        </w:rPr>
        <w:t> </w:t>
      </w:r>
      <w:r>
        <w:rPr>
          <w:sz w:val="24"/>
        </w:rPr>
        <w:t>having</w:t>
      </w:r>
      <w:r>
        <w:rPr>
          <w:spacing w:val="40"/>
          <w:sz w:val="24"/>
        </w:rPr>
        <w:t> </w:t>
      </w:r>
      <w:r>
        <w:rPr>
          <w:sz w:val="24"/>
        </w:rPr>
        <w:t>attended,</w:t>
      </w:r>
      <w:r>
        <w:rPr>
          <w:spacing w:val="40"/>
          <w:sz w:val="24"/>
        </w:rPr>
        <w:t> </w:t>
      </w:r>
      <w:r>
        <w:rPr>
          <w:sz w:val="24"/>
        </w:rPr>
        <w:t>failure to answer question lawfully put.</w:t>
      </w:r>
      <w:r>
        <w:rPr>
          <w:sz w:val="24"/>
          <w:vertAlign w:val="superscript"/>
        </w:rPr>
        <w:t>7</w:t>
      </w:r>
    </w:p>
    <w:p>
      <w:pPr>
        <w:pStyle w:val="ListParagraph"/>
        <w:numPr>
          <w:ilvl w:val="0"/>
          <w:numId w:val="16"/>
        </w:numPr>
        <w:tabs>
          <w:tab w:pos="1079" w:val="left" w:leader="none"/>
        </w:tabs>
        <w:spacing w:line="240" w:lineRule="auto" w:before="1" w:after="0"/>
        <w:ind w:left="1079" w:right="0" w:hanging="719"/>
        <w:jc w:val="both"/>
        <w:rPr>
          <w:sz w:val="24"/>
        </w:rPr>
      </w:pPr>
      <w:r>
        <w:rPr>
          <w:sz w:val="24"/>
        </w:rPr>
        <w:t>Failure</w:t>
      </w:r>
      <w:r>
        <w:rPr>
          <w:spacing w:val="-9"/>
          <w:sz w:val="24"/>
        </w:rPr>
        <w:t> </w:t>
      </w:r>
      <w:r>
        <w:rPr>
          <w:sz w:val="24"/>
        </w:rPr>
        <w:t>to</w:t>
      </w:r>
      <w:r>
        <w:rPr>
          <w:spacing w:val="-6"/>
          <w:sz w:val="24"/>
        </w:rPr>
        <w:t> </w:t>
      </w:r>
      <w:r>
        <w:rPr>
          <w:sz w:val="24"/>
        </w:rPr>
        <w:t>submit</w:t>
      </w:r>
      <w:r>
        <w:rPr>
          <w:spacing w:val="-5"/>
          <w:sz w:val="24"/>
        </w:rPr>
        <w:t> </w:t>
      </w:r>
      <w:r>
        <w:rPr>
          <w:sz w:val="24"/>
        </w:rPr>
        <w:t>any</w:t>
      </w:r>
      <w:r>
        <w:rPr>
          <w:spacing w:val="-12"/>
          <w:sz w:val="24"/>
        </w:rPr>
        <w:t> </w:t>
      </w:r>
      <w:r>
        <w:rPr>
          <w:sz w:val="24"/>
        </w:rPr>
        <w:t>returns</w:t>
      </w:r>
      <w:r>
        <w:rPr>
          <w:spacing w:val="-6"/>
          <w:sz w:val="24"/>
        </w:rPr>
        <w:t> </w:t>
      </w:r>
      <w:r>
        <w:rPr>
          <w:sz w:val="24"/>
        </w:rPr>
        <w:t>of</w:t>
      </w:r>
      <w:r>
        <w:rPr>
          <w:spacing w:val="-6"/>
          <w:sz w:val="24"/>
        </w:rPr>
        <w:t> </w:t>
      </w:r>
      <w:r>
        <w:rPr>
          <w:sz w:val="24"/>
        </w:rPr>
        <w:t>estimated</w:t>
      </w:r>
      <w:r>
        <w:rPr>
          <w:spacing w:val="-7"/>
          <w:sz w:val="24"/>
        </w:rPr>
        <w:t> </w:t>
      </w:r>
      <w:r>
        <w:rPr>
          <w:spacing w:val="-4"/>
          <w:sz w:val="24"/>
        </w:rPr>
        <w:t>tax.</w:t>
      </w:r>
      <w:r>
        <w:rPr>
          <w:spacing w:val="-4"/>
          <w:sz w:val="24"/>
          <w:vertAlign w:val="superscript"/>
        </w:rPr>
        <w:t>8</w:t>
      </w:r>
    </w:p>
    <w:p>
      <w:pPr>
        <w:pStyle w:val="BodyText"/>
      </w:pPr>
    </w:p>
    <w:p>
      <w:pPr>
        <w:pStyle w:val="ListParagraph"/>
        <w:numPr>
          <w:ilvl w:val="0"/>
          <w:numId w:val="16"/>
        </w:numPr>
        <w:tabs>
          <w:tab w:pos="1080" w:val="left" w:leader="none"/>
        </w:tabs>
        <w:spacing w:line="480" w:lineRule="auto" w:before="0" w:after="0"/>
        <w:ind w:left="1080" w:right="154" w:hanging="720"/>
        <w:jc w:val="left"/>
        <w:rPr>
          <w:sz w:val="24"/>
        </w:rPr>
      </w:pPr>
      <w:r>
        <w:rPr>
          <w:sz w:val="24"/>
        </w:rPr>
        <w:t>Making</w:t>
      </w:r>
      <w:r>
        <w:rPr>
          <w:spacing w:val="33"/>
          <w:sz w:val="24"/>
        </w:rPr>
        <w:t> </w:t>
      </w:r>
      <w:r>
        <w:rPr>
          <w:sz w:val="24"/>
        </w:rPr>
        <w:t>or</w:t>
      </w:r>
      <w:r>
        <w:rPr>
          <w:spacing w:val="34"/>
          <w:sz w:val="24"/>
        </w:rPr>
        <w:t> </w:t>
      </w:r>
      <w:r>
        <w:rPr>
          <w:sz w:val="24"/>
        </w:rPr>
        <w:t>causing</w:t>
      </w:r>
      <w:r>
        <w:rPr>
          <w:spacing w:val="33"/>
          <w:sz w:val="24"/>
        </w:rPr>
        <w:t> </w:t>
      </w:r>
      <w:r>
        <w:rPr>
          <w:sz w:val="24"/>
        </w:rPr>
        <w:t>to</w:t>
      </w:r>
      <w:r>
        <w:rPr>
          <w:spacing w:val="35"/>
          <w:sz w:val="24"/>
        </w:rPr>
        <w:t> </w:t>
      </w:r>
      <w:r>
        <w:rPr>
          <w:sz w:val="24"/>
        </w:rPr>
        <w:t>be</w:t>
      </w:r>
      <w:r>
        <w:rPr>
          <w:spacing w:val="34"/>
          <w:sz w:val="24"/>
        </w:rPr>
        <w:t> </w:t>
      </w:r>
      <w:r>
        <w:rPr>
          <w:sz w:val="24"/>
        </w:rPr>
        <w:t>made,</w:t>
      </w:r>
      <w:r>
        <w:rPr>
          <w:spacing w:val="35"/>
          <w:sz w:val="24"/>
        </w:rPr>
        <w:t> </w:t>
      </w:r>
      <w:r>
        <w:rPr>
          <w:sz w:val="24"/>
        </w:rPr>
        <w:t>incorrect</w:t>
      </w:r>
      <w:r>
        <w:rPr>
          <w:spacing w:val="39"/>
          <w:sz w:val="24"/>
        </w:rPr>
        <w:t> </w:t>
      </w:r>
      <w:r>
        <w:rPr>
          <w:sz w:val="24"/>
        </w:rPr>
        <w:t>accounts</w:t>
      </w:r>
      <w:r>
        <w:rPr>
          <w:spacing w:val="35"/>
          <w:sz w:val="24"/>
        </w:rPr>
        <w:t> </w:t>
      </w:r>
      <w:r>
        <w:rPr>
          <w:sz w:val="24"/>
        </w:rPr>
        <w:t>by</w:t>
      </w:r>
      <w:r>
        <w:rPr>
          <w:spacing w:val="40"/>
          <w:sz w:val="24"/>
        </w:rPr>
        <w:t> </w:t>
      </w:r>
      <w:r>
        <w:rPr>
          <w:sz w:val="24"/>
        </w:rPr>
        <w:t>omitting</w:t>
      </w:r>
      <w:r>
        <w:rPr>
          <w:spacing w:val="25"/>
          <w:sz w:val="24"/>
        </w:rPr>
        <w:t> </w:t>
      </w:r>
      <w:r>
        <w:rPr>
          <w:sz w:val="24"/>
        </w:rPr>
        <w:t>or</w:t>
      </w:r>
      <w:r>
        <w:rPr>
          <w:spacing w:val="26"/>
          <w:sz w:val="24"/>
        </w:rPr>
        <w:t> </w:t>
      </w:r>
      <w:r>
        <w:rPr>
          <w:sz w:val="24"/>
        </w:rPr>
        <w:t>understating</w:t>
      </w:r>
      <w:r>
        <w:rPr>
          <w:spacing w:val="25"/>
          <w:sz w:val="24"/>
        </w:rPr>
        <w:t> </w:t>
      </w:r>
      <w:r>
        <w:rPr>
          <w:sz w:val="24"/>
        </w:rPr>
        <w:t>any </w:t>
      </w:r>
      <w:r>
        <w:rPr>
          <w:spacing w:val="-2"/>
          <w:sz w:val="24"/>
        </w:rPr>
        <w:t>losses.</w:t>
      </w:r>
      <w:r>
        <w:rPr>
          <w:spacing w:val="-2"/>
          <w:sz w:val="24"/>
          <w:vertAlign w:val="superscript"/>
        </w:rPr>
        <w:t>9</w:t>
      </w:r>
    </w:p>
    <w:p>
      <w:pPr>
        <w:pStyle w:val="ListParagraph"/>
        <w:numPr>
          <w:ilvl w:val="0"/>
          <w:numId w:val="16"/>
        </w:numPr>
        <w:tabs>
          <w:tab w:pos="1079" w:val="left" w:leader="none"/>
        </w:tabs>
        <w:spacing w:line="240" w:lineRule="auto" w:before="0" w:after="0"/>
        <w:ind w:left="1079" w:right="0" w:hanging="719"/>
        <w:jc w:val="both"/>
        <w:rPr>
          <w:sz w:val="24"/>
        </w:rPr>
      </w:pPr>
      <w:r>
        <w:rPr>
          <w:sz w:val="24"/>
        </w:rPr>
        <w:t>Preparing</w:t>
      </w:r>
      <w:r>
        <w:rPr>
          <w:spacing w:val="47"/>
          <w:sz w:val="24"/>
        </w:rPr>
        <w:t>  </w:t>
      </w:r>
      <w:r>
        <w:rPr>
          <w:sz w:val="24"/>
        </w:rPr>
        <w:t>any</w:t>
      </w:r>
      <w:r>
        <w:rPr>
          <w:spacing w:val="45"/>
          <w:sz w:val="24"/>
        </w:rPr>
        <w:t>  </w:t>
      </w:r>
      <w:r>
        <w:rPr>
          <w:sz w:val="24"/>
        </w:rPr>
        <w:t>incorrect</w:t>
      </w:r>
      <w:r>
        <w:rPr>
          <w:spacing w:val="49"/>
          <w:sz w:val="24"/>
        </w:rPr>
        <w:t>  </w:t>
      </w:r>
      <w:r>
        <w:rPr>
          <w:sz w:val="24"/>
        </w:rPr>
        <w:t>schedule</w:t>
      </w:r>
      <w:r>
        <w:rPr>
          <w:spacing w:val="48"/>
          <w:sz w:val="24"/>
        </w:rPr>
        <w:t>  </w:t>
      </w:r>
      <w:r>
        <w:rPr>
          <w:sz w:val="24"/>
        </w:rPr>
        <w:t>by</w:t>
      </w:r>
      <w:r>
        <w:rPr>
          <w:spacing w:val="46"/>
          <w:sz w:val="24"/>
        </w:rPr>
        <w:t>  </w:t>
      </w:r>
      <w:r>
        <w:rPr>
          <w:sz w:val="24"/>
        </w:rPr>
        <w:t>overstating</w:t>
      </w:r>
      <w:r>
        <w:rPr>
          <w:spacing w:val="48"/>
          <w:sz w:val="24"/>
        </w:rPr>
        <w:t>  </w:t>
      </w:r>
      <w:r>
        <w:rPr>
          <w:sz w:val="24"/>
        </w:rPr>
        <w:t>any</w:t>
      </w:r>
      <w:r>
        <w:rPr>
          <w:spacing w:val="55"/>
          <w:sz w:val="24"/>
        </w:rPr>
        <w:t>  </w:t>
      </w:r>
      <w:r>
        <w:rPr>
          <w:spacing w:val="9"/>
          <w:sz w:val="24"/>
        </w:rPr>
        <w:t>expenditure</w:t>
      </w:r>
      <w:r>
        <w:rPr>
          <w:spacing w:val="51"/>
          <w:sz w:val="24"/>
        </w:rPr>
        <w:t>  </w:t>
      </w:r>
      <w:r>
        <w:rPr>
          <w:sz w:val="24"/>
        </w:rPr>
        <w:t>or</w:t>
      </w:r>
      <w:r>
        <w:rPr>
          <w:spacing w:val="51"/>
          <w:sz w:val="24"/>
        </w:rPr>
        <w:t>  </w:t>
      </w:r>
      <w:r>
        <w:rPr>
          <w:spacing w:val="-5"/>
          <w:sz w:val="24"/>
        </w:rPr>
        <w:t>by</w:t>
      </w:r>
    </w:p>
    <w:p>
      <w:pPr>
        <w:pStyle w:val="BodyText"/>
        <w:rPr>
          <w:sz w:val="20"/>
        </w:rPr>
      </w:pPr>
    </w:p>
    <w:p>
      <w:pPr>
        <w:pStyle w:val="BodyText"/>
        <w:spacing w:before="33"/>
        <w:rPr>
          <w:sz w:val="20"/>
        </w:rPr>
      </w:pPr>
      <w:r>
        <w:rPr/>
        <mc:AlternateContent>
          <mc:Choice Requires="wps">
            <w:drawing>
              <wp:anchor distT="0" distB="0" distL="0" distR="0" allowOverlap="1" layoutInCell="1" locked="0" behindDoc="1" simplePos="0" relativeHeight="487614464">
                <wp:simplePos x="0" y="0"/>
                <wp:positionH relativeFrom="page">
                  <wp:posOffset>914704</wp:posOffset>
                </wp:positionH>
                <wp:positionV relativeFrom="paragraph">
                  <wp:posOffset>182486</wp:posOffset>
                </wp:positionV>
                <wp:extent cx="1829435" cy="9525"/>
                <wp:effectExtent l="0" t="0" r="0" b="0"/>
                <wp:wrapTopAndBottom/>
                <wp:docPr id="57" name="Graphic 57"/>
                <wp:cNvGraphicFramePr>
                  <a:graphicFrameLocks/>
                </wp:cNvGraphicFramePr>
                <a:graphic>
                  <a:graphicData uri="http://schemas.microsoft.com/office/word/2010/wordprocessingShape">
                    <wps:wsp>
                      <wps:cNvPr id="57" name="Graphic 57"/>
                      <wps:cNvSpPr/>
                      <wps:spPr>
                        <a:xfrm>
                          <a:off x="0" y="0"/>
                          <a:ext cx="1829435" cy="9525"/>
                        </a:xfrm>
                        <a:custGeom>
                          <a:avLst/>
                          <a:gdLst/>
                          <a:ahLst/>
                          <a:cxnLst/>
                          <a:rect l="l" t="t" r="r" b="b"/>
                          <a:pathLst>
                            <a:path w="1829435" h="9525">
                              <a:moveTo>
                                <a:pt x="1829054" y="0"/>
                              </a:moveTo>
                              <a:lnTo>
                                <a:pt x="0" y="0"/>
                              </a:lnTo>
                              <a:lnTo>
                                <a:pt x="0" y="9143"/>
                              </a:lnTo>
                              <a:lnTo>
                                <a:pt x="1829054" y="9143"/>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14.369054pt;width:144.020pt;height:.71997pt;mso-position-horizontal-relative:page;mso-position-vertical-relative:paragraph;z-index:-15702016;mso-wrap-distance-left:0;mso-wrap-distance-right:0" id="docshape57" filled="true" fillcolor="#000000" stroked="false">
                <v:fill type="solid"/>
                <w10:wrap type="topAndBottom"/>
              </v:rect>
            </w:pict>
          </mc:Fallback>
        </mc:AlternateContent>
      </w:r>
    </w:p>
    <w:p>
      <w:pPr>
        <w:spacing w:before="100"/>
        <w:ind w:left="360" w:right="0" w:firstLine="0"/>
        <w:jc w:val="left"/>
        <w:rPr>
          <w:rFonts w:ascii="Calibri"/>
          <w:sz w:val="20"/>
        </w:rPr>
      </w:pPr>
      <w:r>
        <w:rPr>
          <w:rFonts w:ascii="Calibri"/>
          <w:sz w:val="20"/>
          <w:vertAlign w:val="superscript"/>
        </w:rPr>
        <w:t>4</w:t>
      </w:r>
      <w:r>
        <w:rPr>
          <w:rFonts w:ascii="Calibri"/>
          <w:spacing w:val="-4"/>
          <w:sz w:val="20"/>
          <w:vertAlign w:val="baseline"/>
        </w:rPr>
        <w:t> </w:t>
      </w:r>
      <w:r>
        <w:rPr>
          <w:rFonts w:ascii="Calibri"/>
          <w:sz w:val="20"/>
          <w:vertAlign w:val="baseline"/>
        </w:rPr>
        <w:t>Ayua,</w:t>
      </w:r>
      <w:r>
        <w:rPr>
          <w:rFonts w:ascii="Calibri"/>
          <w:spacing w:val="-3"/>
          <w:sz w:val="20"/>
          <w:vertAlign w:val="baseline"/>
        </w:rPr>
        <w:t> </w:t>
      </w:r>
      <w:r>
        <w:rPr>
          <w:rFonts w:ascii="Calibri"/>
          <w:sz w:val="20"/>
          <w:vertAlign w:val="baseline"/>
        </w:rPr>
        <w:t>I.</w:t>
      </w:r>
      <w:r>
        <w:rPr>
          <w:rFonts w:ascii="Calibri"/>
          <w:spacing w:val="-2"/>
          <w:sz w:val="20"/>
          <w:vertAlign w:val="baseline"/>
        </w:rPr>
        <w:t> </w:t>
      </w:r>
      <w:r>
        <w:rPr>
          <w:rFonts w:ascii="Calibri"/>
          <w:sz w:val="20"/>
          <w:vertAlign w:val="baseline"/>
        </w:rPr>
        <w:t>A.</w:t>
      </w:r>
      <w:r>
        <w:rPr>
          <w:rFonts w:ascii="Calibri"/>
          <w:spacing w:val="-3"/>
          <w:sz w:val="20"/>
          <w:vertAlign w:val="baseline"/>
        </w:rPr>
        <w:t> </w:t>
      </w:r>
      <w:r>
        <w:rPr>
          <w:rFonts w:ascii="Calibri"/>
          <w:sz w:val="20"/>
          <w:vertAlign w:val="baseline"/>
        </w:rPr>
        <w:t>Op.</w:t>
      </w:r>
      <w:r>
        <w:rPr>
          <w:rFonts w:ascii="Calibri"/>
          <w:spacing w:val="-2"/>
          <w:sz w:val="20"/>
          <w:vertAlign w:val="baseline"/>
        </w:rPr>
        <w:t> </w:t>
      </w:r>
      <w:r>
        <w:rPr>
          <w:rFonts w:ascii="Calibri"/>
          <w:spacing w:val="-4"/>
          <w:sz w:val="20"/>
          <w:vertAlign w:val="baseline"/>
        </w:rPr>
        <w:t>Cit,</w:t>
      </w:r>
    </w:p>
    <w:p>
      <w:pPr>
        <w:spacing w:before="1"/>
        <w:ind w:left="360" w:right="0" w:firstLine="0"/>
        <w:jc w:val="left"/>
        <w:rPr>
          <w:rFonts w:ascii="Calibri"/>
          <w:sz w:val="20"/>
        </w:rPr>
      </w:pPr>
      <w:r>
        <w:rPr>
          <w:rFonts w:ascii="Calibri"/>
          <w:sz w:val="20"/>
          <w:vertAlign w:val="superscript"/>
        </w:rPr>
        <w:t>5</w:t>
      </w:r>
      <w:r>
        <w:rPr>
          <w:rFonts w:ascii="Calibri"/>
          <w:spacing w:val="-5"/>
          <w:sz w:val="20"/>
          <w:vertAlign w:val="baseline"/>
        </w:rPr>
        <w:t> </w:t>
      </w:r>
      <w:r>
        <w:rPr>
          <w:rFonts w:ascii="Calibri"/>
          <w:sz w:val="20"/>
          <w:vertAlign w:val="baseline"/>
        </w:rPr>
        <w:t>Section</w:t>
      </w:r>
      <w:r>
        <w:rPr>
          <w:rFonts w:ascii="Calibri"/>
          <w:spacing w:val="-4"/>
          <w:sz w:val="20"/>
          <w:vertAlign w:val="baseline"/>
        </w:rPr>
        <w:t> </w:t>
      </w:r>
      <w:r>
        <w:rPr>
          <w:rFonts w:ascii="Calibri"/>
          <w:sz w:val="20"/>
          <w:vertAlign w:val="baseline"/>
        </w:rPr>
        <w:t>51</w:t>
      </w:r>
      <w:r>
        <w:rPr>
          <w:rFonts w:ascii="Calibri"/>
          <w:spacing w:val="-3"/>
          <w:sz w:val="20"/>
          <w:vertAlign w:val="baseline"/>
        </w:rPr>
        <w:t> </w:t>
      </w:r>
      <w:r>
        <w:rPr>
          <w:rFonts w:ascii="Calibri"/>
          <w:sz w:val="20"/>
          <w:vertAlign w:val="baseline"/>
        </w:rPr>
        <w:t>(2)</w:t>
      </w:r>
      <w:r>
        <w:rPr>
          <w:rFonts w:ascii="Calibri"/>
          <w:spacing w:val="-5"/>
          <w:sz w:val="20"/>
          <w:vertAlign w:val="baseline"/>
        </w:rPr>
        <w:t> </w:t>
      </w:r>
      <w:r>
        <w:rPr>
          <w:rFonts w:ascii="Calibri"/>
          <w:sz w:val="20"/>
          <w:vertAlign w:val="baseline"/>
        </w:rPr>
        <w:t>(a)</w:t>
      </w:r>
      <w:r>
        <w:rPr>
          <w:rFonts w:ascii="Calibri"/>
          <w:spacing w:val="-4"/>
          <w:sz w:val="20"/>
          <w:vertAlign w:val="baseline"/>
        </w:rPr>
        <w:t> PPTA</w:t>
      </w:r>
    </w:p>
    <w:p>
      <w:pPr>
        <w:spacing w:before="0"/>
        <w:ind w:left="360" w:right="0" w:firstLine="0"/>
        <w:jc w:val="left"/>
        <w:rPr>
          <w:rFonts w:ascii="Calibri"/>
          <w:sz w:val="20"/>
        </w:rPr>
      </w:pPr>
      <w:r>
        <w:rPr>
          <w:rFonts w:ascii="Calibri"/>
          <w:sz w:val="20"/>
          <w:vertAlign w:val="superscript"/>
        </w:rPr>
        <w:t>6</w:t>
      </w:r>
      <w:r>
        <w:rPr>
          <w:rFonts w:ascii="Calibri"/>
          <w:spacing w:val="-5"/>
          <w:sz w:val="20"/>
          <w:vertAlign w:val="baseline"/>
        </w:rPr>
        <w:t> </w:t>
      </w:r>
      <w:r>
        <w:rPr>
          <w:rFonts w:ascii="Calibri"/>
          <w:sz w:val="20"/>
          <w:vertAlign w:val="baseline"/>
        </w:rPr>
        <w:t>Section</w:t>
      </w:r>
      <w:r>
        <w:rPr>
          <w:rFonts w:ascii="Calibri"/>
          <w:spacing w:val="-3"/>
          <w:sz w:val="20"/>
          <w:vertAlign w:val="baseline"/>
        </w:rPr>
        <w:t> </w:t>
      </w:r>
      <w:r>
        <w:rPr>
          <w:rFonts w:ascii="Calibri"/>
          <w:sz w:val="20"/>
          <w:vertAlign w:val="baseline"/>
        </w:rPr>
        <w:t>51</w:t>
      </w:r>
      <w:r>
        <w:rPr>
          <w:rFonts w:ascii="Calibri"/>
          <w:spacing w:val="-4"/>
          <w:sz w:val="20"/>
          <w:vertAlign w:val="baseline"/>
        </w:rPr>
        <w:t> </w:t>
      </w:r>
      <w:r>
        <w:rPr>
          <w:rFonts w:ascii="Calibri"/>
          <w:sz w:val="20"/>
          <w:vertAlign w:val="baseline"/>
        </w:rPr>
        <w:t>(2)</w:t>
      </w:r>
      <w:r>
        <w:rPr>
          <w:rFonts w:ascii="Calibri"/>
          <w:spacing w:val="-4"/>
          <w:sz w:val="20"/>
          <w:vertAlign w:val="baseline"/>
        </w:rPr>
        <w:t> </w:t>
      </w:r>
      <w:r>
        <w:rPr>
          <w:rFonts w:ascii="Calibri"/>
          <w:sz w:val="20"/>
          <w:vertAlign w:val="baseline"/>
        </w:rPr>
        <w:t>(b)</w:t>
      </w:r>
      <w:r>
        <w:rPr>
          <w:rFonts w:ascii="Calibri"/>
          <w:spacing w:val="-3"/>
          <w:sz w:val="20"/>
          <w:vertAlign w:val="baseline"/>
        </w:rPr>
        <w:t> </w:t>
      </w:r>
      <w:r>
        <w:rPr>
          <w:rFonts w:ascii="Calibri"/>
          <w:spacing w:val="-4"/>
          <w:sz w:val="20"/>
          <w:vertAlign w:val="baseline"/>
        </w:rPr>
        <w:t>Ibid</w:t>
      </w:r>
    </w:p>
    <w:p>
      <w:pPr>
        <w:spacing w:line="243" w:lineRule="exact" w:before="1"/>
        <w:ind w:left="360" w:right="0" w:firstLine="0"/>
        <w:jc w:val="left"/>
        <w:rPr>
          <w:rFonts w:ascii="Calibri"/>
          <w:sz w:val="20"/>
        </w:rPr>
      </w:pPr>
      <w:r>
        <w:rPr>
          <w:rFonts w:ascii="Calibri"/>
          <w:sz w:val="20"/>
          <w:vertAlign w:val="superscript"/>
        </w:rPr>
        <w:t>7</w:t>
      </w:r>
      <w:r>
        <w:rPr>
          <w:rFonts w:ascii="Calibri"/>
          <w:spacing w:val="-5"/>
          <w:sz w:val="20"/>
          <w:vertAlign w:val="baseline"/>
        </w:rPr>
        <w:t> </w:t>
      </w:r>
      <w:r>
        <w:rPr>
          <w:rFonts w:ascii="Calibri"/>
          <w:sz w:val="20"/>
          <w:vertAlign w:val="baseline"/>
        </w:rPr>
        <w:t>Section</w:t>
      </w:r>
      <w:r>
        <w:rPr>
          <w:rFonts w:ascii="Calibri"/>
          <w:spacing w:val="-4"/>
          <w:sz w:val="20"/>
          <w:vertAlign w:val="baseline"/>
        </w:rPr>
        <w:t> </w:t>
      </w:r>
      <w:r>
        <w:rPr>
          <w:rFonts w:ascii="Calibri"/>
          <w:sz w:val="20"/>
          <w:vertAlign w:val="baseline"/>
        </w:rPr>
        <w:t>51</w:t>
      </w:r>
      <w:r>
        <w:rPr>
          <w:rFonts w:ascii="Calibri"/>
          <w:spacing w:val="-3"/>
          <w:sz w:val="20"/>
          <w:vertAlign w:val="baseline"/>
        </w:rPr>
        <w:t> </w:t>
      </w:r>
      <w:r>
        <w:rPr>
          <w:rFonts w:ascii="Calibri"/>
          <w:sz w:val="20"/>
          <w:vertAlign w:val="baseline"/>
        </w:rPr>
        <w:t>(2)</w:t>
      </w:r>
      <w:r>
        <w:rPr>
          <w:rFonts w:ascii="Calibri"/>
          <w:spacing w:val="-5"/>
          <w:sz w:val="20"/>
          <w:vertAlign w:val="baseline"/>
        </w:rPr>
        <w:t> </w:t>
      </w:r>
      <w:r>
        <w:rPr>
          <w:rFonts w:ascii="Calibri"/>
          <w:sz w:val="20"/>
          <w:vertAlign w:val="baseline"/>
        </w:rPr>
        <w:t>(c)</w:t>
      </w:r>
      <w:r>
        <w:rPr>
          <w:rFonts w:ascii="Calibri"/>
          <w:spacing w:val="-3"/>
          <w:sz w:val="20"/>
          <w:vertAlign w:val="baseline"/>
        </w:rPr>
        <w:t> </w:t>
      </w:r>
      <w:r>
        <w:rPr>
          <w:rFonts w:ascii="Calibri"/>
          <w:spacing w:val="-4"/>
          <w:sz w:val="20"/>
          <w:vertAlign w:val="baseline"/>
        </w:rPr>
        <w:t>Ibid</w:t>
      </w:r>
    </w:p>
    <w:p>
      <w:pPr>
        <w:spacing w:line="243" w:lineRule="exact" w:before="0"/>
        <w:ind w:left="360" w:right="0" w:firstLine="0"/>
        <w:jc w:val="left"/>
        <w:rPr>
          <w:rFonts w:ascii="Calibri"/>
          <w:sz w:val="20"/>
        </w:rPr>
      </w:pPr>
      <w:r>
        <w:rPr>
          <w:rFonts w:ascii="Calibri"/>
          <w:sz w:val="20"/>
          <w:vertAlign w:val="superscript"/>
        </w:rPr>
        <w:t>8</w:t>
      </w:r>
      <w:r>
        <w:rPr>
          <w:rFonts w:ascii="Calibri"/>
          <w:spacing w:val="-5"/>
          <w:sz w:val="20"/>
          <w:vertAlign w:val="baseline"/>
        </w:rPr>
        <w:t> </w:t>
      </w:r>
      <w:r>
        <w:rPr>
          <w:rFonts w:ascii="Calibri"/>
          <w:sz w:val="20"/>
          <w:vertAlign w:val="baseline"/>
        </w:rPr>
        <w:t>Section</w:t>
      </w:r>
      <w:r>
        <w:rPr>
          <w:rFonts w:ascii="Calibri"/>
          <w:spacing w:val="-3"/>
          <w:sz w:val="20"/>
          <w:vertAlign w:val="baseline"/>
        </w:rPr>
        <w:t> </w:t>
      </w:r>
      <w:r>
        <w:rPr>
          <w:rFonts w:ascii="Calibri"/>
          <w:sz w:val="20"/>
          <w:vertAlign w:val="baseline"/>
        </w:rPr>
        <w:t>51</w:t>
      </w:r>
      <w:r>
        <w:rPr>
          <w:rFonts w:ascii="Calibri"/>
          <w:spacing w:val="-4"/>
          <w:sz w:val="20"/>
          <w:vertAlign w:val="baseline"/>
        </w:rPr>
        <w:t> </w:t>
      </w:r>
      <w:r>
        <w:rPr>
          <w:rFonts w:ascii="Calibri"/>
          <w:sz w:val="20"/>
          <w:vertAlign w:val="baseline"/>
        </w:rPr>
        <w:t>(2)</w:t>
      </w:r>
      <w:r>
        <w:rPr>
          <w:rFonts w:ascii="Calibri"/>
          <w:spacing w:val="-4"/>
          <w:sz w:val="20"/>
          <w:vertAlign w:val="baseline"/>
        </w:rPr>
        <w:t> </w:t>
      </w:r>
      <w:r>
        <w:rPr>
          <w:rFonts w:ascii="Calibri"/>
          <w:sz w:val="20"/>
          <w:vertAlign w:val="baseline"/>
        </w:rPr>
        <w:t>(d)</w:t>
      </w:r>
      <w:r>
        <w:rPr>
          <w:rFonts w:ascii="Calibri"/>
          <w:spacing w:val="-3"/>
          <w:sz w:val="20"/>
          <w:vertAlign w:val="baseline"/>
        </w:rPr>
        <w:t> </w:t>
      </w:r>
      <w:r>
        <w:rPr>
          <w:rFonts w:ascii="Calibri"/>
          <w:spacing w:val="-4"/>
          <w:sz w:val="20"/>
          <w:vertAlign w:val="baseline"/>
        </w:rPr>
        <w:t>Ibid</w:t>
      </w:r>
    </w:p>
    <w:p>
      <w:pPr>
        <w:spacing w:before="1"/>
        <w:ind w:left="360" w:right="0" w:firstLine="0"/>
        <w:jc w:val="left"/>
        <w:rPr>
          <w:rFonts w:ascii="Calibri"/>
          <w:sz w:val="20"/>
        </w:rPr>
      </w:pPr>
      <w:r>
        <w:rPr>
          <w:rFonts w:ascii="Calibri"/>
          <w:sz w:val="20"/>
          <w:vertAlign w:val="superscript"/>
        </w:rPr>
        <w:t>9</w:t>
      </w:r>
      <w:r>
        <w:rPr>
          <w:rFonts w:ascii="Calibri"/>
          <w:spacing w:val="-5"/>
          <w:sz w:val="20"/>
          <w:vertAlign w:val="baseline"/>
        </w:rPr>
        <w:t> </w:t>
      </w:r>
      <w:r>
        <w:rPr>
          <w:rFonts w:ascii="Calibri"/>
          <w:sz w:val="20"/>
          <w:vertAlign w:val="baseline"/>
        </w:rPr>
        <w:t>Section</w:t>
      </w:r>
      <w:r>
        <w:rPr>
          <w:rFonts w:ascii="Calibri"/>
          <w:spacing w:val="-4"/>
          <w:sz w:val="20"/>
          <w:vertAlign w:val="baseline"/>
        </w:rPr>
        <w:t> </w:t>
      </w:r>
      <w:r>
        <w:rPr>
          <w:rFonts w:ascii="Calibri"/>
          <w:sz w:val="20"/>
          <w:vertAlign w:val="baseline"/>
        </w:rPr>
        <w:t>52</w:t>
      </w:r>
      <w:r>
        <w:rPr>
          <w:rFonts w:ascii="Calibri"/>
          <w:spacing w:val="-3"/>
          <w:sz w:val="20"/>
          <w:vertAlign w:val="baseline"/>
        </w:rPr>
        <w:t> </w:t>
      </w:r>
      <w:r>
        <w:rPr>
          <w:rFonts w:ascii="Calibri"/>
          <w:sz w:val="20"/>
          <w:vertAlign w:val="baseline"/>
        </w:rPr>
        <w:t>(1)</w:t>
      </w:r>
      <w:r>
        <w:rPr>
          <w:rFonts w:ascii="Calibri"/>
          <w:spacing w:val="-5"/>
          <w:sz w:val="20"/>
          <w:vertAlign w:val="baseline"/>
        </w:rPr>
        <w:t> </w:t>
      </w:r>
      <w:r>
        <w:rPr>
          <w:rFonts w:ascii="Calibri"/>
          <w:sz w:val="20"/>
          <w:vertAlign w:val="baseline"/>
        </w:rPr>
        <w:t>(a)</w:t>
      </w:r>
      <w:r>
        <w:rPr>
          <w:rFonts w:ascii="Calibri"/>
          <w:spacing w:val="-3"/>
          <w:sz w:val="20"/>
          <w:vertAlign w:val="baseline"/>
        </w:rPr>
        <w:t> </w:t>
      </w:r>
      <w:r>
        <w:rPr>
          <w:rFonts w:ascii="Calibri"/>
          <w:spacing w:val="-4"/>
          <w:sz w:val="20"/>
          <w:vertAlign w:val="baseline"/>
        </w:rPr>
        <w:t>Ibid</w:t>
      </w:r>
    </w:p>
    <w:p>
      <w:pPr>
        <w:spacing w:after="0"/>
        <w:jc w:val="left"/>
        <w:rPr>
          <w:rFonts w:ascii="Calibri"/>
          <w:sz w:val="20"/>
        </w:rPr>
        <w:sectPr>
          <w:pgSz w:w="11910" w:h="16840"/>
          <w:pgMar w:header="0" w:footer="1000" w:top="1340" w:bottom="1200" w:left="1080" w:right="1280"/>
        </w:sectPr>
      </w:pPr>
    </w:p>
    <w:p>
      <w:pPr>
        <w:pStyle w:val="BodyText"/>
        <w:spacing w:line="480" w:lineRule="auto" w:before="74"/>
        <w:ind w:left="1080" w:right="173"/>
        <w:jc w:val="both"/>
      </w:pPr>
      <w:r>
        <w:rPr>
          <w:spacing w:val="9"/>
        </w:rPr>
        <w:t>overstating</w:t>
      </w:r>
      <w:r>
        <w:rPr>
          <w:spacing w:val="40"/>
        </w:rPr>
        <w:t> </w:t>
      </w:r>
      <w:r>
        <w:rPr/>
        <w:t>any</w:t>
      </w:r>
      <w:r>
        <w:rPr>
          <w:spacing w:val="9"/>
        </w:rPr>
        <w:t> royalties</w:t>
      </w:r>
      <w:r>
        <w:rPr>
          <w:spacing w:val="40"/>
        </w:rPr>
        <w:t> </w:t>
      </w:r>
      <w:r>
        <w:rPr/>
        <w:t>or</w:t>
      </w:r>
      <w:r>
        <w:rPr>
          <w:spacing w:val="40"/>
        </w:rPr>
        <w:t> </w:t>
      </w:r>
      <w:r>
        <w:rPr/>
        <w:t>other</w:t>
      </w:r>
      <w:r>
        <w:rPr>
          <w:spacing w:val="40"/>
        </w:rPr>
        <w:t> </w:t>
      </w:r>
      <w:r>
        <w:rPr/>
        <w:t>sums</w:t>
      </w:r>
      <w:r>
        <w:rPr>
          <w:spacing w:val="40"/>
        </w:rPr>
        <w:t> </w:t>
      </w:r>
      <w:r>
        <w:rPr/>
        <w:t>or</w:t>
      </w:r>
      <w:r>
        <w:rPr>
          <w:spacing w:val="40"/>
        </w:rPr>
        <w:t> </w:t>
      </w:r>
      <w:r>
        <w:rPr/>
        <w:t>by</w:t>
      </w:r>
      <w:r>
        <w:rPr>
          <w:spacing w:val="40"/>
        </w:rPr>
        <w:t> </w:t>
      </w:r>
      <w:r>
        <w:rPr/>
        <w:t>omitting</w:t>
      </w:r>
      <w:r>
        <w:rPr>
          <w:spacing w:val="40"/>
        </w:rPr>
        <w:t> </w:t>
      </w:r>
      <w:r>
        <w:rPr/>
        <w:t>or</w:t>
      </w:r>
      <w:r>
        <w:rPr>
          <w:spacing w:val="40"/>
        </w:rPr>
        <w:t> </w:t>
      </w:r>
      <w:r>
        <w:rPr/>
        <w:t>understating</w:t>
      </w:r>
      <w:r>
        <w:rPr>
          <w:spacing w:val="40"/>
        </w:rPr>
        <w:t> </w:t>
      </w:r>
      <w:r>
        <w:rPr/>
        <w:t>any amounts repaid, refunded, waived, or released.</w:t>
      </w:r>
      <w:r>
        <w:rPr>
          <w:vertAlign w:val="superscript"/>
        </w:rPr>
        <w:t>10</w:t>
      </w:r>
    </w:p>
    <w:p>
      <w:pPr>
        <w:pStyle w:val="ListParagraph"/>
        <w:numPr>
          <w:ilvl w:val="0"/>
          <w:numId w:val="16"/>
        </w:numPr>
        <w:tabs>
          <w:tab w:pos="1078" w:val="left" w:leader="none"/>
          <w:tab w:pos="1080" w:val="left" w:leader="none"/>
        </w:tabs>
        <w:spacing w:line="480" w:lineRule="auto" w:before="0" w:after="0"/>
        <w:ind w:left="1080" w:right="175" w:hanging="720"/>
        <w:jc w:val="both"/>
        <w:rPr>
          <w:sz w:val="24"/>
        </w:rPr>
      </w:pPr>
      <w:r>
        <w:rPr>
          <w:spacing w:val="19"/>
          <w:sz w:val="24"/>
        </w:rPr>
        <w:t>Giving</w:t>
      </w:r>
      <w:r>
        <w:rPr>
          <w:spacing w:val="80"/>
          <w:sz w:val="24"/>
        </w:rPr>
        <w:t> </w:t>
      </w:r>
      <w:r>
        <w:rPr>
          <w:spacing w:val="11"/>
          <w:sz w:val="24"/>
        </w:rPr>
        <w:t>or</w:t>
      </w:r>
      <w:r>
        <w:rPr>
          <w:spacing w:val="80"/>
          <w:sz w:val="24"/>
        </w:rPr>
        <w:t> </w:t>
      </w:r>
      <w:r>
        <w:rPr>
          <w:spacing w:val="19"/>
          <w:sz w:val="24"/>
        </w:rPr>
        <w:t>causing</w:t>
      </w:r>
      <w:r>
        <w:rPr>
          <w:spacing w:val="80"/>
          <w:sz w:val="24"/>
        </w:rPr>
        <w:t> </w:t>
      </w:r>
      <w:r>
        <w:rPr>
          <w:spacing w:val="10"/>
          <w:sz w:val="24"/>
        </w:rPr>
        <w:t>to</w:t>
      </w:r>
      <w:r>
        <w:rPr>
          <w:spacing w:val="80"/>
          <w:sz w:val="24"/>
        </w:rPr>
        <w:t> </w:t>
      </w:r>
      <w:r>
        <w:rPr>
          <w:spacing w:val="11"/>
          <w:sz w:val="24"/>
        </w:rPr>
        <w:t>be</w:t>
      </w:r>
      <w:r>
        <w:rPr>
          <w:spacing w:val="80"/>
          <w:sz w:val="24"/>
        </w:rPr>
        <w:t> </w:t>
      </w:r>
      <w:r>
        <w:rPr>
          <w:spacing w:val="17"/>
          <w:sz w:val="24"/>
        </w:rPr>
        <w:t>given</w:t>
      </w:r>
      <w:r>
        <w:rPr>
          <w:spacing w:val="80"/>
          <w:sz w:val="24"/>
        </w:rPr>
        <w:t> </w:t>
      </w:r>
      <w:r>
        <w:rPr>
          <w:spacing w:val="15"/>
          <w:sz w:val="24"/>
        </w:rPr>
        <w:t>any</w:t>
      </w:r>
      <w:r>
        <w:rPr>
          <w:spacing w:val="80"/>
          <w:sz w:val="24"/>
        </w:rPr>
        <w:t> </w:t>
      </w:r>
      <w:r>
        <w:rPr>
          <w:spacing w:val="20"/>
          <w:sz w:val="24"/>
        </w:rPr>
        <w:t>incorrect</w:t>
      </w:r>
      <w:r>
        <w:rPr>
          <w:spacing w:val="80"/>
          <w:sz w:val="24"/>
        </w:rPr>
        <w:t> </w:t>
      </w:r>
      <w:r>
        <w:rPr>
          <w:sz w:val="24"/>
        </w:rPr>
        <w:t>information</w:t>
      </w:r>
      <w:r>
        <w:rPr>
          <w:spacing w:val="40"/>
          <w:sz w:val="24"/>
        </w:rPr>
        <w:t> </w:t>
      </w:r>
      <w:r>
        <w:rPr>
          <w:sz w:val="24"/>
        </w:rPr>
        <w:t>in</w:t>
      </w:r>
      <w:r>
        <w:rPr>
          <w:spacing w:val="40"/>
          <w:sz w:val="24"/>
        </w:rPr>
        <w:t> </w:t>
      </w:r>
      <w:r>
        <w:rPr>
          <w:sz w:val="24"/>
        </w:rPr>
        <w:t>relation</w:t>
      </w:r>
      <w:r>
        <w:rPr>
          <w:spacing w:val="40"/>
          <w:sz w:val="24"/>
        </w:rPr>
        <w:t> </w:t>
      </w:r>
      <w:r>
        <w:rPr>
          <w:sz w:val="24"/>
        </w:rPr>
        <w:t>to any</w:t>
      </w:r>
      <w:r>
        <w:rPr>
          <w:spacing w:val="40"/>
          <w:sz w:val="24"/>
        </w:rPr>
        <w:t> </w:t>
      </w:r>
      <w:r>
        <w:rPr>
          <w:sz w:val="24"/>
        </w:rPr>
        <w:t>matter</w:t>
      </w:r>
      <w:r>
        <w:rPr>
          <w:spacing w:val="40"/>
          <w:sz w:val="24"/>
        </w:rPr>
        <w:t> </w:t>
      </w:r>
      <w:r>
        <w:rPr>
          <w:sz w:val="24"/>
        </w:rPr>
        <w:t>affecting</w:t>
      </w:r>
      <w:r>
        <w:rPr>
          <w:spacing w:val="40"/>
          <w:sz w:val="24"/>
        </w:rPr>
        <w:t> </w:t>
      </w:r>
      <w:r>
        <w:rPr>
          <w:sz w:val="24"/>
        </w:rPr>
        <w:t>a</w:t>
      </w:r>
      <w:r>
        <w:rPr>
          <w:spacing w:val="40"/>
          <w:sz w:val="24"/>
        </w:rPr>
        <w:t> </w:t>
      </w:r>
      <w:r>
        <w:rPr>
          <w:sz w:val="24"/>
        </w:rPr>
        <w:t>person's tax or liability to tax.</w:t>
      </w:r>
    </w:p>
    <w:p>
      <w:pPr>
        <w:pStyle w:val="ListParagraph"/>
        <w:numPr>
          <w:ilvl w:val="0"/>
          <w:numId w:val="16"/>
        </w:numPr>
        <w:tabs>
          <w:tab w:pos="1080" w:val="left" w:leader="none"/>
        </w:tabs>
        <w:spacing w:line="480" w:lineRule="auto" w:before="0" w:after="0"/>
        <w:ind w:left="1080" w:right="162" w:hanging="720"/>
        <w:jc w:val="both"/>
        <w:rPr>
          <w:sz w:val="24"/>
        </w:rPr>
      </w:pPr>
      <w:r>
        <w:rPr>
          <w:sz w:val="24"/>
        </w:rPr>
        <w:t>In order to obtain any deduction, making any false return, account, particulars or statement with reference to tax or false representation or forges or fraudulently leads or allows to be used by any by any other person any receipt or token evidencing payment of tax under the Act.</w:t>
      </w:r>
    </w:p>
    <w:p>
      <w:pPr>
        <w:pStyle w:val="ListParagraph"/>
        <w:numPr>
          <w:ilvl w:val="0"/>
          <w:numId w:val="16"/>
        </w:numPr>
        <w:tabs>
          <w:tab w:pos="1078" w:val="left" w:leader="none"/>
        </w:tabs>
        <w:spacing w:line="240" w:lineRule="auto" w:before="1" w:after="0"/>
        <w:ind w:left="1078" w:right="0" w:hanging="718"/>
        <w:jc w:val="both"/>
        <w:rPr>
          <w:sz w:val="24"/>
        </w:rPr>
      </w:pPr>
      <w:r>
        <w:rPr>
          <w:sz w:val="24"/>
        </w:rPr>
        <w:t>Aiding,</w:t>
      </w:r>
      <w:r>
        <w:rPr>
          <w:spacing w:val="-8"/>
          <w:sz w:val="24"/>
        </w:rPr>
        <w:t> </w:t>
      </w:r>
      <w:r>
        <w:rPr>
          <w:sz w:val="24"/>
        </w:rPr>
        <w:t>abetting,</w:t>
      </w:r>
      <w:r>
        <w:rPr>
          <w:spacing w:val="-7"/>
          <w:sz w:val="24"/>
        </w:rPr>
        <w:t> </w:t>
      </w:r>
      <w:r>
        <w:rPr>
          <w:sz w:val="24"/>
        </w:rPr>
        <w:t>assisting,</w:t>
      </w:r>
      <w:r>
        <w:rPr>
          <w:spacing w:val="-4"/>
          <w:sz w:val="24"/>
        </w:rPr>
        <w:t> </w:t>
      </w:r>
      <w:r>
        <w:rPr>
          <w:sz w:val="24"/>
        </w:rPr>
        <w:t>counseling,</w:t>
      </w:r>
      <w:r>
        <w:rPr>
          <w:spacing w:val="-7"/>
          <w:sz w:val="24"/>
        </w:rPr>
        <w:t> </w:t>
      </w:r>
      <w:r>
        <w:rPr>
          <w:sz w:val="24"/>
        </w:rPr>
        <w:t>inciting</w:t>
      </w:r>
      <w:r>
        <w:rPr>
          <w:spacing w:val="-9"/>
          <w:sz w:val="24"/>
        </w:rPr>
        <w:t> </w:t>
      </w:r>
      <w:r>
        <w:rPr>
          <w:sz w:val="24"/>
        </w:rPr>
        <w:t>or</w:t>
      </w:r>
      <w:r>
        <w:rPr>
          <w:spacing w:val="-6"/>
          <w:sz w:val="24"/>
        </w:rPr>
        <w:t> </w:t>
      </w:r>
      <w:r>
        <w:rPr>
          <w:sz w:val="24"/>
        </w:rPr>
        <w:t>inducing</w:t>
      </w:r>
      <w:r>
        <w:rPr>
          <w:spacing w:val="-7"/>
          <w:sz w:val="24"/>
        </w:rPr>
        <w:t> </w:t>
      </w:r>
      <w:r>
        <w:rPr>
          <w:sz w:val="24"/>
        </w:rPr>
        <w:t>any</w:t>
      </w:r>
      <w:r>
        <w:rPr>
          <w:spacing w:val="-9"/>
          <w:sz w:val="24"/>
        </w:rPr>
        <w:t> </w:t>
      </w:r>
      <w:r>
        <w:rPr>
          <w:sz w:val="24"/>
        </w:rPr>
        <w:t>other</w:t>
      </w:r>
      <w:r>
        <w:rPr>
          <w:spacing w:val="-4"/>
          <w:sz w:val="24"/>
        </w:rPr>
        <w:t> </w:t>
      </w:r>
      <w:r>
        <w:rPr>
          <w:sz w:val="24"/>
        </w:rPr>
        <w:t>person</w:t>
      </w:r>
      <w:r>
        <w:rPr>
          <w:spacing w:val="-4"/>
          <w:sz w:val="24"/>
        </w:rPr>
        <w:t> </w:t>
      </w:r>
      <w:r>
        <w:rPr>
          <w:spacing w:val="-5"/>
          <w:sz w:val="24"/>
        </w:rPr>
        <w:t>to:</w:t>
      </w:r>
    </w:p>
    <w:p>
      <w:pPr>
        <w:pStyle w:val="ListParagraph"/>
        <w:numPr>
          <w:ilvl w:val="1"/>
          <w:numId w:val="16"/>
        </w:numPr>
        <w:tabs>
          <w:tab w:pos="1799" w:val="left" w:leader="none"/>
        </w:tabs>
        <w:spacing w:line="240" w:lineRule="auto" w:before="276" w:after="0"/>
        <w:ind w:left="1799" w:right="0" w:hanging="359"/>
        <w:jc w:val="left"/>
        <w:rPr>
          <w:sz w:val="24"/>
        </w:rPr>
      </w:pPr>
      <w:r>
        <w:rPr>
          <w:sz w:val="24"/>
        </w:rPr>
        <w:t>Make</w:t>
      </w:r>
      <w:r>
        <w:rPr>
          <w:spacing w:val="-3"/>
          <w:sz w:val="24"/>
        </w:rPr>
        <w:t> </w:t>
      </w:r>
      <w:r>
        <w:rPr>
          <w:sz w:val="24"/>
        </w:rPr>
        <w:t>or deliver any</w:t>
      </w:r>
      <w:r>
        <w:rPr>
          <w:spacing w:val="-5"/>
          <w:sz w:val="24"/>
        </w:rPr>
        <w:t> </w:t>
      </w:r>
      <w:r>
        <w:rPr>
          <w:sz w:val="24"/>
        </w:rPr>
        <w:t>false</w:t>
      </w:r>
      <w:r>
        <w:rPr>
          <w:spacing w:val="1"/>
          <w:sz w:val="24"/>
        </w:rPr>
        <w:t> </w:t>
      </w:r>
      <w:r>
        <w:rPr>
          <w:sz w:val="24"/>
        </w:rPr>
        <w:t>return or</w:t>
      </w:r>
      <w:r>
        <w:rPr>
          <w:spacing w:val="-1"/>
          <w:sz w:val="24"/>
        </w:rPr>
        <w:t> </w:t>
      </w:r>
      <w:r>
        <w:rPr>
          <w:spacing w:val="-2"/>
          <w:sz w:val="24"/>
        </w:rPr>
        <w:t>statement</w:t>
      </w:r>
    </w:p>
    <w:p>
      <w:pPr>
        <w:pStyle w:val="ListParagraph"/>
        <w:numPr>
          <w:ilvl w:val="1"/>
          <w:numId w:val="16"/>
        </w:numPr>
        <w:tabs>
          <w:tab w:pos="1800" w:val="left" w:leader="none"/>
        </w:tabs>
        <w:spacing w:line="240" w:lineRule="auto" w:before="276" w:after="0"/>
        <w:ind w:left="1800" w:right="0" w:hanging="360"/>
        <w:jc w:val="left"/>
        <w:rPr>
          <w:sz w:val="24"/>
        </w:rPr>
      </w:pPr>
      <w:r>
        <w:rPr>
          <w:sz w:val="24"/>
        </w:rPr>
        <w:t>Keep</w:t>
      </w:r>
      <w:r>
        <w:rPr>
          <w:spacing w:val="-1"/>
          <w:sz w:val="24"/>
        </w:rPr>
        <w:t> </w:t>
      </w:r>
      <w:r>
        <w:rPr>
          <w:sz w:val="24"/>
        </w:rPr>
        <w:t>or</w:t>
      </w:r>
      <w:r>
        <w:rPr>
          <w:spacing w:val="-1"/>
          <w:sz w:val="24"/>
        </w:rPr>
        <w:t> </w:t>
      </w:r>
      <w:r>
        <w:rPr>
          <w:sz w:val="24"/>
        </w:rPr>
        <w:t>prepare</w:t>
      </w:r>
      <w:r>
        <w:rPr>
          <w:spacing w:val="-2"/>
          <w:sz w:val="24"/>
        </w:rPr>
        <w:t> </w:t>
      </w:r>
      <w:r>
        <w:rPr>
          <w:sz w:val="24"/>
        </w:rPr>
        <w:t>any</w:t>
      </w:r>
      <w:r>
        <w:rPr>
          <w:spacing w:val="-3"/>
          <w:sz w:val="24"/>
        </w:rPr>
        <w:t> </w:t>
      </w:r>
      <w:r>
        <w:rPr>
          <w:sz w:val="24"/>
        </w:rPr>
        <w:t>false</w:t>
      </w:r>
      <w:r>
        <w:rPr>
          <w:spacing w:val="-2"/>
          <w:sz w:val="24"/>
        </w:rPr>
        <w:t> </w:t>
      </w:r>
      <w:r>
        <w:rPr>
          <w:sz w:val="24"/>
        </w:rPr>
        <w:t>accounts and</w:t>
      </w:r>
      <w:r>
        <w:rPr>
          <w:spacing w:val="-1"/>
          <w:sz w:val="24"/>
        </w:rPr>
        <w:t> </w:t>
      </w:r>
      <w:r>
        <w:rPr>
          <w:sz w:val="24"/>
        </w:rPr>
        <w:t>particulars</w:t>
      </w:r>
      <w:r>
        <w:rPr>
          <w:spacing w:val="-1"/>
          <w:sz w:val="24"/>
        </w:rPr>
        <w:t> </w:t>
      </w:r>
      <w:r>
        <w:rPr>
          <w:sz w:val="24"/>
        </w:rPr>
        <w:t>affecting</w:t>
      </w:r>
      <w:r>
        <w:rPr>
          <w:spacing w:val="-3"/>
          <w:sz w:val="24"/>
        </w:rPr>
        <w:t> </w:t>
      </w:r>
      <w:r>
        <w:rPr>
          <w:sz w:val="24"/>
        </w:rPr>
        <w:t>the </w:t>
      </w:r>
      <w:r>
        <w:rPr>
          <w:spacing w:val="-4"/>
          <w:sz w:val="24"/>
        </w:rPr>
        <w:t>tax.</w:t>
      </w:r>
    </w:p>
    <w:p>
      <w:pPr>
        <w:pStyle w:val="BodyText"/>
      </w:pPr>
    </w:p>
    <w:p>
      <w:pPr>
        <w:pStyle w:val="ListParagraph"/>
        <w:numPr>
          <w:ilvl w:val="1"/>
          <w:numId w:val="16"/>
        </w:numPr>
        <w:tabs>
          <w:tab w:pos="1799" w:val="left" w:leader="none"/>
        </w:tabs>
        <w:spacing w:line="240" w:lineRule="auto" w:before="0" w:after="0"/>
        <w:ind w:left="1799" w:right="0" w:hanging="359"/>
        <w:jc w:val="left"/>
        <w:rPr>
          <w:sz w:val="24"/>
        </w:rPr>
      </w:pPr>
      <w:r>
        <w:rPr>
          <w:sz w:val="24"/>
        </w:rPr>
        <w:t>Refuse</w:t>
      </w:r>
      <w:r>
        <w:rPr>
          <w:spacing w:val="-2"/>
          <w:sz w:val="24"/>
        </w:rPr>
        <w:t> </w:t>
      </w:r>
      <w:r>
        <w:rPr>
          <w:sz w:val="24"/>
        </w:rPr>
        <w:t>or neglect</w:t>
      </w:r>
      <w:r>
        <w:rPr>
          <w:spacing w:val="1"/>
          <w:sz w:val="24"/>
        </w:rPr>
        <w:t> </w:t>
      </w:r>
      <w:r>
        <w:rPr>
          <w:sz w:val="24"/>
        </w:rPr>
        <w:t>unlawfully</w:t>
      </w:r>
      <w:r>
        <w:rPr>
          <w:spacing w:val="-5"/>
          <w:sz w:val="24"/>
        </w:rPr>
        <w:t> </w:t>
      </w:r>
      <w:r>
        <w:rPr>
          <w:sz w:val="24"/>
        </w:rPr>
        <w:t>to pay</w:t>
      </w:r>
      <w:r>
        <w:rPr>
          <w:spacing w:val="-4"/>
          <w:sz w:val="24"/>
        </w:rPr>
        <w:t> tax.</w:t>
      </w:r>
    </w:p>
    <w:p>
      <w:pPr>
        <w:pStyle w:val="BodyText"/>
      </w:pPr>
    </w:p>
    <w:p>
      <w:pPr>
        <w:pStyle w:val="ListParagraph"/>
        <w:numPr>
          <w:ilvl w:val="0"/>
          <w:numId w:val="16"/>
        </w:numPr>
        <w:tabs>
          <w:tab w:pos="1440" w:val="left" w:leader="none"/>
        </w:tabs>
        <w:spacing w:line="240" w:lineRule="auto" w:before="0" w:after="0"/>
        <w:ind w:left="1440" w:right="0" w:hanging="720"/>
        <w:jc w:val="left"/>
        <w:rPr>
          <w:sz w:val="24"/>
        </w:rPr>
      </w:pPr>
      <w:r>
        <w:rPr>
          <w:sz w:val="24"/>
        </w:rPr>
        <w:t>Being</w:t>
      </w:r>
      <w:r>
        <w:rPr>
          <w:spacing w:val="-5"/>
          <w:sz w:val="24"/>
        </w:rPr>
        <w:t> </w:t>
      </w:r>
      <w:r>
        <w:rPr>
          <w:sz w:val="24"/>
        </w:rPr>
        <w:t>a</w:t>
      </w:r>
      <w:r>
        <w:rPr>
          <w:spacing w:val="-1"/>
          <w:sz w:val="24"/>
        </w:rPr>
        <w:t> </w:t>
      </w:r>
      <w:r>
        <w:rPr>
          <w:sz w:val="24"/>
        </w:rPr>
        <w:t>member of</w:t>
      </w:r>
      <w:r>
        <w:rPr>
          <w:spacing w:val="1"/>
          <w:sz w:val="24"/>
        </w:rPr>
        <w:t> </w:t>
      </w:r>
      <w:r>
        <w:rPr>
          <w:spacing w:val="-4"/>
          <w:sz w:val="24"/>
        </w:rPr>
        <w:t>FBIR:</w:t>
      </w:r>
    </w:p>
    <w:p>
      <w:pPr>
        <w:pStyle w:val="BodyText"/>
      </w:pPr>
    </w:p>
    <w:p>
      <w:pPr>
        <w:pStyle w:val="ListParagraph"/>
        <w:numPr>
          <w:ilvl w:val="1"/>
          <w:numId w:val="16"/>
        </w:numPr>
        <w:tabs>
          <w:tab w:pos="1800" w:val="left" w:leader="none"/>
        </w:tabs>
        <w:spacing w:line="480" w:lineRule="auto" w:before="0" w:after="0"/>
        <w:ind w:left="1800" w:right="160" w:hanging="360"/>
        <w:jc w:val="left"/>
        <w:rPr>
          <w:sz w:val="24"/>
        </w:rPr>
      </w:pPr>
      <w:r>
        <w:rPr>
          <w:sz w:val="24"/>
        </w:rPr>
        <w:t>Demands from any person an amount in excess of the authorized assessment</w:t>
      </w:r>
      <w:r>
        <w:rPr>
          <w:spacing w:val="40"/>
          <w:sz w:val="24"/>
        </w:rPr>
        <w:t> </w:t>
      </w:r>
      <w:r>
        <w:rPr>
          <w:sz w:val="24"/>
        </w:rPr>
        <w:t>of the tax payable.</w:t>
      </w:r>
    </w:p>
    <w:p>
      <w:pPr>
        <w:pStyle w:val="ListParagraph"/>
        <w:numPr>
          <w:ilvl w:val="1"/>
          <w:numId w:val="16"/>
        </w:numPr>
        <w:tabs>
          <w:tab w:pos="1800" w:val="left" w:leader="none"/>
        </w:tabs>
        <w:spacing w:line="480" w:lineRule="auto" w:before="0" w:after="0"/>
        <w:ind w:left="1800" w:right="162" w:hanging="360"/>
        <w:jc w:val="left"/>
        <w:rPr>
          <w:sz w:val="24"/>
        </w:rPr>
      </w:pPr>
      <w:r>
        <w:rPr>
          <w:sz w:val="24"/>
        </w:rPr>
        <w:t>Withholds</w:t>
      </w:r>
      <w:r>
        <w:rPr>
          <w:spacing w:val="74"/>
          <w:sz w:val="24"/>
        </w:rPr>
        <w:t> </w:t>
      </w:r>
      <w:r>
        <w:rPr>
          <w:sz w:val="24"/>
        </w:rPr>
        <w:t>for</w:t>
      </w:r>
      <w:r>
        <w:rPr>
          <w:spacing w:val="73"/>
          <w:sz w:val="24"/>
        </w:rPr>
        <w:t> </w:t>
      </w:r>
      <w:r>
        <w:rPr>
          <w:sz w:val="24"/>
        </w:rPr>
        <w:t>his</w:t>
      </w:r>
      <w:r>
        <w:rPr>
          <w:spacing w:val="74"/>
          <w:sz w:val="24"/>
        </w:rPr>
        <w:t> </w:t>
      </w:r>
      <w:r>
        <w:rPr>
          <w:sz w:val="24"/>
        </w:rPr>
        <w:t>own</w:t>
      </w:r>
      <w:r>
        <w:rPr>
          <w:spacing w:val="74"/>
          <w:sz w:val="24"/>
        </w:rPr>
        <w:t> </w:t>
      </w:r>
      <w:r>
        <w:rPr>
          <w:sz w:val="24"/>
        </w:rPr>
        <w:t>use</w:t>
      </w:r>
      <w:r>
        <w:rPr>
          <w:spacing w:val="73"/>
          <w:sz w:val="24"/>
        </w:rPr>
        <w:t> </w:t>
      </w:r>
      <w:r>
        <w:rPr>
          <w:sz w:val="24"/>
        </w:rPr>
        <w:t>or</w:t>
      </w:r>
      <w:r>
        <w:rPr>
          <w:spacing w:val="73"/>
          <w:sz w:val="24"/>
        </w:rPr>
        <w:t> </w:t>
      </w:r>
      <w:r>
        <w:rPr>
          <w:sz w:val="24"/>
        </w:rPr>
        <w:t>otherwise,</w:t>
      </w:r>
      <w:r>
        <w:rPr>
          <w:spacing w:val="75"/>
          <w:sz w:val="24"/>
        </w:rPr>
        <w:t> </w:t>
      </w:r>
      <w:r>
        <w:rPr>
          <w:sz w:val="24"/>
        </w:rPr>
        <w:t>any</w:t>
      </w:r>
      <w:r>
        <w:rPr>
          <w:spacing w:val="72"/>
          <w:sz w:val="24"/>
        </w:rPr>
        <w:t> </w:t>
      </w:r>
      <w:r>
        <w:rPr>
          <w:sz w:val="24"/>
        </w:rPr>
        <w:t>portion</w:t>
      </w:r>
      <w:r>
        <w:rPr>
          <w:spacing w:val="74"/>
          <w:sz w:val="24"/>
        </w:rPr>
        <w:t> </w:t>
      </w:r>
      <w:r>
        <w:rPr>
          <w:sz w:val="24"/>
        </w:rPr>
        <w:t>of</w:t>
      </w:r>
      <w:r>
        <w:rPr>
          <w:spacing w:val="73"/>
          <w:sz w:val="24"/>
        </w:rPr>
        <w:t> </w:t>
      </w:r>
      <w:r>
        <w:rPr>
          <w:sz w:val="24"/>
        </w:rPr>
        <w:t>amount</w:t>
      </w:r>
      <w:r>
        <w:rPr>
          <w:spacing w:val="74"/>
          <w:sz w:val="24"/>
        </w:rPr>
        <w:t> </w:t>
      </w:r>
      <w:r>
        <w:rPr>
          <w:sz w:val="24"/>
        </w:rPr>
        <w:t>of</w:t>
      </w:r>
      <w:r>
        <w:rPr>
          <w:spacing w:val="75"/>
          <w:sz w:val="24"/>
        </w:rPr>
        <w:t> </w:t>
      </w:r>
      <w:r>
        <w:rPr>
          <w:sz w:val="24"/>
        </w:rPr>
        <w:t>tax </w:t>
      </w:r>
      <w:r>
        <w:rPr>
          <w:spacing w:val="-2"/>
          <w:sz w:val="24"/>
        </w:rPr>
        <w:t>collected.</w:t>
      </w:r>
    </w:p>
    <w:p>
      <w:pPr>
        <w:pStyle w:val="ListParagraph"/>
        <w:numPr>
          <w:ilvl w:val="1"/>
          <w:numId w:val="16"/>
        </w:numPr>
        <w:tabs>
          <w:tab w:pos="1800" w:val="left" w:leader="none"/>
        </w:tabs>
        <w:spacing w:line="480" w:lineRule="auto" w:before="1" w:after="0"/>
        <w:ind w:left="1800" w:right="164" w:hanging="360"/>
        <w:jc w:val="left"/>
        <w:rPr>
          <w:sz w:val="24"/>
        </w:rPr>
      </w:pPr>
      <w:r>
        <w:rPr>
          <w:sz w:val="24"/>
        </w:rPr>
        <w:t>Renders</w:t>
      </w:r>
      <w:r>
        <w:rPr>
          <w:spacing w:val="40"/>
          <w:sz w:val="24"/>
        </w:rPr>
        <w:t> </w:t>
      </w:r>
      <w:r>
        <w:rPr>
          <w:sz w:val="24"/>
        </w:rPr>
        <w:t>a</w:t>
      </w:r>
      <w:r>
        <w:rPr>
          <w:spacing w:val="40"/>
          <w:sz w:val="24"/>
        </w:rPr>
        <w:t> </w:t>
      </w:r>
      <w:r>
        <w:rPr>
          <w:sz w:val="24"/>
        </w:rPr>
        <w:t>false</w:t>
      </w:r>
      <w:r>
        <w:rPr>
          <w:spacing w:val="40"/>
          <w:sz w:val="24"/>
        </w:rPr>
        <w:t> </w:t>
      </w:r>
      <w:r>
        <w:rPr>
          <w:sz w:val="24"/>
        </w:rPr>
        <w:t>return,</w:t>
      </w:r>
      <w:r>
        <w:rPr>
          <w:spacing w:val="40"/>
          <w:sz w:val="24"/>
        </w:rPr>
        <w:t> </w:t>
      </w:r>
      <w:r>
        <w:rPr>
          <w:sz w:val="24"/>
        </w:rPr>
        <w:t>whether</w:t>
      </w:r>
      <w:r>
        <w:rPr>
          <w:spacing w:val="40"/>
          <w:sz w:val="24"/>
        </w:rPr>
        <w:t> </w:t>
      </w:r>
      <w:r>
        <w:rPr>
          <w:sz w:val="24"/>
        </w:rPr>
        <w:t>verbal</w:t>
      </w:r>
      <w:r>
        <w:rPr>
          <w:spacing w:val="40"/>
          <w:sz w:val="24"/>
        </w:rPr>
        <w:t> </w:t>
      </w:r>
      <w:r>
        <w:rPr>
          <w:sz w:val="24"/>
        </w:rPr>
        <w:t>or</w:t>
      </w:r>
      <w:r>
        <w:rPr>
          <w:spacing w:val="40"/>
          <w:sz w:val="24"/>
        </w:rPr>
        <w:t> </w:t>
      </w:r>
      <w:r>
        <w:rPr>
          <w:sz w:val="24"/>
        </w:rPr>
        <w:t>in</w:t>
      </w:r>
      <w:r>
        <w:rPr>
          <w:spacing w:val="40"/>
          <w:sz w:val="24"/>
        </w:rPr>
        <w:t> </w:t>
      </w:r>
      <w:r>
        <w:rPr>
          <w:sz w:val="24"/>
        </w:rPr>
        <w:t>writing,</w:t>
      </w:r>
      <w:r>
        <w:rPr>
          <w:spacing w:val="40"/>
          <w:sz w:val="24"/>
        </w:rPr>
        <w:t> </w:t>
      </w:r>
      <w:r>
        <w:rPr>
          <w:sz w:val="24"/>
        </w:rPr>
        <w:t>of</w:t>
      </w:r>
      <w:r>
        <w:rPr>
          <w:spacing w:val="40"/>
          <w:sz w:val="24"/>
        </w:rPr>
        <w:t> </w:t>
      </w:r>
      <w:r>
        <w:rPr>
          <w:sz w:val="24"/>
        </w:rPr>
        <w:t>the</w:t>
      </w:r>
      <w:r>
        <w:rPr>
          <w:spacing w:val="40"/>
          <w:sz w:val="24"/>
        </w:rPr>
        <w:t> </w:t>
      </w:r>
      <w:r>
        <w:rPr>
          <w:sz w:val="24"/>
        </w:rPr>
        <w:t>amount</w:t>
      </w:r>
      <w:r>
        <w:rPr>
          <w:spacing w:val="40"/>
          <w:sz w:val="24"/>
        </w:rPr>
        <w:t> </w:t>
      </w:r>
      <w:r>
        <w:rPr>
          <w:sz w:val="24"/>
        </w:rPr>
        <w:t>of</w:t>
      </w:r>
      <w:r>
        <w:rPr>
          <w:spacing w:val="40"/>
          <w:sz w:val="24"/>
        </w:rPr>
        <w:t> </w:t>
      </w:r>
      <w:r>
        <w:rPr>
          <w:sz w:val="24"/>
        </w:rPr>
        <w:t>tax collected or received by him.</w:t>
      </w:r>
    </w:p>
    <w:p>
      <w:pPr>
        <w:pStyle w:val="ListParagraph"/>
        <w:numPr>
          <w:ilvl w:val="1"/>
          <w:numId w:val="16"/>
        </w:numPr>
        <w:tabs>
          <w:tab w:pos="1800" w:val="left" w:leader="none"/>
        </w:tabs>
        <w:spacing w:line="480" w:lineRule="auto" w:before="0" w:after="0"/>
        <w:ind w:left="1800" w:right="163" w:hanging="360"/>
        <w:jc w:val="left"/>
        <w:rPr>
          <w:sz w:val="24"/>
        </w:rPr>
      </w:pPr>
      <w:r>
        <w:rPr>
          <w:sz w:val="24"/>
        </w:rPr>
        <w:t>Defrauds any person, embezzles any money or otherwise uses his position so as to deal wrongfully either with the Board or any other individual.</w:t>
      </w:r>
    </w:p>
    <w:p>
      <w:pPr>
        <w:pStyle w:val="ListParagraph"/>
        <w:numPr>
          <w:ilvl w:val="0"/>
          <w:numId w:val="16"/>
        </w:numPr>
        <w:tabs>
          <w:tab w:pos="1440" w:val="left" w:leader="none"/>
        </w:tabs>
        <w:spacing w:line="480" w:lineRule="auto" w:before="0" w:after="0"/>
        <w:ind w:left="1440" w:right="160" w:hanging="720"/>
        <w:jc w:val="left"/>
        <w:rPr>
          <w:sz w:val="24"/>
        </w:rPr>
      </w:pPr>
      <w:r>
        <w:rPr>
          <w:sz w:val="24"/>
        </w:rPr>
        <w:t>Not being authorized under the Act to do so, collect or attempt to collect the tax</w:t>
      </w:r>
      <w:r>
        <w:rPr>
          <w:spacing w:val="40"/>
          <w:sz w:val="24"/>
        </w:rPr>
        <w:t> </w:t>
      </w:r>
      <w:r>
        <w:rPr>
          <w:sz w:val="24"/>
        </w:rPr>
        <w:t>under the Act.</w:t>
      </w:r>
    </w:p>
    <w:p>
      <w:pPr>
        <w:pStyle w:val="ListParagraph"/>
        <w:numPr>
          <w:ilvl w:val="0"/>
          <w:numId w:val="16"/>
        </w:numPr>
        <w:tabs>
          <w:tab w:pos="1440" w:val="left" w:leader="none"/>
        </w:tabs>
        <w:spacing w:line="240" w:lineRule="auto" w:before="1" w:after="0"/>
        <w:ind w:left="1440" w:right="0" w:hanging="720"/>
        <w:jc w:val="left"/>
        <w:rPr>
          <w:sz w:val="24"/>
        </w:rPr>
      </w:pPr>
      <w:r>
        <w:rPr>
          <w:sz w:val="24"/>
        </w:rPr>
        <w:t>Engaging</w:t>
      </w:r>
      <w:r>
        <w:rPr>
          <w:spacing w:val="63"/>
          <w:sz w:val="24"/>
        </w:rPr>
        <w:t> </w:t>
      </w:r>
      <w:r>
        <w:rPr>
          <w:sz w:val="24"/>
        </w:rPr>
        <w:t>in</w:t>
      </w:r>
      <w:r>
        <w:rPr>
          <w:spacing w:val="66"/>
          <w:sz w:val="24"/>
        </w:rPr>
        <w:t> </w:t>
      </w:r>
      <w:r>
        <w:rPr>
          <w:sz w:val="24"/>
        </w:rPr>
        <w:t>petroleum</w:t>
      </w:r>
      <w:r>
        <w:rPr>
          <w:spacing w:val="68"/>
          <w:sz w:val="24"/>
        </w:rPr>
        <w:t> </w:t>
      </w:r>
      <w:r>
        <w:rPr>
          <w:sz w:val="24"/>
        </w:rPr>
        <w:t>operation</w:t>
      </w:r>
      <w:r>
        <w:rPr>
          <w:spacing w:val="65"/>
          <w:sz w:val="24"/>
        </w:rPr>
        <w:t> </w:t>
      </w:r>
      <w:r>
        <w:rPr>
          <w:sz w:val="24"/>
        </w:rPr>
        <w:t>on</w:t>
      </w:r>
      <w:r>
        <w:rPr>
          <w:spacing w:val="65"/>
          <w:sz w:val="24"/>
        </w:rPr>
        <w:t> </w:t>
      </w:r>
      <w:r>
        <w:rPr>
          <w:sz w:val="24"/>
        </w:rPr>
        <w:t>own</w:t>
      </w:r>
      <w:r>
        <w:rPr>
          <w:spacing w:val="65"/>
          <w:sz w:val="24"/>
        </w:rPr>
        <w:t> </w:t>
      </w:r>
      <w:r>
        <w:rPr>
          <w:sz w:val="24"/>
        </w:rPr>
        <w:t>or,</w:t>
      </w:r>
      <w:r>
        <w:rPr>
          <w:spacing w:val="65"/>
          <w:sz w:val="24"/>
        </w:rPr>
        <w:t> </w:t>
      </w:r>
      <w:r>
        <w:rPr>
          <w:sz w:val="24"/>
        </w:rPr>
        <w:t>in</w:t>
      </w:r>
      <w:r>
        <w:rPr>
          <w:spacing w:val="70"/>
          <w:sz w:val="24"/>
        </w:rPr>
        <w:t> </w:t>
      </w:r>
      <w:r>
        <w:rPr>
          <w:sz w:val="24"/>
        </w:rPr>
        <w:t>partnership</w:t>
      </w:r>
      <w:r>
        <w:rPr>
          <w:spacing w:val="53"/>
          <w:w w:val="150"/>
          <w:sz w:val="24"/>
        </w:rPr>
        <w:t> </w:t>
      </w:r>
      <w:r>
        <w:rPr>
          <w:sz w:val="24"/>
        </w:rPr>
        <w:t>with</w:t>
      </w:r>
      <w:r>
        <w:rPr>
          <w:spacing w:val="53"/>
          <w:w w:val="150"/>
          <w:sz w:val="24"/>
        </w:rPr>
        <w:t> </w:t>
      </w:r>
      <w:r>
        <w:rPr>
          <w:sz w:val="24"/>
        </w:rPr>
        <w:t>any</w:t>
      </w:r>
      <w:r>
        <w:rPr>
          <w:spacing w:val="53"/>
          <w:w w:val="150"/>
          <w:sz w:val="24"/>
        </w:rPr>
        <w:t> </w:t>
      </w:r>
      <w:r>
        <w:rPr>
          <w:spacing w:val="-2"/>
          <w:sz w:val="24"/>
        </w:rPr>
        <w:t>other</w:t>
      </w:r>
    </w:p>
    <w:p>
      <w:pPr>
        <w:pStyle w:val="BodyText"/>
        <w:rPr>
          <w:sz w:val="20"/>
        </w:rPr>
      </w:pPr>
    </w:p>
    <w:p>
      <w:pPr>
        <w:pStyle w:val="BodyText"/>
        <w:spacing w:before="148"/>
        <w:rPr>
          <w:sz w:val="20"/>
        </w:rPr>
      </w:pPr>
      <w:r>
        <w:rPr/>
        <mc:AlternateContent>
          <mc:Choice Requires="wps">
            <w:drawing>
              <wp:anchor distT="0" distB="0" distL="0" distR="0" allowOverlap="1" layoutInCell="1" locked="0" behindDoc="1" simplePos="0" relativeHeight="487614976">
                <wp:simplePos x="0" y="0"/>
                <wp:positionH relativeFrom="page">
                  <wp:posOffset>914704</wp:posOffset>
                </wp:positionH>
                <wp:positionV relativeFrom="paragraph">
                  <wp:posOffset>255316</wp:posOffset>
                </wp:positionV>
                <wp:extent cx="1829435" cy="9525"/>
                <wp:effectExtent l="0" t="0" r="0" b="0"/>
                <wp:wrapTopAndBottom/>
                <wp:docPr id="58" name="Graphic 58"/>
                <wp:cNvGraphicFramePr>
                  <a:graphicFrameLocks/>
                </wp:cNvGraphicFramePr>
                <a:graphic>
                  <a:graphicData uri="http://schemas.microsoft.com/office/word/2010/wordprocessingShape">
                    <wps:wsp>
                      <wps:cNvPr id="58" name="Graphic 58"/>
                      <wps:cNvSpPr/>
                      <wps:spPr>
                        <a:xfrm>
                          <a:off x="0" y="0"/>
                          <a:ext cx="1829435" cy="9525"/>
                        </a:xfrm>
                        <a:custGeom>
                          <a:avLst/>
                          <a:gdLst/>
                          <a:ahLst/>
                          <a:cxnLst/>
                          <a:rect l="l" t="t" r="r" b="b"/>
                          <a:pathLst>
                            <a:path w="1829435" h="9525">
                              <a:moveTo>
                                <a:pt x="1829054" y="0"/>
                              </a:moveTo>
                              <a:lnTo>
                                <a:pt x="0" y="0"/>
                              </a:lnTo>
                              <a:lnTo>
                                <a:pt x="0" y="9144"/>
                              </a:lnTo>
                              <a:lnTo>
                                <a:pt x="1829054" y="9144"/>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20.103682pt;width:144.020pt;height:.72003pt;mso-position-horizontal-relative:page;mso-position-vertical-relative:paragraph;z-index:-15701504;mso-wrap-distance-left:0;mso-wrap-distance-right:0" id="docshape58" filled="true" fillcolor="#000000" stroked="false">
                <v:fill type="solid"/>
                <w10:wrap type="topAndBottom"/>
              </v:rect>
            </w:pict>
          </mc:Fallback>
        </mc:AlternateContent>
      </w:r>
    </w:p>
    <w:p>
      <w:pPr>
        <w:spacing w:before="102"/>
        <w:ind w:left="360" w:right="0" w:firstLine="0"/>
        <w:jc w:val="left"/>
        <w:rPr>
          <w:rFonts w:ascii="Calibri"/>
          <w:sz w:val="20"/>
        </w:rPr>
      </w:pPr>
      <w:r>
        <w:rPr>
          <w:rFonts w:ascii="Calibri"/>
          <w:sz w:val="20"/>
          <w:vertAlign w:val="superscript"/>
        </w:rPr>
        <w:t>10</w:t>
      </w:r>
      <w:r>
        <w:rPr>
          <w:rFonts w:ascii="Calibri"/>
          <w:spacing w:val="-5"/>
          <w:sz w:val="20"/>
          <w:vertAlign w:val="baseline"/>
        </w:rPr>
        <w:t> </w:t>
      </w:r>
      <w:r>
        <w:rPr>
          <w:rFonts w:ascii="Calibri"/>
          <w:sz w:val="20"/>
          <w:vertAlign w:val="baseline"/>
        </w:rPr>
        <w:t>Section</w:t>
      </w:r>
      <w:r>
        <w:rPr>
          <w:rFonts w:ascii="Calibri"/>
          <w:spacing w:val="-4"/>
          <w:sz w:val="20"/>
          <w:vertAlign w:val="baseline"/>
        </w:rPr>
        <w:t> </w:t>
      </w:r>
      <w:r>
        <w:rPr>
          <w:rFonts w:ascii="Calibri"/>
          <w:sz w:val="20"/>
          <w:vertAlign w:val="baseline"/>
        </w:rPr>
        <w:t>52</w:t>
      </w:r>
      <w:r>
        <w:rPr>
          <w:rFonts w:ascii="Calibri"/>
          <w:spacing w:val="-4"/>
          <w:sz w:val="20"/>
          <w:vertAlign w:val="baseline"/>
        </w:rPr>
        <w:t> </w:t>
      </w:r>
      <w:r>
        <w:rPr>
          <w:rFonts w:ascii="Calibri"/>
          <w:sz w:val="20"/>
          <w:vertAlign w:val="baseline"/>
        </w:rPr>
        <w:t>(1)</w:t>
      </w:r>
      <w:r>
        <w:rPr>
          <w:rFonts w:ascii="Calibri"/>
          <w:spacing w:val="-4"/>
          <w:sz w:val="20"/>
          <w:vertAlign w:val="baseline"/>
        </w:rPr>
        <w:t> </w:t>
      </w:r>
      <w:r>
        <w:rPr>
          <w:rFonts w:ascii="Calibri"/>
          <w:sz w:val="20"/>
          <w:vertAlign w:val="baseline"/>
        </w:rPr>
        <w:t>(b)</w:t>
      </w:r>
      <w:r>
        <w:rPr>
          <w:rFonts w:ascii="Calibri"/>
          <w:spacing w:val="-3"/>
          <w:sz w:val="20"/>
          <w:vertAlign w:val="baseline"/>
        </w:rPr>
        <w:t> </w:t>
      </w:r>
      <w:r>
        <w:rPr>
          <w:rFonts w:ascii="Calibri"/>
          <w:spacing w:val="-4"/>
          <w:sz w:val="20"/>
          <w:vertAlign w:val="baseline"/>
        </w:rPr>
        <w:t>Ibid</w:t>
      </w:r>
    </w:p>
    <w:p>
      <w:pPr>
        <w:spacing w:after="0"/>
        <w:jc w:val="left"/>
        <w:rPr>
          <w:rFonts w:ascii="Calibri"/>
          <w:sz w:val="20"/>
        </w:rPr>
        <w:sectPr>
          <w:pgSz w:w="11910" w:h="16840"/>
          <w:pgMar w:header="0" w:footer="1000" w:top="1340" w:bottom="1200" w:left="1080" w:right="1280"/>
        </w:sectPr>
      </w:pPr>
    </w:p>
    <w:p>
      <w:pPr>
        <w:pStyle w:val="BodyText"/>
        <w:spacing w:line="480" w:lineRule="auto" w:before="74"/>
        <w:ind w:left="1440" w:right="158"/>
        <w:jc w:val="both"/>
      </w:pPr>
      <w:r>
        <w:rPr/>
        <w:t>person</w:t>
      </w:r>
      <w:r>
        <w:rPr>
          <w:spacing w:val="40"/>
        </w:rPr>
        <w:t> </w:t>
      </w:r>
      <w:r>
        <w:rPr/>
        <w:t>with a view to sharing profits arising from the operations, not being a company so regarded.</w:t>
      </w:r>
    </w:p>
    <w:p>
      <w:pPr>
        <w:pStyle w:val="Heading2"/>
        <w:numPr>
          <w:ilvl w:val="1"/>
          <w:numId w:val="14"/>
        </w:numPr>
        <w:tabs>
          <w:tab w:pos="937" w:val="left" w:leader="none"/>
        </w:tabs>
        <w:spacing w:line="240" w:lineRule="auto" w:before="5" w:after="0"/>
        <w:ind w:left="937" w:right="0" w:hanging="577"/>
        <w:jc w:val="both"/>
      </w:pPr>
      <w:r>
        <w:rPr>
          <w:spacing w:val="-4"/>
        </w:rPr>
        <w:t>Penalties</w:t>
      </w:r>
      <w:r>
        <w:rPr>
          <w:spacing w:val="1"/>
        </w:rPr>
        <w:t> </w:t>
      </w:r>
      <w:r>
        <w:rPr>
          <w:spacing w:val="-4"/>
        </w:rPr>
        <w:t>against</w:t>
      </w:r>
      <w:r>
        <w:rPr>
          <w:spacing w:val="-1"/>
        </w:rPr>
        <w:t> </w:t>
      </w:r>
      <w:r>
        <w:rPr>
          <w:spacing w:val="-4"/>
        </w:rPr>
        <w:t>Petroleum</w:t>
      </w:r>
      <w:r>
        <w:rPr>
          <w:spacing w:val="-2"/>
        </w:rPr>
        <w:t> </w:t>
      </w:r>
      <w:r>
        <w:rPr>
          <w:spacing w:val="-4"/>
        </w:rPr>
        <w:t>Profit</w:t>
      </w:r>
      <w:r>
        <w:rPr>
          <w:spacing w:val="1"/>
        </w:rPr>
        <w:t> </w:t>
      </w:r>
      <w:r>
        <w:rPr>
          <w:spacing w:val="-4"/>
        </w:rPr>
        <w:t>Tax</w:t>
      </w:r>
      <w:r>
        <w:rPr>
          <w:spacing w:val="2"/>
        </w:rPr>
        <w:t> </w:t>
      </w:r>
      <w:r>
        <w:rPr>
          <w:spacing w:val="-4"/>
        </w:rPr>
        <w:t>Avoidance/Evasion</w:t>
      </w:r>
    </w:p>
    <w:p>
      <w:pPr>
        <w:pStyle w:val="BodyText"/>
        <w:spacing w:line="480" w:lineRule="auto" w:before="271"/>
        <w:ind w:left="360" w:right="147" w:firstLine="719"/>
        <w:jc w:val="both"/>
      </w:pPr>
      <w:r>
        <w:rPr/>
        <w:t>Penalties of various offences have been stated under the Petroleum Profit Tax Act. Specifically</w:t>
      </w:r>
      <w:r>
        <w:rPr>
          <w:spacing w:val="-3"/>
        </w:rPr>
        <w:t> </w:t>
      </w:r>
      <w:r>
        <w:rPr/>
        <w:t>the Act provides that every</w:t>
      </w:r>
      <w:r>
        <w:rPr>
          <w:spacing w:val="-2"/>
        </w:rPr>
        <w:t> </w:t>
      </w:r>
      <w:r>
        <w:rPr/>
        <w:t>person, who</w:t>
      </w:r>
      <w:r>
        <w:rPr>
          <w:spacing w:val="-1"/>
        </w:rPr>
        <w:t> </w:t>
      </w:r>
      <w:r>
        <w:rPr/>
        <w:t>- without any</w:t>
      </w:r>
      <w:r>
        <w:rPr>
          <w:spacing w:val="-3"/>
        </w:rPr>
        <w:t> </w:t>
      </w:r>
      <w:r>
        <w:rPr/>
        <w:t>reasonable excuse - makes up or causes to be made up any incorrect accounts, by omitting or understating any profits or overstating any losses..., shall be guilty of an offence and shall be liable to a fine of one thousand</w:t>
      </w:r>
      <w:r>
        <w:rPr>
          <w:spacing w:val="-8"/>
        </w:rPr>
        <w:t> </w:t>
      </w:r>
      <w:r>
        <w:rPr/>
        <w:t>naira,</w:t>
      </w:r>
      <w:r>
        <w:rPr>
          <w:spacing w:val="-9"/>
        </w:rPr>
        <w:t> </w:t>
      </w:r>
      <w:r>
        <w:rPr/>
        <w:t>and</w:t>
      </w:r>
      <w:r>
        <w:rPr>
          <w:spacing w:val="-9"/>
        </w:rPr>
        <w:t> </w:t>
      </w:r>
      <w:r>
        <w:rPr/>
        <w:t>double</w:t>
      </w:r>
      <w:r>
        <w:rPr>
          <w:spacing w:val="-10"/>
        </w:rPr>
        <w:t> </w:t>
      </w:r>
      <w:r>
        <w:rPr/>
        <w:t>the</w:t>
      </w:r>
      <w:r>
        <w:rPr>
          <w:spacing w:val="-8"/>
        </w:rPr>
        <w:t> </w:t>
      </w:r>
      <w:r>
        <w:rPr/>
        <w:t>amount</w:t>
      </w:r>
      <w:r>
        <w:rPr>
          <w:spacing w:val="-7"/>
        </w:rPr>
        <w:t> </w:t>
      </w:r>
      <w:r>
        <w:rPr/>
        <w:t>of</w:t>
      </w:r>
      <w:r>
        <w:rPr>
          <w:spacing w:val="-12"/>
        </w:rPr>
        <w:t> </w:t>
      </w:r>
      <w:r>
        <w:rPr/>
        <w:t>tax</w:t>
      </w:r>
      <w:r>
        <w:rPr>
          <w:spacing w:val="-9"/>
        </w:rPr>
        <w:t> </w:t>
      </w:r>
      <w:r>
        <w:rPr/>
        <w:t>has</w:t>
      </w:r>
      <w:r>
        <w:rPr>
          <w:spacing w:val="-9"/>
        </w:rPr>
        <w:t> </w:t>
      </w:r>
      <w:r>
        <w:rPr/>
        <w:t>been</w:t>
      </w:r>
      <w:r>
        <w:rPr>
          <w:spacing w:val="-11"/>
        </w:rPr>
        <w:t> </w:t>
      </w:r>
      <w:r>
        <w:rPr/>
        <w:t>or</w:t>
      </w:r>
      <w:r>
        <w:rPr>
          <w:spacing w:val="-12"/>
        </w:rPr>
        <w:t> </w:t>
      </w:r>
      <w:r>
        <w:rPr/>
        <w:t>would</w:t>
      </w:r>
      <w:r>
        <w:rPr>
          <w:spacing w:val="-11"/>
        </w:rPr>
        <w:t> </w:t>
      </w:r>
      <w:r>
        <w:rPr/>
        <w:t>have</w:t>
      </w:r>
      <w:r>
        <w:rPr>
          <w:spacing w:val="-10"/>
        </w:rPr>
        <w:t> </w:t>
      </w:r>
      <w:r>
        <w:rPr/>
        <w:t>been</w:t>
      </w:r>
      <w:r>
        <w:rPr>
          <w:spacing w:val="-9"/>
        </w:rPr>
        <w:t> </w:t>
      </w:r>
      <w:r>
        <w:rPr/>
        <w:t>undercharged</w:t>
      </w:r>
      <w:r>
        <w:rPr>
          <w:spacing w:val="-9"/>
        </w:rPr>
        <w:t> </w:t>
      </w:r>
      <w:r>
        <w:rPr/>
        <w:t>as</w:t>
      </w:r>
      <w:r>
        <w:rPr>
          <w:spacing w:val="-11"/>
        </w:rPr>
        <w:t> </w:t>
      </w:r>
      <w:r>
        <w:rPr/>
        <w:t>the result of such account.</w:t>
      </w:r>
      <w:r>
        <w:rPr>
          <w:vertAlign w:val="superscript"/>
        </w:rPr>
        <w:t>11</w:t>
      </w:r>
      <w:r>
        <w:rPr>
          <w:spacing w:val="-15"/>
          <w:vertAlign w:val="baseline"/>
        </w:rPr>
        <w:t> </w:t>
      </w:r>
      <w:r>
        <w:rPr>
          <w:vertAlign w:val="baseline"/>
        </w:rPr>
        <w:t>The same penalty applies to any person or company that prepares or causes</w:t>
      </w:r>
      <w:r>
        <w:rPr>
          <w:spacing w:val="-8"/>
          <w:vertAlign w:val="baseline"/>
        </w:rPr>
        <w:t> </w:t>
      </w:r>
      <w:r>
        <w:rPr>
          <w:vertAlign w:val="baseline"/>
        </w:rPr>
        <w:t>to</w:t>
      </w:r>
      <w:r>
        <w:rPr>
          <w:spacing w:val="-8"/>
          <w:vertAlign w:val="baseline"/>
        </w:rPr>
        <w:t> </w:t>
      </w:r>
      <w:r>
        <w:rPr>
          <w:vertAlign w:val="baseline"/>
        </w:rPr>
        <w:t>be</w:t>
      </w:r>
      <w:r>
        <w:rPr>
          <w:spacing w:val="-11"/>
          <w:vertAlign w:val="baseline"/>
        </w:rPr>
        <w:t> </w:t>
      </w:r>
      <w:r>
        <w:rPr>
          <w:vertAlign w:val="baseline"/>
        </w:rPr>
        <w:t>prepared</w:t>
      </w:r>
      <w:r>
        <w:rPr>
          <w:spacing w:val="-6"/>
          <w:vertAlign w:val="baseline"/>
        </w:rPr>
        <w:t> </w:t>
      </w:r>
      <w:r>
        <w:rPr>
          <w:vertAlign w:val="baseline"/>
        </w:rPr>
        <w:t>an</w:t>
      </w:r>
      <w:r>
        <w:rPr>
          <w:spacing w:val="-8"/>
          <w:vertAlign w:val="baseline"/>
        </w:rPr>
        <w:t> </w:t>
      </w:r>
      <w:r>
        <w:rPr>
          <w:vertAlign w:val="baseline"/>
        </w:rPr>
        <w:t>incorrect</w:t>
      </w:r>
      <w:r>
        <w:rPr>
          <w:spacing w:val="-8"/>
          <w:vertAlign w:val="baseline"/>
        </w:rPr>
        <w:t> </w:t>
      </w:r>
      <w:r>
        <w:rPr>
          <w:vertAlign w:val="baseline"/>
        </w:rPr>
        <w:t>schedule</w:t>
      </w:r>
      <w:r>
        <w:rPr>
          <w:spacing w:val="-9"/>
          <w:vertAlign w:val="baseline"/>
        </w:rPr>
        <w:t> </w:t>
      </w:r>
      <w:r>
        <w:rPr>
          <w:vertAlign w:val="baseline"/>
        </w:rPr>
        <w:t>by</w:t>
      </w:r>
      <w:r>
        <w:rPr>
          <w:spacing w:val="-12"/>
          <w:vertAlign w:val="baseline"/>
        </w:rPr>
        <w:t> </w:t>
      </w:r>
      <w:r>
        <w:rPr>
          <w:vertAlign w:val="baseline"/>
        </w:rPr>
        <w:t>overstating-any</w:t>
      </w:r>
      <w:r>
        <w:rPr>
          <w:spacing w:val="-5"/>
          <w:vertAlign w:val="baseline"/>
        </w:rPr>
        <w:t> </w:t>
      </w:r>
      <w:r>
        <w:rPr>
          <w:vertAlign w:val="baseline"/>
        </w:rPr>
        <w:t>expenditure.</w:t>
      </w:r>
      <w:r>
        <w:rPr>
          <w:spacing w:val="-2"/>
          <w:vertAlign w:val="baseline"/>
        </w:rPr>
        <w:t> </w:t>
      </w:r>
      <w:r>
        <w:rPr>
          <w:vertAlign w:val="baseline"/>
        </w:rPr>
        <w:t>So also the</w:t>
      </w:r>
      <w:r>
        <w:rPr>
          <w:spacing w:val="-1"/>
          <w:vertAlign w:val="baseline"/>
        </w:rPr>
        <w:t> </w:t>
      </w:r>
      <w:r>
        <w:rPr>
          <w:vertAlign w:val="baseline"/>
        </w:rPr>
        <w:t>person who prepares any incorrect statement required by the Act through means of overstating any royalties</w:t>
      </w:r>
      <w:r>
        <w:rPr>
          <w:spacing w:val="40"/>
          <w:vertAlign w:val="baseline"/>
        </w:rPr>
        <w:t> </w:t>
      </w:r>
      <w:r>
        <w:rPr>
          <w:vertAlign w:val="baseline"/>
        </w:rPr>
        <w:t>or</w:t>
      </w:r>
      <w:r>
        <w:rPr>
          <w:spacing w:val="40"/>
          <w:vertAlign w:val="baseline"/>
        </w:rPr>
        <w:t> </w:t>
      </w:r>
      <w:r>
        <w:rPr>
          <w:vertAlign w:val="baseline"/>
        </w:rPr>
        <w:t>understating</w:t>
      </w:r>
      <w:r>
        <w:rPr>
          <w:spacing w:val="40"/>
          <w:vertAlign w:val="baseline"/>
        </w:rPr>
        <w:t> </w:t>
      </w:r>
      <w:r>
        <w:rPr>
          <w:vertAlign w:val="baseline"/>
        </w:rPr>
        <w:t>any</w:t>
      </w:r>
      <w:r>
        <w:rPr>
          <w:spacing w:val="40"/>
          <w:vertAlign w:val="baseline"/>
        </w:rPr>
        <w:t> </w:t>
      </w:r>
      <w:r>
        <w:rPr>
          <w:vertAlign w:val="baseline"/>
        </w:rPr>
        <w:t>amount</w:t>
      </w:r>
      <w:r>
        <w:rPr>
          <w:spacing w:val="40"/>
          <w:vertAlign w:val="baseline"/>
        </w:rPr>
        <w:t> </w:t>
      </w:r>
      <w:r>
        <w:rPr>
          <w:vertAlign w:val="baseline"/>
        </w:rPr>
        <w:t>repaid,</w:t>
      </w:r>
      <w:r>
        <w:rPr>
          <w:spacing w:val="40"/>
          <w:vertAlign w:val="baseline"/>
        </w:rPr>
        <w:t> </w:t>
      </w:r>
      <w:r>
        <w:rPr>
          <w:vertAlign w:val="baseline"/>
        </w:rPr>
        <w:t>refunded,</w:t>
      </w:r>
      <w:r>
        <w:rPr>
          <w:spacing w:val="40"/>
          <w:vertAlign w:val="baseline"/>
        </w:rPr>
        <w:t> </w:t>
      </w:r>
      <w:r>
        <w:rPr>
          <w:vertAlign w:val="baseline"/>
        </w:rPr>
        <w:t>waived</w:t>
      </w:r>
      <w:r>
        <w:rPr>
          <w:spacing w:val="40"/>
          <w:vertAlign w:val="baseline"/>
        </w:rPr>
        <w:t> </w:t>
      </w:r>
      <w:r>
        <w:rPr>
          <w:vertAlign w:val="baseline"/>
        </w:rPr>
        <w:t>orreleased.</w:t>
      </w:r>
      <w:r>
        <w:rPr>
          <w:vertAlign w:val="superscript"/>
        </w:rPr>
        <w:t>12</w:t>
      </w:r>
      <w:r>
        <w:rPr>
          <w:vertAlign w:val="baseline"/>
        </w:rPr>
        <w:t> Additionally, if</w:t>
      </w:r>
      <w:r>
        <w:rPr>
          <w:spacing w:val="-5"/>
          <w:vertAlign w:val="baseline"/>
        </w:rPr>
        <w:t> </w:t>
      </w:r>
      <w:r>
        <w:rPr>
          <w:vertAlign w:val="baseline"/>
        </w:rPr>
        <w:t>a</w:t>
      </w:r>
      <w:r>
        <w:rPr>
          <w:spacing w:val="-5"/>
          <w:vertAlign w:val="baseline"/>
        </w:rPr>
        <w:t> </w:t>
      </w:r>
      <w:r>
        <w:rPr>
          <w:vertAlign w:val="baseline"/>
        </w:rPr>
        <w:t>person</w:t>
      </w:r>
      <w:r>
        <w:rPr>
          <w:spacing w:val="-4"/>
          <w:vertAlign w:val="baseline"/>
        </w:rPr>
        <w:t> </w:t>
      </w:r>
      <w:r>
        <w:rPr>
          <w:vertAlign w:val="baseline"/>
        </w:rPr>
        <w:t>guilty</w:t>
      </w:r>
      <w:r>
        <w:rPr>
          <w:spacing w:val="-10"/>
          <w:vertAlign w:val="baseline"/>
        </w:rPr>
        <w:t> </w:t>
      </w:r>
      <w:r>
        <w:rPr>
          <w:vertAlign w:val="baseline"/>
        </w:rPr>
        <w:t>of</w:t>
      </w:r>
      <w:r>
        <w:rPr>
          <w:spacing w:val="-5"/>
          <w:vertAlign w:val="baseline"/>
        </w:rPr>
        <w:t> </w:t>
      </w:r>
      <w:r>
        <w:rPr>
          <w:vertAlign w:val="baseline"/>
        </w:rPr>
        <w:t>giving</w:t>
      </w:r>
      <w:r>
        <w:rPr>
          <w:spacing w:val="-6"/>
          <w:vertAlign w:val="baseline"/>
        </w:rPr>
        <w:t> </w:t>
      </w:r>
      <w:r>
        <w:rPr>
          <w:vertAlign w:val="baseline"/>
        </w:rPr>
        <w:t>any</w:t>
      </w:r>
      <w:r>
        <w:rPr>
          <w:spacing w:val="-8"/>
          <w:vertAlign w:val="baseline"/>
        </w:rPr>
        <w:t> </w:t>
      </w:r>
      <w:r>
        <w:rPr>
          <w:vertAlign w:val="baseline"/>
        </w:rPr>
        <w:t>incorrect</w:t>
      </w:r>
      <w:r>
        <w:rPr>
          <w:spacing w:val="-1"/>
          <w:vertAlign w:val="baseline"/>
        </w:rPr>
        <w:t> </w:t>
      </w:r>
      <w:r>
        <w:rPr>
          <w:vertAlign w:val="baseline"/>
        </w:rPr>
        <w:t>information</w:t>
      </w:r>
      <w:r>
        <w:rPr>
          <w:spacing w:val="-1"/>
          <w:vertAlign w:val="baseline"/>
        </w:rPr>
        <w:t> </w:t>
      </w:r>
      <w:r>
        <w:rPr>
          <w:vertAlign w:val="baseline"/>
        </w:rPr>
        <w:t>in</w:t>
      </w:r>
      <w:r>
        <w:rPr>
          <w:spacing w:val="-1"/>
          <w:vertAlign w:val="baseline"/>
        </w:rPr>
        <w:t> </w:t>
      </w:r>
      <w:r>
        <w:rPr>
          <w:vertAlign w:val="baseline"/>
        </w:rPr>
        <w:t>relation</w:t>
      </w:r>
      <w:r>
        <w:rPr>
          <w:spacing w:val="-1"/>
          <w:vertAlign w:val="baseline"/>
        </w:rPr>
        <w:t> </w:t>
      </w:r>
      <w:r>
        <w:rPr>
          <w:vertAlign w:val="baseline"/>
        </w:rPr>
        <w:t>to any</w:t>
      </w:r>
      <w:r>
        <w:rPr>
          <w:spacing w:val="-6"/>
          <w:vertAlign w:val="baseline"/>
        </w:rPr>
        <w:t> </w:t>
      </w:r>
      <w:r>
        <w:rPr>
          <w:vertAlign w:val="baseline"/>
        </w:rPr>
        <w:t>matter</w:t>
      </w:r>
      <w:r>
        <w:rPr>
          <w:spacing w:val="-3"/>
          <w:vertAlign w:val="baseline"/>
        </w:rPr>
        <w:t> </w:t>
      </w:r>
      <w:r>
        <w:rPr>
          <w:vertAlign w:val="baseline"/>
        </w:rPr>
        <w:t>affecting</w:t>
      </w:r>
      <w:r>
        <w:rPr>
          <w:spacing w:val="-2"/>
          <w:vertAlign w:val="baseline"/>
        </w:rPr>
        <w:t> </w:t>
      </w:r>
      <w:r>
        <w:rPr>
          <w:vertAlign w:val="baseline"/>
        </w:rPr>
        <w:t>his</w:t>
      </w:r>
      <w:r>
        <w:rPr>
          <w:spacing w:val="-1"/>
          <w:vertAlign w:val="baseline"/>
        </w:rPr>
        <w:t> </w:t>
      </w:r>
      <w:r>
        <w:rPr>
          <w:vertAlign w:val="baseline"/>
        </w:rPr>
        <w:t>tax liability</w:t>
      </w:r>
      <w:r>
        <w:rPr>
          <w:spacing w:val="-7"/>
          <w:vertAlign w:val="baseline"/>
        </w:rPr>
        <w:t> </w:t>
      </w:r>
      <w:r>
        <w:rPr>
          <w:vertAlign w:val="baseline"/>
        </w:rPr>
        <w:t>he</w:t>
      </w:r>
      <w:r>
        <w:rPr>
          <w:spacing w:val="-1"/>
          <w:vertAlign w:val="baseline"/>
        </w:rPr>
        <w:t> </w:t>
      </w:r>
      <w:r>
        <w:rPr>
          <w:vertAlign w:val="baseline"/>
        </w:rPr>
        <w:t>shall also be guilty</w:t>
      </w:r>
      <w:r>
        <w:rPr>
          <w:spacing w:val="-3"/>
          <w:vertAlign w:val="baseline"/>
        </w:rPr>
        <w:t> </w:t>
      </w:r>
      <w:r>
        <w:rPr>
          <w:vertAlign w:val="baseline"/>
        </w:rPr>
        <w:t>of an offence. He</w:t>
      </w:r>
      <w:r>
        <w:rPr>
          <w:spacing w:val="-1"/>
          <w:vertAlign w:val="baseline"/>
        </w:rPr>
        <w:t> </w:t>
      </w:r>
      <w:r>
        <w:rPr>
          <w:vertAlign w:val="baseline"/>
        </w:rPr>
        <w:t>shall also be liable</w:t>
      </w:r>
      <w:r>
        <w:rPr>
          <w:spacing w:val="-1"/>
          <w:vertAlign w:val="baseline"/>
        </w:rPr>
        <w:t> </w:t>
      </w:r>
      <w:r>
        <w:rPr>
          <w:vertAlign w:val="baseline"/>
        </w:rPr>
        <w:t>to the same</w:t>
      </w:r>
      <w:r>
        <w:rPr>
          <w:spacing w:val="-1"/>
          <w:vertAlign w:val="baseline"/>
        </w:rPr>
        <w:t> </w:t>
      </w:r>
      <w:r>
        <w:rPr>
          <w:vertAlign w:val="baseline"/>
        </w:rPr>
        <w:t>penalty as</w:t>
      </w:r>
      <w:r>
        <w:rPr>
          <w:spacing w:val="-8"/>
          <w:vertAlign w:val="baseline"/>
        </w:rPr>
        <w:t> </w:t>
      </w:r>
      <w:r>
        <w:rPr>
          <w:vertAlign w:val="baseline"/>
        </w:rPr>
        <w:t>the </w:t>
      </w:r>
      <w:r>
        <w:rPr>
          <w:spacing w:val="-2"/>
          <w:vertAlign w:val="baseline"/>
        </w:rPr>
        <w:t>above.</w:t>
      </w:r>
      <w:r>
        <w:rPr>
          <w:spacing w:val="-2"/>
          <w:vertAlign w:val="superscript"/>
        </w:rPr>
        <w:t>13</w:t>
      </w:r>
    </w:p>
    <w:p>
      <w:pPr>
        <w:pStyle w:val="BodyText"/>
        <w:spacing w:line="480" w:lineRule="auto" w:before="1"/>
        <w:ind w:left="360" w:right="164" w:firstLine="719"/>
        <w:jc w:val="both"/>
      </w:pPr>
      <w:r>
        <w:rPr/>
        <w:t>It can be understood that the aim of the above provision is to deter the officers in charge of signing returns on behalf of a company from being responsible for under</w:t>
      </w:r>
      <w:r>
        <w:rPr>
          <w:spacing w:val="40"/>
        </w:rPr>
        <w:t> </w:t>
      </w:r>
      <w:r>
        <w:rPr/>
        <w:t>declaration of profits. This is because; it can easily implicate them and subsequently incur personal liability. But the question here is whether this penalty can effectively serve as deterrent for curtailment of the offence or not.</w:t>
      </w:r>
    </w:p>
    <w:p>
      <w:pPr>
        <w:pStyle w:val="BodyText"/>
        <w:spacing w:line="480" w:lineRule="auto" w:before="1"/>
        <w:ind w:left="360" w:right="161" w:firstLine="719"/>
        <w:jc w:val="both"/>
      </w:pPr>
      <w:r>
        <w:rPr/>
        <w:t>It should be noted that this part of the Act has never been amended since the enactment of the PPTA of 1959 which was the principal Act. Therefore it might have previously</w:t>
      </w:r>
      <w:r>
        <w:rPr>
          <w:spacing w:val="8"/>
        </w:rPr>
        <w:t> </w:t>
      </w:r>
      <w:r>
        <w:rPr/>
        <w:t>served</w:t>
      </w:r>
      <w:r>
        <w:rPr>
          <w:spacing w:val="16"/>
        </w:rPr>
        <w:t> </w:t>
      </w:r>
      <w:r>
        <w:rPr/>
        <w:t>the</w:t>
      </w:r>
      <w:r>
        <w:rPr>
          <w:spacing w:val="16"/>
        </w:rPr>
        <w:t> </w:t>
      </w:r>
      <w:r>
        <w:rPr/>
        <w:t>purpose</w:t>
      </w:r>
      <w:r>
        <w:rPr>
          <w:spacing w:val="21"/>
        </w:rPr>
        <w:t> </w:t>
      </w:r>
      <w:r>
        <w:rPr/>
        <w:t>considering</w:t>
      </w:r>
      <w:r>
        <w:rPr>
          <w:spacing w:val="19"/>
        </w:rPr>
        <w:t> </w:t>
      </w:r>
      <w:r>
        <w:rPr/>
        <w:t>the</w:t>
      </w:r>
      <w:r>
        <w:rPr>
          <w:spacing w:val="24"/>
        </w:rPr>
        <w:t> </w:t>
      </w:r>
      <w:r>
        <w:rPr/>
        <w:t>value</w:t>
      </w:r>
      <w:r>
        <w:rPr>
          <w:spacing w:val="21"/>
        </w:rPr>
        <w:t> </w:t>
      </w:r>
      <w:r>
        <w:rPr/>
        <w:t>of</w:t>
      </w:r>
      <w:r>
        <w:rPr>
          <w:spacing w:val="21"/>
        </w:rPr>
        <w:t> </w:t>
      </w:r>
      <w:r>
        <w:rPr/>
        <w:t>the</w:t>
      </w:r>
      <w:r>
        <w:rPr>
          <w:spacing w:val="24"/>
        </w:rPr>
        <w:t> </w:t>
      </w:r>
      <w:r>
        <w:rPr/>
        <w:t>amount</w:t>
      </w:r>
      <w:r>
        <w:rPr>
          <w:spacing w:val="22"/>
        </w:rPr>
        <w:t> </w:t>
      </w:r>
      <w:r>
        <w:rPr/>
        <w:t>of</w:t>
      </w:r>
      <w:r>
        <w:rPr>
          <w:spacing w:val="24"/>
        </w:rPr>
        <w:t> </w:t>
      </w:r>
      <w:r>
        <w:rPr/>
        <w:t>One</w:t>
      </w:r>
      <w:r>
        <w:rPr>
          <w:spacing w:val="21"/>
        </w:rPr>
        <w:t> </w:t>
      </w:r>
      <w:r>
        <w:rPr/>
        <w:t>Thousand</w:t>
      </w:r>
      <w:r>
        <w:rPr>
          <w:spacing w:val="23"/>
        </w:rPr>
        <w:t> </w:t>
      </w:r>
      <w:r>
        <w:rPr>
          <w:spacing w:val="-2"/>
        </w:rPr>
        <w:t>Naira</w:t>
      </w:r>
    </w:p>
    <w:p>
      <w:pPr>
        <w:pStyle w:val="BodyText"/>
        <w:spacing w:before="167"/>
        <w:rPr>
          <w:sz w:val="20"/>
        </w:rPr>
      </w:pPr>
      <w:r>
        <w:rPr/>
        <mc:AlternateContent>
          <mc:Choice Requires="wps">
            <w:drawing>
              <wp:anchor distT="0" distB="0" distL="0" distR="0" allowOverlap="1" layoutInCell="1" locked="0" behindDoc="1" simplePos="0" relativeHeight="487615488">
                <wp:simplePos x="0" y="0"/>
                <wp:positionH relativeFrom="page">
                  <wp:posOffset>914704</wp:posOffset>
                </wp:positionH>
                <wp:positionV relativeFrom="paragraph">
                  <wp:posOffset>267877</wp:posOffset>
                </wp:positionV>
                <wp:extent cx="1829435" cy="9525"/>
                <wp:effectExtent l="0" t="0" r="0" b="0"/>
                <wp:wrapTopAndBottom/>
                <wp:docPr id="59" name="Graphic 59"/>
                <wp:cNvGraphicFramePr>
                  <a:graphicFrameLocks/>
                </wp:cNvGraphicFramePr>
                <a:graphic>
                  <a:graphicData uri="http://schemas.microsoft.com/office/word/2010/wordprocessingShape">
                    <wps:wsp>
                      <wps:cNvPr id="59" name="Graphic 59"/>
                      <wps:cNvSpPr/>
                      <wps:spPr>
                        <a:xfrm>
                          <a:off x="0" y="0"/>
                          <a:ext cx="1829435" cy="9525"/>
                        </a:xfrm>
                        <a:custGeom>
                          <a:avLst/>
                          <a:gdLst/>
                          <a:ahLst/>
                          <a:cxnLst/>
                          <a:rect l="l" t="t" r="r" b="b"/>
                          <a:pathLst>
                            <a:path w="1829435" h="9525">
                              <a:moveTo>
                                <a:pt x="1829054" y="0"/>
                              </a:moveTo>
                              <a:lnTo>
                                <a:pt x="0" y="0"/>
                              </a:lnTo>
                              <a:lnTo>
                                <a:pt x="0" y="9144"/>
                              </a:lnTo>
                              <a:lnTo>
                                <a:pt x="1829054" y="9144"/>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21.092705pt;width:144.020pt;height:.72003pt;mso-position-horizontal-relative:page;mso-position-vertical-relative:paragraph;z-index:-15700992;mso-wrap-distance-left:0;mso-wrap-distance-right:0" id="docshape59" filled="true" fillcolor="#000000" stroked="false">
                <v:fill type="solid"/>
                <w10:wrap type="topAndBottom"/>
              </v:rect>
            </w:pict>
          </mc:Fallback>
        </mc:AlternateContent>
      </w:r>
    </w:p>
    <w:p>
      <w:pPr>
        <w:spacing w:line="243" w:lineRule="exact" w:before="102"/>
        <w:ind w:left="360" w:right="0" w:firstLine="0"/>
        <w:jc w:val="left"/>
        <w:rPr>
          <w:rFonts w:ascii="Calibri"/>
          <w:sz w:val="20"/>
        </w:rPr>
      </w:pPr>
      <w:r>
        <w:rPr>
          <w:rFonts w:ascii="Calibri"/>
          <w:sz w:val="20"/>
          <w:vertAlign w:val="superscript"/>
        </w:rPr>
        <w:t>11</w:t>
      </w:r>
      <w:r>
        <w:rPr>
          <w:rFonts w:ascii="Calibri"/>
          <w:spacing w:val="-5"/>
          <w:sz w:val="20"/>
          <w:vertAlign w:val="baseline"/>
        </w:rPr>
        <w:t> </w:t>
      </w:r>
      <w:r>
        <w:rPr>
          <w:rFonts w:ascii="Calibri"/>
          <w:sz w:val="20"/>
          <w:vertAlign w:val="baseline"/>
        </w:rPr>
        <w:t>Section</w:t>
      </w:r>
      <w:r>
        <w:rPr>
          <w:rFonts w:ascii="Calibri"/>
          <w:spacing w:val="-4"/>
          <w:sz w:val="20"/>
          <w:vertAlign w:val="baseline"/>
        </w:rPr>
        <w:t> </w:t>
      </w:r>
      <w:r>
        <w:rPr>
          <w:rFonts w:ascii="Calibri"/>
          <w:sz w:val="20"/>
          <w:vertAlign w:val="baseline"/>
        </w:rPr>
        <w:t>52</w:t>
      </w:r>
      <w:r>
        <w:rPr>
          <w:rFonts w:ascii="Calibri"/>
          <w:spacing w:val="-5"/>
          <w:sz w:val="20"/>
          <w:vertAlign w:val="baseline"/>
        </w:rPr>
        <w:t> </w:t>
      </w:r>
      <w:r>
        <w:rPr>
          <w:rFonts w:ascii="Calibri"/>
          <w:sz w:val="20"/>
          <w:vertAlign w:val="baseline"/>
        </w:rPr>
        <w:t>(1),</w:t>
      </w:r>
      <w:r>
        <w:rPr>
          <w:rFonts w:ascii="Calibri"/>
          <w:spacing w:val="-4"/>
          <w:sz w:val="20"/>
          <w:vertAlign w:val="baseline"/>
        </w:rPr>
        <w:t> Ibid</w:t>
      </w:r>
    </w:p>
    <w:p>
      <w:pPr>
        <w:spacing w:line="243" w:lineRule="exact" w:before="0"/>
        <w:ind w:left="360" w:right="0" w:firstLine="0"/>
        <w:jc w:val="left"/>
        <w:rPr>
          <w:rFonts w:ascii="Calibri"/>
          <w:sz w:val="20"/>
        </w:rPr>
      </w:pPr>
      <w:r>
        <w:rPr>
          <w:rFonts w:ascii="Calibri"/>
          <w:sz w:val="20"/>
          <w:vertAlign w:val="superscript"/>
        </w:rPr>
        <w:t>12</w:t>
      </w:r>
      <w:r>
        <w:rPr>
          <w:rFonts w:ascii="Calibri"/>
          <w:spacing w:val="-4"/>
          <w:sz w:val="20"/>
          <w:vertAlign w:val="baseline"/>
        </w:rPr>
        <w:t> Ibid</w:t>
      </w:r>
    </w:p>
    <w:p>
      <w:pPr>
        <w:spacing w:before="1"/>
        <w:ind w:left="360" w:right="0" w:firstLine="0"/>
        <w:jc w:val="left"/>
        <w:rPr>
          <w:rFonts w:ascii="Calibri"/>
          <w:sz w:val="20"/>
        </w:rPr>
      </w:pPr>
      <w:r>
        <w:rPr>
          <w:rFonts w:ascii="Calibri"/>
          <w:sz w:val="20"/>
          <w:vertAlign w:val="superscript"/>
        </w:rPr>
        <w:t>13</w:t>
      </w:r>
      <w:r>
        <w:rPr>
          <w:rFonts w:ascii="Calibri"/>
          <w:spacing w:val="-4"/>
          <w:sz w:val="20"/>
          <w:vertAlign w:val="baseline"/>
        </w:rPr>
        <w:t> Ibid</w:t>
      </w:r>
    </w:p>
    <w:p>
      <w:pPr>
        <w:spacing w:after="0"/>
        <w:jc w:val="left"/>
        <w:rPr>
          <w:rFonts w:ascii="Calibri"/>
          <w:sz w:val="20"/>
        </w:rPr>
        <w:sectPr>
          <w:pgSz w:w="11910" w:h="16840"/>
          <w:pgMar w:header="0" w:footer="1000" w:top="1340" w:bottom="1200" w:left="1080" w:right="1280"/>
        </w:sectPr>
      </w:pPr>
    </w:p>
    <w:p>
      <w:pPr>
        <w:pStyle w:val="BodyText"/>
        <w:spacing w:line="480" w:lineRule="auto" w:before="74"/>
        <w:ind w:left="360" w:right="158"/>
        <w:jc w:val="both"/>
      </w:pPr>
      <w:r>
        <w:rPr/>
        <w:t>by</w:t>
      </w:r>
      <w:r>
        <w:rPr>
          <w:spacing w:val="40"/>
        </w:rPr>
        <w:t> </w:t>
      </w:r>
      <w:r>
        <w:rPr/>
        <w:t>then.But</w:t>
      </w:r>
      <w:r>
        <w:rPr>
          <w:spacing w:val="40"/>
        </w:rPr>
        <w:t> </w:t>
      </w:r>
      <w:r>
        <w:rPr/>
        <w:t>nowadays</w:t>
      </w:r>
      <w:r>
        <w:rPr>
          <w:spacing w:val="40"/>
        </w:rPr>
        <w:t> </w:t>
      </w:r>
      <w:r>
        <w:rPr/>
        <w:t>the</w:t>
      </w:r>
      <w:r>
        <w:rPr>
          <w:spacing w:val="40"/>
        </w:rPr>
        <w:t> </w:t>
      </w:r>
      <w:r>
        <w:rPr/>
        <w:t>amount</w:t>
      </w:r>
      <w:r>
        <w:rPr>
          <w:spacing w:val="40"/>
        </w:rPr>
        <w:t> </w:t>
      </w:r>
      <w:r>
        <w:rPr/>
        <w:t>is</w:t>
      </w:r>
      <w:r>
        <w:rPr>
          <w:spacing w:val="40"/>
        </w:rPr>
        <w:t> </w:t>
      </w:r>
      <w:r>
        <w:rPr/>
        <w:t>too</w:t>
      </w:r>
      <w:r>
        <w:rPr>
          <w:spacing w:val="40"/>
        </w:rPr>
        <w:t> </w:t>
      </w:r>
      <w:r>
        <w:rPr/>
        <w:t>small</w:t>
      </w:r>
      <w:r>
        <w:rPr>
          <w:spacing w:val="40"/>
        </w:rPr>
        <w:t> </w:t>
      </w:r>
      <w:r>
        <w:rPr/>
        <w:t>particularly</w:t>
      </w:r>
      <w:r>
        <w:rPr>
          <w:spacing w:val="40"/>
        </w:rPr>
        <w:t> </w:t>
      </w:r>
      <w:r>
        <w:rPr/>
        <w:t>when</w:t>
      </w:r>
      <w:r>
        <w:rPr>
          <w:spacing w:val="40"/>
        </w:rPr>
        <w:t> </w:t>
      </w:r>
      <w:r>
        <w:rPr/>
        <w:t>looking</w:t>
      </w:r>
      <w:r>
        <w:rPr>
          <w:spacing w:val="40"/>
        </w:rPr>
        <w:t> </w:t>
      </w:r>
      <w:r>
        <w:rPr/>
        <w:t>at</w:t>
      </w:r>
      <w:r>
        <w:rPr>
          <w:spacing w:val="40"/>
        </w:rPr>
        <w:t> </w:t>
      </w:r>
      <w:r>
        <w:rPr/>
        <w:t>the</w:t>
      </w:r>
      <w:r>
        <w:rPr>
          <w:spacing w:val="40"/>
        </w:rPr>
        <w:t> </w:t>
      </w:r>
      <w:r>
        <w:rPr/>
        <w:t>huge amount</w:t>
      </w:r>
      <w:r>
        <w:rPr>
          <w:spacing w:val="40"/>
        </w:rPr>
        <w:t> </w:t>
      </w:r>
      <w:r>
        <w:rPr/>
        <w:t>which</w:t>
      </w:r>
      <w:r>
        <w:rPr>
          <w:spacing w:val="37"/>
        </w:rPr>
        <w:t> </w:t>
      </w:r>
      <w:r>
        <w:rPr/>
        <w:t>the</w:t>
      </w:r>
      <w:r>
        <w:rPr>
          <w:spacing w:val="38"/>
        </w:rPr>
        <w:t> </w:t>
      </w:r>
      <w:r>
        <w:rPr/>
        <w:t>oil</w:t>
      </w:r>
      <w:r>
        <w:rPr>
          <w:spacing w:val="40"/>
        </w:rPr>
        <w:t> </w:t>
      </w:r>
      <w:r>
        <w:rPr/>
        <w:t>companies</w:t>
      </w:r>
      <w:r>
        <w:rPr>
          <w:spacing w:val="37"/>
        </w:rPr>
        <w:t> </w:t>
      </w:r>
      <w:r>
        <w:rPr/>
        <w:t>pay</w:t>
      </w:r>
      <w:r>
        <w:rPr>
          <w:spacing w:val="32"/>
        </w:rPr>
        <w:t> </w:t>
      </w:r>
      <w:r>
        <w:rPr/>
        <w:t>their</w:t>
      </w:r>
      <w:r>
        <w:rPr>
          <w:spacing w:val="40"/>
        </w:rPr>
        <w:t> </w:t>
      </w:r>
      <w:r>
        <w:rPr/>
        <w:t>officers.</w:t>
      </w:r>
      <w:r>
        <w:rPr>
          <w:spacing w:val="40"/>
        </w:rPr>
        <w:t> </w:t>
      </w:r>
      <w:r>
        <w:rPr/>
        <w:t>To</w:t>
      </w:r>
      <w:r>
        <w:rPr>
          <w:spacing w:val="37"/>
        </w:rPr>
        <w:t> </w:t>
      </w:r>
      <w:r>
        <w:rPr/>
        <w:t>tell</w:t>
      </w:r>
      <w:r>
        <w:rPr>
          <w:spacing w:val="40"/>
        </w:rPr>
        <w:t> </w:t>
      </w:r>
      <w:r>
        <w:rPr/>
        <w:t>this</w:t>
      </w:r>
      <w:r>
        <w:rPr>
          <w:spacing w:val="35"/>
        </w:rPr>
        <w:t> </w:t>
      </w:r>
      <w:r>
        <w:rPr/>
        <w:t>kind</w:t>
      </w:r>
      <w:r>
        <w:rPr>
          <w:spacing w:val="35"/>
        </w:rPr>
        <w:t> </w:t>
      </w:r>
      <w:r>
        <w:rPr/>
        <w:t>of</w:t>
      </w:r>
      <w:r>
        <w:rPr>
          <w:spacing w:val="34"/>
        </w:rPr>
        <w:t> </w:t>
      </w:r>
      <w:r>
        <w:rPr/>
        <w:t>officers</w:t>
      </w:r>
      <w:r>
        <w:rPr>
          <w:spacing w:val="34"/>
        </w:rPr>
        <w:t> </w:t>
      </w:r>
      <w:r>
        <w:rPr/>
        <w:t>that</w:t>
      </w:r>
      <w:r>
        <w:rPr>
          <w:spacing w:val="35"/>
        </w:rPr>
        <w:t> </w:t>
      </w:r>
      <w:r>
        <w:rPr/>
        <w:t>they are liable to a fine of one thousand Nairaif</w:t>
      </w:r>
      <w:r>
        <w:rPr>
          <w:spacing w:val="40"/>
        </w:rPr>
        <w:t> </w:t>
      </w:r>
      <w:r>
        <w:rPr>
          <w:spacing w:val="14"/>
        </w:rPr>
        <w:t>they</w:t>
      </w:r>
      <w:r>
        <w:rPr>
          <w:spacing w:val="40"/>
        </w:rPr>
        <w:t> </w:t>
      </w:r>
      <w:r>
        <w:rPr>
          <w:spacing w:val="12"/>
        </w:rPr>
        <w:t>are</w:t>
      </w:r>
      <w:r>
        <w:rPr>
          <w:spacing w:val="40"/>
        </w:rPr>
        <w:t> </w:t>
      </w:r>
      <w:r>
        <w:rPr>
          <w:spacing w:val="14"/>
        </w:rPr>
        <w:t>found</w:t>
      </w:r>
      <w:r>
        <w:rPr>
          <w:spacing w:val="40"/>
        </w:rPr>
        <w:t> </w:t>
      </w:r>
      <w:r>
        <w:rPr>
          <w:spacing w:val="15"/>
        </w:rPr>
        <w:t>guilty</w:t>
      </w:r>
      <w:r>
        <w:rPr>
          <w:spacing w:val="38"/>
        </w:rPr>
        <w:t> </w:t>
      </w:r>
      <w:r>
        <w:rPr>
          <w:spacing w:val="10"/>
        </w:rPr>
        <w:t>of</w:t>
      </w:r>
      <w:r>
        <w:rPr>
          <w:spacing w:val="40"/>
        </w:rPr>
        <w:t> </w:t>
      </w:r>
      <w:r>
        <w:rPr>
          <w:spacing w:val="14"/>
        </w:rPr>
        <w:t>under</w:t>
      </w:r>
      <w:r>
        <w:rPr>
          <w:spacing w:val="39"/>
        </w:rPr>
        <w:t> </w:t>
      </w:r>
      <w:r>
        <w:rPr>
          <w:spacing w:val="15"/>
        </w:rPr>
        <w:t>declaration </w:t>
      </w:r>
      <w:r>
        <w:rPr/>
        <w:t>of</w:t>
      </w:r>
      <w:r>
        <w:rPr>
          <w:spacing w:val="15"/>
        </w:rPr>
        <w:t> profit</w:t>
      </w:r>
      <w:r>
        <w:rPr>
          <w:spacing w:val="15"/>
        </w:rPr>
        <w:t> </w:t>
      </w:r>
      <w:r>
        <w:rPr/>
        <w:t>of</w:t>
      </w:r>
      <w:r>
        <w:rPr>
          <w:spacing w:val="14"/>
        </w:rPr>
        <w:t> their</w:t>
      </w:r>
      <w:r>
        <w:rPr>
          <w:spacing w:val="14"/>
        </w:rPr>
        <w:t> </w:t>
      </w:r>
      <w:r>
        <w:rPr/>
        <w:t>companies is absurd.</w:t>
      </w:r>
    </w:p>
    <w:p>
      <w:pPr>
        <w:pStyle w:val="BodyText"/>
        <w:spacing w:line="480" w:lineRule="auto"/>
        <w:ind w:left="360" w:right="149" w:firstLine="719"/>
        <w:jc w:val="both"/>
      </w:pPr>
      <w:r>
        <w:rPr/>
        <w:t>It is worthy of note that no person shall be liable to the above penalty unless the complaint</w:t>
      </w:r>
      <w:r>
        <w:rPr>
          <w:spacing w:val="40"/>
        </w:rPr>
        <w:t> </w:t>
      </w:r>
      <w:r>
        <w:rPr/>
        <w:t>on</w:t>
      </w:r>
      <w:r>
        <w:rPr>
          <w:spacing w:val="40"/>
        </w:rPr>
        <w:t> </w:t>
      </w:r>
      <w:r>
        <w:rPr/>
        <w:t>such</w:t>
      </w:r>
      <w:r>
        <w:rPr>
          <w:spacing w:val="40"/>
        </w:rPr>
        <w:t> </w:t>
      </w:r>
      <w:r>
        <w:rPr/>
        <w:t>offences</w:t>
      </w:r>
      <w:r>
        <w:rPr>
          <w:spacing w:val="40"/>
        </w:rPr>
        <w:t> </w:t>
      </w:r>
      <w:r>
        <w:rPr/>
        <w:t>was</w:t>
      </w:r>
      <w:r>
        <w:rPr>
          <w:spacing w:val="40"/>
        </w:rPr>
        <w:t> </w:t>
      </w:r>
      <w:r>
        <w:rPr/>
        <w:t>made</w:t>
      </w:r>
      <w:r>
        <w:rPr>
          <w:spacing w:val="40"/>
        </w:rPr>
        <w:t> </w:t>
      </w:r>
      <w:r>
        <w:rPr/>
        <w:t>within</w:t>
      </w:r>
      <w:r>
        <w:rPr>
          <w:spacing w:val="40"/>
        </w:rPr>
        <w:t> </w:t>
      </w:r>
      <w:r>
        <w:rPr/>
        <w:t>six</w:t>
      </w:r>
      <w:r>
        <w:rPr>
          <w:spacing w:val="40"/>
        </w:rPr>
        <w:t> </w:t>
      </w:r>
      <w:r>
        <w:rPr/>
        <w:t>years</w:t>
      </w:r>
      <w:r>
        <w:rPr>
          <w:spacing w:val="40"/>
        </w:rPr>
        <w:t> </w:t>
      </w:r>
      <w:r>
        <w:rPr/>
        <w:t>after</w:t>
      </w:r>
      <w:r>
        <w:rPr>
          <w:spacing w:val="40"/>
        </w:rPr>
        <w:t> </w:t>
      </w:r>
      <w:r>
        <w:rPr/>
        <w:t>the</w:t>
      </w:r>
      <w:r>
        <w:rPr>
          <w:spacing w:val="40"/>
        </w:rPr>
        <w:t> </w:t>
      </w:r>
      <w:r>
        <w:rPr/>
        <w:t>end</w:t>
      </w:r>
      <w:r>
        <w:rPr>
          <w:spacing w:val="40"/>
        </w:rPr>
        <w:t> </w:t>
      </w:r>
      <w:r>
        <w:rPr/>
        <w:t>of</w:t>
      </w:r>
      <w:r>
        <w:rPr>
          <w:spacing w:val="40"/>
        </w:rPr>
        <w:t> </w:t>
      </w:r>
      <w:r>
        <w:rPr/>
        <w:t>the</w:t>
      </w:r>
      <w:r>
        <w:rPr>
          <w:spacing w:val="40"/>
        </w:rPr>
        <w:t> </w:t>
      </w:r>
      <w:r>
        <w:rPr/>
        <w:t>accounting period in which the offence was committed;</w:t>
      </w:r>
      <w:r>
        <w:rPr>
          <w:vertAlign w:val="superscript"/>
        </w:rPr>
        <w:t>14</w:t>
      </w:r>
      <w:r>
        <w:rPr>
          <w:spacing w:val="-8"/>
          <w:vertAlign w:val="baseline"/>
        </w:rPr>
        <w:t> </w:t>
      </w:r>
      <w:r>
        <w:rPr>
          <w:vertAlign w:val="baseline"/>
        </w:rPr>
        <w:t>However,</w:t>
      </w:r>
      <w:r>
        <w:rPr>
          <w:spacing w:val="-2"/>
          <w:vertAlign w:val="baseline"/>
        </w:rPr>
        <w:t> </w:t>
      </w:r>
      <w:r>
        <w:rPr>
          <w:vertAlign w:val="baseline"/>
        </w:rPr>
        <w:t>the Board</w:t>
      </w:r>
      <w:r>
        <w:rPr>
          <w:spacing w:val="-2"/>
          <w:vertAlign w:val="baseline"/>
        </w:rPr>
        <w:t> </w:t>
      </w:r>
      <w:r>
        <w:rPr>
          <w:vertAlign w:val="baseline"/>
        </w:rPr>
        <w:t>has</w:t>
      </w:r>
      <w:r>
        <w:rPr>
          <w:spacing w:val="-1"/>
          <w:vertAlign w:val="baseline"/>
        </w:rPr>
        <w:t> </w:t>
      </w:r>
      <w:r>
        <w:rPr>
          <w:vertAlign w:val="baseline"/>
        </w:rPr>
        <w:t>right</w:t>
      </w:r>
      <w:r>
        <w:rPr>
          <w:spacing w:val="-1"/>
          <w:vertAlign w:val="baseline"/>
        </w:rPr>
        <w:t> </w:t>
      </w:r>
      <w:r>
        <w:rPr>
          <w:vertAlign w:val="baseline"/>
        </w:rPr>
        <w:t>to</w:t>
      </w:r>
      <w:r>
        <w:rPr>
          <w:spacing w:val="-4"/>
          <w:vertAlign w:val="baseline"/>
        </w:rPr>
        <w:t> </w:t>
      </w:r>
      <w:r>
        <w:rPr>
          <w:vertAlign w:val="baseline"/>
        </w:rPr>
        <w:t>compound</w:t>
      </w:r>
      <w:r>
        <w:rPr>
          <w:spacing w:val="-2"/>
          <w:vertAlign w:val="baseline"/>
        </w:rPr>
        <w:t> </w:t>
      </w:r>
      <w:r>
        <w:rPr>
          <w:vertAlign w:val="baseline"/>
        </w:rPr>
        <w:t>any offence or proceedings as long as it is before judgment.</w:t>
      </w:r>
      <w:r>
        <w:rPr>
          <w:vertAlign w:val="superscript"/>
        </w:rPr>
        <w:t>15</w:t>
      </w:r>
    </w:p>
    <w:p>
      <w:pPr>
        <w:pStyle w:val="BodyText"/>
        <w:spacing w:line="480" w:lineRule="auto" w:before="1"/>
        <w:ind w:left="360" w:right="159" w:firstLine="719"/>
        <w:jc w:val="both"/>
      </w:pPr>
      <w:r>
        <w:rPr/>
        <w:t>It</w:t>
      </w:r>
      <w:r>
        <w:rPr>
          <w:spacing w:val="40"/>
        </w:rPr>
        <w:t> </w:t>
      </w:r>
      <w:r>
        <w:rPr/>
        <w:t>is</w:t>
      </w:r>
      <w:r>
        <w:rPr>
          <w:spacing w:val="40"/>
        </w:rPr>
        <w:t> </w:t>
      </w:r>
      <w:r>
        <w:rPr/>
        <w:t>also</w:t>
      </w:r>
      <w:r>
        <w:rPr>
          <w:spacing w:val="40"/>
        </w:rPr>
        <w:t> </w:t>
      </w:r>
      <w:r>
        <w:rPr/>
        <w:t>provided</w:t>
      </w:r>
      <w:r>
        <w:rPr>
          <w:spacing w:val="40"/>
        </w:rPr>
        <w:t> </w:t>
      </w:r>
      <w:r>
        <w:rPr/>
        <w:t>under</w:t>
      </w:r>
      <w:r>
        <w:rPr>
          <w:spacing w:val="40"/>
        </w:rPr>
        <w:t> </w:t>
      </w:r>
      <w:r>
        <w:rPr/>
        <w:t>the</w:t>
      </w:r>
      <w:r>
        <w:rPr>
          <w:spacing w:val="40"/>
        </w:rPr>
        <w:t> </w:t>
      </w:r>
      <w:r>
        <w:rPr/>
        <w:t>Act</w:t>
      </w:r>
      <w:r>
        <w:rPr>
          <w:spacing w:val="40"/>
        </w:rPr>
        <w:t> </w:t>
      </w:r>
      <w:r>
        <w:rPr/>
        <w:t>that</w:t>
      </w:r>
      <w:r>
        <w:rPr>
          <w:spacing w:val="40"/>
        </w:rPr>
        <w:t> </w:t>
      </w:r>
      <w:r>
        <w:rPr/>
        <w:t>making</w:t>
      </w:r>
      <w:r>
        <w:rPr>
          <w:spacing w:val="40"/>
        </w:rPr>
        <w:t> </w:t>
      </w:r>
      <w:r>
        <w:rPr/>
        <w:t>of</w:t>
      </w:r>
      <w:r>
        <w:rPr>
          <w:spacing w:val="40"/>
        </w:rPr>
        <w:t> </w:t>
      </w:r>
      <w:r>
        <w:rPr/>
        <w:t>false</w:t>
      </w:r>
      <w:r>
        <w:rPr>
          <w:spacing w:val="40"/>
        </w:rPr>
        <w:t> </w:t>
      </w:r>
      <w:r>
        <w:rPr/>
        <w:t>statements</w:t>
      </w:r>
      <w:r>
        <w:rPr>
          <w:spacing w:val="40"/>
        </w:rPr>
        <w:t> </w:t>
      </w:r>
      <w:r>
        <w:rPr/>
        <w:t>and</w:t>
      </w:r>
      <w:r>
        <w:rPr>
          <w:spacing w:val="40"/>
        </w:rPr>
        <w:t> </w:t>
      </w:r>
      <w:r>
        <w:rPr/>
        <w:t>returns</w:t>
      </w:r>
      <w:r>
        <w:rPr>
          <w:spacing w:val="40"/>
        </w:rPr>
        <w:t> </w:t>
      </w:r>
      <w:r>
        <w:rPr/>
        <w:t>for the</w:t>
      </w:r>
      <w:r>
        <w:rPr>
          <w:spacing w:val="77"/>
        </w:rPr>
        <w:t> </w:t>
      </w:r>
      <w:r>
        <w:rPr/>
        <w:t>purpose</w:t>
      </w:r>
      <w:r>
        <w:rPr>
          <w:spacing w:val="72"/>
        </w:rPr>
        <w:t> </w:t>
      </w:r>
      <w:r>
        <w:rPr/>
        <w:t>of</w:t>
      </w:r>
      <w:r>
        <w:rPr>
          <w:spacing w:val="80"/>
        </w:rPr>
        <w:t> </w:t>
      </w:r>
      <w:r>
        <w:rPr/>
        <w:t>obtaining</w:t>
      </w:r>
      <w:r>
        <w:rPr>
          <w:spacing w:val="74"/>
        </w:rPr>
        <w:t> </w:t>
      </w:r>
      <w:r>
        <w:rPr/>
        <w:t>any</w:t>
      </w:r>
      <w:r>
        <w:rPr>
          <w:spacing w:val="71"/>
        </w:rPr>
        <w:t> </w:t>
      </w:r>
      <w:r>
        <w:rPr/>
        <w:t>deduction,</w:t>
      </w:r>
      <w:r>
        <w:rPr>
          <w:spacing w:val="78"/>
        </w:rPr>
        <w:t> </w:t>
      </w:r>
      <w:r>
        <w:rPr/>
        <w:t>rebate,</w:t>
      </w:r>
      <w:r>
        <w:rPr>
          <w:spacing w:val="78"/>
        </w:rPr>
        <w:t> </w:t>
      </w:r>
      <w:r>
        <w:rPr/>
        <w:t>reduction</w:t>
      </w:r>
      <w:r>
        <w:rPr>
          <w:spacing w:val="78"/>
        </w:rPr>
        <w:t> </w:t>
      </w:r>
      <w:r>
        <w:rPr/>
        <w:t>or</w:t>
      </w:r>
      <w:r>
        <w:rPr>
          <w:spacing w:val="77"/>
        </w:rPr>
        <w:t> </w:t>
      </w:r>
      <w:r>
        <w:rPr/>
        <w:t>repayment</w:t>
      </w:r>
      <w:r>
        <w:rPr>
          <w:spacing w:val="78"/>
        </w:rPr>
        <w:t> </w:t>
      </w:r>
      <w:r>
        <w:rPr/>
        <w:t>in</w:t>
      </w:r>
      <w:r>
        <w:rPr>
          <w:spacing w:val="78"/>
        </w:rPr>
        <w:t> </w:t>
      </w:r>
      <w:r>
        <w:rPr/>
        <w:t>respect</w:t>
      </w:r>
      <w:r>
        <w:rPr>
          <w:spacing w:val="78"/>
        </w:rPr>
        <w:t> </w:t>
      </w:r>
      <w:r>
        <w:rPr/>
        <w:t>of tax constitutes another offence. Likewise aiding, abetting, assisting, counseling, inciting or inducing any person to make false statements and return, prepare false account and</w:t>
      </w:r>
      <w:r>
        <w:rPr>
          <w:spacing w:val="40"/>
        </w:rPr>
        <w:t> </w:t>
      </w:r>
      <w:r>
        <w:rPr/>
        <w:t>particulars</w:t>
      </w:r>
      <w:r>
        <w:rPr>
          <w:spacing w:val="34"/>
        </w:rPr>
        <w:t> </w:t>
      </w:r>
      <w:r>
        <w:rPr/>
        <w:t>or</w:t>
      </w:r>
      <w:r>
        <w:rPr>
          <w:spacing w:val="33"/>
        </w:rPr>
        <w:t> </w:t>
      </w:r>
      <w:r>
        <w:rPr/>
        <w:t>to</w:t>
      </w:r>
      <w:r>
        <w:rPr>
          <w:spacing w:val="36"/>
        </w:rPr>
        <w:t> </w:t>
      </w:r>
      <w:r>
        <w:rPr/>
        <w:t>unlawfully refuse</w:t>
      </w:r>
      <w:r>
        <w:rPr>
          <w:spacing w:val="33"/>
        </w:rPr>
        <w:t> </w:t>
      </w:r>
      <w:r>
        <w:rPr/>
        <w:t>to</w:t>
      </w:r>
      <w:r>
        <w:rPr>
          <w:spacing w:val="34"/>
        </w:rPr>
        <w:t> </w:t>
      </w:r>
      <w:r>
        <w:rPr/>
        <w:t>pay the</w:t>
      </w:r>
      <w:r>
        <w:rPr>
          <w:spacing w:val="33"/>
        </w:rPr>
        <w:t> </w:t>
      </w:r>
      <w:r>
        <w:rPr/>
        <w:t>tax.</w:t>
      </w:r>
      <w:r>
        <w:rPr>
          <w:spacing w:val="34"/>
        </w:rPr>
        <w:t> </w:t>
      </w:r>
      <w:r>
        <w:rPr/>
        <w:t>Any</w:t>
      </w:r>
      <w:r>
        <w:rPr>
          <w:spacing w:val="40"/>
        </w:rPr>
        <w:t> </w:t>
      </w:r>
      <w:r>
        <w:rPr/>
        <w:t>person</w:t>
      </w:r>
      <w:r>
        <w:rPr>
          <w:spacing w:val="34"/>
        </w:rPr>
        <w:t> </w:t>
      </w:r>
      <w:r>
        <w:rPr/>
        <w:t>found</w:t>
      </w:r>
      <w:r>
        <w:rPr>
          <w:spacing w:val="34"/>
        </w:rPr>
        <w:t> </w:t>
      </w:r>
      <w:r>
        <w:rPr/>
        <w:t>guilty of</w:t>
      </w:r>
      <w:r>
        <w:rPr>
          <w:spacing w:val="33"/>
        </w:rPr>
        <w:t> </w:t>
      </w:r>
      <w:r>
        <w:rPr/>
        <w:t>committing any of the above, shall be liable to a fine of one thousand naira and the amount of tax for which the person assessable is liable for the accounting period in. which the offence was committed, or to six month imprisonment or both the fine and imprisonment.</w:t>
      </w:r>
      <w:r>
        <w:rPr>
          <w:vertAlign w:val="superscript"/>
        </w:rPr>
        <w:t>16</w:t>
      </w:r>
    </w:p>
    <w:p>
      <w:pPr>
        <w:pStyle w:val="BodyText"/>
        <w:spacing w:line="480" w:lineRule="auto"/>
        <w:ind w:left="360" w:right="162" w:firstLine="719"/>
        <w:jc w:val="both"/>
      </w:pPr>
      <w:r>
        <w:rPr/>
        <w:t>This takes care, inter alia, of lawyers and accountants who may be hired by oil producing companies to give them advise on how to evade or avoid tax in any of the above mentioned ways. The companyalso</w:t>
      </w:r>
      <w:r>
        <w:rPr>
          <w:spacing w:val="40"/>
        </w:rPr>
        <w:t> </w:t>
      </w:r>
      <w:r>
        <w:rPr>
          <w:spacing w:val="10"/>
        </w:rPr>
        <w:t>has</w:t>
      </w:r>
      <w:r>
        <w:rPr>
          <w:spacing w:val="40"/>
        </w:rPr>
        <w:t> </w:t>
      </w:r>
      <w:r>
        <w:rPr>
          <w:spacing w:val="14"/>
        </w:rPr>
        <w:t>another</w:t>
      </w:r>
      <w:r>
        <w:rPr>
          <w:spacing w:val="40"/>
        </w:rPr>
        <w:t> </w:t>
      </w:r>
      <w:r>
        <w:rPr>
          <w:spacing w:val="14"/>
        </w:rPr>
        <w:t>discretion</w:t>
      </w:r>
      <w:r>
        <w:rPr>
          <w:spacing w:val="40"/>
        </w:rPr>
        <w:t> </w:t>
      </w:r>
      <w:r>
        <w:rPr>
          <w:spacing w:val="12"/>
        </w:rPr>
        <w:t>here</w:t>
      </w:r>
      <w:r>
        <w:rPr>
          <w:spacing w:val="40"/>
        </w:rPr>
        <w:t> </w:t>
      </w:r>
      <w:r>
        <w:rPr/>
        <w:t>to</w:t>
      </w:r>
      <w:r>
        <w:rPr>
          <w:spacing w:val="40"/>
        </w:rPr>
        <w:t> </w:t>
      </w:r>
      <w:r>
        <w:rPr>
          <w:spacing w:val="13"/>
        </w:rPr>
        <w:t>decide</w:t>
      </w:r>
      <w:r>
        <w:rPr>
          <w:spacing w:val="40"/>
        </w:rPr>
        <w:t> </w:t>
      </w:r>
      <w:r>
        <w:rPr/>
        <w:t>on</w:t>
      </w:r>
      <w:r>
        <w:rPr>
          <w:spacing w:val="40"/>
        </w:rPr>
        <w:t> </w:t>
      </w:r>
      <w:r>
        <w:rPr>
          <w:spacing w:val="12"/>
        </w:rPr>
        <w:t>whether </w:t>
      </w:r>
      <w:r>
        <w:rPr/>
        <w:t>to</w:t>
      </w:r>
      <w:r>
        <w:rPr>
          <w:spacing w:val="40"/>
        </w:rPr>
        <w:t> </w:t>
      </w:r>
      <w:r>
        <w:rPr>
          <w:spacing w:val="10"/>
        </w:rPr>
        <w:t>not</w:t>
      </w:r>
      <w:r>
        <w:rPr>
          <w:spacing w:val="40"/>
        </w:rPr>
        <w:t> </w:t>
      </w:r>
      <w:r>
        <w:rPr/>
        <w:t>to</w:t>
      </w:r>
      <w:r>
        <w:rPr>
          <w:spacing w:val="40"/>
        </w:rPr>
        <w:t> </w:t>
      </w:r>
      <w:r>
        <w:rPr/>
        <w:t>compound</w:t>
      </w:r>
      <w:r>
        <w:rPr>
          <w:spacing w:val="40"/>
        </w:rPr>
        <w:t> </w:t>
      </w:r>
      <w:r>
        <w:rPr/>
        <w:t>any</w:t>
      </w:r>
      <w:r>
        <w:rPr>
          <w:spacing w:val="33"/>
        </w:rPr>
        <w:t> </w:t>
      </w:r>
      <w:r>
        <w:rPr/>
        <w:t>of</w:t>
      </w:r>
      <w:r>
        <w:rPr>
          <w:spacing w:val="35"/>
        </w:rPr>
        <w:t> </w:t>
      </w:r>
      <w:r>
        <w:rPr/>
        <w:t>the</w:t>
      </w:r>
      <w:r>
        <w:rPr>
          <w:spacing w:val="35"/>
        </w:rPr>
        <w:t> </w:t>
      </w:r>
      <w:r>
        <w:rPr/>
        <w:t>offences</w:t>
      </w:r>
      <w:r>
        <w:rPr>
          <w:spacing w:val="37"/>
        </w:rPr>
        <w:t> </w:t>
      </w:r>
      <w:r>
        <w:rPr/>
        <w:t>under</w:t>
      </w:r>
      <w:r>
        <w:rPr>
          <w:spacing w:val="38"/>
        </w:rPr>
        <w:t> </w:t>
      </w:r>
      <w:r>
        <w:rPr/>
        <w:t>the</w:t>
      </w:r>
      <w:r>
        <w:rPr>
          <w:spacing w:val="35"/>
        </w:rPr>
        <w:t> </w:t>
      </w:r>
      <w:r>
        <w:rPr/>
        <w:t>Act</w:t>
      </w:r>
    </w:p>
    <w:p>
      <w:pPr>
        <w:pStyle w:val="BodyText"/>
        <w:spacing w:line="480" w:lineRule="auto" w:before="1"/>
        <w:ind w:left="360" w:right="162" w:firstLine="719"/>
        <w:jc w:val="both"/>
      </w:pPr>
      <w:r>
        <w:rPr/>
        <w:t>Failure to withhold tax al3o attracts penalty. It is pertinent to understand that withholding</w:t>
      </w:r>
      <w:r>
        <w:rPr>
          <w:spacing w:val="20"/>
        </w:rPr>
        <w:t> </w:t>
      </w:r>
      <w:r>
        <w:rPr/>
        <w:t>tax</w:t>
      </w:r>
      <w:r>
        <w:rPr>
          <w:spacing w:val="24"/>
        </w:rPr>
        <w:t> </w:t>
      </w:r>
      <w:r>
        <w:rPr/>
        <w:t>is</w:t>
      </w:r>
      <w:r>
        <w:rPr>
          <w:spacing w:val="22"/>
        </w:rPr>
        <w:t> </w:t>
      </w:r>
      <w:r>
        <w:rPr/>
        <w:t>not</w:t>
      </w:r>
      <w:r>
        <w:rPr>
          <w:spacing w:val="25"/>
        </w:rPr>
        <w:t> </w:t>
      </w:r>
      <w:r>
        <w:rPr/>
        <w:t>a</w:t>
      </w:r>
      <w:r>
        <w:rPr>
          <w:spacing w:val="24"/>
        </w:rPr>
        <w:t> </w:t>
      </w:r>
      <w:r>
        <w:rPr/>
        <w:t>particular</w:t>
      </w:r>
      <w:r>
        <w:rPr>
          <w:spacing w:val="24"/>
        </w:rPr>
        <w:t> </w:t>
      </w:r>
      <w:r>
        <w:rPr/>
        <w:t>different</w:t>
      </w:r>
      <w:r>
        <w:rPr>
          <w:spacing w:val="23"/>
        </w:rPr>
        <w:t> </w:t>
      </w:r>
      <w:r>
        <w:rPr/>
        <w:t>tax.</w:t>
      </w:r>
      <w:r>
        <w:rPr>
          <w:spacing w:val="24"/>
        </w:rPr>
        <w:t> </w:t>
      </w:r>
      <w:r>
        <w:rPr/>
        <w:t>Rather</w:t>
      </w:r>
      <w:r>
        <w:rPr>
          <w:spacing w:val="25"/>
        </w:rPr>
        <w:t> </w:t>
      </w:r>
      <w:r>
        <w:rPr/>
        <w:t>it</w:t>
      </w:r>
      <w:r>
        <w:rPr>
          <w:spacing w:val="31"/>
        </w:rPr>
        <w:t> </w:t>
      </w:r>
      <w:r>
        <w:rPr/>
        <w:t>is</w:t>
      </w:r>
      <w:r>
        <w:rPr>
          <w:spacing w:val="30"/>
        </w:rPr>
        <w:t> </w:t>
      </w:r>
      <w:r>
        <w:rPr/>
        <w:t>a</w:t>
      </w:r>
      <w:r>
        <w:rPr>
          <w:spacing w:val="28"/>
        </w:rPr>
        <w:t> </w:t>
      </w:r>
      <w:r>
        <w:rPr/>
        <w:t>scheme</w:t>
      </w:r>
      <w:r>
        <w:rPr>
          <w:spacing w:val="28"/>
        </w:rPr>
        <w:t> </w:t>
      </w:r>
      <w:r>
        <w:rPr/>
        <w:t>of</w:t>
      </w:r>
      <w:r>
        <w:rPr>
          <w:spacing w:val="26"/>
        </w:rPr>
        <w:t> </w:t>
      </w:r>
      <w:r>
        <w:rPr/>
        <w:t>advance</w:t>
      </w:r>
      <w:r>
        <w:rPr>
          <w:spacing w:val="28"/>
        </w:rPr>
        <w:t> </w:t>
      </w:r>
      <w:r>
        <w:rPr/>
        <w:t>payment of</w:t>
      </w:r>
      <w:r>
        <w:rPr>
          <w:spacing w:val="75"/>
        </w:rPr>
        <w:t> </w:t>
      </w:r>
      <w:r>
        <w:rPr/>
        <w:t>tax</w:t>
      </w:r>
      <w:r>
        <w:rPr>
          <w:spacing w:val="73"/>
        </w:rPr>
        <w:t> </w:t>
      </w:r>
      <w:r>
        <w:rPr/>
        <w:t>introduced</w:t>
      </w:r>
      <w:r>
        <w:rPr>
          <w:spacing w:val="73"/>
        </w:rPr>
        <w:t> </w:t>
      </w:r>
      <w:r>
        <w:rPr/>
        <w:t>in</w:t>
      </w:r>
      <w:r>
        <w:rPr>
          <w:spacing w:val="73"/>
        </w:rPr>
        <w:t> </w:t>
      </w:r>
      <w:r>
        <w:rPr/>
        <w:t>Nigeria</w:t>
      </w:r>
      <w:r>
        <w:rPr>
          <w:spacing w:val="75"/>
        </w:rPr>
        <w:t> </w:t>
      </w:r>
      <w:r>
        <w:rPr/>
        <w:t>under</w:t>
      </w:r>
      <w:r>
        <w:rPr>
          <w:spacing w:val="80"/>
        </w:rPr>
        <w:t> </w:t>
      </w:r>
      <w:r>
        <w:rPr/>
        <w:t>Decree</w:t>
      </w:r>
      <w:r>
        <w:rPr>
          <w:spacing w:val="80"/>
        </w:rPr>
        <w:t> </w:t>
      </w:r>
      <w:r>
        <w:rPr/>
        <w:t>No.</w:t>
      </w:r>
      <w:r>
        <w:rPr>
          <w:spacing w:val="80"/>
        </w:rPr>
        <w:t> </w:t>
      </w:r>
      <w:r>
        <w:rPr/>
        <w:t>4</w:t>
      </w:r>
      <w:r>
        <w:rPr>
          <w:spacing w:val="80"/>
        </w:rPr>
        <w:t> </w:t>
      </w:r>
      <w:r>
        <w:rPr/>
        <w:t>of</w:t>
      </w:r>
      <w:r>
        <w:rPr>
          <w:spacing w:val="80"/>
        </w:rPr>
        <w:t> </w:t>
      </w:r>
      <w:r>
        <w:rPr/>
        <w:t>1985.</w:t>
      </w:r>
      <w:r>
        <w:rPr>
          <w:spacing w:val="80"/>
        </w:rPr>
        <w:t> </w:t>
      </w:r>
      <w:r>
        <w:rPr>
          <w:spacing w:val="9"/>
        </w:rPr>
        <w:t>Under</w:t>
      </w:r>
      <w:r>
        <w:rPr>
          <w:spacing w:val="80"/>
        </w:rPr>
        <w:t> </w:t>
      </w:r>
      <w:r>
        <w:rPr/>
        <w:t>this</w:t>
      </w:r>
      <w:r>
        <w:rPr>
          <w:spacing w:val="80"/>
        </w:rPr>
        <w:t> </w:t>
      </w:r>
      <w:r>
        <w:rPr>
          <w:spacing w:val="9"/>
        </w:rPr>
        <w:t>scheme,</w:t>
      </w:r>
      <w:r>
        <w:rPr>
          <w:spacing w:val="80"/>
        </w:rPr>
        <w:t> </w:t>
      </w:r>
      <w:r>
        <w:rPr/>
        <w:t>the</w:t>
      </w:r>
    </w:p>
    <w:p>
      <w:pPr>
        <w:pStyle w:val="BodyText"/>
        <w:spacing w:before="167"/>
        <w:rPr>
          <w:sz w:val="20"/>
        </w:rPr>
      </w:pPr>
      <w:r>
        <w:rPr/>
        <mc:AlternateContent>
          <mc:Choice Requires="wps">
            <w:drawing>
              <wp:anchor distT="0" distB="0" distL="0" distR="0" allowOverlap="1" layoutInCell="1" locked="0" behindDoc="1" simplePos="0" relativeHeight="487616000">
                <wp:simplePos x="0" y="0"/>
                <wp:positionH relativeFrom="page">
                  <wp:posOffset>914704</wp:posOffset>
                </wp:positionH>
                <wp:positionV relativeFrom="paragraph">
                  <wp:posOffset>267892</wp:posOffset>
                </wp:positionV>
                <wp:extent cx="1829435" cy="9525"/>
                <wp:effectExtent l="0" t="0" r="0" b="0"/>
                <wp:wrapTopAndBottom/>
                <wp:docPr id="60" name="Graphic 60"/>
                <wp:cNvGraphicFramePr>
                  <a:graphicFrameLocks/>
                </wp:cNvGraphicFramePr>
                <a:graphic>
                  <a:graphicData uri="http://schemas.microsoft.com/office/word/2010/wordprocessingShape">
                    <wps:wsp>
                      <wps:cNvPr id="60" name="Graphic 60"/>
                      <wps:cNvSpPr/>
                      <wps:spPr>
                        <a:xfrm>
                          <a:off x="0" y="0"/>
                          <a:ext cx="1829435" cy="9525"/>
                        </a:xfrm>
                        <a:custGeom>
                          <a:avLst/>
                          <a:gdLst/>
                          <a:ahLst/>
                          <a:cxnLst/>
                          <a:rect l="l" t="t" r="r" b="b"/>
                          <a:pathLst>
                            <a:path w="1829435" h="9525">
                              <a:moveTo>
                                <a:pt x="1829054" y="0"/>
                              </a:moveTo>
                              <a:lnTo>
                                <a:pt x="0" y="0"/>
                              </a:lnTo>
                              <a:lnTo>
                                <a:pt x="0" y="9144"/>
                              </a:lnTo>
                              <a:lnTo>
                                <a:pt x="1829054" y="9144"/>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21.093876pt;width:144.020pt;height:.72003pt;mso-position-horizontal-relative:page;mso-position-vertical-relative:paragraph;z-index:-15700480;mso-wrap-distance-left:0;mso-wrap-distance-right:0" id="docshape60" filled="true" fillcolor="#000000" stroked="false">
                <v:fill type="solid"/>
                <w10:wrap type="topAndBottom"/>
              </v:rect>
            </w:pict>
          </mc:Fallback>
        </mc:AlternateContent>
      </w:r>
    </w:p>
    <w:p>
      <w:pPr>
        <w:spacing w:line="243" w:lineRule="exact" w:before="102"/>
        <w:ind w:left="360" w:right="0" w:firstLine="0"/>
        <w:jc w:val="left"/>
        <w:rPr>
          <w:rFonts w:ascii="Calibri"/>
          <w:sz w:val="20"/>
        </w:rPr>
      </w:pPr>
      <w:r>
        <w:rPr>
          <w:rFonts w:ascii="Calibri"/>
          <w:sz w:val="20"/>
          <w:vertAlign w:val="superscript"/>
        </w:rPr>
        <w:t>14</w:t>
      </w:r>
      <w:r>
        <w:rPr>
          <w:rFonts w:ascii="Calibri"/>
          <w:spacing w:val="-5"/>
          <w:sz w:val="20"/>
          <w:vertAlign w:val="baseline"/>
        </w:rPr>
        <w:t> </w:t>
      </w:r>
      <w:r>
        <w:rPr>
          <w:rFonts w:ascii="Calibri"/>
          <w:sz w:val="20"/>
          <w:vertAlign w:val="baseline"/>
        </w:rPr>
        <w:t>Section</w:t>
      </w:r>
      <w:r>
        <w:rPr>
          <w:rFonts w:ascii="Calibri"/>
          <w:spacing w:val="-4"/>
          <w:sz w:val="20"/>
          <w:vertAlign w:val="baseline"/>
        </w:rPr>
        <w:t> </w:t>
      </w:r>
      <w:r>
        <w:rPr>
          <w:rFonts w:ascii="Calibri"/>
          <w:sz w:val="20"/>
          <w:vertAlign w:val="baseline"/>
        </w:rPr>
        <w:t>52</w:t>
      </w:r>
      <w:r>
        <w:rPr>
          <w:rFonts w:ascii="Calibri"/>
          <w:spacing w:val="-4"/>
          <w:sz w:val="20"/>
          <w:vertAlign w:val="baseline"/>
        </w:rPr>
        <w:t> </w:t>
      </w:r>
      <w:r>
        <w:rPr>
          <w:rFonts w:ascii="Calibri"/>
          <w:sz w:val="20"/>
          <w:vertAlign w:val="baseline"/>
        </w:rPr>
        <w:t>(2)</w:t>
      </w:r>
      <w:r>
        <w:rPr>
          <w:rFonts w:ascii="Calibri"/>
          <w:spacing w:val="-5"/>
          <w:sz w:val="20"/>
          <w:vertAlign w:val="baseline"/>
        </w:rPr>
        <w:t> </w:t>
      </w:r>
      <w:r>
        <w:rPr>
          <w:rFonts w:ascii="Calibri"/>
          <w:spacing w:val="-4"/>
          <w:sz w:val="20"/>
          <w:vertAlign w:val="baseline"/>
        </w:rPr>
        <w:t>Ibid</w:t>
      </w:r>
    </w:p>
    <w:p>
      <w:pPr>
        <w:spacing w:line="243" w:lineRule="exact" w:before="0"/>
        <w:ind w:left="360" w:right="0" w:firstLine="0"/>
        <w:jc w:val="left"/>
        <w:rPr>
          <w:rFonts w:ascii="Calibri"/>
          <w:sz w:val="20"/>
        </w:rPr>
      </w:pPr>
      <w:r>
        <w:rPr>
          <w:rFonts w:ascii="Calibri"/>
          <w:sz w:val="20"/>
          <w:vertAlign w:val="superscript"/>
        </w:rPr>
        <w:t>15</w:t>
      </w:r>
      <w:r>
        <w:rPr>
          <w:rFonts w:ascii="Calibri"/>
          <w:spacing w:val="-5"/>
          <w:sz w:val="20"/>
          <w:vertAlign w:val="baseline"/>
        </w:rPr>
        <w:t> </w:t>
      </w:r>
      <w:r>
        <w:rPr>
          <w:rFonts w:ascii="Calibri"/>
          <w:sz w:val="20"/>
          <w:vertAlign w:val="baseline"/>
        </w:rPr>
        <w:t>Section</w:t>
      </w:r>
      <w:r>
        <w:rPr>
          <w:rFonts w:ascii="Calibri"/>
          <w:spacing w:val="-4"/>
          <w:sz w:val="20"/>
          <w:vertAlign w:val="baseline"/>
        </w:rPr>
        <w:t> </w:t>
      </w:r>
      <w:r>
        <w:rPr>
          <w:rFonts w:ascii="Calibri"/>
          <w:sz w:val="20"/>
          <w:vertAlign w:val="baseline"/>
        </w:rPr>
        <w:t>52</w:t>
      </w:r>
      <w:r>
        <w:rPr>
          <w:rFonts w:ascii="Calibri"/>
          <w:spacing w:val="-4"/>
          <w:sz w:val="20"/>
          <w:vertAlign w:val="baseline"/>
        </w:rPr>
        <w:t> </w:t>
      </w:r>
      <w:r>
        <w:rPr>
          <w:rFonts w:ascii="Calibri"/>
          <w:sz w:val="20"/>
          <w:vertAlign w:val="baseline"/>
        </w:rPr>
        <w:t>(3)</w:t>
      </w:r>
      <w:r>
        <w:rPr>
          <w:rFonts w:ascii="Calibri"/>
          <w:spacing w:val="-5"/>
          <w:sz w:val="20"/>
          <w:vertAlign w:val="baseline"/>
        </w:rPr>
        <w:t> </w:t>
      </w:r>
      <w:r>
        <w:rPr>
          <w:rFonts w:ascii="Calibri"/>
          <w:spacing w:val="-4"/>
          <w:sz w:val="20"/>
          <w:vertAlign w:val="baseline"/>
        </w:rPr>
        <w:t>Ibid</w:t>
      </w:r>
    </w:p>
    <w:p>
      <w:pPr>
        <w:spacing w:before="1"/>
        <w:ind w:left="360" w:right="0" w:firstLine="0"/>
        <w:jc w:val="left"/>
        <w:rPr>
          <w:rFonts w:ascii="Calibri"/>
          <w:sz w:val="20"/>
        </w:rPr>
      </w:pPr>
      <w:r>
        <w:rPr>
          <w:rFonts w:ascii="Calibri"/>
          <w:sz w:val="20"/>
          <w:vertAlign w:val="superscript"/>
        </w:rPr>
        <w:t>16</w:t>
      </w:r>
      <w:r>
        <w:rPr>
          <w:rFonts w:ascii="Calibri"/>
          <w:spacing w:val="-5"/>
          <w:sz w:val="20"/>
          <w:vertAlign w:val="baseline"/>
        </w:rPr>
        <w:t> </w:t>
      </w:r>
      <w:r>
        <w:rPr>
          <w:rFonts w:ascii="Calibri"/>
          <w:sz w:val="20"/>
          <w:vertAlign w:val="baseline"/>
        </w:rPr>
        <w:t>Section</w:t>
      </w:r>
      <w:r>
        <w:rPr>
          <w:rFonts w:ascii="Calibri"/>
          <w:spacing w:val="-4"/>
          <w:sz w:val="20"/>
          <w:vertAlign w:val="baseline"/>
        </w:rPr>
        <w:t> </w:t>
      </w:r>
      <w:r>
        <w:rPr>
          <w:rFonts w:ascii="Calibri"/>
          <w:sz w:val="20"/>
          <w:vertAlign w:val="baseline"/>
        </w:rPr>
        <w:t>53</w:t>
      </w:r>
      <w:r>
        <w:rPr>
          <w:rFonts w:ascii="Calibri"/>
          <w:spacing w:val="-4"/>
          <w:sz w:val="20"/>
          <w:vertAlign w:val="baseline"/>
        </w:rPr>
        <w:t> </w:t>
      </w:r>
      <w:r>
        <w:rPr>
          <w:rFonts w:ascii="Calibri"/>
          <w:sz w:val="20"/>
          <w:vertAlign w:val="baseline"/>
        </w:rPr>
        <w:t>(1)</w:t>
      </w:r>
      <w:r>
        <w:rPr>
          <w:rFonts w:ascii="Calibri"/>
          <w:spacing w:val="-5"/>
          <w:sz w:val="20"/>
          <w:vertAlign w:val="baseline"/>
        </w:rPr>
        <w:t> </w:t>
      </w:r>
      <w:r>
        <w:rPr>
          <w:rFonts w:ascii="Calibri"/>
          <w:spacing w:val="-4"/>
          <w:sz w:val="20"/>
          <w:vertAlign w:val="baseline"/>
        </w:rPr>
        <w:t>Ibid</w:t>
      </w:r>
    </w:p>
    <w:p>
      <w:pPr>
        <w:spacing w:after="0"/>
        <w:jc w:val="left"/>
        <w:rPr>
          <w:rFonts w:ascii="Calibri"/>
          <w:sz w:val="20"/>
        </w:rPr>
        <w:sectPr>
          <w:pgSz w:w="11910" w:h="16840"/>
          <w:pgMar w:header="0" w:footer="1000" w:top="1340" w:bottom="1200" w:left="1080" w:right="1280"/>
        </w:sectPr>
      </w:pPr>
    </w:p>
    <w:p>
      <w:pPr>
        <w:pStyle w:val="BodyText"/>
        <w:spacing w:line="480" w:lineRule="auto" w:before="74"/>
        <w:ind w:left="360" w:right="159"/>
        <w:jc w:val="both"/>
      </w:pPr>
      <w:r>
        <w:rPr>
          <w:spacing w:val="9"/>
        </w:rPr>
        <w:t>taxpayer </w:t>
      </w:r>
      <w:r>
        <w:rPr/>
        <w:t>is </w:t>
      </w:r>
      <w:r>
        <w:rPr>
          <w:spacing w:val="10"/>
        </w:rPr>
        <w:t>legally </w:t>
      </w:r>
      <w:r>
        <w:rPr/>
        <w:t>required to claim credit later when completing his tax return for the year.</w:t>
      </w:r>
      <w:r>
        <w:rPr>
          <w:vertAlign w:val="superscript"/>
        </w:rPr>
        <w:t>17</w:t>
      </w:r>
      <w:r>
        <w:rPr>
          <w:vertAlign w:val="baseline"/>
        </w:rPr>
        <w:t> According to the provision of the Act, any person who is required to deduct withholding</w:t>
      </w:r>
      <w:r>
        <w:rPr>
          <w:spacing w:val="40"/>
          <w:vertAlign w:val="baseline"/>
        </w:rPr>
        <w:t> </w:t>
      </w:r>
      <w:r>
        <w:rPr>
          <w:vertAlign w:val="baseline"/>
        </w:rPr>
        <w:t>tax</w:t>
      </w:r>
      <w:r>
        <w:rPr>
          <w:spacing w:val="40"/>
          <w:vertAlign w:val="baseline"/>
        </w:rPr>
        <w:t> </w:t>
      </w:r>
      <w:r>
        <w:rPr>
          <w:vertAlign w:val="baseline"/>
        </w:rPr>
        <w:t>and</w:t>
      </w:r>
      <w:r>
        <w:rPr>
          <w:spacing w:val="40"/>
          <w:vertAlign w:val="baseline"/>
        </w:rPr>
        <w:t> </w:t>
      </w:r>
      <w:r>
        <w:rPr>
          <w:vertAlign w:val="baseline"/>
        </w:rPr>
        <w:t>fails</w:t>
      </w:r>
      <w:r>
        <w:rPr>
          <w:spacing w:val="40"/>
          <w:vertAlign w:val="baseline"/>
        </w:rPr>
        <w:t> </w:t>
      </w:r>
      <w:r>
        <w:rPr>
          <w:vertAlign w:val="baseline"/>
        </w:rPr>
        <w:t>to</w:t>
      </w:r>
      <w:r>
        <w:rPr>
          <w:spacing w:val="40"/>
          <w:vertAlign w:val="baseline"/>
        </w:rPr>
        <w:t> </w:t>
      </w:r>
      <w:r>
        <w:rPr>
          <w:vertAlign w:val="baseline"/>
        </w:rPr>
        <w:t>deduct</w:t>
      </w:r>
      <w:r>
        <w:rPr>
          <w:spacing w:val="40"/>
          <w:vertAlign w:val="baseline"/>
        </w:rPr>
        <w:t> </w:t>
      </w:r>
      <w:r>
        <w:rPr>
          <w:vertAlign w:val="baseline"/>
        </w:rPr>
        <w:t>&amp;r</w:t>
      </w:r>
      <w:r>
        <w:rPr>
          <w:spacing w:val="40"/>
          <w:vertAlign w:val="baseline"/>
        </w:rPr>
        <w:t> </w:t>
      </w:r>
      <w:r>
        <w:rPr>
          <w:vertAlign w:val="baseline"/>
        </w:rPr>
        <w:t>remit</w:t>
      </w:r>
      <w:r>
        <w:rPr>
          <w:spacing w:val="40"/>
          <w:vertAlign w:val="baseline"/>
        </w:rPr>
        <w:t> </w:t>
      </w:r>
      <w:r>
        <w:rPr>
          <w:vertAlign w:val="baseline"/>
        </w:rPr>
        <w:t>the</w:t>
      </w:r>
      <w:r>
        <w:rPr>
          <w:spacing w:val="40"/>
          <w:vertAlign w:val="baseline"/>
        </w:rPr>
        <w:t> </w:t>
      </w:r>
      <w:r>
        <w:rPr>
          <w:vertAlign w:val="baseline"/>
        </w:rPr>
        <w:t>deducted</w:t>
      </w:r>
      <w:r>
        <w:rPr>
          <w:spacing w:val="40"/>
          <w:vertAlign w:val="baseline"/>
        </w:rPr>
        <w:t> </w:t>
      </w:r>
      <w:r>
        <w:rPr>
          <w:vertAlign w:val="baseline"/>
        </w:rPr>
        <w:t>amount</w:t>
      </w:r>
      <w:r>
        <w:rPr>
          <w:spacing w:val="40"/>
          <w:vertAlign w:val="baseline"/>
        </w:rPr>
        <w:t> </w:t>
      </w:r>
      <w:r>
        <w:rPr>
          <w:vertAlign w:val="baseline"/>
        </w:rPr>
        <w:t>to</w:t>
      </w:r>
      <w:r>
        <w:rPr>
          <w:spacing w:val="40"/>
          <w:vertAlign w:val="baseline"/>
        </w:rPr>
        <w:t> </w:t>
      </w:r>
      <w:r>
        <w:rPr>
          <w:vertAlign w:val="baseline"/>
        </w:rPr>
        <w:t>the</w:t>
      </w:r>
      <w:r>
        <w:rPr>
          <w:spacing w:val="40"/>
          <w:vertAlign w:val="baseline"/>
        </w:rPr>
        <w:t> </w:t>
      </w:r>
      <w:r>
        <w:rPr>
          <w:vertAlign w:val="baseline"/>
        </w:rPr>
        <w:t>FBIR</w:t>
      </w:r>
      <w:r>
        <w:rPr>
          <w:spacing w:val="40"/>
          <w:vertAlign w:val="baseline"/>
        </w:rPr>
        <w:t> </w:t>
      </w:r>
      <w:r>
        <w:rPr>
          <w:vertAlign w:val="baseline"/>
        </w:rPr>
        <w:t>within thirty</w:t>
      </w:r>
      <w:r>
        <w:rPr>
          <w:spacing w:val="40"/>
          <w:vertAlign w:val="baseline"/>
        </w:rPr>
        <w:t> </w:t>
      </w:r>
      <w:r>
        <w:rPr>
          <w:vertAlign w:val="baseline"/>
        </w:rPr>
        <w:t>days</w:t>
      </w:r>
      <w:r>
        <w:rPr>
          <w:spacing w:val="80"/>
          <w:vertAlign w:val="baseline"/>
        </w:rPr>
        <w:t>  </w:t>
      </w:r>
      <w:r>
        <w:rPr>
          <w:vertAlign w:val="baseline"/>
        </w:rPr>
        <w:t>from</w:t>
      </w:r>
      <w:r>
        <w:rPr>
          <w:spacing w:val="40"/>
          <w:vertAlign w:val="baseline"/>
        </w:rPr>
        <w:t> </w:t>
      </w:r>
      <w:r>
        <w:rPr>
          <w:vertAlign w:val="baseline"/>
        </w:rPr>
        <w:t>the</w:t>
      </w:r>
      <w:r>
        <w:rPr>
          <w:spacing w:val="40"/>
          <w:vertAlign w:val="baseline"/>
        </w:rPr>
        <w:t> </w:t>
      </w:r>
      <w:r>
        <w:rPr>
          <w:vertAlign w:val="baseline"/>
        </w:rPr>
        <w:t>time</w:t>
      </w:r>
      <w:r>
        <w:rPr>
          <w:spacing w:val="40"/>
          <w:vertAlign w:val="baseline"/>
        </w:rPr>
        <w:t> </w:t>
      </w:r>
      <w:r>
        <w:rPr>
          <w:vertAlign w:val="baseline"/>
        </w:rPr>
        <w:t>of</w:t>
      </w:r>
      <w:r>
        <w:rPr>
          <w:spacing w:val="40"/>
          <w:vertAlign w:val="baseline"/>
        </w:rPr>
        <w:t> </w:t>
      </w:r>
      <w:r>
        <w:rPr>
          <w:spacing w:val="10"/>
          <w:vertAlign w:val="baseline"/>
        </w:rPr>
        <w:t>deduction,</w:t>
      </w:r>
      <w:r>
        <w:rPr>
          <w:spacing w:val="40"/>
          <w:vertAlign w:val="baseline"/>
        </w:rPr>
        <w:t> </w:t>
      </w:r>
      <w:r>
        <w:rPr>
          <w:vertAlign w:val="baseline"/>
        </w:rPr>
        <w:t>shall</w:t>
      </w:r>
      <w:r>
        <w:rPr>
          <w:spacing w:val="40"/>
          <w:vertAlign w:val="baseline"/>
        </w:rPr>
        <w:t> </w:t>
      </w:r>
      <w:r>
        <w:rPr>
          <w:vertAlign w:val="baseline"/>
        </w:rPr>
        <w:t>be</w:t>
      </w:r>
      <w:r>
        <w:rPr>
          <w:spacing w:val="40"/>
          <w:vertAlign w:val="baseline"/>
        </w:rPr>
        <w:t> </w:t>
      </w:r>
      <w:r>
        <w:rPr>
          <w:spacing w:val="10"/>
          <w:vertAlign w:val="baseline"/>
        </w:rPr>
        <w:t>guilty</w:t>
      </w:r>
      <w:r>
        <w:rPr>
          <w:spacing w:val="40"/>
          <w:vertAlign w:val="baseline"/>
        </w:rPr>
        <w:t> </w:t>
      </w:r>
      <w:r>
        <w:rPr>
          <w:vertAlign w:val="baseline"/>
        </w:rPr>
        <w:t>of</w:t>
      </w:r>
      <w:r>
        <w:rPr>
          <w:spacing w:val="40"/>
          <w:vertAlign w:val="baseline"/>
        </w:rPr>
        <w:t> </w:t>
      </w:r>
      <w:r>
        <w:rPr>
          <w:vertAlign w:val="baseline"/>
        </w:rPr>
        <w:t>an</w:t>
      </w:r>
      <w:r>
        <w:rPr>
          <w:spacing w:val="40"/>
          <w:vertAlign w:val="baseline"/>
        </w:rPr>
        <w:t> </w:t>
      </w:r>
      <w:r>
        <w:rPr>
          <w:spacing w:val="9"/>
          <w:vertAlign w:val="baseline"/>
        </w:rPr>
        <w:t>offence.</w:t>
      </w:r>
      <w:r>
        <w:rPr>
          <w:spacing w:val="40"/>
          <w:vertAlign w:val="baseline"/>
        </w:rPr>
        <w:t> </w:t>
      </w:r>
      <w:r>
        <w:rPr>
          <w:vertAlign w:val="baseline"/>
        </w:rPr>
        <w:t>On</w:t>
      </w:r>
      <w:r>
        <w:rPr>
          <w:spacing w:val="40"/>
          <w:vertAlign w:val="baseline"/>
        </w:rPr>
        <w:t> </w:t>
      </w:r>
      <w:r>
        <w:rPr>
          <w:spacing w:val="10"/>
          <w:vertAlign w:val="baseline"/>
        </w:rPr>
        <w:t>conviction,</w:t>
      </w:r>
      <w:r>
        <w:rPr>
          <w:spacing w:val="61"/>
          <w:vertAlign w:val="baseline"/>
        </w:rPr>
        <w:t> </w:t>
      </w:r>
      <w:r>
        <w:rPr>
          <w:vertAlign w:val="baseline"/>
        </w:rPr>
        <w:t>he</w:t>
      </w:r>
      <w:r>
        <w:rPr>
          <w:spacing w:val="60"/>
          <w:vertAlign w:val="baseline"/>
        </w:rPr>
        <w:t> </w:t>
      </w:r>
      <w:r>
        <w:rPr>
          <w:vertAlign w:val="baseline"/>
        </w:rPr>
        <w:t>shall</w:t>
      </w:r>
      <w:r>
        <w:rPr>
          <w:spacing w:val="69"/>
          <w:vertAlign w:val="baseline"/>
        </w:rPr>
        <w:t> </w:t>
      </w:r>
      <w:r>
        <w:rPr>
          <w:vertAlign w:val="baseline"/>
        </w:rPr>
        <w:t>consequently</w:t>
      </w:r>
      <w:r>
        <w:rPr>
          <w:spacing w:val="40"/>
          <w:vertAlign w:val="baseline"/>
        </w:rPr>
        <w:t> </w:t>
      </w:r>
      <w:r>
        <w:rPr>
          <w:vertAlign w:val="baseline"/>
        </w:rPr>
        <w:t>be</w:t>
      </w:r>
      <w:r>
        <w:rPr>
          <w:spacing w:val="40"/>
          <w:vertAlign w:val="baseline"/>
        </w:rPr>
        <w:t> </w:t>
      </w:r>
      <w:r>
        <w:rPr>
          <w:vertAlign w:val="baseline"/>
        </w:rPr>
        <w:t>liable</w:t>
      </w:r>
      <w:r>
        <w:rPr>
          <w:spacing w:val="40"/>
          <w:vertAlign w:val="baseline"/>
        </w:rPr>
        <w:t> </w:t>
      </w:r>
      <w:r>
        <w:rPr>
          <w:vertAlign w:val="baseline"/>
        </w:rPr>
        <w:t>to</w:t>
      </w:r>
      <w:r>
        <w:rPr>
          <w:spacing w:val="40"/>
          <w:vertAlign w:val="baseline"/>
        </w:rPr>
        <w:t> </w:t>
      </w:r>
      <w:r>
        <w:rPr>
          <w:vertAlign w:val="baseline"/>
        </w:rPr>
        <w:t>a</w:t>
      </w:r>
      <w:r>
        <w:rPr>
          <w:spacing w:val="40"/>
          <w:vertAlign w:val="baseline"/>
        </w:rPr>
        <w:t> </w:t>
      </w:r>
      <w:r>
        <w:rPr>
          <w:vertAlign w:val="baseline"/>
        </w:rPr>
        <w:t>fine</w:t>
      </w:r>
      <w:r>
        <w:rPr>
          <w:spacing w:val="40"/>
          <w:vertAlign w:val="baseline"/>
        </w:rPr>
        <w:t> </w:t>
      </w:r>
      <w:r>
        <w:rPr>
          <w:vertAlign w:val="baseline"/>
        </w:rPr>
        <w:t>of</w:t>
      </w:r>
      <w:r>
        <w:rPr>
          <w:spacing w:val="40"/>
          <w:vertAlign w:val="baseline"/>
        </w:rPr>
        <w:t> </w:t>
      </w:r>
      <w:r>
        <w:rPr>
          <w:vertAlign w:val="baseline"/>
        </w:rPr>
        <w:t>200%</w:t>
      </w:r>
      <w:r>
        <w:rPr>
          <w:spacing w:val="40"/>
          <w:vertAlign w:val="baseline"/>
        </w:rPr>
        <w:t> </w:t>
      </w:r>
      <w:r>
        <w:rPr>
          <w:vertAlign w:val="baseline"/>
        </w:rPr>
        <w:t>of</w:t>
      </w:r>
      <w:r>
        <w:rPr>
          <w:spacing w:val="40"/>
          <w:vertAlign w:val="baseline"/>
        </w:rPr>
        <w:t> </w:t>
      </w:r>
      <w:r>
        <w:rPr>
          <w:vertAlign w:val="baseline"/>
        </w:rPr>
        <w:t>the</w:t>
      </w:r>
      <w:r>
        <w:rPr>
          <w:spacing w:val="40"/>
          <w:vertAlign w:val="baseline"/>
        </w:rPr>
        <w:t> </w:t>
      </w:r>
      <w:r>
        <w:rPr>
          <w:vertAlign w:val="baseline"/>
        </w:rPr>
        <w:t>tax</w:t>
      </w:r>
      <w:r>
        <w:rPr>
          <w:spacing w:val="40"/>
          <w:vertAlign w:val="baseline"/>
        </w:rPr>
        <w:t> </w:t>
      </w:r>
      <w:r>
        <w:rPr>
          <w:vertAlign w:val="baseline"/>
        </w:rPr>
        <w:t>not</w:t>
      </w:r>
      <w:r>
        <w:rPr>
          <w:spacing w:val="40"/>
          <w:vertAlign w:val="baseline"/>
        </w:rPr>
        <w:t> </w:t>
      </w:r>
      <w:r>
        <w:rPr>
          <w:vertAlign w:val="baseline"/>
        </w:rPr>
        <w:t>withhold or</w:t>
      </w:r>
      <w:r>
        <w:rPr>
          <w:spacing w:val="40"/>
          <w:vertAlign w:val="baseline"/>
        </w:rPr>
        <w:t> </w:t>
      </w:r>
      <w:r>
        <w:rPr>
          <w:vertAlign w:val="baseline"/>
        </w:rPr>
        <w:t>remitted</w:t>
      </w:r>
      <w:r>
        <w:rPr>
          <w:spacing w:val="40"/>
          <w:vertAlign w:val="baseline"/>
        </w:rPr>
        <w:t> </w:t>
      </w:r>
      <w:r>
        <w:rPr>
          <w:vertAlign w:val="baseline"/>
        </w:rPr>
        <w:t>plus</w:t>
      </w:r>
      <w:r>
        <w:rPr>
          <w:spacing w:val="40"/>
          <w:vertAlign w:val="baseline"/>
        </w:rPr>
        <w:t> </w:t>
      </w:r>
      <w:r>
        <w:rPr>
          <w:vertAlign w:val="baseline"/>
        </w:rPr>
        <w:t>interest</w:t>
      </w:r>
      <w:r>
        <w:rPr>
          <w:spacing w:val="40"/>
          <w:vertAlign w:val="baseline"/>
        </w:rPr>
        <w:t> </w:t>
      </w:r>
      <w:r>
        <w:rPr>
          <w:vertAlign w:val="baseline"/>
        </w:rPr>
        <w:t>at</w:t>
      </w:r>
      <w:r>
        <w:rPr>
          <w:spacing w:val="40"/>
          <w:vertAlign w:val="baseline"/>
        </w:rPr>
        <w:t> </w:t>
      </w:r>
      <w:r>
        <w:rPr>
          <w:vertAlign w:val="baseline"/>
        </w:rPr>
        <w:t>the</w:t>
      </w:r>
      <w:r>
        <w:rPr>
          <w:spacing w:val="40"/>
          <w:vertAlign w:val="baseline"/>
        </w:rPr>
        <w:t> </w:t>
      </w:r>
      <w:r>
        <w:rPr>
          <w:vertAlign w:val="baseline"/>
        </w:rPr>
        <w:t>prevailing</w:t>
      </w:r>
      <w:r>
        <w:rPr>
          <w:spacing w:val="40"/>
          <w:vertAlign w:val="baseline"/>
        </w:rPr>
        <w:t> </w:t>
      </w:r>
      <w:r>
        <w:rPr>
          <w:vertAlign w:val="baseline"/>
        </w:rPr>
        <w:t>commercial</w:t>
      </w:r>
      <w:r>
        <w:rPr>
          <w:spacing w:val="40"/>
          <w:vertAlign w:val="baseline"/>
        </w:rPr>
        <w:t> </w:t>
      </w:r>
      <w:r>
        <w:rPr>
          <w:vertAlign w:val="baseline"/>
        </w:rPr>
        <w:t>rate.</w:t>
      </w:r>
      <w:r>
        <w:rPr>
          <w:spacing w:val="-15"/>
          <w:vertAlign w:val="baseline"/>
        </w:rPr>
        <w:t> </w:t>
      </w:r>
      <w:r>
        <w:rPr>
          <w:vertAlign w:val="superscript"/>
        </w:rPr>
        <w:t>18</w:t>
      </w:r>
      <w:r>
        <w:rPr>
          <w:vertAlign w:val="baseline"/>
        </w:rPr>
        <w:t> The</w:t>
      </w:r>
      <w:r>
        <w:rPr>
          <w:spacing w:val="40"/>
          <w:vertAlign w:val="baseline"/>
        </w:rPr>
        <w:t> </w:t>
      </w:r>
      <w:r>
        <w:rPr>
          <w:vertAlign w:val="baseline"/>
        </w:rPr>
        <w:t>relevant</w:t>
      </w:r>
      <w:r>
        <w:rPr>
          <w:spacing w:val="40"/>
          <w:vertAlign w:val="baseline"/>
        </w:rPr>
        <w:t> </w:t>
      </w:r>
      <w:r>
        <w:rPr>
          <w:vertAlign w:val="baseline"/>
        </w:rPr>
        <w:t>tax</w:t>
      </w:r>
      <w:r>
        <w:rPr>
          <w:spacing w:val="40"/>
          <w:vertAlign w:val="baseline"/>
        </w:rPr>
        <w:t> </w:t>
      </w:r>
      <w:r>
        <w:rPr>
          <w:vertAlign w:val="baseline"/>
        </w:rPr>
        <w:t>authority shall</w:t>
      </w:r>
      <w:r>
        <w:rPr>
          <w:spacing w:val="40"/>
          <w:vertAlign w:val="baseline"/>
        </w:rPr>
        <w:t> </w:t>
      </w:r>
      <w:r>
        <w:rPr>
          <w:vertAlign w:val="baseline"/>
        </w:rPr>
        <w:t>cause to</w:t>
      </w:r>
      <w:r>
        <w:rPr>
          <w:spacing w:val="38"/>
          <w:vertAlign w:val="baseline"/>
        </w:rPr>
        <w:t> </w:t>
      </w:r>
      <w:r>
        <w:rPr>
          <w:vertAlign w:val="baseline"/>
        </w:rPr>
        <w:t>be</w:t>
      </w:r>
      <w:r>
        <w:rPr>
          <w:spacing w:val="40"/>
          <w:vertAlign w:val="baseline"/>
        </w:rPr>
        <w:t> </w:t>
      </w:r>
      <w:r>
        <w:rPr>
          <w:vertAlign w:val="baseline"/>
        </w:rPr>
        <w:t>served</w:t>
      </w:r>
      <w:r>
        <w:rPr>
          <w:spacing w:val="40"/>
          <w:vertAlign w:val="baseline"/>
        </w:rPr>
        <w:t> </w:t>
      </w:r>
      <w:r>
        <w:rPr>
          <w:vertAlign w:val="baseline"/>
        </w:rPr>
        <w:t>on</w:t>
      </w:r>
      <w:r>
        <w:rPr>
          <w:spacing w:val="38"/>
          <w:vertAlign w:val="baseline"/>
        </w:rPr>
        <w:t> </w:t>
      </w:r>
      <w:r>
        <w:rPr>
          <w:vertAlign w:val="baseline"/>
        </w:rPr>
        <w:t>or</w:t>
      </w:r>
      <w:r>
        <w:rPr>
          <w:spacing w:val="38"/>
          <w:vertAlign w:val="baseline"/>
        </w:rPr>
        <w:t> </w:t>
      </w:r>
      <w:r>
        <w:rPr>
          <w:vertAlign w:val="baseline"/>
        </w:rPr>
        <w:t>sent</w:t>
      </w:r>
      <w:r>
        <w:rPr>
          <w:spacing w:val="39"/>
          <w:vertAlign w:val="baseline"/>
        </w:rPr>
        <w:t> </w:t>
      </w:r>
      <w:r>
        <w:rPr>
          <w:vertAlign w:val="baseline"/>
        </w:rPr>
        <w:t>by registeredpost,</w:t>
      </w:r>
      <w:r>
        <w:rPr>
          <w:spacing w:val="40"/>
          <w:vertAlign w:val="baseline"/>
        </w:rPr>
        <w:t> </w:t>
      </w:r>
      <w:r>
        <w:rPr>
          <w:vertAlign w:val="baseline"/>
        </w:rPr>
        <w:t>to</w:t>
      </w:r>
      <w:r>
        <w:rPr>
          <w:spacing w:val="40"/>
          <w:vertAlign w:val="baseline"/>
        </w:rPr>
        <w:t> </w:t>
      </w:r>
      <w:r>
        <w:rPr>
          <w:vertAlign w:val="baseline"/>
        </w:rPr>
        <w:t>any</w:t>
      </w:r>
      <w:r>
        <w:rPr>
          <w:spacing w:val="40"/>
          <w:vertAlign w:val="baseline"/>
        </w:rPr>
        <w:t> </w:t>
      </w:r>
      <w:r>
        <w:rPr>
          <w:vertAlign w:val="baseline"/>
        </w:rPr>
        <w:t>person</w:t>
      </w:r>
      <w:r>
        <w:rPr>
          <w:spacing w:val="40"/>
          <w:vertAlign w:val="baseline"/>
        </w:rPr>
        <w:t> </w:t>
      </w:r>
      <w:r>
        <w:rPr>
          <w:vertAlign w:val="baseline"/>
        </w:rPr>
        <w:t>fails</w:t>
      </w:r>
      <w:r>
        <w:rPr>
          <w:spacing w:val="40"/>
          <w:vertAlign w:val="baseline"/>
        </w:rPr>
        <w:t> </w:t>
      </w:r>
      <w:r>
        <w:rPr>
          <w:vertAlign w:val="baseline"/>
        </w:rPr>
        <w:t>to</w:t>
      </w:r>
      <w:r>
        <w:rPr>
          <w:spacing w:val="40"/>
          <w:vertAlign w:val="baseline"/>
        </w:rPr>
        <w:t> </w:t>
      </w:r>
      <w:r>
        <w:rPr>
          <w:vertAlign w:val="baseline"/>
        </w:rPr>
        <w:t>withhold</w:t>
      </w:r>
      <w:r>
        <w:rPr>
          <w:spacing w:val="40"/>
          <w:vertAlign w:val="baseline"/>
        </w:rPr>
        <w:t> </w:t>
      </w:r>
      <w:r>
        <w:rPr>
          <w:vertAlign w:val="baseline"/>
        </w:rPr>
        <w:t>or remit,</w:t>
      </w:r>
      <w:r>
        <w:rPr>
          <w:spacing w:val="40"/>
          <w:vertAlign w:val="baseline"/>
        </w:rPr>
        <w:t> </w:t>
      </w:r>
      <w:r>
        <w:rPr>
          <w:vertAlign w:val="baseline"/>
        </w:rPr>
        <w:t>a</w:t>
      </w:r>
      <w:r>
        <w:rPr>
          <w:spacing w:val="40"/>
          <w:vertAlign w:val="baseline"/>
        </w:rPr>
        <w:t> </w:t>
      </w:r>
      <w:r>
        <w:rPr>
          <w:vertAlign w:val="baseline"/>
        </w:rPr>
        <w:t>-notice</w:t>
      </w:r>
      <w:r>
        <w:rPr>
          <w:spacing w:val="40"/>
          <w:vertAlign w:val="baseline"/>
        </w:rPr>
        <w:t> </w:t>
      </w:r>
      <w:r>
        <w:rPr>
          <w:vertAlign w:val="baseline"/>
        </w:rPr>
        <w:t>stating</w:t>
      </w:r>
      <w:r>
        <w:rPr>
          <w:spacing w:val="40"/>
          <w:vertAlign w:val="baseline"/>
        </w:rPr>
        <w:t> </w:t>
      </w:r>
      <w:r>
        <w:rPr>
          <w:vertAlign w:val="baseline"/>
        </w:rPr>
        <w:t>the</w:t>
      </w:r>
      <w:r>
        <w:rPr>
          <w:spacing w:val="40"/>
          <w:vertAlign w:val="baseline"/>
        </w:rPr>
        <w:t> </w:t>
      </w:r>
      <w:r>
        <w:rPr>
          <w:vertAlign w:val="baseline"/>
        </w:rPr>
        <w:t>amount</w:t>
      </w:r>
      <w:r>
        <w:rPr>
          <w:spacing w:val="40"/>
          <w:vertAlign w:val="baseline"/>
        </w:rPr>
        <w:t> </w:t>
      </w:r>
      <w:r>
        <w:rPr>
          <w:vertAlign w:val="baseline"/>
        </w:rPr>
        <w:t>of</w:t>
      </w:r>
      <w:r>
        <w:rPr>
          <w:spacing w:val="40"/>
          <w:vertAlign w:val="baseline"/>
        </w:rPr>
        <w:t> </w:t>
      </w:r>
      <w:r>
        <w:rPr>
          <w:vertAlign w:val="baseline"/>
        </w:rPr>
        <w:t>tax</w:t>
      </w:r>
      <w:r>
        <w:rPr>
          <w:spacing w:val="40"/>
          <w:vertAlign w:val="baseline"/>
        </w:rPr>
        <w:t> </w:t>
      </w:r>
      <w:r>
        <w:rPr>
          <w:vertAlign w:val="baseline"/>
        </w:rPr>
        <w:t>not withheld</w:t>
      </w:r>
      <w:r>
        <w:rPr>
          <w:spacing w:val="40"/>
          <w:vertAlign w:val="baseline"/>
        </w:rPr>
        <w:t> </w:t>
      </w:r>
      <w:r>
        <w:rPr>
          <w:vertAlign w:val="baseline"/>
        </w:rPr>
        <w:t>or</w:t>
      </w:r>
      <w:r>
        <w:rPr>
          <w:spacing w:val="40"/>
          <w:vertAlign w:val="baseline"/>
        </w:rPr>
        <w:t> </w:t>
      </w:r>
      <w:r>
        <w:rPr>
          <w:vertAlign w:val="baseline"/>
        </w:rPr>
        <w:t>not</w:t>
      </w:r>
      <w:r>
        <w:rPr>
          <w:spacing w:val="40"/>
          <w:vertAlign w:val="baseline"/>
        </w:rPr>
        <w:t> </w:t>
      </w:r>
      <w:r>
        <w:rPr>
          <w:vertAlign w:val="baseline"/>
        </w:rPr>
        <w:t>remitted,</w:t>
      </w:r>
      <w:r>
        <w:rPr>
          <w:spacing w:val="40"/>
          <w:vertAlign w:val="baseline"/>
        </w:rPr>
        <w:t> </w:t>
      </w:r>
      <w:r>
        <w:rPr>
          <w:vertAlign w:val="baseline"/>
        </w:rPr>
        <w:t>and</w:t>
      </w:r>
      <w:r>
        <w:rPr>
          <w:spacing w:val="40"/>
          <w:vertAlign w:val="baseline"/>
        </w:rPr>
        <w:t> </w:t>
      </w:r>
      <w:r>
        <w:rPr>
          <w:vertAlign w:val="baseline"/>
        </w:rPr>
        <w:t>the</w:t>
      </w:r>
      <w:r>
        <w:rPr>
          <w:spacing w:val="40"/>
          <w:vertAlign w:val="baseline"/>
        </w:rPr>
        <w:t> </w:t>
      </w:r>
      <w:r>
        <w:rPr>
          <w:vertAlign w:val="baseline"/>
        </w:rPr>
        <w:t>place</w:t>
      </w:r>
      <w:r>
        <w:rPr>
          <w:spacing w:val="40"/>
          <w:vertAlign w:val="baseline"/>
        </w:rPr>
        <w:t> </w:t>
      </w:r>
      <w:r>
        <w:rPr>
          <w:vertAlign w:val="baseline"/>
        </w:rPr>
        <w:t>at which</w:t>
      </w:r>
      <w:r>
        <w:rPr>
          <w:spacing w:val="40"/>
          <w:vertAlign w:val="baseline"/>
        </w:rPr>
        <w:t> </w:t>
      </w:r>
      <w:r>
        <w:rPr>
          <w:vertAlign w:val="baseline"/>
        </w:rPr>
        <w:t>payment should be made.</w:t>
      </w:r>
      <w:r>
        <w:rPr>
          <w:vertAlign w:val="superscript"/>
        </w:rPr>
        <w:t>19</w:t>
      </w:r>
    </w:p>
    <w:p>
      <w:pPr>
        <w:pStyle w:val="BodyText"/>
        <w:spacing w:line="480" w:lineRule="auto" w:before="1"/>
        <w:ind w:left="360" w:right="162" w:firstLine="719"/>
        <w:jc w:val="both"/>
      </w:pPr>
      <w:r>
        <w:rPr/>
        <w:t>It should be observed that the Board has a number of discretions to exercise in connection</w:t>
      </w:r>
      <w:r>
        <w:rPr>
          <w:spacing w:val="37"/>
        </w:rPr>
        <w:t> </w:t>
      </w:r>
      <w:r>
        <w:rPr/>
        <w:t>with</w:t>
      </w:r>
      <w:r>
        <w:rPr>
          <w:spacing w:val="33"/>
        </w:rPr>
        <w:t> </w:t>
      </w:r>
      <w:r>
        <w:rPr/>
        <w:t>the</w:t>
      </w:r>
      <w:r>
        <w:rPr>
          <w:spacing w:val="36"/>
        </w:rPr>
        <w:t> </w:t>
      </w:r>
      <w:r>
        <w:rPr/>
        <w:t>offences</w:t>
      </w:r>
      <w:r>
        <w:rPr>
          <w:spacing w:val="33"/>
        </w:rPr>
        <w:t> </w:t>
      </w:r>
      <w:r>
        <w:rPr/>
        <w:t>and</w:t>
      </w:r>
      <w:r>
        <w:rPr>
          <w:spacing w:val="33"/>
        </w:rPr>
        <w:t> </w:t>
      </w:r>
      <w:r>
        <w:rPr/>
        <w:t>penalties.It</w:t>
      </w:r>
      <w:r>
        <w:rPr>
          <w:spacing w:val="40"/>
        </w:rPr>
        <w:t> </w:t>
      </w:r>
      <w:r>
        <w:rPr/>
        <w:t>has</w:t>
      </w:r>
      <w:r>
        <w:rPr>
          <w:spacing w:val="37"/>
        </w:rPr>
        <w:t> </w:t>
      </w:r>
      <w:r>
        <w:rPr/>
        <w:t>the</w:t>
      </w:r>
      <w:r>
        <w:rPr>
          <w:spacing w:val="38"/>
        </w:rPr>
        <w:t> </w:t>
      </w:r>
      <w:r>
        <w:rPr/>
        <w:t>power</w:t>
      </w:r>
      <w:r>
        <w:rPr>
          <w:spacing w:val="36"/>
        </w:rPr>
        <w:t> </w:t>
      </w:r>
      <w:r>
        <w:rPr/>
        <w:t>to</w:t>
      </w:r>
      <w:r>
        <w:rPr>
          <w:spacing w:val="39"/>
        </w:rPr>
        <w:t> </w:t>
      </w:r>
      <w:r>
        <w:rPr/>
        <w:t>compound</w:t>
      </w:r>
      <w:r>
        <w:rPr>
          <w:spacing w:val="37"/>
        </w:rPr>
        <w:t> </w:t>
      </w:r>
      <w:r>
        <w:rPr/>
        <w:t>offence.</w:t>
      </w:r>
      <w:r>
        <w:rPr>
          <w:spacing w:val="40"/>
        </w:rPr>
        <w:t> </w:t>
      </w:r>
      <w:r>
        <w:rPr/>
        <w:t>It</w:t>
      </w:r>
      <w:r>
        <w:rPr>
          <w:spacing w:val="40"/>
        </w:rPr>
        <w:t> </w:t>
      </w:r>
      <w:r>
        <w:rPr/>
        <w:t>also has</w:t>
      </w:r>
      <w:r>
        <w:rPr>
          <w:spacing w:val="40"/>
        </w:rPr>
        <w:t> </w:t>
      </w:r>
      <w:r>
        <w:rPr/>
        <w:t>a</w:t>
      </w:r>
      <w:r>
        <w:rPr>
          <w:spacing w:val="40"/>
        </w:rPr>
        <w:t> </w:t>
      </w:r>
      <w:r>
        <w:rPr/>
        <w:t>power</w:t>
      </w:r>
      <w:r>
        <w:rPr>
          <w:spacing w:val="40"/>
        </w:rPr>
        <w:t> </w:t>
      </w:r>
      <w:r>
        <w:rPr/>
        <w:t>in</w:t>
      </w:r>
      <w:r>
        <w:rPr>
          <w:spacing w:val="40"/>
        </w:rPr>
        <w:t> </w:t>
      </w:r>
      <w:r>
        <w:rPr/>
        <w:t>its</w:t>
      </w:r>
      <w:r>
        <w:rPr>
          <w:spacing w:val="40"/>
        </w:rPr>
        <w:t> </w:t>
      </w:r>
      <w:r>
        <w:rPr/>
        <w:t>discretion</w:t>
      </w:r>
      <w:r>
        <w:rPr>
          <w:spacing w:val="40"/>
        </w:rPr>
        <w:t> </w:t>
      </w:r>
      <w:r>
        <w:rPr/>
        <w:t>to</w:t>
      </w:r>
      <w:r>
        <w:rPr>
          <w:spacing w:val="40"/>
        </w:rPr>
        <w:t> </w:t>
      </w:r>
      <w:r>
        <w:rPr/>
        <w:t>stay</w:t>
      </w:r>
      <w:r>
        <w:rPr>
          <w:spacing w:val="40"/>
        </w:rPr>
        <w:t> </w:t>
      </w:r>
      <w:r>
        <w:rPr/>
        <w:t>proceeding</w:t>
      </w:r>
      <w:r>
        <w:rPr>
          <w:spacing w:val="40"/>
        </w:rPr>
        <w:t> </w:t>
      </w:r>
      <w:r>
        <w:rPr/>
        <w:t>as</w:t>
      </w:r>
      <w:r>
        <w:rPr>
          <w:spacing w:val="40"/>
        </w:rPr>
        <w:t> </w:t>
      </w:r>
      <w:r>
        <w:rPr/>
        <w:t>well</w:t>
      </w:r>
      <w:r>
        <w:rPr>
          <w:spacing w:val="40"/>
        </w:rPr>
        <w:t> </w:t>
      </w:r>
      <w:r>
        <w:rPr/>
        <w:t>as</w:t>
      </w:r>
      <w:r>
        <w:rPr>
          <w:spacing w:val="40"/>
        </w:rPr>
        <w:t> </w:t>
      </w:r>
      <w:r>
        <w:rPr/>
        <w:t>compounding</w:t>
      </w:r>
      <w:r>
        <w:rPr>
          <w:spacing w:val="40"/>
        </w:rPr>
        <w:t> </w:t>
      </w:r>
      <w:r>
        <w:rPr/>
        <w:t>it.</w:t>
      </w:r>
      <w:r>
        <w:rPr>
          <w:spacing w:val="40"/>
        </w:rPr>
        <w:t> </w:t>
      </w:r>
      <w:r>
        <w:rPr/>
        <w:t>This</w:t>
      </w:r>
      <w:r>
        <w:rPr>
          <w:spacing w:val="40"/>
        </w:rPr>
        <w:t> </w:t>
      </w:r>
      <w:r>
        <w:rPr/>
        <w:t>may create an avenue for the tax officials to abuse the power. Bribery and corruption and undue exploitation of influence can be spread among the tax officials of the Board. In order to discourage these,</w:t>
      </w:r>
      <w:r>
        <w:rPr>
          <w:spacing w:val="40"/>
        </w:rPr>
        <w:t> </w:t>
      </w:r>
      <w:r>
        <w:rPr/>
        <w:t>PPTAprovides that:</w:t>
      </w:r>
    </w:p>
    <w:p>
      <w:pPr>
        <w:pStyle w:val="BodyText"/>
        <w:ind w:left="360"/>
        <w:jc w:val="both"/>
      </w:pPr>
      <w:r>
        <w:rPr/>
        <w:t>Any</w:t>
      </w:r>
      <w:r>
        <w:rPr>
          <w:spacing w:val="-2"/>
        </w:rPr>
        <w:t> </w:t>
      </w:r>
      <w:r>
        <w:rPr/>
        <w:t>person</w:t>
      </w:r>
      <w:r>
        <w:rPr>
          <w:spacing w:val="7"/>
        </w:rPr>
        <w:t> </w:t>
      </w:r>
      <w:r>
        <w:rPr>
          <w:spacing w:val="-4"/>
        </w:rPr>
        <w:t>who:-</w:t>
      </w:r>
    </w:p>
    <w:p>
      <w:pPr>
        <w:pStyle w:val="BodyText"/>
      </w:pPr>
    </w:p>
    <w:p>
      <w:pPr>
        <w:pStyle w:val="BodyText"/>
        <w:ind w:left="1800" w:right="1615" w:hanging="360"/>
        <w:jc w:val="both"/>
      </w:pPr>
      <w:r>
        <w:rPr/>
        <w:t>(a) being a member of the Board charge with the due</w:t>
      </w:r>
      <w:r>
        <w:rPr>
          <w:spacing w:val="40"/>
        </w:rPr>
        <w:t> </w:t>
      </w:r>
      <w:r>
        <w:rPr/>
        <w:t>administration of this Act, or any assistant employed in connection with the assessment and Collection of the tax who:</w:t>
      </w:r>
    </w:p>
    <w:p>
      <w:pPr>
        <w:pStyle w:val="ListParagraph"/>
        <w:numPr>
          <w:ilvl w:val="2"/>
          <w:numId w:val="14"/>
        </w:numPr>
        <w:tabs>
          <w:tab w:pos="1798" w:val="left" w:leader="none"/>
          <w:tab w:pos="1800" w:val="left" w:leader="none"/>
        </w:tabs>
        <w:spacing w:line="240" w:lineRule="auto" w:before="1" w:after="0"/>
        <w:ind w:left="1800" w:right="1605" w:hanging="720"/>
        <w:jc w:val="both"/>
        <w:rPr>
          <w:sz w:val="24"/>
        </w:rPr>
      </w:pPr>
      <w:r>
        <w:rPr>
          <w:spacing w:val="9"/>
          <w:sz w:val="24"/>
        </w:rPr>
        <w:t>Demands</w:t>
      </w:r>
      <w:r>
        <w:rPr>
          <w:spacing w:val="40"/>
          <w:sz w:val="24"/>
        </w:rPr>
        <w:t> </w:t>
      </w:r>
      <w:r>
        <w:rPr>
          <w:sz w:val="24"/>
        </w:rPr>
        <w:t>from any </w:t>
      </w:r>
      <w:r>
        <w:rPr>
          <w:spacing w:val="9"/>
          <w:sz w:val="24"/>
        </w:rPr>
        <w:t>person</w:t>
      </w:r>
      <w:r>
        <w:rPr>
          <w:spacing w:val="9"/>
          <w:sz w:val="24"/>
        </w:rPr>
        <w:t> </w:t>
      </w:r>
      <w:r>
        <w:rPr>
          <w:sz w:val="24"/>
        </w:rPr>
        <w:t>an amount in excess of the authorized</w:t>
      </w:r>
      <w:r>
        <w:rPr>
          <w:spacing w:val="40"/>
          <w:sz w:val="24"/>
        </w:rPr>
        <w:t> </w:t>
      </w:r>
      <w:r>
        <w:rPr>
          <w:sz w:val="24"/>
        </w:rPr>
        <w:t>assessment</w:t>
      </w:r>
      <w:r>
        <w:rPr>
          <w:spacing w:val="40"/>
          <w:sz w:val="24"/>
        </w:rPr>
        <w:t> </w:t>
      </w:r>
      <w:r>
        <w:rPr>
          <w:sz w:val="24"/>
        </w:rPr>
        <w:t>of</w:t>
      </w:r>
      <w:r>
        <w:rPr>
          <w:spacing w:val="40"/>
          <w:sz w:val="24"/>
        </w:rPr>
        <w:t> </w:t>
      </w:r>
      <w:r>
        <w:rPr>
          <w:sz w:val="24"/>
        </w:rPr>
        <w:t>tax payable;</w:t>
      </w:r>
    </w:p>
    <w:p>
      <w:pPr>
        <w:pStyle w:val="ListParagraph"/>
        <w:numPr>
          <w:ilvl w:val="2"/>
          <w:numId w:val="14"/>
        </w:numPr>
        <w:tabs>
          <w:tab w:pos="1798" w:val="left" w:leader="none"/>
          <w:tab w:pos="1800" w:val="left" w:leader="none"/>
        </w:tabs>
        <w:spacing w:line="240" w:lineRule="auto" w:before="0" w:after="0"/>
        <w:ind w:left="1800" w:right="1607" w:hanging="720"/>
        <w:jc w:val="both"/>
        <w:rPr>
          <w:sz w:val="24"/>
        </w:rPr>
      </w:pPr>
      <w:r>
        <w:rPr>
          <w:sz w:val="24"/>
        </w:rPr>
        <w:t>Withholds for his own use or otherwise any portion of the amount of tax collected;</w:t>
      </w:r>
    </w:p>
    <w:p>
      <w:pPr>
        <w:pStyle w:val="ListParagraph"/>
        <w:numPr>
          <w:ilvl w:val="2"/>
          <w:numId w:val="14"/>
        </w:numPr>
        <w:tabs>
          <w:tab w:pos="1798" w:val="left" w:leader="none"/>
          <w:tab w:pos="1800" w:val="left" w:leader="none"/>
        </w:tabs>
        <w:spacing w:line="240" w:lineRule="auto" w:before="0" w:after="0"/>
        <w:ind w:left="1800" w:right="1619" w:hanging="720"/>
        <w:jc w:val="both"/>
        <w:rPr>
          <w:sz w:val="24"/>
        </w:rPr>
      </w:pPr>
      <w:r>
        <w:rPr>
          <w:sz w:val="24"/>
        </w:rPr>
        <w:t>Renders a false return, whether verbal or in </w:t>
      </w:r>
      <w:r>
        <w:rPr>
          <w:spacing w:val="14"/>
          <w:sz w:val="24"/>
        </w:rPr>
        <w:t>writing,</w:t>
      </w:r>
      <w:r>
        <w:rPr>
          <w:spacing w:val="14"/>
          <w:sz w:val="24"/>
        </w:rPr>
        <w:t> </w:t>
      </w:r>
      <w:r>
        <w:rPr>
          <w:sz w:val="24"/>
        </w:rPr>
        <w:t>of </w:t>
      </w:r>
      <w:r>
        <w:rPr>
          <w:spacing w:val="11"/>
          <w:sz w:val="24"/>
        </w:rPr>
        <w:t>the </w:t>
      </w:r>
      <w:r>
        <w:rPr>
          <w:spacing w:val="13"/>
          <w:sz w:val="24"/>
        </w:rPr>
        <w:t>amount</w:t>
      </w:r>
      <w:r>
        <w:rPr>
          <w:spacing w:val="13"/>
          <w:sz w:val="24"/>
        </w:rPr>
        <w:t> </w:t>
      </w:r>
      <w:r>
        <w:rPr>
          <w:sz w:val="24"/>
        </w:rPr>
        <w:t>of</w:t>
      </w:r>
      <w:r>
        <w:rPr>
          <w:spacing w:val="11"/>
          <w:sz w:val="24"/>
        </w:rPr>
        <w:t> tax</w:t>
      </w:r>
      <w:r>
        <w:rPr>
          <w:spacing w:val="11"/>
          <w:sz w:val="24"/>
        </w:rPr>
        <w:t> </w:t>
      </w:r>
      <w:r>
        <w:rPr>
          <w:sz w:val="24"/>
        </w:rPr>
        <w:t>collected or received by him;</w:t>
      </w:r>
    </w:p>
    <w:p>
      <w:pPr>
        <w:pStyle w:val="ListParagraph"/>
        <w:numPr>
          <w:ilvl w:val="2"/>
          <w:numId w:val="14"/>
        </w:numPr>
        <w:tabs>
          <w:tab w:pos="1800" w:val="left" w:leader="none"/>
        </w:tabs>
        <w:spacing w:line="240" w:lineRule="auto" w:before="0" w:after="0"/>
        <w:ind w:left="1800" w:right="1609" w:hanging="720"/>
        <w:jc w:val="both"/>
        <w:rPr>
          <w:sz w:val="24"/>
        </w:rPr>
      </w:pPr>
      <w:r>
        <w:rPr>
          <w:sz w:val="24"/>
        </w:rPr>
        <w:t>Defrauds</w:t>
      </w:r>
      <w:r>
        <w:rPr>
          <w:spacing w:val="40"/>
          <w:sz w:val="24"/>
        </w:rPr>
        <w:t> </w:t>
      </w:r>
      <w:r>
        <w:rPr>
          <w:sz w:val="24"/>
        </w:rPr>
        <w:t>any</w:t>
      </w:r>
      <w:r>
        <w:rPr>
          <w:spacing w:val="40"/>
          <w:sz w:val="24"/>
        </w:rPr>
        <w:t> </w:t>
      </w:r>
      <w:r>
        <w:rPr>
          <w:sz w:val="24"/>
        </w:rPr>
        <w:t>person,</w:t>
      </w:r>
      <w:r>
        <w:rPr>
          <w:spacing w:val="40"/>
          <w:sz w:val="24"/>
        </w:rPr>
        <w:t> </w:t>
      </w:r>
      <w:r>
        <w:rPr>
          <w:sz w:val="24"/>
        </w:rPr>
        <w:t>embezzles</w:t>
      </w:r>
      <w:r>
        <w:rPr>
          <w:spacing w:val="40"/>
          <w:sz w:val="24"/>
        </w:rPr>
        <w:t> </w:t>
      </w:r>
      <w:r>
        <w:rPr>
          <w:sz w:val="24"/>
        </w:rPr>
        <w:t>any money, or otherwise</w:t>
      </w:r>
      <w:r>
        <w:rPr>
          <w:spacing w:val="40"/>
          <w:sz w:val="24"/>
        </w:rPr>
        <w:t> </w:t>
      </w:r>
      <w:r>
        <w:rPr>
          <w:sz w:val="24"/>
        </w:rPr>
        <w:t>uses his position so as to </w:t>
      </w:r>
      <w:r>
        <w:rPr>
          <w:spacing w:val="10"/>
          <w:sz w:val="24"/>
        </w:rPr>
        <w:t>deal</w:t>
      </w:r>
      <w:r>
        <w:rPr>
          <w:spacing w:val="10"/>
          <w:sz w:val="24"/>
        </w:rPr>
        <w:t> </w:t>
      </w:r>
      <w:r>
        <w:rPr>
          <w:spacing w:val="12"/>
          <w:sz w:val="24"/>
        </w:rPr>
        <w:t>wrongfully</w:t>
      </w:r>
      <w:r>
        <w:rPr>
          <w:spacing w:val="12"/>
          <w:sz w:val="24"/>
        </w:rPr>
        <w:t> </w:t>
      </w:r>
      <w:r>
        <w:rPr>
          <w:spacing w:val="11"/>
          <w:sz w:val="24"/>
        </w:rPr>
        <w:t>either</w:t>
      </w:r>
      <w:r>
        <w:rPr>
          <w:spacing w:val="11"/>
          <w:sz w:val="24"/>
        </w:rPr>
        <w:t> </w:t>
      </w:r>
      <w:r>
        <w:rPr>
          <w:spacing w:val="10"/>
          <w:sz w:val="24"/>
        </w:rPr>
        <w:t>with</w:t>
      </w:r>
      <w:r>
        <w:rPr>
          <w:spacing w:val="10"/>
          <w:sz w:val="24"/>
        </w:rPr>
        <w:t> </w:t>
      </w:r>
      <w:r>
        <w:rPr>
          <w:spacing w:val="9"/>
          <w:sz w:val="24"/>
        </w:rPr>
        <w:t>the </w:t>
      </w:r>
      <w:r>
        <w:rPr>
          <w:sz w:val="24"/>
        </w:rPr>
        <w:t>Board or any other individual;</w:t>
      </w:r>
    </w:p>
    <w:p>
      <w:pPr>
        <w:pStyle w:val="BodyText"/>
        <w:spacing w:before="3"/>
        <w:ind w:left="438" w:right="241"/>
        <w:jc w:val="center"/>
      </w:pPr>
      <w:r>
        <w:rPr>
          <w:spacing w:val="-5"/>
        </w:rPr>
        <w:t>Or</w:t>
      </w:r>
    </w:p>
    <w:p>
      <w:pPr>
        <w:pStyle w:val="BodyText"/>
        <w:spacing w:before="38"/>
        <w:ind w:left="1440"/>
      </w:pPr>
      <w:r>
        <w:rPr/>
        <w:t>(b)</w:t>
      </w:r>
      <w:r>
        <w:rPr>
          <w:spacing w:val="21"/>
        </w:rPr>
        <w:t> </w:t>
      </w:r>
      <w:r>
        <w:rPr/>
        <w:t>not</w:t>
      </w:r>
      <w:r>
        <w:rPr>
          <w:spacing w:val="56"/>
          <w:w w:val="150"/>
        </w:rPr>
        <w:t> </w:t>
      </w:r>
      <w:r>
        <w:rPr/>
        <w:t>being</w:t>
      </w:r>
      <w:r>
        <w:rPr>
          <w:spacing w:val="56"/>
          <w:w w:val="150"/>
        </w:rPr>
        <w:t> </w:t>
      </w:r>
      <w:r>
        <w:rPr/>
        <w:t>authorized</w:t>
      </w:r>
      <w:r>
        <w:rPr>
          <w:spacing w:val="56"/>
          <w:w w:val="150"/>
        </w:rPr>
        <w:t> </w:t>
      </w:r>
      <w:r>
        <w:rPr/>
        <w:t>under</w:t>
      </w:r>
      <w:r>
        <w:rPr>
          <w:spacing w:val="57"/>
          <w:w w:val="150"/>
        </w:rPr>
        <w:t> </w:t>
      </w:r>
      <w:r>
        <w:rPr/>
        <w:t>this</w:t>
      </w:r>
      <w:r>
        <w:rPr>
          <w:spacing w:val="57"/>
          <w:w w:val="150"/>
        </w:rPr>
        <w:t> </w:t>
      </w:r>
      <w:r>
        <w:rPr/>
        <w:t>act</w:t>
      </w:r>
      <w:r>
        <w:rPr>
          <w:spacing w:val="58"/>
          <w:w w:val="150"/>
        </w:rPr>
        <w:t> </w:t>
      </w:r>
      <w:r>
        <w:rPr/>
        <w:t>to</w:t>
      </w:r>
      <w:r>
        <w:rPr>
          <w:spacing w:val="57"/>
          <w:w w:val="150"/>
        </w:rPr>
        <w:t> </w:t>
      </w:r>
      <w:r>
        <w:rPr/>
        <w:t>do</w:t>
      </w:r>
      <w:r>
        <w:rPr>
          <w:spacing w:val="55"/>
          <w:w w:val="150"/>
        </w:rPr>
        <w:t> </w:t>
      </w:r>
      <w:r>
        <w:rPr/>
        <w:t>so,</w:t>
      </w:r>
      <w:r>
        <w:rPr>
          <w:spacing w:val="56"/>
          <w:w w:val="150"/>
        </w:rPr>
        <w:t> </w:t>
      </w:r>
      <w:r>
        <w:rPr/>
        <w:t>collects</w:t>
      </w:r>
      <w:r>
        <w:rPr>
          <w:spacing w:val="59"/>
          <w:w w:val="150"/>
        </w:rPr>
        <w:t> </w:t>
      </w:r>
      <w:r>
        <w:rPr>
          <w:spacing w:val="-5"/>
        </w:rPr>
        <w:t>or</w:t>
      </w:r>
    </w:p>
    <w:p>
      <w:pPr>
        <w:pStyle w:val="BodyText"/>
        <w:spacing w:before="126"/>
        <w:rPr>
          <w:sz w:val="20"/>
        </w:rPr>
      </w:pPr>
      <w:r>
        <w:rPr/>
        <mc:AlternateContent>
          <mc:Choice Requires="wps">
            <w:drawing>
              <wp:anchor distT="0" distB="0" distL="0" distR="0" allowOverlap="1" layoutInCell="1" locked="0" behindDoc="1" simplePos="0" relativeHeight="487616512">
                <wp:simplePos x="0" y="0"/>
                <wp:positionH relativeFrom="page">
                  <wp:posOffset>914704</wp:posOffset>
                </wp:positionH>
                <wp:positionV relativeFrom="paragraph">
                  <wp:posOffset>241857</wp:posOffset>
                </wp:positionV>
                <wp:extent cx="1829435" cy="9525"/>
                <wp:effectExtent l="0" t="0" r="0" b="0"/>
                <wp:wrapTopAndBottom/>
                <wp:docPr id="61" name="Graphic 61"/>
                <wp:cNvGraphicFramePr>
                  <a:graphicFrameLocks/>
                </wp:cNvGraphicFramePr>
                <a:graphic>
                  <a:graphicData uri="http://schemas.microsoft.com/office/word/2010/wordprocessingShape">
                    <wps:wsp>
                      <wps:cNvPr id="61" name="Graphic 61"/>
                      <wps:cNvSpPr/>
                      <wps:spPr>
                        <a:xfrm>
                          <a:off x="0" y="0"/>
                          <a:ext cx="1829435" cy="9525"/>
                        </a:xfrm>
                        <a:custGeom>
                          <a:avLst/>
                          <a:gdLst/>
                          <a:ahLst/>
                          <a:cxnLst/>
                          <a:rect l="l" t="t" r="r" b="b"/>
                          <a:pathLst>
                            <a:path w="1829435" h="9525">
                              <a:moveTo>
                                <a:pt x="1829054" y="0"/>
                              </a:moveTo>
                              <a:lnTo>
                                <a:pt x="0" y="0"/>
                              </a:lnTo>
                              <a:lnTo>
                                <a:pt x="0" y="9144"/>
                              </a:lnTo>
                              <a:lnTo>
                                <a:pt x="1829054" y="9144"/>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19.043877pt;width:144.020pt;height:.72003pt;mso-position-horizontal-relative:page;mso-position-vertical-relative:paragraph;z-index:-15699968;mso-wrap-distance-left:0;mso-wrap-distance-right:0" id="docshape61" filled="true" fillcolor="#000000" stroked="false">
                <v:fill type="solid"/>
                <w10:wrap type="topAndBottom"/>
              </v:rect>
            </w:pict>
          </mc:Fallback>
        </mc:AlternateContent>
      </w:r>
    </w:p>
    <w:p>
      <w:pPr>
        <w:spacing w:line="243" w:lineRule="exact" w:before="102"/>
        <w:ind w:left="360" w:right="0" w:firstLine="0"/>
        <w:jc w:val="left"/>
        <w:rPr>
          <w:rFonts w:ascii="Calibri"/>
          <w:sz w:val="20"/>
        </w:rPr>
      </w:pPr>
      <w:r>
        <w:rPr>
          <w:rFonts w:ascii="Calibri"/>
          <w:sz w:val="20"/>
          <w:vertAlign w:val="superscript"/>
        </w:rPr>
        <w:t>17</w:t>
      </w:r>
      <w:r>
        <w:rPr>
          <w:rFonts w:ascii="Calibri"/>
          <w:spacing w:val="-7"/>
          <w:sz w:val="20"/>
          <w:vertAlign w:val="baseline"/>
        </w:rPr>
        <w:t> </w:t>
      </w:r>
      <w:r>
        <w:rPr>
          <w:rFonts w:ascii="Calibri"/>
          <w:sz w:val="20"/>
          <w:vertAlign w:val="baseline"/>
        </w:rPr>
        <w:t>Nigerian</w:t>
      </w:r>
      <w:r>
        <w:rPr>
          <w:rFonts w:ascii="Calibri"/>
          <w:spacing w:val="-6"/>
          <w:sz w:val="20"/>
          <w:vertAlign w:val="baseline"/>
        </w:rPr>
        <w:t> </w:t>
      </w:r>
      <w:r>
        <w:rPr>
          <w:rFonts w:ascii="Calibri"/>
          <w:sz w:val="20"/>
          <w:vertAlign w:val="baseline"/>
        </w:rPr>
        <w:t>Tax</w:t>
      </w:r>
      <w:r>
        <w:rPr>
          <w:rFonts w:ascii="Calibri"/>
          <w:spacing w:val="-6"/>
          <w:sz w:val="20"/>
          <w:vertAlign w:val="baseline"/>
        </w:rPr>
        <w:t> </w:t>
      </w:r>
      <w:r>
        <w:rPr>
          <w:rFonts w:ascii="Calibri"/>
          <w:sz w:val="20"/>
          <w:vertAlign w:val="baseline"/>
        </w:rPr>
        <w:t>Reform,</w:t>
      </w:r>
      <w:r>
        <w:rPr>
          <w:rFonts w:ascii="Calibri"/>
          <w:spacing w:val="-6"/>
          <w:sz w:val="20"/>
          <w:vertAlign w:val="baseline"/>
        </w:rPr>
        <w:t> </w:t>
      </w:r>
      <w:r>
        <w:rPr>
          <w:rFonts w:ascii="Calibri"/>
          <w:sz w:val="20"/>
          <w:vertAlign w:val="baseline"/>
        </w:rPr>
        <w:t>Op.</w:t>
      </w:r>
      <w:r>
        <w:rPr>
          <w:rFonts w:ascii="Calibri"/>
          <w:spacing w:val="-6"/>
          <w:sz w:val="20"/>
          <w:vertAlign w:val="baseline"/>
        </w:rPr>
        <w:t> </w:t>
      </w:r>
      <w:r>
        <w:rPr>
          <w:rFonts w:ascii="Calibri"/>
          <w:spacing w:val="-4"/>
          <w:sz w:val="20"/>
          <w:vertAlign w:val="baseline"/>
        </w:rPr>
        <w:t>Cit.</w:t>
      </w:r>
    </w:p>
    <w:p>
      <w:pPr>
        <w:spacing w:line="243" w:lineRule="exact" w:before="0"/>
        <w:ind w:left="360" w:right="0" w:firstLine="0"/>
        <w:jc w:val="left"/>
        <w:rPr>
          <w:rFonts w:ascii="Calibri"/>
          <w:sz w:val="20"/>
        </w:rPr>
      </w:pPr>
      <w:r>
        <w:rPr>
          <w:rFonts w:ascii="Calibri"/>
          <w:sz w:val="20"/>
          <w:vertAlign w:val="superscript"/>
        </w:rPr>
        <w:t>18</w:t>
      </w:r>
      <w:r>
        <w:rPr>
          <w:rFonts w:ascii="Calibri"/>
          <w:spacing w:val="-5"/>
          <w:sz w:val="20"/>
          <w:vertAlign w:val="baseline"/>
        </w:rPr>
        <w:t> </w:t>
      </w:r>
      <w:r>
        <w:rPr>
          <w:rFonts w:ascii="Calibri"/>
          <w:sz w:val="20"/>
          <w:vertAlign w:val="baseline"/>
        </w:rPr>
        <w:t>See</w:t>
      </w:r>
      <w:r>
        <w:rPr>
          <w:rFonts w:ascii="Calibri"/>
          <w:spacing w:val="-5"/>
          <w:sz w:val="20"/>
          <w:vertAlign w:val="baseline"/>
        </w:rPr>
        <w:t> </w:t>
      </w:r>
      <w:r>
        <w:rPr>
          <w:rFonts w:ascii="Calibri"/>
          <w:sz w:val="20"/>
          <w:vertAlign w:val="baseline"/>
        </w:rPr>
        <w:t>Section</w:t>
      </w:r>
      <w:r>
        <w:rPr>
          <w:rFonts w:ascii="Calibri"/>
          <w:spacing w:val="-4"/>
          <w:sz w:val="20"/>
          <w:vertAlign w:val="baseline"/>
        </w:rPr>
        <w:t> </w:t>
      </w:r>
      <w:r>
        <w:rPr>
          <w:rFonts w:ascii="Calibri"/>
          <w:sz w:val="20"/>
          <w:vertAlign w:val="baseline"/>
        </w:rPr>
        <w:t>54</w:t>
      </w:r>
      <w:r>
        <w:rPr>
          <w:rFonts w:ascii="Calibri"/>
          <w:spacing w:val="-3"/>
          <w:sz w:val="20"/>
          <w:vertAlign w:val="baseline"/>
        </w:rPr>
        <w:t> </w:t>
      </w:r>
      <w:r>
        <w:rPr>
          <w:rFonts w:ascii="Calibri"/>
          <w:sz w:val="20"/>
          <w:vertAlign w:val="baseline"/>
        </w:rPr>
        <w:t>(1),</w:t>
      </w:r>
      <w:r>
        <w:rPr>
          <w:rFonts w:ascii="Calibri"/>
          <w:spacing w:val="-4"/>
          <w:sz w:val="20"/>
          <w:vertAlign w:val="baseline"/>
        </w:rPr>
        <w:t> </w:t>
      </w:r>
      <w:r>
        <w:rPr>
          <w:rFonts w:ascii="Calibri"/>
          <w:sz w:val="20"/>
          <w:vertAlign w:val="baseline"/>
        </w:rPr>
        <w:t>PPTA,</w:t>
      </w:r>
      <w:r>
        <w:rPr>
          <w:rFonts w:ascii="Calibri"/>
          <w:spacing w:val="-4"/>
          <w:sz w:val="20"/>
          <w:vertAlign w:val="baseline"/>
        </w:rPr>
        <w:t> </w:t>
      </w:r>
      <w:r>
        <w:rPr>
          <w:rFonts w:ascii="Calibri"/>
          <w:sz w:val="20"/>
          <w:vertAlign w:val="baseline"/>
        </w:rPr>
        <w:t>Op.</w:t>
      </w:r>
      <w:r>
        <w:rPr>
          <w:rFonts w:ascii="Calibri"/>
          <w:spacing w:val="-2"/>
          <w:sz w:val="20"/>
          <w:vertAlign w:val="baseline"/>
        </w:rPr>
        <w:t> </w:t>
      </w:r>
      <w:r>
        <w:rPr>
          <w:rFonts w:ascii="Calibri"/>
          <w:spacing w:val="-5"/>
          <w:sz w:val="20"/>
          <w:vertAlign w:val="baseline"/>
        </w:rPr>
        <w:t>cit</w:t>
      </w:r>
    </w:p>
    <w:p>
      <w:pPr>
        <w:spacing w:before="1"/>
        <w:ind w:left="360" w:right="0" w:firstLine="0"/>
        <w:jc w:val="left"/>
        <w:rPr>
          <w:rFonts w:ascii="Calibri"/>
          <w:sz w:val="20"/>
        </w:rPr>
      </w:pPr>
      <w:r>
        <w:rPr>
          <w:rFonts w:ascii="Calibri"/>
          <w:sz w:val="20"/>
          <w:vertAlign w:val="superscript"/>
        </w:rPr>
        <w:t>19</w:t>
      </w:r>
      <w:r>
        <w:rPr>
          <w:rFonts w:ascii="Calibri"/>
          <w:spacing w:val="-5"/>
          <w:sz w:val="20"/>
          <w:vertAlign w:val="baseline"/>
        </w:rPr>
        <w:t> </w:t>
      </w:r>
      <w:r>
        <w:rPr>
          <w:rFonts w:ascii="Calibri"/>
          <w:sz w:val="20"/>
          <w:vertAlign w:val="baseline"/>
        </w:rPr>
        <w:t>See</w:t>
      </w:r>
      <w:r>
        <w:rPr>
          <w:rFonts w:ascii="Calibri"/>
          <w:spacing w:val="-5"/>
          <w:sz w:val="20"/>
          <w:vertAlign w:val="baseline"/>
        </w:rPr>
        <w:t> </w:t>
      </w:r>
      <w:r>
        <w:rPr>
          <w:rFonts w:ascii="Calibri"/>
          <w:sz w:val="20"/>
          <w:vertAlign w:val="baseline"/>
        </w:rPr>
        <w:t>Section</w:t>
      </w:r>
      <w:r>
        <w:rPr>
          <w:rFonts w:ascii="Calibri"/>
          <w:spacing w:val="-3"/>
          <w:sz w:val="20"/>
          <w:vertAlign w:val="baseline"/>
        </w:rPr>
        <w:t> </w:t>
      </w:r>
      <w:r>
        <w:rPr>
          <w:rFonts w:ascii="Calibri"/>
          <w:sz w:val="20"/>
          <w:vertAlign w:val="baseline"/>
        </w:rPr>
        <w:t>54</w:t>
      </w:r>
      <w:r>
        <w:rPr>
          <w:rFonts w:ascii="Calibri"/>
          <w:spacing w:val="-4"/>
          <w:sz w:val="20"/>
          <w:vertAlign w:val="baseline"/>
        </w:rPr>
        <w:t> </w:t>
      </w:r>
      <w:r>
        <w:rPr>
          <w:rFonts w:ascii="Calibri"/>
          <w:sz w:val="20"/>
          <w:vertAlign w:val="baseline"/>
        </w:rPr>
        <w:t>(2),</w:t>
      </w:r>
      <w:r>
        <w:rPr>
          <w:rFonts w:ascii="Calibri"/>
          <w:spacing w:val="-3"/>
          <w:sz w:val="20"/>
          <w:vertAlign w:val="baseline"/>
        </w:rPr>
        <w:t> </w:t>
      </w:r>
      <w:r>
        <w:rPr>
          <w:rFonts w:ascii="Calibri"/>
          <w:spacing w:val="-4"/>
          <w:sz w:val="20"/>
          <w:vertAlign w:val="baseline"/>
        </w:rPr>
        <w:t>Ibid</w:t>
      </w:r>
    </w:p>
    <w:p>
      <w:pPr>
        <w:spacing w:after="0"/>
        <w:jc w:val="left"/>
        <w:rPr>
          <w:rFonts w:ascii="Calibri"/>
          <w:sz w:val="20"/>
        </w:rPr>
        <w:sectPr>
          <w:pgSz w:w="11910" w:h="16840"/>
          <w:pgMar w:header="0" w:footer="1000" w:top="1340" w:bottom="1200" w:left="1080" w:right="1280"/>
        </w:sectPr>
      </w:pPr>
    </w:p>
    <w:p>
      <w:pPr>
        <w:pStyle w:val="BodyText"/>
        <w:spacing w:before="74"/>
        <w:ind w:left="1800" w:right="1599"/>
        <w:jc w:val="both"/>
      </w:pPr>
      <w:r>
        <w:rPr/>
        <w:t>attempts to collect the tax under this Act; (Any person perpetrates any of the above) shall be guilty of an offence and be liable to a fine of six hundred naira, or imprisonment for three years or both.</w:t>
      </w:r>
    </w:p>
    <w:p>
      <w:pPr>
        <w:pStyle w:val="BodyText"/>
      </w:pPr>
    </w:p>
    <w:p>
      <w:pPr>
        <w:pStyle w:val="BodyText"/>
      </w:pPr>
    </w:p>
    <w:p>
      <w:pPr>
        <w:pStyle w:val="BodyText"/>
        <w:spacing w:line="480" w:lineRule="auto"/>
        <w:ind w:left="360" w:right="159" w:firstLine="719"/>
        <w:jc w:val="both"/>
      </w:pPr>
      <w:r>
        <w:rPr/>
        <w:t>The</w:t>
      </w:r>
      <w:r>
        <w:rPr>
          <w:spacing w:val="38"/>
        </w:rPr>
        <w:t> </w:t>
      </w:r>
      <w:r>
        <w:rPr/>
        <w:t>above</w:t>
      </w:r>
      <w:r>
        <w:rPr>
          <w:spacing w:val="38"/>
        </w:rPr>
        <w:t> </w:t>
      </w:r>
      <w:r>
        <w:rPr/>
        <w:t>fine</w:t>
      </w:r>
      <w:r>
        <w:rPr>
          <w:spacing w:val="36"/>
        </w:rPr>
        <w:t> </w:t>
      </w:r>
      <w:r>
        <w:rPr/>
        <w:t>of</w:t>
      </w:r>
      <w:r>
        <w:rPr>
          <w:spacing w:val="36"/>
        </w:rPr>
        <w:t> </w:t>
      </w:r>
      <w:r>
        <w:rPr/>
        <w:t>six</w:t>
      </w:r>
      <w:r>
        <w:rPr>
          <w:spacing w:val="39"/>
        </w:rPr>
        <w:t> </w:t>
      </w:r>
      <w:r>
        <w:rPr/>
        <w:t>hundred</w:t>
      </w:r>
      <w:r>
        <w:rPr>
          <w:spacing w:val="39"/>
        </w:rPr>
        <w:t> </w:t>
      </w:r>
      <w:r>
        <w:rPr/>
        <w:t>naira</w:t>
      </w:r>
      <w:r>
        <w:rPr>
          <w:spacing w:val="36"/>
        </w:rPr>
        <w:t> </w:t>
      </w:r>
      <w:r>
        <w:rPr/>
        <w:t>is</w:t>
      </w:r>
      <w:r>
        <w:rPr>
          <w:spacing w:val="37"/>
        </w:rPr>
        <w:t> </w:t>
      </w:r>
      <w:r>
        <w:rPr/>
        <w:t>too</w:t>
      </w:r>
      <w:r>
        <w:rPr>
          <w:spacing w:val="37"/>
        </w:rPr>
        <w:t> </w:t>
      </w:r>
      <w:r>
        <w:rPr/>
        <w:t>small.</w:t>
      </w:r>
      <w:r>
        <w:rPr>
          <w:spacing w:val="37"/>
        </w:rPr>
        <w:t> </w:t>
      </w:r>
      <w:r>
        <w:rPr/>
        <w:t>Hardly can</w:t>
      </w:r>
      <w:r>
        <w:rPr>
          <w:spacing w:val="37"/>
        </w:rPr>
        <w:t> </w:t>
      </w:r>
      <w:r>
        <w:rPr/>
        <w:t>it</w:t>
      </w:r>
      <w:r>
        <w:rPr>
          <w:spacing w:val="40"/>
        </w:rPr>
        <w:t> </w:t>
      </w:r>
      <w:r>
        <w:rPr/>
        <w:t>deter</w:t>
      </w:r>
      <w:r>
        <w:rPr>
          <w:spacing w:val="39"/>
        </w:rPr>
        <w:t> </w:t>
      </w:r>
      <w:r>
        <w:rPr/>
        <w:t>the</w:t>
      </w:r>
      <w:r>
        <w:rPr>
          <w:spacing w:val="36"/>
        </w:rPr>
        <w:t> </w:t>
      </w:r>
      <w:r>
        <w:rPr/>
        <w:t>officials from</w:t>
      </w:r>
      <w:r>
        <w:rPr>
          <w:spacing w:val="40"/>
        </w:rPr>
        <w:t> </w:t>
      </w:r>
      <w:r>
        <w:rPr/>
        <w:t>committing</w:t>
      </w:r>
      <w:r>
        <w:rPr>
          <w:spacing w:val="38"/>
        </w:rPr>
        <w:t> </w:t>
      </w:r>
      <w:r>
        <w:rPr/>
        <w:t>such</w:t>
      </w:r>
      <w:r>
        <w:rPr>
          <w:spacing w:val="40"/>
        </w:rPr>
        <w:t> </w:t>
      </w:r>
      <w:r>
        <w:rPr/>
        <w:t>offence.</w:t>
      </w:r>
      <w:r>
        <w:rPr>
          <w:spacing w:val="40"/>
        </w:rPr>
        <w:t> </w:t>
      </w:r>
      <w:r>
        <w:rPr/>
        <w:t>It</w:t>
      </w:r>
      <w:r>
        <w:rPr>
          <w:spacing w:val="36"/>
        </w:rPr>
        <w:t> </w:t>
      </w:r>
      <w:r>
        <w:rPr/>
        <w:t>necessary</w:t>
      </w:r>
      <w:r>
        <w:rPr>
          <w:spacing w:val="34"/>
        </w:rPr>
        <w:t> </w:t>
      </w:r>
      <w:r>
        <w:rPr/>
        <w:t>for</w:t>
      </w:r>
      <w:r>
        <w:rPr>
          <w:spacing w:val="39"/>
        </w:rPr>
        <w:t> </w:t>
      </w:r>
      <w:r>
        <w:rPr/>
        <w:t>thetax</w:t>
      </w:r>
      <w:r>
        <w:rPr>
          <w:spacing w:val="40"/>
        </w:rPr>
        <w:t> </w:t>
      </w:r>
      <w:r>
        <w:rPr>
          <w:spacing w:val="9"/>
        </w:rPr>
        <w:t>officials</w:t>
      </w:r>
      <w:r>
        <w:rPr>
          <w:spacing w:val="40"/>
        </w:rPr>
        <w:t> </w:t>
      </w:r>
      <w:r>
        <w:rPr/>
        <w:t>to</w:t>
      </w:r>
      <w:r>
        <w:rPr>
          <w:spacing w:val="40"/>
        </w:rPr>
        <w:t> </w:t>
      </w:r>
      <w:r>
        <w:rPr>
          <w:spacing w:val="9"/>
        </w:rPr>
        <w:t>understand</w:t>
      </w:r>
      <w:r>
        <w:rPr>
          <w:spacing w:val="40"/>
        </w:rPr>
        <w:t> </w:t>
      </w:r>
      <w:r>
        <w:rPr/>
        <w:t>that</w:t>
      </w:r>
      <w:r>
        <w:rPr>
          <w:spacing w:val="40"/>
        </w:rPr>
        <w:t> </w:t>
      </w:r>
      <w:r>
        <w:rPr/>
        <w:t>total and</w:t>
      </w:r>
      <w:r>
        <w:rPr>
          <w:spacing w:val="38"/>
        </w:rPr>
        <w:t> </w:t>
      </w:r>
      <w:r>
        <w:rPr/>
        <w:t>complete</w:t>
      </w:r>
      <w:r>
        <w:rPr>
          <w:spacing w:val="34"/>
        </w:rPr>
        <w:t> </w:t>
      </w:r>
      <w:r>
        <w:rPr>
          <w:spacing w:val="9"/>
        </w:rPr>
        <w:t>honesty</w:t>
      </w:r>
      <w:r>
        <w:rPr>
          <w:spacing w:val="30"/>
        </w:rPr>
        <w:t> </w:t>
      </w:r>
      <w:r>
        <w:rPr/>
        <w:t>is</w:t>
      </w:r>
      <w:r>
        <w:rPr>
          <w:spacing w:val="40"/>
        </w:rPr>
        <w:t> </w:t>
      </w:r>
      <w:r>
        <w:rPr/>
        <w:t>demanded from them. An effective way of getting that honesty is to apply a severe punishment on dishonesty. Each tax official, especially in the assessment and</w:t>
      </w:r>
      <w:r>
        <w:rPr>
          <w:spacing w:val="33"/>
        </w:rPr>
        <w:t> </w:t>
      </w:r>
      <w:r>
        <w:rPr/>
        <w:t>collection</w:t>
      </w:r>
      <w:r>
        <w:rPr>
          <w:spacing w:val="33"/>
        </w:rPr>
        <w:t> </w:t>
      </w:r>
      <w:r>
        <w:rPr/>
        <w:t>section</w:t>
      </w:r>
      <w:r>
        <w:rPr>
          <w:spacing w:val="33"/>
        </w:rPr>
        <w:t> </w:t>
      </w:r>
      <w:r>
        <w:rPr/>
        <w:t>of</w:t>
      </w:r>
      <w:r>
        <w:rPr>
          <w:spacing w:val="33"/>
        </w:rPr>
        <w:t> </w:t>
      </w:r>
      <w:r>
        <w:rPr/>
        <w:t>the</w:t>
      </w:r>
      <w:r>
        <w:rPr>
          <w:spacing w:val="31"/>
        </w:rPr>
        <w:t> </w:t>
      </w:r>
      <w:r>
        <w:rPr/>
        <w:t>Board</w:t>
      </w:r>
      <w:r>
        <w:rPr>
          <w:spacing w:val="33"/>
        </w:rPr>
        <w:t> </w:t>
      </w:r>
      <w:r>
        <w:rPr/>
        <w:t>should</w:t>
      </w:r>
      <w:r>
        <w:rPr>
          <w:spacing w:val="33"/>
        </w:rPr>
        <w:t> </w:t>
      </w:r>
      <w:r>
        <w:rPr/>
        <w:t>be</w:t>
      </w:r>
      <w:r>
        <w:rPr>
          <w:spacing w:val="40"/>
        </w:rPr>
        <w:t> </w:t>
      </w:r>
      <w:r>
        <w:rPr/>
        <w:t>required</w:t>
      </w:r>
      <w:r>
        <w:rPr>
          <w:spacing w:val="28"/>
        </w:rPr>
        <w:t> </w:t>
      </w:r>
      <w:r>
        <w:rPr/>
        <w:t>to</w:t>
      </w:r>
      <w:r>
        <w:rPr>
          <w:spacing w:val="28"/>
        </w:rPr>
        <w:t> </w:t>
      </w:r>
      <w:r>
        <w:rPr/>
        <w:t>submit</w:t>
      </w:r>
      <w:r>
        <w:rPr>
          <w:spacing w:val="31"/>
        </w:rPr>
        <w:t> </w:t>
      </w:r>
      <w:r>
        <w:rPr/>
        <w:t>a</w:t>
      </w:r>
      <w:r>
        <w:rPr>
          <w:spacing w:val="26"/>
        </w:rPr>
        <w:t> </w:t>
      </w:r>
      <w:r>
        <w:rPr/>
        <w:t>net</w:t>
      </w:r>
      <w:r>
        <w:rPr>
          <w:spacing w:val="25"/>
        </w:rPr>
        <w:t> </w:t>
      </w:r>
      <w:r>
        <w:rPr/>
        <w:t>worth</w:t>
      </w:r>
      <w:r>
        <w:rPr>
          <w:spacing w:val="28"/>
        </w:rPr>
        <w:t> </w:t>
      </w:r>
      <w:r>
        <w:rPr/>
        <w:t>statement</w:t>
      </w:r>
      <w:r>
        <w:rPr>
          <w:spacing w:val="31"/>
        </w:rPr>
        <w:t> </w:t>
      </w:r>
      <w:r>
        <w:rPr/>
        <w:t>at his employment. The statement should be checked periodically especially when suspicion arises about him or his life style has changed beyond that which his salary and previous wealth can afford.</w:t>
      </w:r>
    </w:p>
    <w:p>
      <w:pPr>
        <w:pStyle w:val="BodyText"/>
        <w:spacing w:line="480" w:lineRule="auto" w:before="1"/>
        <w:ind w:left="360" w:right="158" w:firstLine="719"/>
        <w:jc w:val="both"/>
      </w:pPr>
      <w:r>
        <w:rPr/>
        <w:t>Generally,</w:t>
      </w:r>
      <w:r>
        <w:rPr>
          <w:spacing w:val="40"/>
        </w:rPr>
        <w:t> </w:t>
      </w:r>
      <w:r>
        <w:rPr/>
        <w:t>any</w:t>
      </w:r>
      <w:r>
        <w:rPr>
          <w:spacing w:val="40"/>
        </w:rPr>
        <w:t> </w:t>
      </w:r>
      <w:r>
        <w:rPr/>
        <w:t>person</w:t>
      </w:r>
      <w:r>
        <w:rPr>
          <w:spacing w:val="40"/>
        </w:rPr>
        <w:t> </w:t>
      </w:r>
      <w:r>
        <w:rPr/>
        <w:t>guilty</w:t>
      </w:r>
      <w:r>
        <w:rPr>
          <w:spacing w:val="40"/>
        </w:rPr>
        <w:t> </w:t>
      </w:r>
      <w:r>
        <w:rPr/>
        <w:t>of</w:t>
      </w:r>
      <w:r>
        <w:rPr>
          <w:spacing w:val="40"/>
        </w:rPr>
        <w:t> </w:t>
      </w:r>
      <w:r>
        <w:rPr/>
        <w:t>an</w:t>
      </w:r>
      <w:r>
        <w:rPr>
          <w:spacing w:val="40"/>
        </w:rPr>
        <w:t> </w:t>
      </w:r>
      <w:r>
        <w:rPr/>
        <w:t>offence</w:t>
      </w:r>
      <w:r>
        <w:rPr>
          <w:spacing w:val="40"/>
        </w:rPr>
        <w:t> </w:t>
      </w:r>
      <w:r>
        <w:rPr/>
        <w:t>under</w:t>
      </w:r>
      <w:r>
        <w:rPr>
          <w:spacing w:val="40"/>
        </w:rPr>
        <w:t> </w:t>
      </w:r>
      <w:r>
        <w:rPr/>
        <w:t>the</w:t>
      </w:r>
      <w:r>
        <w:rPr>
          <w:spacing w:val="40"/>
        </w:rPr>
        <w:t> </w:t>
      </w:r>
      <w:r>
        <w:rPr/>
        <w:t>PPTA</w:t>
      </w:r>
      <w:r>
        <w:rPr>
          <w:spacing w:val="40"/>
        </w:rPr>
        <w:t> </w:t>
      </w:r>
      <w:r>
        <w:rPr/>
        <w:t>or</w:t>
      </w:r>
      <w:r>
        <w:rPr>
          <w:spacing w:val="80"/>
        </w:rPr>
        <w:t> </w:t>
      </w:r>
      <w:r>
        <w:rPr/>
        <w:t>any</w:t>
      </w:r>
      <w:r>
        <w:rPr>
          <w:spacing w:val="40"/>
        </w:rPr>
        <w:t> </w:t>
      </w:r>
      <w:r>
        <w:rPr/>
        <w:t>rule</w:t>
      </w:r>
      <w:r>
        <w:rPr>
          <w:spacing w:val="40"/>
        </w:rPr>
        <w:t> </w:t>
      </w:r>
      <w:r>
        <w:rPr/>
        <w:t>made there</w:t>
      </w:r>
      <w:r>
        <w:rPr>
          <w:spacing w:val="23"/>
        </w:rPr>
        <w:t> </w:t>
      </w:r>
      <w:r>
        <w:rPr/>
        <w:t>under,</w:t>
      </w:r>
      <w:r>
        <w:rPr>
          <w:spacing w:val="23"/>
        </w:rPr>
        <w:t> </w:t>
      </w:r>
      <w:r>
        <w:rPr/>
        <w:t>for</w:t>
      </w:r>
      <w:r>
        <w:rPr>
          <w:spacing w:val="23"/>
        </w:rPr>
        <w:t> </w:t>
      </w:r>
      <w:r>
        <w:rPr/>
        <w:t>which</w:t>
      </w:r>
      <w:r>
        <w:rPr>
          <w:spacing w:val="24"/>
        </w:rPr>
        <w:t> </w:t>
      </w:r>
      <w:r>
        <w:rPr/>
        <w:t>no</w:t>
      </w:r>
      <w:r>
        <w:rPr>
          <w:spacing w:val="24"/>
        </w:rPr>
        <w:t> </w:t>
      </w:r>
      <w:r>
        <w:rPr/>
        <w:t>other</w:t>
      </w:r>
      <w:r>
        <w:rPr>
          <w:spacing w:val="23"/>
        </w:rPr>
        <w:t> </w:t>
      </w:r>
      <w:r>
        <w:rPr/>
        <w:t>penalty is</w:t>
      </w:r>
      <w:r>
        <w:rPr>
          <w:spacing w:val="24"/>
        </w:rPr>
        <w:t> </w:t>
      </w:r>
      <w:r>
        <w:rPr/>
        <w:t>specifically provided,</w:t>
      </w:r>
      <w:r>
        <w:rPr>
          <w:spacing w:val="24"/>
        </w:rPr>
        <w:t> </w:t>
      </w:r>
      <w:r>
        <w:rPr/>
        <w:t>shall</w:t>
      </w:r>
      <w:r>
        <w:rPr>
          <w:spacing w:val="27"/>
        </w:rPr>
        <w:t> </w:t>
      </w:r>
      <w:r>
        <w:rPr/>
        <w:t>be</w:t>
      </w:r>
      <w:r>
        <w:rPr>
          <w:spacing w:val="23"/>
        </w:rPr>
        <w:t> </w:t>
      </w:r>
      <w:r>
        <w:rPr/>
        <w:t>liable</w:t>
      </w:r>
      <w:r>
        <w:rPr>
          <w:spacing w:val="23"/>
        </w:rPr>
        <w:t> </w:t>
      </w:r>
      <w:r>
        <w:rPr/>
        <w:t>to</w:t>
      </w:r>
      <w:r>
        <w:rPr>
          <w:spacing w:val="24"/>
        </w:rPr>
        <w:t> </w:t>
      </w:r>
      <w:r>
        <w:rPr/>
        <w:t>a</w:t>
      </w:r>
      <w:r>
        <w:rPr>
          <w:spacing w:val="25"/>
        </w:rPr>
        <w:t> </w:t>
      </w:r>
      <w:r>
        <w:rPr/>
        <w:t>fine</w:t>
      </w:r>
      <w:r>
        <w:rPr>
          <w:spacing w:val="25"/>
        </w:rPr>
        <w:t> </w:t>
      </w:r>
      <w:r>
        <w:rPr/>
        <w:t>of ten thousand naira. In addition to this, the offender shall be liable to a further sum of two thousand naira for each and every day during which any of the following offences continues:</w:t>
      </w:r>
    </w:p>
    <w:p>
      <w:pPr>
        <w:pStyle w:val="ListParagraph"/>
        <w:numPr>
          <w:ilvl w:val="3"/>
          <w:numId w:val="14"/>
        </w:numPr>
        <w:tabs>
          <w:tab w:pos="1797" w:val="left" w:leader="none"/>
          <w:tab w:pos="1800" w:val="left" w:leader="none"/>
        </w:tabs>
        <w:spacing w:line="240" w:lineRule="auto" w:before="0" w:after="0"/>
        <w:ind w:left="1800" w:right="1597" w:hanging="555"/>
        <w:jc w:val="both"/>
        <w:rPr>
          <w:sz w:val="24"/>
        </w:rPr>
      </w:pPr>
      <w:r>
        <w:rPr>
          <w:sz w:val="24"/>
        </w:rPr>
        <w:t>Where a person, other than a company, engages in petroleum operations, either on his own or jointly with any other person with</w:t>
      </w:r>
      <w:r>
        <w:rPr>
          <w:spacing w:val="40"/>
          <w:sz w:val="24"/>
        </w:rPr>
        <w:t> </w:t>
      </w:r>
      <w:r>
        <w:rPr>
          <w:sz w:val="24"/>
        </w:rPr>
        <w:t>a</w:t>
      </w:r>
      <w:r>
        <w:rPr>
          <w:spacing w:val="40"/>
          <w:sz w:val="24"/>
        </w:rPr>
        <w:t> </w:t>
      </w:r>
      <w:r>
        <w:rPr>
          <w:sz w:val="24"/>
        </w:rPr>
        <w:t>view</w:t>
      </w:r>
      <w:r>
        <w:rPr>
          <w:spacing w:val="40"/>
          <w:sz w:val="24"/>
        </w:rPr>
        <w:t> </w:t>
      </w:r>
      <w:r>
        <w:rPr>
          <w:sz w:val="24"/>
        </w:rPr>
        <w:t>to</w:t>
      </w:r>
      <w:r>
        <w:rPr>
          <w:spacing w:val="40"/>
          <w:sz w:val="24"/>
        </w:rPr>
        <w:t> </w:t>
      </w:r>
      <w:r>
        <w:rPr>
          <w:sz w:val="24"/>
        </w:rPr>
        <w:t>sharing</w:t>
      </w:r>
      <w:r>
        <w:rPr>
          <w:spacing w:val="40"/>
          <w:sz w:val="24"/>
        </w:rPr>
        <w:t> </w:t>
      </w:r>
      <w:r>
        <w:rPr>
          <w:sz w:val="24"/>
        </w:rPr>
        <w:t>the</w:t>
      </w:r>
      <w:r>
        <w:rPr>
          <w:spacing w:val="40"/>
          <w:sz w:val="24"/>
        </w:rPr>
        <w:t> </w:t>
      </w:r>
      <w:r>
        <w:rPr>
          <w:sz w:val="24"/>
        </w:rPr>
        <w:t>profits arising from those </w:t>
      </w:r>
      <w:r>
        <w:rPr>
          <w:spacing w:val="-2"/>
          <w:sz w:val="24"/>
        </w:rPr>
        <w:t>operations.</w:t>
      </w:r>
    </w:p>
    <w:p>
      <w:pPr>
        <w:pStyle w:val="ListParagraph"/>
        <w:numPr>
          <w:ilvl w:val="3"/>
          <w:numId w:val="14"/>
        </w:numPr>
        <w:tabs>
          <w:tab w:pos="1798" w:val="left" w:leader="none"/>
        </w:tabs>
        <w:spacing w:line="240" w:lineRule="auto" w:before="1" w:after="0"/>
        <w:ind w:left="1798" w:right="0" w:hanging="552"/>
        <w:jc w:val="both"/>
        <w:rPr>
          <w:sz w:val="24"/>
        </w:rPr>
      </w:pPr>
      <w:r>
        <w:rPr>
          <w:sz w:val="24"/>
        </w:rPr>
        <w:t>Failure</w:t>
      </w:r>
      <w:r>
        <w:rPr>
          <w:spacing w:val="2"/>
          <w:sz w:val="24"/>
        </w:rPr>
        <w:t> </w:t>
      </w:r>
      <w:r>
        <w:rPr>
          <w:sz w:val="24"/>
        </w:rPr>
        <w:t>to</w:t>
      </w:r>
      <w:r>
        <w:rPr>
          <w:spacing w:val="4"/>
          <w:sz w:val="24"/>
        </w:rPr>
        <w:t> </w:t>
      </w:r>
      <w:r>
        <w:rPr>
          <w:sz w:val="24"/>
        </w:rPr>
        <w:t>submit</w:t>
      </w:r>
      <w:r>
        <w:rPr>
          <w:spacing w:val="6"/>
          <w:sz w:val="24"/>
        </w:rPr>
        <w:t> </w:t>
      </w:r>
      <w:r>
        <w:rPr>
          <w:sz w:val="24"/>
        </w:rPr>
        <w:t>a</w:t>
      </w:r>
      <w:r>
        <w:rPr>
          <w:spacing w:val="3"/>
          <w:sz w:val="24"/>
        </w:rPr>
        <w:t> </w:t>
      </w:r>
      <w:r>
        <w:rPr>
          <w:sz w:val="24"/>
        </w:rPr>
        <w:t>return</w:t>
      </w:r>
      <w:r>
        <w:rPr>
          <w:spacing w:val="2"/>
          <w:sz w:val="24"/>
        </w:rPr>
        <w:t> </w:t>
      </w:r>
      <w:r>
        <w:rPr>
          <w:sz w:val="24"/>
        </w:rPr>
        <w:t>of</w:t>
      </w:r>
      <w:r>
        <w:rPr>
          <w:spacing w:val="3"/>
          <w:sz w:val="24"/>
        </w:rPr>
        <w:t> </w:t>
      </w:r>
      <w:r>
        <w:rPr>
          <w:sz w:val="24"/>
        </w:rPr>
        <w:t>estimated</w:t>
      </w:r>
      <w:r>
        <w:rPr>
          <w:spacing w:val="4"/>
          <w:sz w:val="24"/>
        </w:rPr>
        <w:t> </w:t>
      </w:r>
      <w:r>
        <w:rPr>
          <w:spacing w:val="-4"/>
          <w:sz w:val="24"/>
        </w:rPr>
        <w:t>tax.</w:t>
      </w:r>
    </w:p>
    <w:p>
      <w:pPr>
        <w:pStyle w:val="ListParagraph"/>
        <w:numPr>
          <w:ilvl w:val="3"/>
          <w:numId w:val="14"/>
        </w:numPr>
        <w:tabs>
          <w:tab w:pos="1797" w:val="left" w:leader="none"/>
          <w:tab w:pos="1800" w:val="left" w:leader="none"/>
        </w:tabs>
        <w:spacing w:line="240" w:lineRule="auto" w:before="0" w:after="0"/>
        <w:ind w:left="1800" w:right="1609" w:hanging="555"/>
        <w:jc w:val="both"/>
        <w:rPr>
          <w:sz w:val="24"/>
        </w:rPr>
      </w:pPr>
      <w:r>
        <w:rPr>
          <w:sz w:val="24"/>
        </w:rPr>
        <w:t>Failure to deliver account, particulars, information or kept records required by the Act.</w:t>
      </w:r>
    </w:p>
    <w:p>
      <w:pPr>
        <w:pStyle w:val="BodyText"/>
      </w:pPr>
    </w:p>
    <w:p>
      <w:pPr>
        <w:pStyle w:val="BodyText"/>
      </w:pPr>
    </w:p>
    <w:p>
      <w:pPr>
        <w:pStyle w:val="BodyText"/>
        <w:spacing w:line="480" w:lineRule="auto"/>
        <w:ind w:left="360" w:right="153" w:firstLine="799"/>
        <w:jc w:val="both"/>
      </w:pPr>
      <w:r>
        <w:rPr/>
        <w:t>The liability for such further sum of two thousand naira commences from the day following the day</w:t>
      </w:r>
      <w:r>
        <w:rPr>
          <w:spacing w:val="-2"/>
        </w:rPr>
        <w:t> </w:t>
      </w:r>
      <w:r>
        <w:rPr/>
        <w:t>for conviction or any</w:t>
      </w:r>
      <w:r>
        <w:rPr>
          <w:spacing w:val="-2"/>
        </w:rPr>
        <w:t> </w:t>
      </w:r>
      <w:r>
        <w:rPr/>
        <w:t>day thereafter as the court</w:t>
      </w:r>
      <w:r>
        <w:rPr>
          <w:spacing w:val="-1"/>
        </w:rPr>
        <w:t> </w:t>
      </w:r>
      <w:r>
        <w:rPr/>
        <w:t>may</w:t>
      </w:r>
      <w:r>
        <w:rPr>
          <w:spacing w:val="-7"/>
        </w:rPr>
        <w:t> </w:t>
      </w:r>
      <w:r>
        <w:rPr/>
        <w:t>order.</w:t>
      </w:r>
      <w:r>
        <w:rPr>
          <w:vertAlign w:val="superscript"/>
        </w:rPr>
        <w:t>20</w:t>
      </w:r>
      <w:r>
        <w:rPr>
          <w:vertAlign w:val="baseline"/>
        </w:rPr>
        <w:t> But where</w:t>
      </w:r>
      <w:r>
        <w:rPr>
          <w:spacing w:val="-1"/>
          <w:vertAlign w:val="baseline"/>
        </w:rPr>
        <w:t> </w:t>
      </w:r>
      <w:r>
        <w:rPr>
          <w:vertAlign w:val="baseline"/>
        </w:rPr>
        <w:t>the person defaults to pay the fine he shall be liable to imprisonment for six months.</w:t>
      </w:r>
    </w:p>
    <w:p>
      <w:pPr>
        <w:pStyle w:val="BodyText"/>
        <w:spacing w:line="480" w:lineRule="auto"/>
        <w:ind w:left="360" w:right="163" w:firstLine="799"/>
        <w:jc w:val="both"/>
      </w:pPr>
      <w:r>
        <w:rPr/>
        <w:t>It</w:t>
      </w:r>
      <w:r>
        <w:rPr>
          <w:spacing w:val="40"/>
        </w:rPr>
        <w:t> </w:t>
      </w:r>
      <w:r>
        <w:rPr/>
        <w:t>appears</w:t>
      </w:r>
      <w:r>
        <w:rPr>
          <w:spacing w:val="40"/>
        </w:rPr>
        <w:t> </w:t>
      </w:r>
      <w:r>
        <w:rPr/>
        <w:t>from</w:t>
      </w:r>
      <w:r>
        <w:rPr>
          <w:spacing w:val="40"/>
        </w:rPr>
        <w:t> </w:t>
      </w:r>
      <w:r>
        <w:rPr/>
        <w:t>the</w:t>
      </w:r>
      <w:r>
        <w:rPr>
          <w:spacing w:val="40"/>
        </w:rPr>
        <w:t> </w:t>
      </w:r>
      <w:r>
        <w:rPr/>
        <w:t>above</w:t>
      </w:r>
      <w:r>
        <w:rPr>
          <w:spacing w:val="40"/>
        </w:rPr>
        <w:t> </w:t>
      </w:r>
      <w:r>
        <w:rPr/>
        <w:t>that</w:t>
      </w:r>
      <w:r>
        <w:rPr>
          <w:spacing w:val="40"/>
        </w:rPr>
        <w:t> </w:t>
      </w:r>
      <w:r>
        <w:rPr/>
        <w:t>the</w:t>
      </w:r>
      <w:r>
        <w:rPr>
          <w:spacing w:val="40"/>
        </w:rPr>
        <w:t> </w:t>
      </w:r>
      <w:r>
        <w:rPr/>
        <w:t>main</w:t>
      </w:r>
      <w:r>
        <w:rPr>
          <w:spacing w:val="40"/>
        </w:rPr>
        <w:t> </w:t>
      </w:r>
      <w:r>
        <w:rPr/>
        <w:t>objective</w:t>
      </w:r>
      <w:r>
        <w:rPr>
          <w:spacing w:val="40"/>
        </w:rPr>
        <w:t> </w:t>
      </w:r>
      <w:r>
        <w:rPr/>
        <w:t>of</w:t>
      </w:r>
      <w:r>
        <w:rPr>
          <w:spacing w:val="40"/>
        </w:rPr>
        <w:t> </w:t>
      </w:r>
      <w:r>
        <w:rPr/>
        <w:t>the</w:t>
      </w:r>
      <w:r>
        <w:rPr>
          <w:spacing w:val="40"/>
        </w:rPr>
        <w:t> </w:t>
      </w:r>
      <w:r>
        <w:rPr/>
        <w:t>provision</w:t>
      </w:r>
      <w:r>
        <w:rPr>
          <w:spacing w:val="38"/>
        </w:rPr>
        <w:t> </w:t>
      </w:r>
      <w:r>
        <w:rPr/>
        <w:t>is</w:t>
      </w:r>
      <w:r>
        <w:rPr>
          <w:spacing w:val="36"/>
        </w:rPr>
        <w:t> </w:t>
      </w:r>
      <w:r>
        <w:rPr/>
        <w:t>to</w:t>
      </w:r>
      <w:r>
        <w:rPr>
          <w:spacing w:val="36"/>
        </w:rPr>
        <w:t> </w:t>
      </w:r>
      <w:r>
        <w:rPr/>
        <w:t>compel the</w:t>
      </w:r>
      <w:r>
        <w:rPr>
          <w:spacing w:val="24"/>
        </w:rPr>
        <w:t> </w:t>
      </w:r>
      <w:r>
        <w:rPr/>
        <w:t>staff</w:t>
      </w:r>
      <w:r>
        <w:rPr>
          <w:spacing w:val="25"/>
        </w:rPr>
        <w:t> </w:t>
      </w:r>
      <w:r>
        <w:rPr/>
        <w:t>of</w:t>
      </w:r>
      <w:r>
        <w:rPr>
          <w:spacing w:val="23"/>
        </w:rPr>
        <w:t> </w:t>
      </w:r>
      <w:r>
        <w:rPr/>
        <w:t>the</w:t>
      </w:r>
      <w:r>
        <w:rPr>
          <w:spacing w:val="24"/>
        </w:rPr>
        <w:t> </w:t>
      </w:r>
      <w:r>
        <w:rPr/>
        <w:t>company</w:t>
      </w:r>
      <w:r>
        <w:rPr>
          <w:spacing w:val="23"/>
        </w:rPr>
        <w:t> </w:t>
      </w:r>
      <w:r>
        <w:rPr/>
        <w:t>such</w:t>
      </w:r>
      <w:r>
        <w:rPr>
          <w:spacing w:val="26"/>
        </w:rPr>
        <w:t> </w:t>
      </w:r>
      <w:r>
        <w:rPr/>
        <w:t>as</w:t>
      </w:r>
      <w:r>
        <w:rPr>
          <w:spacing w:val="28"/>
        </w:rPr>
        <w:t> </w:t>
      </w:r>
      <w:r>
        <w:rPr/>
        <w:t>accountants</w:t>
      </w:r>
      <w:r>
        <w:rPr>
          <w:spacing w:val="35"/>
        </w:rPr>
        <w:t> </w:t>
      </w:r>
      <w:r>
        <w:rPr/>
        <w:t>that</w:t>
      </w:r>
      <w:r>
        <w:rPr>
          <w:spacing w:val="22"/>
        </w:rPr>
        <w:t> </w:t>
      </w:r>
      <w:r>
        <w:rPr/>
        <w:t>play</w:t>
      </w:r>
      <w:r>
        <w:rPr>
          <w:spacing w:val="18"/>
        </w:rPr>
        <w:t> </w:t>
      </w:r>
      <w:r>
        <w:rPr/>
        <w:t>a</w:t>
      </w:r>
      <w:r>
        <w:rPr>
          <w:spacing w:val="19"/>
        </w:rPr>
        <w:t> </w:t>
      </w:r>
      <w:r>
        <w:rPr/>
        <w:t>key</w:t>
      </w:r>
      <w:r>
        <w:rPr>
          <w:spacing w:val="16"/>
        </w:rPr>
        <w:t> </w:t>
      </w:r>
      <w:r>
        <w:rPr/>
        <w:t>role</w:t>
      </w:r>
      <w:r>
        <w:rPr>
          <w:spacing w:val="19"/>
        </w:rPr>
        <w:t> </w:t>
      </w:r>
      <w:r>
        <w:rPr/>
        <w:t>in</w:t>
      </w:r>
      <w:r>
        <w:rPr>
          <w:spacing w:val="22"/>
        </w:rPr>
        <w:t> </w:t>
      </w:r>
      <w:r>
        <w:rPr/>
        <w:t>determining</w:t>
      </w:r>
      <w:r>
        <w:rPr>
          <w:spacing w:val="18"/>
        </w:rPr>
        <w:t> </w:t>
      </w:r>
      <w:r>
        <w:rPr/>
        <w:t>the</w:t>
      </w:r>
      <w:r>
        <w:rPr>
          <w:spacing w:val="21"/>
        </w:rPr>
        <w:t> </w:t>
      </w:r>
      <w:r>
        <w:rPr>
          <w:spacing w:val="-2"/>
        </w:rPr>
        <w:t>actual</w:t>
      </w:r>
    </w:p>
    <w:p>
      <w:pPr>
        <w:pStyle w:val="BodyText"/>
        <w:spacing w:before="11"/>
        <w:rPr>
          <w:sz w:val="4"/>
        </w:rPr>
      </w:pPr>
      <w:r>
        <w:rPr/>
        <mc:AlternateContent>
          <mc:Choice Requires="wps">
            <w:drawing>
              <wp:anchor distT="0" distB="0" distL="0" distR="0" allowOverlap="1" layoutInCell="1" locked="0" behindDoc="1" simplePos="0" relativeHeight="487617024">
                <wp:simplePos x="0" y="0"/>
                <wp:positionH relativeFrom="page">
                  <wp:posOffset>914704</wp:posOffset>
                </wp:positionH>
                <wp:positionV relativeFrom="paragraph">
                  <wp:posOffset>51528</wp:posOffset>
                </wp:positionV>
                <wp:extent cx="1829435" cy="9525"/>
                <wp:effectExtent l="0" t="0" r="0" b="0"/>
                <wp:wrapTopAndBottom/>
                <wp:docPr id="62" name="Graphic 62"/>
                <wp:cNvGraphicFramePr>
                  <a:graphicFrameLocks/>
                </wp:cNvGraphicFramePr>
                <a:graphic>
                  <a:graphicData uri="http://schemas.microsoft.com/office/word/2010/wordprocessingShape">
                    <wps:wsp>
                      <wps:cNvPr id="62" name="Graphic 62"/>
                      <wps:cNvSpPr/>
                      <wps:spPr>
                        <a:xfrm>
                          <a:off x="0" y="0"/>
                          <a:ext cx="1829435" cy="9525"/>
                        </a:xfrm>
                        <a:custGeom>
                          <a:avLst/>
                          <a:gdLst/>
                          <a:ahLst/>
                          <a:cxnLst/>
                          <a:rect l="l" t="t" r="r" b="b"/>
                          <a:pathLst>
                            <a:path w="1829435" h="9525">
                              <a:moveTo>
                                <a:pt x="1829054" y="0"/>
                              </a:moveTo>
                              <a:lnTo>
                                <a:pt x="0" y="0"/>
                              </a:lnTo>
                              <a:lnTo>
                                <a:pt x="0" y="9144"/>
                              </a:lnTo>
                              <a:lnTo>
                                <a:pt x="1829054" y="9144"/>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2.024002pt;margin-top:4.057392pt;width:144.020pt;height:.72003pt;mso-position-horizontal-relative:page;mso-position-vertical-relative:paragraph;z-index:-15699456;mso-wrap-distance-left:0;mso-wrap-distance-right:0" id="docshape62" filled="true" fillcolor="#000000" stroked="false">
                <v:fill type="solid"/>
                <w10:wrap type="topAndBottom"/>
              </v:rect>
            </w:pict>
          </mc:Fallback>
        </mc:AlternateContent>
      </w:r>
    </w:p>
    <w:p>
      <w:pPr>
        <w:spacing w:before="102"/>
        <w:ind w:left="360" w:right="0" w:firstLine="0"/>
        <w:jc w:val="left"/>
        <w:rPr>
          <w:rFonts w:ascii="Calibri"/>
          <w:sz w:val="20"/>
        </w:rPr>
      </w:pPr>
      <w:r>
        <w:rPr>
          <w:rFonts w:ascii="Calibri"/>
          <w:sz w:val="20"/>
          <w:vertAlign w:val="superscript"/>
        </w:rPr>
        <w:t>20</w:t>
      </w:r>
      <w:r>
        <w:rPr>
          <w:rFonts w:ascii="Calibri"/>
          <w:spacing w:val="-6"/>
          <w:sz w:val="20"/>
          <w:vertAlign w:val="baseline"/>
        </w:rPr>
        <w:t> </w:t>
      </w:r>
      <w:r>
        <w:rPr>
          <w:rFonts w:ascii="Calibri"/>
          <w:sz w:val="20"/>
          <w:vertAlign w:val="baseline"/>
        </w:rPr>
        <w:t>Section</w:t>
      </w:r>
      <w:r>
        <w:rPr>
          <w:rFonts w:ascii="Calibri"/>
          <w:spacing w:val="-5"/>
          <w:sz w:val="20"/>
          <w:vertAlign w:val="baseline"/>
        </w:rPr>
        <w:t> </w:t>
      </w:r>
      <w:r>
        <w:rPr>
          <w:rFonts w:ascii="Calibri"/>
          <w:sz w:val="20"/>
          <w:vertAlign w:val="baseline"/>
        </w:rPr>
        <w:t>51,</w:t>
      </w:r>
      <w:r>
        <w:rPr>
          <w:rFonts w:ascii="Calibri"/>
          <w:spacing w:val="-5"/>
          <w:sz w:val="20"/>
          <w:vertAlign w:val="baseline"/>
        </w:rPr>
        <w:t> </w:t>
      </w:r>
      <w:r>
        <w:rPr>
          <w:rFonts w:ascii="Calibri"/>
          <w:spacing w:val="-4"/>
          <w:sz w:val="20"/>
          <w:vertAlign w:val="baseline"/>
        </w:rPr>
        <w:t>Ibid</w:t>
      </w:r>
    </w:p>
    <w:p>
      <w:pPr>
        <w:spacing w:after="0"/>
        <w:jc w:val="left"/>
        <w:rPr>
          <w:rFonts w:ascii="Calibri"/>
          <w:sz w:val="20"/>
        </w:rPr>
        <w:sectPr>
          <w:pgSz w:w="11910" w:h="16840"/>
          <w:pgMar w:header="0" w:footer="1000" w:top="1340" w:bottom="1200" w:left="1080" w:right="1280"/>
        </w:sectPr>
      </w:pPr>
    </w:p>
    <w:p>
      <w:pPr>
        <w:pStyle w:val="BodyText"/>
        <w:spacing w:line="480" w:lineRule="auto" w:before="74"/>
        <w:ind w:left="360" w:right="162"/>
        <w:jc w:val="both"/>
      </w:pPr>
      <w:r>
        <w:rPr/>
        <w:t>tax liability to cooperate with the Board officials. This is to avoid facing any negative </w:t>
      </w:r>
      <w:r>
        <w:rPr>
          <w:spacing w:val="9"/>
        </w:rPr>
        <w:t>consequence</w:t>
      </w:r>
      <w:r>
        <w:rPr>
          <w:spacing w:val="40"/>
        </w:rPr>
        <w:t> </w:t>
      </w:r>
      <w:r>
        <w:rPr/>
        <w:t>of</w:t>
      </w:r>
      <w:r>
        <w:rPr>
          <w:spacing w:val="40"/>
        </w:rPr>
        <w:t> </w:t>
      </w:r>
      <w:r>
        <w:rPr/>
        <w:t>such</w:t>
      </w:r>
      <w:r>
        <w:rPr>
          <w:spacing w:val="40"/>
        </w:rPr>
        <w:t> </w:t>
      </w:r>
      <w:r>
        <w:rPr/>
        <w:t>acts.</w:t>
      </w:r>
      <w:r>
        <w:rPr>
          <w:spacing w:val="40"/>
        </w:rPr>
        <w:t> </w:t>
      </w:r>
      <w:r>
        <w:rPr>
          <w:spacing w:val="9"/>
        </w:rPr>
        <w:t>Furthermore</w:t>
      </w:r>
      <w:r>
        <w:rPr>
          <w:spacing w:val="40"/>
        </w:rPr>
        <w:t> </w:t>
      </w:r>
      <w:r>
        <w:rPr/>
        <w:t>the</w:t>
      </w:r>
      <w:r>
        <w:rPr>
          <w:spacing w:val="40"/>
        </w:rPr>
        <w:t> </w:t>
      </w:r>
      <w:r>
        <w:rPr/>
        <w:t>amount</w:t>
      </w:r>
      <w:r>
        <w:rPr>
          <w:spacing w:val="40"/>
        </w:rPr>
        <w:t> </w:t>
      </w:r>
      <w:r>
        <w:rPr/>
        <w:t>of</w:t>
      </w:r>
      <w:r>
        <w:rPr>
          <w:spacing w:val="40"/>
        </w:rPr>
        <w:t> </w:t>
      </w:r>
      <w:r>
        <w:rPr/>
        <w:t>fine</w:t>
      </w:r>
      <w:r>
        <w:rPr>
          <w:spacing w:val="40"/>
        </w:rPr>
        <w:t> </w:t>
      </w:r>
      <w:r>
        <w:rPr/>
        <w:t>is</w:t>
      </w:r>
      <w:r>
        <w:rPr>
          <w:spacing w:val="80"/>
        </w:rPr>
        <w:t> </w:t>
      </w:r>
      <w:r>
        <w:rPr/>
        <w:t>inadequate</w:t>
      </w:r>
      <w:r>
        <w:rPr>
          <w:spacing w:val="40"/>
        </w:rPr>
        <w:t> </w:t>
      </w:r>
      <w:r>
        <w:rPr/>
        <w:t>compare</w:t>
      </w:r>
      <w:r>
        <w:rPr>
          <w:spacing w:val="40"/>
        </w:rPr>
        <w:t> </w:t>
      </w:r>
      <w:r>
        <w:rPr/>
        <w:t>to the huge amount of money they earn from the oil companies. The amount must be increase</w:t>
      </w:r>
      <w:r>
        <w:rPr>
          <w:spacing w:val="80"/>
        </w:rPr>
        <w:t> </w:t>
      </w:r>
      <w:r>
        <w:rPr/>
        <w:t>so that the desired goal could be achieved.</w:t>
      </w:r>
    </w:p>
    <w:p>
      <w:pPr>
        <w:spacing w:after="0" w:line="480" w:lineRule="auto"/>
        <w:jc w:val="both"/>
        <w:sectPr>
          <w:pgSz w:w="11910" w:h="16840"/>
          <w:pgMar w:header="0" w:footer="1000" w:top="1340" w:bottom="1200" w:left="1080" w:right="1280"/>
        </w:sectPr>
      </w:pPr>
    </w:p>
    <w:p>
      <w:pPr>
        <w:pStyle w:val="Heading1"/>
        <w:spacing w:before="78"/>
        <w:ind w:right="240"/>
      </w:pPr>
      <w:r>
        <w:rPr/>
        <w:t>CHAPTER</w:t>
      </w:r>
      <w:r>
        <w:rPr>
          <w:spacing w:val="-5"/>
        </w:rPr>
        <w:t> </w:t>
      </w:r>
      <w:r>
        <w:rPr>
          <w:spacing w:val="-4"/>
        </w:rPr>
        <w:t>FIVE</w:t>
      </w:r>
    </w:p>
    <w:p>
      <w:pPr>
        <w:pStyle w:val="BodyText"/>
        <w:rPr>
          <w:b/>
        </w:rPr>
      </w:pPr>
    </w:p>
    <w:p>
      <w:pPr>
        <w:spacing w:before="0"/>
        <w:ind w:left="438" w:right="238" w:firstLine="0"/>
        <w:jc w:val="center"/>
        <w:rPr>
          <w:b/>
          <w:sz w:val="24"/>
        </w:rPr>
      </w:pPr>
      <w:r>
        <w:rPr>
          <w:b/>
          <w:sz w:val="24"/>
        </w:rPr>
        <w:t>SUMMARY, CONCLUSION</w:t>
      </w:r>
      <w:r>
        <w:rPr>
          <w:b/>
          <w:spacing w:val="-1"/>
          <w:sz w:val="24"/>
        </w:rPr>
        <w:t> </w:t>
      </w:r>
      <w:r>
        <w:rPr>
          <w:b/>
          <w:sz w:val="24"/>
        </w:rPr>
        <w:t>AND</w:t>
      </w:r>
      <w:r>
        <w:rPr>
          <w:b/>
          <w:spacing w:val="-1"/>
          <w:sz w:val="24"/>
        </w:rPr>
        <w:t> </w:t>
      </w:r>
      <w:r>
        <w:rPr>
          <w:b/>
          <w:spacing w:val="-2"/>
          <w:sz w:val="24"/>
        </w:rPr>
        <w:t>RECOMMENDATIONS</w:t>
      </w:r>
    </w:p>
    <w:p>
      <w:pPr>
        <w:pStyle w:val="BodyText"/>
        <w:rPr>
          <w:b/>
        </w:rPr>
      </w:pPr>
    </w:p>
    <w:p>
      <w:pPr>
        <w:pStyle w:val="Heading2"/>
        <w:numPr>
          <w:ilvl w:val="1"/>
          <w:numId w:val="17"/>
        </w:numPr>
        <w:tabs>
          <w:tab w:pos="1079" w:val="left" w:leader="none"/>
        </w:tabs>
        <w:spacing w:line="240" w:lineRule="auto" w:before="1" w:after="0"/>
        <w:ind w:left="1079" w:right="0" w:hanging="719"/>
        <w:jc w:val="both"/>
      </w:pPr>
      <w:r>
        <w:rPr>
          <w:spacing w:val="-2"/>
        </w:rPr>
        <w:t>Summary</w:t>
      </w:r>
    </w:p>
    <w:p>
      <w:pPr>
        <w:pStyle w:val="BodyText"/>
        <w:spacing w:line="480" w:lineRule="auto" w:before="271"/>
        <w:ind w:left="360" w:right="153" w:firstLine="719"/>
        <w:jc w:val="both"/>
      </w:pPr>
      <w:r>
        <w:rPr/>
        <w:t>The provisions of the PPTA have revealed a legal framework for taxation of</w:t>
      </w:r>
      <w:r>
        <w:rPr>
          <w:spacing w:val="40"/>
        </w:rPr>
        <w:t> </w:t>
      </w:r>
      <w:r>
        <w:rPr/>
        <w:t>petroleum profits of companies engaged in petroleum operations as distinct from taxing of other companies under the general fax regime in Nigeria. It is obvious that the Act has made far-reaching provisions with respect to the assessment and computation of profits and tax payable by oil producing companies and stipulated methods of collecting such tax under the management of the FBIR. It has also tried, but failed to tackle the incidence of tax evasion prevalent in the Nigerian economy. The provisions of the Act leave some ambiguities under which some companies hide to evade tax, and have failed to set a workable enforcement machinery to detect and punish violation of its provisions. Nevertheless, the Act is a piece of legislation that hold's great potentials for effective taxation.</w:t>
      </w:r>
    </w:p>
    <w:p>
      <w:pPr>
        <w:pStyle w:val="BodyText"/>
        <w:spacing w:line="480" w:lineRule="auto" w:before="1"/>
        <w:ind w:left="360" w:right="161" w:firstLine="719"/>
        <w:jc w:val="both"/>
      </w:pPr>
      <w:r>
        <w:rPr/>
        <w:t>The dwindling fortunes of the industry had been affected by several factors like, pipeline vandalism, oil theft,, militancy, poor maintenance ,ageing assets, operational challenges and volatility of oil prices as key challenges.</w:t>
      </w:r>
    </w:p>
    <w:p>
      <w:pPr>
        <w:pStyle w:val="BodyText"/>
        <w:spacing w:line="480" w:lineRule="auto"/>
        <w:ind w:left="360" w:right="158" w:firstLine="719"/>
        <w:jc w:val="both"/>
      </w:pPr>
      <w:r>
        <w:rPr/>
        <w:t>In</w:t>
      </w:r>
      <w:r>
        <w:rPr>
          <w:spacing w:val="-5"/>
        </w:rPr>
        <w:t> </w:t>
      </w:r>
      <w:r>
        <w:rPr/>
        <w:t>spite</w:t>
      </w:r>
      <w:r>
        <w:rPr>
          <w:spacing w:val="-5"/>
        </w:rPr>
        <w:t> </w:t>
      </w:r>
      <w:r>
        <w:rPr/>
        <w:t>of</w:t>
      </w:r>
      <w:r>
        <w:rPr>
          <w:spacing w:val="-5"/>
        </w:rPr>
        <w:t> </w:t>
      </w:r>
      <w:r>
        <w:rPr/>
        <w:t>Nigeria‟s</w:t>
      </w:r>
      <w:r>
        <w:rPr>
          <w:spacing w:val="-6"/>
        </w:rPr>
        <w:t> </w:t>
      </w:r>
      <w:r>
        <w:rPr/>
        <w:t>huge</w:t>
      </w:r>
      <w:r>
        <w:rPr>
          <w:spacing w:val="-4"/>
        </w:rPr>
        <w:t> </w:t>
      </w:r>
      <w:r>
        <w:rPr/>
        <w:t>human</w:t>
      </w:r>
      <w:r>
        <w:rPr>
          <w:spacing w:val="-5"/>
        </w:rPr>
        <w:t> </w:t>
      </w:r>
      <w:r>
        <w:rPr/>
        <w:t>and</w:t>
      </w:r>
      <w:r>
        <w:rPr>
          <w:spacing w:val="-5"/>
        </w:rPr>
        <w:t> </w:t>
      </w:r>
      <w:r>
        <w:rPr/>
        <w:t>material</w:t>
      </w:r>
      <w:r>
        <w:rPr>
          <w:spacing w:val="-5"/>
        </w:rPr>
        <w:t> </w:t>
      </w:r>
      <w:r>
        <w:rPr/>
        <w:t>resourses,</w:t>
      </w:r>
      <w:r>
        <w:rPr>
          <w:spacing w:val="-5"/>
        </w:rPr>
        <w:t> </w:t>
      </w:r>
      <w:r>
        <w:rPr/>
        <w:t>the</w:t>
      </w:r>
      <w:r>
        <w:rPr>
          <w:spacing w:val="-5"/>
        </w:rPr>
        <w:t> </w:t>
      </w:r>
      <w:r>
        <w:rPr/>
        <w:t>national</w:t>
      </w:r>
      <w:r>
        <w:rPr>
          <w:spacing w:val="-5"/>
        </w:rPr>
        <w:t> </w:t>
      </w:r>
      <w:r>
        <w:rPr/>
        <w:t>economy</w:t>
      </w:r>
      <w:r>
        <w:rPr>
          <w:spacing w:val="-10"/>
        </w:rPr>
        <w:t> </w:t>
      </w:r>
      <w:r>
        <w:rPr/>
        <w:t>has</w:t>
      </w:r>
      <w:r>
        <w:rPr>
          <w:spacing w:val="-1"/>
        </w:rPr>
        <w:t> </w:t>
      </w:r>
      <w:r>
        <w:rPr/>
        <w:t>not experienced</w:t>
      </w:r>
      <w:r>
        <w:rPr>
          <w:spacing w:val="40"/>
        </w:rPr>
        <w:t> </w:t>
      </w:r>
      <w:r>
        <w:rPr/>
        <w:t>meaningful</w:t>
      </w:r>
      <w:r>
        <w:rPr>
          <w:spacing w:val="40"/>
        </w:rPr>
        <w:t> </w:t>
      </w:r>
      <w:r>
        <w:rPr/>
        <w:t>progress. With about 83 percent of the total Federal Government revenue coming from oil and gas exports and a bourgeoning labor force of about 57.2</w:t>
      </w:r>
      <w:r>
        <w:rPr>
          <w:spacing w:val="80"/>
        </w:rPr>
        <w:t> </w:t>
      </w:r>
      <w:r>
        <w:rPr/>
        <w:t>million, the economy should ordinarily be buoyant.</w:t>
      </w:r>
    </w:p>
    <w:p>
      <w:pPr>
        <w:pStyle w:val="BodyText"/>
        <w:spacing w:line="480" w:lineRule="auto" w:before="1"/>
        <w:ind w:left="360" w:right="162" w:firstLine="719"/>
        <w:jc w:val="both"/>
      </w:pPr>
      <w:r>
        <w:rPr/>
        <w:t>The slow pace of economic growth is blamed on poor infrastructure, insecurity, inconsistency in government policies and corruption .the World Bank estimates that 80 percent of energy revenues are benefiting only one percent of the population due to </w:t>
      </w:r>
      <w:r>
        <w:rPr>
          <w:spacing w:val="-2"/>
        </w:rPr>
        <w:t>corruption.</w:t>
      </w:r>
    </w:p>
    <w:p>
      <w:pPr>
        <w:spacing w:after="0" w:line="480" w:lineRule="auto"/>
        <w:jc w:val="both"/>
        <w:sectPr>
          <w:pgSz w:w="11910" w:h="16840"/>
          <w:pgMar w:header="0" w:footer="1000" w:top="1340" w:bottom="1200" w:left="1080" w:right="1280"/>
        </w:sectPr>
      </w:pPr>
    </w:p>
    <w:p>
      <w:pPr>
        <w:pStyle w:val="Heading2"/>
        <w:numPr>
          <w:ilvl w:val="1"/>
          <w:numId w:val="17"/>
        </w:numPr>
        <w:tabs>
          <w:tab w:pos="1079" w:val="left" w:leader="none"/>
        </w:tabs>
        <w:spacing w:line="240" w:lineRule="auto" w:before="78" w:after="0"/>
        <w:ind w:left="1079" w:right="0" w:hanging="719"/>
        <w:jc w:val="both"/>
      </w:pPr>
      <w:r>
        <w:rPr>
          <w:spacing w:val="-2"/>
        </w:rPr>
        <w:t>Findings/Observations</w:t>
      </w:r>
    </w:p>
    <w:p>
      <w:pPr>
        <w:pStyle w:val="BodyText"/>
        <w:spacing w:line="480" w:lineRule="auto" w:before="272"/>
        <w:ind w:left="360" w:right="160" w:firstLine="719"/>
        <w:jc w:val="both"/>
      </w:pPr>
      <w:r>
        <w:rPr/>
        <w:t>This paper has observed that the consumption related policies appear to have done more harm than good. The fuel subsidy for instance, had generated economic problems ranging from scarcity of petroleum products to loss of man hours due to labor unrest and related problems. There were also other observed economic costs, there were confusions among social activists, economists, and politicians on the actual beneficiaries of fuel subsidy in Nigeria. Annual government expenditures have been enormous.</w:t>
      </w:r>
    </w:p>
    <w:p>
      <w:pPr>
        <w:pStyle w:val="BodyText"/>
        <w:spacing w:line="480" w:lineRule="auto" w:before="1"/>
        <w:ind w:left="360" w:right="152" w:firstLine="719"/>
        <w:jc w:val="both"/>
      </w:pPr>
      <w:r>
        <w:rPr/>
        <w:t>The Act, as it is presently, gives a lot of room for tax evasion and many companies have exploited it to their own advantage. Despite the generous tax incentives offered; by the Act,</w:t>
      </w:r>
      <w:r>
        <w:rPr>
          <w:spacing w:val="39"/>
        </w:rPr>
        <w:t> </w:t>
      </w:r>
      <w:r>
        <w:rPr/>
        <w:t>a</w:t>
      </w:r>
      <w:r>
        <w:rPr>
          <w:spacing w:val="34"/>
        </w:rPr>
        <w:t> </w:t>
      </w:r>
      <w:r>
        <w:rPr/>
        <w:t>lot</w:t>
      </w:r>
      <w:r>
        <w:rPr>
          <w:spacing w:val="37"/>
        </w:rPr>
        <w:t> </w:t>
      </w:r>
      <w:r>
        <w:rPr/>
        <w:t>of</w:t>
      </w:r>
      <w:r>
        <w:rPr>
          <w:spacing w:val="38"/>
        </w:rPr>
        <w:t> </w:t>
      </w:r>
      <w:r>
        <w:rPr/>
        <w:t>companies</w:t>
      </w:r>
      <w:r>
        <w:rPr>
          <w:spacing w:val="33"/>
        </w:rPr>
        <w:t> </w:t>
      </w:r>
      <w:r>
        <w:rPr/>
        <w:t>still</w:t>
      </w:r>
      <w:r>
        <w:rPr>
          <w:spacing w:val="40"/>
        </w:rPr>
        <w:t> </w:t>
      </w:r>
      <w:r>
        <w:rPr/>
        <w:t>defraud</w:t>
      </w:r>
      <w:r>
        <w:rPr>
          <w:spacing w:val="36"/>
        </w:rPr>
        <w:t> </w:t>
      </w:r>
      <w:r>
        <w:rPr/>
        <w:t>the</w:t>
      </w:r>
      <w:r>
        <w:rPr>
          <w:spacing w:val="36"/>
        </w:rPr>
        <w:t> </w:t>
      </w:r>
      <w:r>
        <w:rPr/>
        <w:t>Nigerian</w:t>
      </w:r>
      <w:r>
        <w:rPr>
          <w:spacing w:val="40"/>
        </w:rPr>
        <w:t> </w:t>
      </w:r>
      <w:r>
        <w:rPr/>
        <w:t>government</w:t>
      </w:r>
      <w:r>
        <w:rPr>
          <w:spacing w:val="40"/>
        </w:rPr>
        <w:t> </w:t>
      </w:r>
      <w:r>
        <w:rPr/>
        <w:t>by</w:t>
      </w:r>
      <w:r>
        <w:rPr>
          <w:spacing w:val="40"/>
        </w:rPr>
        <w:t> </w:t>
      </w:r>
      <w:r>
        <w:rPr/>
        <w:t>paying</w:t>
      </w:r>
      <w:r>
        <w:rPr>
          <w:spacing w:val="40"/>
        </w:rPr>
        <w:t> </w:t>
      </w:r>
      <w:r>
        <w:rPr/>
        <w:t>much</w:t>
      </w:r>
      <w:r>
        <w:rPr>
          <w:spacing w:val="40"/>
        </w:rPr>
        <w:t> </w:t>
      </w:r>
      <w:r>
        <w:rPr/>
        <w:t>less</w:t>
      </w:r>
      <w:r>
        <w:rPr>
          <w:spacing w:val="40"/>
        </w:rPr>
        <w:t> </w:t>
      </w:r>
      <w:r>
        <w:rPr/>
        <w:t>than they should. The Petroleum Profit Tax Act lays out an elaborate system of computing the profits</w:t>
      </w:r>
      <w:r>
        <w:rPr>
          <w:spacing w:val="-3"/>
        </w:rPr>
        <w:t> </w:t>
      </w:r>
      <w:r>
        <w:rPr/>
        <w:t>and</w:t>
      </w:r>
      <w:r>
        <w:rPr>
          <w:spacing w:val="-4"/>
        </w:rPr>
        <w:t> </w:t>
      </w:r>
      <w:r>
        <w:rPr/>
        <w:t>tax</w:t>
      </w:r>
      <w:r>
        <w:rPr>
          <w:spacing w:val="-1"/>
        </w:rPr>
        <w:t> </w:t>
      </w:r>
      <w:r>
        <w:rPr/>
        <w:t>payable</w:t>
      </w:r>
      <w:r>
        <w:rPr>
          <w:spacing w:val="-4"/>
        </w:rPr>
        <w:t> </w:t>
      </w:r>
      <w:r>
        <w:rPr/>
        <w:t>by</w:t>
      </w:r>
      <w:r>
        <w:rPr>
          <w:spacing w:val="-6"/>
        </w:rPr>
        <w:t> </w:t>
      </w:r>
      <w:r>
        <w:rPr/>
        <w:t>a</w:t>
      </w:r>
      <w:r>
        <w:rPr>
          <w:spacing w:val="-5"/>
        </w:rPr>
        <w:t> </w:t>
      </w:r>
      <w:r>
        <w:rPr/>
        <w:t>company</w:t>
      </w:r>
      <w:r>
        <w:rPr>
          <w:spacing w:val="-9"/>
        </w:rPr>
        <w:t> </w:t>
      </w:r>
      <w:r>
        <w:rPr/>
        <w:t>but</w:t>
      </w:r>
      <w:r>
        <w:rPr>
          <w:spacing w:val="-3"/>
        </w:rPr>
        <w:t> </w:t>
      </w:r>
      <w:r>
        <w:rPr/>
        <w:t>fails</w:t>
      </w:r>
      <w:r>
        <w:rPr>
          <w:spacing w:val="-3"/>
        </w:rPr>
        <w:t> </w:t>
      </w:r>
      <w:r>
        <w:rPr/>
        <w:t>to establish</w:t>
      </w:r>
      <w:r>
        <w:rPr>
          <w:spacing w:val="-1"/>
        </w:rPr>
        <w:t> </w:t>
      </w:r>
      <w:r>
        <w:rPr/>
        <w:t>the method of ascertaining</w:t>
      </w:r>
      <w:r>
        <w:rPr>
          <w:spacing w:val="-1"/>
        </w:rPr>
        <w:t> </w:t>
      </w:r>
      <w:r>
        <w:rPr/>
        <w:t>whether what is actually computed by affected companies reflects the true picture. How many companies has the FBJR actually accused and prosecuted for the offences stated under the Act? How does the Board determine who is guilty of what? How does the Board know whether or not there ha.ve been false statements and accounts? How does the Board know which members of staff are guilty of corruption and dishonesty?</w:t>
      </w:r>
    </w:p>
    <w:p>
      <w:pPr>
        <w:pStyle w:val="BodyText"/>
        <w:spacing w:before="1"/>
        <w:ind w:left="1080"/>
        <w:jc w:val="both"/>
      </w:pPr>
      <w:r>
        <w:rPr/>
        <w:t>However,</w:t>
      </w:r>
      <w:r>
        <w:rPr>
          <w:spacing w:val="-3"/>
        </w:rPr>
        <w:t> </w:t>
      </w:r>
      <w:r>
        <w:rPr/>
        <w:t>this</w:t>
      </w:r>
      <w:r>
        <w:rPr>
          <w:spacing w:val="-1"/>
        </w:rPr>
        <w:t> </w:t>
      </w:r>
      <w:r>
        <w:rPr/>
        <w:t>paper</w:t>
      </w:r>
      <w:r>
        <w:rPr>
          <w:spacing w:val="-1"/>
        </w:rPr>
        <w:t> </w:t>
      </w:r>
      <w:r>
        <w:rPr/>
        <w:t>finds </w:t>
      </w:r>
      <w:r>
        <w:rPr>
          <w:spacing w:val="-2"/>
        </w:rPr>
        <w:t>that:</w:t>
      </w:r>
    </w:p>
    <w:p>
      <w:pPr>
        <w:pStyle w:val="BodyText"/>
        <w:spacing w:before="5"/>
      </w:pPr>
    </w:p>
    <w:p>
      <w:pPr>
        <w:pStyle w:val="ListParagraph"/>
        <w:numPr>
          <w:ilvl w:val="2"/>
          <w:numId w:val="17"/>
        </w:numPr>
        <w:tabs>
          <w:tab w:pos="1077" w:val="left" w:leader="none"/>
          <w:tab w:pos="1080" w:val="left" w:leader="none"/>
        </w:tabs>
        <w:spacing w:line="480" w:lineRule="auto" w:before="0" w:after="0"/>
        <w:ind w:left="1080" w:right="152" w:hanging="488"/>
        <w:jc w:val="both"/>
        <w:rPr>
          <w:sz w:val="24"/>
        </w:rPr>
      </w:pPr>
      <w:r>
        <w:rPr>
          <w:b/>
          <w:sz w:val="24"/>
        </w:rPr>
        <w:t>Lack of Staff Training, Poor Remuneration, Technological Know-How and Knowledge</w:t>
      </w:r>
      <w:r>
        <w:rPr>
          <w:sz w:val="24"/>
        </w:rPr>
        <w:t>:A significant number of tax officials in the petroleum sector lack sufficient knowledge of the PPT Laws and its provisions which is responsible for ineffective tax administration in the upstream sector of the petroleum industry in Nigeria. Also, obtaining accurate data for this exercise is a challenging task due to poor data management resulting from inadequate technology.There is disparity between the remuneration and incentives between government tax officials and their</w:t>
      </w:r>
    </w:p>
    <w:p>
      <w:pPr>
        <w:spacing w:after="0" w:line="480" w:lineRule="auto"/>
        <w:jc w:val="both"/>
        <w:rPr>
          <w:sz w:val="24"/>
        </w:rPr>
        <w:sectPr>
          <w:pgSz w:w="11910" w:h="16840"/>
          <w:pgMar w:header="0" w:footer="1000" w:top="1340" w:bottom="1200" w:left="1080" w:right="1280"/>
        </w:sectPr>
      </w:pPr>
    </w:p>
    <w:p>
      <w:pPr>
        <w:pStyle w:val="BodyText"/>
        <w:spacing w:line="480" w:lineRule="auto" w:before="74"/>
        <w:ind w:left="1080" w:right="158"/>
        <w:jc w:val="both"/>
      </w:pPr>
      <w:r>
        <w:rPr/>
        <w:t>counterparts</w:t>
      </w:r>
      <w:r>
        <w:rPr>
          <w:spacing w:val="-1"/>
        </w:rPr>
        <w:t> </w:t>
      </w:r>
      <w:r>
        <w:rPr/>
        <w:t>in</w:t>
      </w:r>
      <w:r>
        <w:rPr>
          <w:spacing w:val="-1"/>
        </w:rPr>
        <w:t> </w:t>
      </w:r>
      <w:r>
        <w:rPr/>
        <w:t>the</w:t>
      </w:r>
      <w:r>
        <w:rPr>
          <w:spacing w:val="-2"/>
        </w:rPr>
        <w:t> </w:t>
      </w:r>
      <w:r>
        <w:rPr/>
        <w:t>petroleum</w:t>
      </w:r>
      <w:r>
        <w:rPr>
          <w:spacing w:val="-1"/>
        </w:rPr>
        <w:t> </w:t>
      </w:r>
      <w:r>
        <w:rPr/>
        <w:t>industry.</w:t>
      </w:r>
      <w:r>
        <w:rPr>
          <w:spacing w:val="-1"/>
        </w:rPr>
        <w:t> </w:t>
      </w:r>
      <w:r>
        <w:rPr/>
        <w:t>The</w:t>
      </w:r>
      <w:r>
        <w:rPr>
          <w:spacing w:val="-3"/>
        </w:rPr>
        <w:t> </w:t>
      </w:r>
      <w:r>
        <w:rPr/>
        <w:t>oil</w:t>
      </w:r>
      <w:r>
        <w:rPr>
          <w:spacing w:val="-1"/>
        </w:rPr>
        <w:t> </w:t>
      </w:r>
      <w:r>
        <w:rPr/>
        <w:t>companies</w:t>
      </w:r>
      <w:r>
        <w:rPr>
          <w:spacing w:val="-1"/>
        </w:rPr>
        <w:t> </w:t>
      </w:r>
      <w:r>
        <w:rPr/>
        <w:t>are</w:t>
      </w:r>
      <w:r>
        <w:rPr>
          <w:spacing w:val="-3"/>
        </w:rPr>
        <w:t> </w:t>
      </w:r>
      <w:r>
        <w:rPr/>
        <w:t>known</w:t>
      </w:r>
      <w:r>
        <w:rPr>
          <w:spacing w:val="-2"/>
        </w:rPr>
        <w:t> </w:t>
      </w:r>
      <w:r>
        <w:rPr/>
        <w:t>to</w:t>
      </w:r>
      <w:r>
        <w:rPr>
          <w:spacing w:val="-1"/>
        </w:rPr>
        <w:t> </w:t>
      </w:r>
      <w:r>
        <w:rPr/>
        <w:t>engage</w:t>
      </w:r>
      <w:r>
        <w:rPr>
          <w:spacing w:val="-2"/>
        </w:rPr>
        <w:t> </w:t>
      </w:r>
      <w:r>
        <w:rPr/>
        <w:t>highly qualified, highly motivated and highly remunerated officials to deal with their tax matter with the tax authorities. The FIRS utilizes principally its own employees who are mainly civil servants to deal with the tax matters of oil companies. Civil servants are</w:t>
      </w:r>
      <w:r>
        <w:rPr>
          <w:spacing w:val="-2"/>
        </w:rPr>
        <w:t> </w:t>
      </w:r>
      <w:r>
        <w:rPr/>
        <w:t>known to be</w:t>
      </w:r>
      <w:r>
        <w:rPr>
          <w:spacing w:val="-1"/>
        </w:rPr>
        <w:t> </w:t>
      </w:r>
      <w:r>
        <w:rPr/>
        <w:t>poorly</w:t>
      </w:r>
      <w:r>
        <w:rPr>
          <w:spacing w:val="-5"/>
        </w:rPr>
        <w:t> </w:t>
      </w:r>
      <w:r>
        <w:rPr/>
        <w:t>paid when compared with oil company</w:t>
      </w:r>
      <w:r>
        <w:rPr>
          <w:spacing w:val="-5"/>
        </w:rPr>
        <w:t> </w:t>
      </w:r>
      <w:r>
        <w:rPr/>
        <w:t>officials. It is seen that government tax officials lack adequate exposure</w:t>
      </w:r>
      <w:r>
        <w:rPr>
          <w:spacing w:val="-1"/>
        </w:rPr>
        <w:t> </w:t>
      </w:r>
      <w:r>
        <w:rPr/>
        <w:t>and training</w:t>
      </w:r>
      <w:r>
        <w:rPr>
          <w:spacing w:val="-1"/>
        </w:rPr>
        <w:t> </w:t>
      </w:r>
      <w:r>
        <w:rPr/>
        <w:t>on petroleum tax related matters due to poor inadequate budgetary allocation, there is also the issue of the quality of technical knowledge, educational qualifications and educational opportunities of government tax officials.</w:t>
      </w:r>
    </w:p>
    <w:p>
      <w:pPr>
        <w:pStyle w:val="ListParagraph"/>
        <w:numPr>
          <w:ilvl w:val="2"/>
          <w:numId w:val="17"/>
        </w:numPr>
        <w:tabs>
          <w:tab w:pos="1078" w:val="left" w:leader="none"/>
          <w:tab w:pos="1080" w:val="left" w:leader="none"/>
        </w:tabs>
        <w:spacing w:line="480" w:lineRule="auto" w:before="1" w:after="0"/>
        <w:ind w:left="1080" w:right="155" w:hanging="555"/>
        <w:jc w:val="both"/>
        <w:rPr>
          <w:sz w:val="24"/>
        </w:rPr>
      </w:pPr>
      <w:r>
        <w:rPr>
          <w:b/>
          <w:sz w:val="24"/>
        </w:rPr>
        <w:t>Lack of Awareness on Taxation and Lack of Sufficient Infrastructure</w:t>
      </w:r>
      <w:r>
        <w:rPr>
          <w:sz w:val="24"/>
        </w:rPr>
        <w:t>:Taxpayers should have a good understanding of the PPT law .The understanding of PPT law by tax payers is no more than fair, such tax payers may not be complying with the tax law, as there is likelihood that they</w:t>
      </w:r>
      <w:r>
        <w:rPr>
          <w:spacing w:val="-4"/>
          <w:sz w:val="24"/>
        </w:rPr>
        <w:t> </w:t>
      </w:r>
      <w:r>
        <w:rPr>
          <w:sz w:val="24"/>
        </w:rPr>
        <w:t>may</w:t>
      </w:r>
      <w:r>
        <w:rPr>
          <w:spacing w:val="-4"/>
          <w:sz w:val="24"/>
        </w:rPr>
        <w:t> </w:t>
      </w:r>
      <w:r>
        <w:rPr>
          <w:sz w:val="24"/>
        </w:rPr>
        <w:t>not fully</w:t>
      </w:r>
      <w:r>
        <w:rPr>
          <w:spacing w:val="-2"/>
          <w:sz w:val="24"/>
        </w:rPr>
        <w:t> </w:t>
      </w:r>
      <w:r>
        <w:rPr>
          <w:sz w:val="24"/>
        </w:rPr>
        <w:t>understand what needs to be done. it is widely believed that oil executives should ordinarily have deep knowledge of the PPT law as oil companies engage experienced and well-motivated specialist to deal with their tax matters. Oil companies utilize modern day technology to stimulate and prepare their PPT liability, for the purpose of tax planning. But where a taxpayers understanding of PPT law is not good, the company may not be doing things right,</w:t>
      </w:r>
      <w:r>
        <w:rPr>
          <w:spacing w:val="40"/>
          <w:sz w:val="24"/>
        </w:rPr>
        <w:t> </w:t>
      </w:r>
      <w:r>
        <w:rPr>
          <w:sz w:val="24"/>
        </w:rPr>
        <w:t>and the level of compliance with the tax law may not be as required by the law. Also, because some tax payers in the oil industry do not have a good understanding of PPT law, it gives credence to tax payers not to comply with the PPT law.</w:t>
      </w:r>
    </w:p>
    <w:p>
      <w:pPr>
        <w:pStyle w:val="ListParagraph"/>
        <w:numPr>
          <w:ilvl w:val="2"/>
          <w:numId w:val="17"/>
        </w:numPr>
        <w:tabs>
          <w:tab w:pos="1077" w:val="left" w:leader="none"/>
          <w:tab w:pos="1080" w:val="left" w:leader="none"/>
        </w:tabs>
        <w:spacing w:line="480" w:lineRule="auto" w:before="1" w:after="0"/>
        <w:ind w:left="1080" w:right="154" w:hanging="620"/>
        <w:jc w:val="both"/>
        <w:rPr>
          <w:sz w:val="24"/>
        </w:rPr>
      </w:pPr>
      <w:r>
        <w:rPr>
          <w:b/>
          <w:sz w:val="24"/>
        </w:rPr>
        <w:t>Corruption and Lack of Transparency</w:t>
      </w:r>
      <w:r>
        <w:rPr>
          <w:sz w:val="24"/>
        </w:rPr>
        <w:t>: The Oil and gas (exploration and production) companies in Nigeria deliberately minimize their monthly installmental payments of PPT to improve their cash flow situation. In addition, administrative corruption</w:t>
      </w:r>
      <w:r>
        <w:rPr>
          <w:spacing w:val="24"/>
          <w:sz w:val="24"/>
        </w:rPr>
        <w:t> </w:t>
      </w:r>
      <w:r>
        <w:rPr>
          <w:sz w:val="24"/>
        </w:rPr>
        <w:t>in</w:t>
      </w:r>
      <w:r>
        <w:rPr>
          <w:spacing w:val="24"/>
          <w:sz w:val="24"/>
        </w:rPr>
        <w:t> </w:t>
      </w:r>
      <w:r>
        <w:rPr>
          <w:sz w:val="24"/>
        </w:rPr>
        <w:t>the</w:t>
      </w:r>
      <w:r>
        <w:rPr>
          <w:spacing w:val="23"/>
          <w:sz w:val="24"/>
        </w:rPr>
        <w:t> </w:t>
      </w:r>
      <w:r>
        <w:rPr>
          <w:sz w:val="24"/>
        </w:rPr>
        <w:t>oil</w:t>
      </w:r>
      <w:r>
        <w:rPr>
          <w:spacing w:val="22"/>
          <w:sz w:val="24"/>
        </w:rPr>
        <w:t> </w:t>
      </w:r>
      <w:r>
        <w:rPr>
          <w:sz w:val="24"/>
        </w:rPr>
        <w:t>and</w:t>
      </w:r>
      <w:r>
        <w:rPr>
          <w:spacing w:val="24"/>
          <w:sz w:val="24"/>
        </w:rPr>
        <w:t> </w:t>
      </w:r>
      <w:r>
        <w:rPr>
          <w:sz w:val="24"/>
        </w:rPr>
        <w:t>gas</w:t>
      </w:r>
      <w:r>
        <w:rPr>
          <w:spacing w:val="24"/>
          <w:sz w:val="24"/>
        </w:rPr>
        <w:t> </w:t>
      </w:r>
      <w:r>
        <w:rPr>
          <w:sz w:val="24"/>
        </w:rPr>
        <w:t>industry</w:t>
      </w:r>
      <w:r>
        <w:rPr>
          <w:spacing w:val="19"/>
          <w:sz w:val="24"/>
        </w:rPr>
        <w:t> </w:t>
      </w:r>
      <w:r>
        <w:rPr>
          <w:sz w:val="24"/>
        </w:rPr>
        <w:t>is</w:t>
      </w:r>
      <w:r>
        <w:rPr>
          <w:spacing w:val="24"/>
          <w:sz w:val="24"/>
        </w:rPr>
        <w:t> </w:t>
      </w:r>
      <w:r>
        <w:rPr>
          <w:sz w:val="24"/>
        </w:rPr>
        <w:t>a</w:t>
      </w:r>
      <w:r>
        <w:rPr>
          <w:spacing w:val="23"/>
          <w:sz w:val="24"/>
        </w:rPr>
        <w:t> </w:t>
      </w:r>
      <w:r>
        <w:rPr>
          <w:sz w:val="24"/>
        </w:rPr>
        <w:t>major</w:t>
      </w:r>
      <w:r>
        <w:rPr>
          <w:spacing w:val="23"/>
          <w:sz w:val="24"/>
        </w:rPr>
        <w:t> </w:t>
      </w:r>
      <w:r>
        <w:rPr>
          <w:sz w:val="24"/>
        </w:rPr>
        <w:t>area</w:t>
      </w:r>
      <w:r>
        <w:rPr>
          <w:spacing w:val="23"/>
          <w:sz w:val="24"/>
        </w:rPr>
        <w:t> </w:t>
      </w:r>
      <w:r>
        <w:rPr>
          <w:sz w:val="24"/>
        </w:rPr>
        <w:t>that</w:t>
      </w:r>
      <w:r>
        <w:rPr>
          <w:spacing w:val="24"/>
          <w:sz w:val="24"/>
        </w:rPr>
        <w:t> </w:t>
      </w:r>
      <w:r>
        <w:rPr>
          <w:sz w:val="24"/>
        </w:rPr>
        <w:t>limits</w:t>
      </w:r>
      <w:r>
        <w:rPr>
          <w:spacing w:val="24"/>
          <w:sz w:val="24"/>
        </w:rPr>
        <w:t> </w:t>
      </w:r>
      <w:r>
        <w:rPr>
          <w:sz w:val="24"/>
        </w:rPr>
        <w:t>the</w:t>
      </w:r>
      <w:r>
        <w:rPr>
          <w:spacing w:val="23"/>
          <w:sz w:val="24"/>
        </w:rPr>
        <w:t> </w:t>
      </w:r>
      <w:r>
        <w:rPr>
          <w:sz w:val="24"/>
        </w:rPr>
        <w:t>positive</w:t>
      </w:r>
      <w:r>
        <w:rPr>
          <w:spacing w:val="23"/>
          <w:sz w:val="24"/>
        </w:rPr>
        <w:t> </w:t>
      </w:r>
      <w:r>
        <w:rPr>
          <w:sz w:val="24"/>
        </w:rPr>
        <w:t>impact</w:t>
      </w:r>
    </w:p>
    <w:p>
      <w:pPr>
        <w:spacing w:after="0" w:line="480" w:lineRule="auto"/>
        <w:jc w:val="both"/>
        <w:rPr>
          <w:sz w:val="24"/>
        </w:rPr>
        <w:sectPr>
          <w:pgSz w:w="11910" w:h="16840"/>
          <w:pgMar w:header="0" w:footer="1000" w:top="1340" w:bottom="1200" w:left="1080" w:right="1280"/>
        </w:sectPr>
      </w:pPr>
    </w:p>
    <w:p>
      <w:pPr>
        <w:pStyle w:val="BodyText"/>
        <w:spacing w:line="480" w:lineRule="auto" w:before="74"/>
        <w:ind w:left="1080" w:right="156"/>
        <w:jc w:val="both"/>
      </w:pPr>
      <w:r>
        <w:rPr/>
        <w:t>and efficacy of proposed measures. The level of transparency of oil companies to FIRS: operators In the oil industry</w:t>
      </w:r>
      <w:r>
        <w:rPr>
          <w:spacing w:val="-2"/>
        </w:rPr>
        <w:t> </w:t>
      </w:r>
      <w:r>
        <w:rPr/>
        <w:t>in Nigeria is expected to be transparent not only in their dealings with the regulators but with the FIRS. The transparency level of oil companies to the FIRS may assist in measuring transparency level of the FIRS. A company with high transparency level will provide full and adequate information on its tax matters. But a company with poor transparency level may supply inadequate and incomplete information to FIRS. Consequently, incomplete and inadequate information may lead to tax payers not fully complying with the PPT law.</w:t>
      </w:r>
    </w:p>
    <w:p>
      <w:pPr>
        <w:pStyle w:val="ListParagraph"/>
        <w:numPr>
          <w:ilvl w:val="2"/>
          <w:numId w:val="17"/>
        </w:numPr>
        <w:tabs>
          <w:tab w:pos="1078" w:val="left" w:leader="none"/>
          <w:tab w:pos="1080" w:val="left" w:leader="none"/>
        </w:tabs>
        <w:spacing w:line="480" w:lineRule="auto" w:before="1" w:after="0"/>
        <w:ind w:left="1080" w:right="162" w:hanging="608"/>
        <w:jc w:val="both"/>
        <w:rPr>
          <w:sz w:val="24"/>
        </w:rPr>
      </w:pPr>
      <w:r>
        <w:rPr>
          <w:b/>
          <w:sz w:val="24"/>
        </w:rPr>
        <w:t>Inadequate Penalties</w:t>
      </w:r>
      <w:r>
        <w:rPr>
          <w:sz w:val="24"/>
        </w:rPr>
        <w:t>: Some amount of money</w:t>
      </w:r>
      <w:r>
        <w:rPr>
          <w:spacing w:val="-3"/>
          <w:sz w:val="24"/>
        </w:rPr>
        <w:t> </w:t>
      </w:r>
      <w:r>
        <w:rPr>
          <w:sz w:val="24"/>
        </w:rPr>
        <w:t>provided as fine in the PPTA to serve as penalty against PPT offences are not adequate.</w:t>
      </w:r>
    </w:p>
    <w:p>
      <w:pPr>
        <w:pStyle w:val="ListParagraph"/>
        <w:numPr>
          <w:ilvl w:val="2"/>
          <w:numId w:val="17"/>
        </w:numPr>
        <w:tabs>
          <w:tab w:pos="1080" w:val="left" w:leader="none"/>
        </w:tabs>
        <w:spacing w:line="480" w:lineRule="auto" w:before="0" w:after="0"/>
        <w:ind w:left="1080" w:right="155" w:hanging="540"/>
        <w:jc w:val="both"/>
        <w:rPr>
          <w:sz w:val="24"/>
        </w:rPr>
      </w:pPr>
      <w:r>
        <w:rPr>
          <w:b/>
          <w:sz w:val="24"/>
        </w:rPr>
        <w:t>Oil Theft and Niger-Delta Crises</w:t>
      </w:r>
      <w:r>
        <w:rPr>
          <w:sz w:val="24"/>
        </w:rPr>
        <w:t>: A major challenge facing the Government is the problem of pipelines vandalism by criminal elements. I found that the issue of sabotage and vandalism are not carried out by ordinary Nigerians, ordinary Nigerians cannot just go and vandalize pipeline, it is an organized crime by cabals who seem untouchable in the government. This makes illegal oil bunkering, pipeline vandalism and selling of petroleum products above pump price being carried on in full public </w:t>
      </w:r>
      <w:r>
        <w:rPr>
          <w:spacing w:val="-2"/>
          <w:sz w:val="24"/>
        </w:rPr>
        <w:t>glare.</w:t>
      </w:r>
    </w:p>
    <w:p>
      <w:pPr>
        <w:pStyle w:val="ListParagraph"/>
        <w:numPr>
          <w:ilvl w:val="2"/>
          <w:numId w:val="17"/>
        </w:numPr>
        <w:tabs>
          <w:tab w:pos="1078" w:val="left" w:leader="none"/>
          <w:tab w:pos="1080" w:val="left" w:leader="none"/>
        </w:tabs>
        <w:spacing w:line="480" w:lineRule="auto" w:before="1" w:after="0"/>
        <w:ind w:left="1080" w:right="156" w:hanging="608"/>
        <w:jc w:val="both"/>
        <w:rPr>
          <w:sz w:val="24"/>
        </w:rPr>
      </w:pPr>
      <w:r>
        <w:rPr>
          <w:b/>
          <w:sz w:val="24"/>
        </w:rPr>
        <w:t>Government Underfunding</w:t>
      </w:r>
      <w:r>
        <w:rPr>
          <w:sz w:val="24"/>
        </w:rPr>
        <w:t>:it</w:t>
      </w:r>
      <w:r>
        <w:rPr>
          <w:spacing w:val="-2"/>
          <w:sz w:val="24"/>
        </w:rPr>
        <w:t> </w:t>
      </w:r>
      <w:r>
        <w:rPr>
          <w:sz w:val="24"/>
        </w:rPr>
        <w:t>was</w:t>
      </w:r>
      <w:r>
        <w:rPr>
          <w:spacing w:val="-2"/>
          <w:sz w:val="24"/>
        </w:rPr>
        <w:t> </w:t>
      </w:r>
      <w:r>
        <w:rPr>
          <w:sz w:val="24"/>
        </w:rPr>
        <w:t>observed and found</w:t>
      </w:r>
      <w:r>
        <w:rPr>
          <w:spacing w:val="-2"/>
          <w:sz w:val="24"/>
        </w:rPr>
        <w:t> </w:t>
      </w:r>
      <w:r>
        <w:rPr>
          <w:sz w:val="24"/>
        </w:rPr>
        <w:t>in</w:t>
      </w:r>
      <w:r>
        <w:rPr>
          <w:spacing w:val="-2"/>
          <w:sz w:val="24"/>
        </w:rPr>
        <w:t> </w:t>
      </w:r>
      <w:r>
        <w:rPr>
          <w:sz w:val="24"/>
        </w:rPr>
        <w:t>the</w:t>
      </w:r>
      <w:r>
        <w:rPr>
          <w:spacing w:val="-1"/>
          <w:sz w:val="24"/>
        </w:rPr>
        <w:t> </w:t>
      </w:r>
      <w:r>
        <w:rPr>
          <w:sz w:val="24"/>
        </w:rPr>
        <w:t>course</w:t>
      </w:r>
      <w:r>
        <w:rPr>
          <w:spacing w:val="-2"/>
          <w:sz w:val="24"/>
        </w:rPr>
        <w:t> </w:t>
      </w:r>
      <w:r>
        <w:rPr>
          <w:sz w:val="24"/>
        </w:rPr>
        <w:t>of</w:t>
      </w:r>
      <w:r>
        <w:rPr>
          <w:spacing w:val="-2"/>
          <w:sz w:val="24"/>
        </w:rPr>
        <w:t> </w:t>
      </w:r>
      <w:r>
        <w:rPr>
          <w:sz w:val="24"/>
        </w:rPr>
        <w:t>the</w:t>
      </w:r>
      <w:r>
        <w:rPr>
          <w:spacing w:val="-3"/>
          <w:sz w:val="24"/>
        </w:rPr>
        <w:t> </w:t>
      </w:r>
      <w:r>
        <w:rPr>
          <w:sz w:val="24"/>
        </w:rPr>
        <w:t>study</w:t>
      </w:r>
      <w:r>
        <w:rPr>
          <w:spacing w:val="-7"/>
          <w:sz w:val="24"/>
        </w:rPr>
        <w:t> </w:t>
      </w:r>
      <w:r>
        <w:rPr>
          <w:sz w:val="24"/>
        </w:rPr>
        <w:t>that there is a recurring problem in the upstream sector of the inability of the NNPC to meet its funding obligations to Joint Venture (JV) Operations.</w:t>
      </w:r>
    </w:p>
    <w:p>
      <w:pPr>
        <w:pStyle w:val="Heading2"/>
        <w:numPr>
          <w:ilvl w:val="1"/>
          <w:numId w:val="17"/>
        </w:numPr>
        <w:tabs>
          <w:tab w:pos="1079" w:val="left" w:leader="none"/>
        </w:tabs>
        <w:spacing w:line="240" w:lineRule="auto" w:before="5" w:after="0"/>
        <w:ind w:left="1079" w:right="0" w:hanging="719"/>
        <w:jc w:val="both"/>
      </w:pPr>
      <w:r>
        <w:rPr>
          <w:spacing w:val="-2"/>
        </w:rPr>
        <w:t>Recommendations</w:t>
      </w:r>
    </w:p>
    <w:p>
      <w:pPr>
        <w:pStyle w:val="BodyText"/>
        <w:spacing w:line="480" w:lineRule="auto" w:before="271"/>
        <w:ind w:left="360" w:right="162" w:firstLine="719"/>
        <w:jc w:val="both"/>
      </w:pPr>
      <w:r>
        <w:rPr/>
        <w:t>Based on the findings made in the course of this study, the following recommendations are hereby suggested:</w:t>
      </w:r>
    </w:p>
    <w:p>
      <w:pPr>
        <w:pStyle w:val="ListParagraph"/>
        <w:numPr>
          <w:ilvl w:val="2"/>
          <w:numId w:val="17"/>
        </w:numPr>
        <w:tabs>
          <w:tab w:pos="1077" w:val="left" w:leader="none"/>
          <w:tab w:pos="1080" w:val="left" w:leader="none"/>
        </w:tabs>
        <w:spacing w:line="480" w:lineRule="auto" w:before="1" w:after="0"/>
        <w:ind w:left="1080" w:right="154" w:hanging="488"/>
        <w:jc w:val="both"/>
        <w:rPr>
          <w:sz w:val="24"/>
        </w:rPr>
      </w:pPr>
      <w:r>
        <w:rPr>
          <w:b/>
          <w:sz w:val="24"/>
        </w:rPr>
        <w:t>Staff Training, High Remuneration, Technological Know-How and Knowledge</w:t>
      </w:r>
      <w:r>
        <w:rPr>
          <w:sz w:val="24"/>
        </w:rPr>
        <w:t>: Tax</w:t>
      </w:r>
      <w:r>
        <w:rPr>
          <w:spacing w:val="27"/>
          <w:sz w:val="24"/>
        </w:rPr>
        <w:t> </w:t>
      </w:r>
      <w:r>
        <w:rPr>
          <w:sz w:val="24"/>
        </w:rPr>
        <w:t>officials</w:t>
      </w:r>
      <w:r>
        <w:rPr>
          <w:spacing w:val="25"/>
          <w:sz w:val="24"/>
        </w:rPr>
        <w:t> </w:t>
      </w:r>
      <w:r>
        <w:rPr>
          <w:sz w:val="24"/>
        </w:rPr>
        <w:t>should</w:t>
      </w:r>
      <w:r>
        <w:rPr>
          <w:spacing w:val="25"/>
          <w:sz w:val="24"/>
        </w:rPr>
        <w:t> </w:t>
      </w:r>
      <w:r>
        <w:rPr>
          <w:sz w:val="24"/>
        </w:rPr>
        <w:t>be</w:t>
      </w:r>
      <w:r>
        <w:rPr>
          <w:spacing w:val="24"/>
          <w:sz w:val="24"/>
        </w:rPr>
        <w:t> </w:t>
      </w:r>
      <w:r>
        <w:rPr>
          <w:sz w:val="24"/>
        </w:rPr>
        <w:t>lectured,</w:t>
      </w:r>
      <w:r>
        <w:rPr>
          <w:spacing w:val="25"/>
          <w:sz w:val="24"/>
        </w:rPr>
        <w:t> </w:t>
      </w:r>
      <w:r>
        <w:rPr>
          <w:sz w:val="24"/>
        </w:rPr>
        <w:t>well</w:t>
      </w:r>
      <w:r>
        <w:rPr>
          <w:spacing w:val="26"/>
          <w:sz w:val="24"/>
        </w:rPr>
        <w:t> </w:t>
      </w:r>
      <w:r>
        <w:rPr>
          <w:sz w:val="24"/>
        </w:rPr>
        <w:t>trained,</w:t>
      </w:r>
      <w:r>
        <w:rPr>
          <w:spacing w:val="25"/>
          <w:sz w:val="24"/>
        </w:rPr>
        <w:t> </w:t>
      </w:r>
      <w:r>
        <w:rPr>
          <w:sz w:val="24"/>
        </w:rPr>
        <w:t>and</w:t>
      </w:r>
      <w:r>
        <w:rPr>
          <w:spacing w:val="25"/>
          <w:sz w:val="24"/>
        </w:rPr>
        <w:t> </w:t>
      </w:r>
      <w:r>
        <w:rPr>
          <w:sz w:val="24"/>
        </w:rPr>
        <w:t>the</w:t>
      </w:r>
      <w:r>
        <w:rPr>
          <w:spacing w:val="25"/>
          <w:sz w:val="24"/>
        </w:rPr>
        <w:t> </w:t>
      </w:r>
      <w:r>
        <w:rPr>
          <w:sz w:val="24"/>
        </w:rPr>
        <w:t>investigative</w:t>
      </w:r>
      <w:r>
        <w:rPr>
          <w:spacing w:val="24"/>
          <w:sz w:val="24"/>
        </w:rPr>
        <w:t> </w:t>
      </w:r>
      <w:r>
        <w:rPr>
          <w:sz w:val="24"/>
        </w:rPr>
        <w:t>and</w:t>
      </w:r>
      <w:r>
        <w:rPr>
          <w:spacing w:val="25"/>
          <w:sz w:val="24"/>
        </w:rPr>
        <w:t> </w:t>
      </w:r>
      <w:r>
        <w:rPr>
          <w:sz w:val="24"/>
        </w:rPr>
        <w:t>intelligence</w:t>
      </w:r>
    </w:p>
    <w:p>
      <w:pPr>
        <w:spacing w:after="0" w:line="480" w:lineRule="auto"/>
        <w:jc w:val="both"/>
        <w:rPr>
          <w:sz w:val="24"/>
        </w:rPr>
        <w:sectPr>
          <w:pgSz w:w="11910" w:h="16840"/>
          <w:pgMar w:header="0" w:footer="1000" w:top="1340" w:bottom="1200" w:left="1080" w:right="1280"/>
        </w:sectPr>
      </w:pPr>
    </w:p>
    <w:p>
      <w:pPr>
        <w:pStyle w:val="BodyText"/>
        <w:spacing w:line="480" w:lineRule="auto" w:before="74"/>
        <w:ind w:left="1080" w:right="154"/>
        <w:jc w:val="both"/>
      </w:pPr>
      <w:r>
        <w:rPr/>
        <w:t>unit of the revenue authorities should be empowered and made vibrant and effective. Officials should be made to understand clearly that complete honesty is demanded of them. Government expenditures of the tax department include outlays for formal programs of staff training and such programs should be strengthened and expanded. The concept of human capital which enhances productive capacity resulting from education, experience and specialized training improves tax administration. Tax officials must have the political will and a degree of technical competence to implement</w:t>
      </w:r>
      <w:r>
        <w:rPr>
          <w:spacing w:val="-1"/>
        </w:rPr>
        <w:t> </w:t>
      </w:r>
      <w:r>
        <w:rPr/>
        <w:t>it.</w:t>
      </w:r>
      <w:r>
        <w:rPr>
          <w:spacing w:val="-1"/>
        </w:rPr>
        <w:t> </w:t>
      </w:r>
      <w:r>
        <w:rPr/>
        <w:t>There</w:t>
      </w:r>
      <w:r>
        <w:rPr>
          <w:spacing w:val="-3"/>
        </w:rPr>
        <w:t> </w:t>
      </w:r>
      <w:r>
        <w:rPr/>
        <w:t>is</w:t>
      </w:r>
      <w:r>
        <w:rPr>
          <w:spacing w:val="-1"/>
        </w:rPr>
        <w:t> </w:t>
      </w:r>
      <w:r>
        <w:rPr/>
        <w:t>need</w:t>
      </w:r>
      <w:r>
        <w:rPr>
          <w:spacing w:val="-1"/>
        </w:rPr>
        <w:t> </w:t>
      </w:r>
      <w:r>
        <w:rPr/>
        <w:t>for greater</w:t>
      </w:r>
      <w:r>
        <w:rPr>
          <w:spacing w:val="-3"/>
        </w:rPr>
        <w:t> </w:t>
      </w:r>
      <w:r>
        <w:rPr/>
        <w:t>administrative</w:t>
      </w:r>
      <w:r>
        <w:rPr>
          <w:spacing w:val="-2"/>
        </w:rPr>
        <w:t> </w:t>
      </w:r>
      <w:r>
        <w:rPr/>
        <w:t>coordination</w:t>
      </w:r>
      <w:r>
        <w:rPr>
          <w:spacing w:val="-1"/>
        </w:rPr>
        <w:t> </w:t>
      </w:r>
      <w:r>
        <w:rPr/>
        <w:t>of</w:t>
      </w:r>
      <w:r>
        <w:rPr>
          <w:spacing w:val="-2"/>
        </w:rPr>
        <w:t> </w:t>
      </w:r>
      <w:r>
        <w:rPr/>
        <w:t>the</w:t>
      </w:r>
      <w:r>
        <w:rPr>
          <w:spacing w:val="-2"/>
        </w:rPr>
        <w:t> </w:t>
      </w:r>
      <w:r>
        <w:rPr/>
        <w:t>collection</w:t>
      </w:r>
      <w:r>
        <w:rPr>
          <w:spacing w:val="-1"/>
        </w:rPr>
        <w:t> </w:t>
      </w:r>
      <w:r>
        <w:rPr/>
        <w:t>of revenue from the oil sector. It is expected that the more effectively revenue is utilized by Government to create growth, employment opportunities and wealth in the economy, the more willing taxpayers would meet their obligations to the Government and discharge their duties in the over-riding goal of achieving National Development. The proposed use of forensic audit to investigate process of all the agencies involved in</w:t>
      </w:r>
      <w:r>
        <w:rPr>
          <w:spacing w:val="-3"/>
        </w:rPr>
        <w:t> </w:t>
      </w:r>
      <w:r>
        <w:rPr/>
        <w:t>the</w:t>
      </w:r>
      <w:r>
        <w:rPr>
          <w:spacing w:val="-4"/>
        </w:rPr>
        <w:t> </w:t>
      </w:r>
      <w:r>
        <w:rPr/>
        <w:t>oil</w:t>
      </w:r>
      <w:r>
        <w:rPr>
          <w:spacing w:val="-3"/>
        </w:rPr>
        <w:t> </w:t>
      </w:r>
      <w:r>
        <w:rPr/>
        <w:t>and</w:t>
      </w:r>
      <w:r>
        <w:rPr>
          <w:spacing w:val="-1"/>
        </w:rPr>
        <w:t> </w:t>
      </w:r>
      <w:r>
        <w:rPr/>
        <w:t>gas</w:t>
      </w:r>
      <w:r>
        <w:rPr>
          <w:spacing w:val="-1"/>
        </w:rPr>
        <w:t> </w:t>
      </w:r>
      <w:r>
        <w:rPr/>
        <w:t>inflows</w:t>
      </w:r>
      <w:r>
        <w:rPr>
          <w:spacing w:val="-1"/>
        </w:rPr>
        <w:t> </w:t>
      </w:r>
      <w:r>
        <w:rPr/>
        <w:t>and</w:t>
      </w:r>
      <w:r>
        <w:rPr>
          <w:spacing w:val="-3"/>
        </w:rPr>
        <w:t> </w:t>
      </w:r>
      <w:r>
        <w:rPr/>
        <w:t>outflows</w:t>
      </w:r>
      <w:r>
        <w:rPr>
          <w:spacing w:val="-3"/>
        </w:rPr>
        <w:t> </w:t>
      </w:r>
      <w:r>
        <w:rPr/>
        <w:t>is</w:t>
      </w:r>
      <w:r>
        <w:rPr>
          <w:spacing w:val="-1"/>
        </w:rPr>
        <w:t> </w:t>
      </w:r>
      <w:r>
        <w:rPr/>
        <w:t>a</w:t>
      </w:r>
      <w:r>
        <w:rPr>
          <w:spacing w:val="-4"/>
        </w:rPr>
        <w:t> </w:t>
      </w:r>
      <w:r>
        <w:rPr/>
        <w:t>welcome</w:t>
      </w:r>
      <w:r>
        <w:rPr>
          <w:spacing w:val="-3"/>
        </w:rPr>
        <w:t> </w:t>
      </w:r>
      <w:r>
        <w:rPr/>
        <w:t>development.Government</w:t>
      </w:r>
      <w:r>
        <w:rPr>
          <w:spacing w:val="-3"/>
        </w:rPr>
        <w:t> </w:t>
      </w:r>
      <w:r>
        <w:rPr/>
        <w:t>should allocate more money to the board of internal revenue for training of their officers and recruit more workers and tax agents and set up at least one tax office in every state</w:t>
      </w:r>
      <w:r>
        <w:rPr>
          <w:spacing w:val="40"/>
        </w:rPr>
        <w:t> </w:t>
      </w:r>
      <w:r>
        <w:rPr/>
        <w:t>and community, also a special tax force on tax collection</w:t>
      </w:r>
      <w:r>
        <w:rPr>
          <w:spacing w:val="80"/>
        </w:rPr>
        <w:t> </w:t>
      </w:r>
      <w:r>
        <w:rPr/>
        <w:t>should be set up to check tax avoidance and evasion.</w:t>
      </w:r>
    </w:p>
    <w:p>
      <w:pPr>
        <w:pStyle w:val="ListParagraph"/>
        <w:numPr>
          <w:ilvl w:val="2"/>
          <w:numId w:val="17"/>
        </w:numPr>
        <w:tabs>
          <w:tab w:pos="1078" w:val="left" w:leader="none"/>
          <w:tab w:pos="1080" w:val="left" w:leader="none"/>
        </w:tabs>
        <w:spacing w:line="480" w:lineRule="auto" w:before="2" w:after="0"/>
        <w:ind w:left="1080" w:right="156" w:hanging="555"/>
        <w:jc w:val="both"/>
        <w:rPr>
          <w:sz w:val="24"/>
        </w:rPr>
      </w:pPr>
      <w:r>
        <w:rPr>
          <w:b/>
          <w:sz w:val="24"/>
        </w:rPr>
        <w:t>Awareness on Taxation and Provision of Infrastructures:</w:t>
      </w:r>
      <w:r>
        <w:rPr>
          <w:sz w:val="24"/>
        </w:rPr>
        <w:t>There has to be a way</w:t>
      </w:r>
      <w:r>
        <w:rPr>
          <w:spacing w:val="-3"/>
          <w:sz w:val="24"/>
        </w:rPr>
        <w:t> </w:t>
      </w:r>
      <w:r>
        <w:rPr>
          <w:sz w:val="24"/>
        </w:rPr>
        <w:t>of bringing in private capital and private sector skills in project management to be able</w:t>
      </w:r>
      <w:r>
        <w:rPr>
          <w:spacing w:val="40"/>
          <w:sz w:val="24"/>
        </w:rPr>
        <w:t> </w:t>
      </w:r>
      <w:r>
        <w:rPr>
          <w:sz w:val="24"/>
        </w:rPr>
        <w:t>to get our infrastructure right, because as long</w:t>
      </w:r>
      <w:r>
        <w:rPr>
          <w:spacing w:val="-1"/>
          <w:sz w:val="24"/>
        </w:rPr>
        <w:t> </w:t>
      </w:r>
      <w:r>
        <w:rPr>
          <w:sz w:val="24"/>
        </w:rPr>
        <w:t>as we do not get the infrastructure right we will still have the problem. This challenge can be tackled by putting proper</w:t>
      </w:r>
      <w:r>
        <w:rPr>
          <w:spacing w:val="40"/>
          <w:sz w:val="24"/>
        </w:rPr>
        <w:t> </w:t>
      </w:r>
      <w:r>
        <w:rPr>
          <w:sz w:val="24"/>
        </w:rPr>
        <w:t>reforms in place.Tax payers should endeavor to provide tax education and also create awareness with</w:t>
      </w:r>
      <w:r>
        <w:rPr>
          <w:spacing w:val="-1"/>
          <w:sz w:val="24"/>
        </w:rPr>
        <w:t> </w:t>
      </w:r>
      <w:r>
        <w:rPr>
          <w:sz w:val="24"/>
        </w:rPr>
        <w:t>regards</w:t>
      </w:r>
      <w:r>
        <w:rPr>
          <w:spacing w:val="-1"/>
          <w:sz w:val="24"/>
        </w:rPr>
        <w:t> </w:t>
      </w:r>
      <w:r>
        <w:rPr>
          <w:sz w:val="24"/>
        </w:rPr>
        <w:t>on</w:t>
      </w:r>
      <w:r>
        <w:rPr>
          <w:spacing w:val="-1"/>
          <w:sz w:val="24"/>
        </w:rPr>
        <w:t> </w:t>
      </w:r>
      <w:r>
        <w:rPr>
          <w:sz w:val="24"/>
        </w:rPr>
        <w:t>what</w:t>
      </w:r>
      <w:r>
        <w:rPr>
          <w:spacing w:val="-1"/>
          <w:sz w:val="24"/>
        </w:rPr>
        <w:t> </w:t>
      </w:r>
      <w:r>
        <w:rPr>
          <w:sz w:val="24"/>
        </w:rPr>
        <w:t>to pay</w:t>
      </w:r>
      <w:r>
        <w:rPr>
          <w:spacing w:val="-4"/>
          <w:sz w:val="24"/>
        </w:rPr>
        <w:t> </w:t>
      </w:r>
      <w:r>
        <w:rPr>
          <w:sz w:val="24"/>
        </w:rPr>
        <w:t>as</w:t>
      </w:r>
      <w:r>
        <w:rPr>
          <w:spacing w:val="-1"/>
          <w:sz w:val="24"/>
        </w:rPr>
        <w:t> </w:t>
      </w:r>
      <w:r>
        <w:rPr>
          <w:sz w:val="24"/>
        </w:rPr>
        <w:t>tax,</w:t>
      </w:r>
      <w:r>
        <w:rPr>
          <w:spacing w:val="-1"/>
          <w:sz w:val="24"/>
        </w:rPr>
        <w:t> </w:t>
      </w:r>
      <w:r>
        <w:rPr>
          <w:sz w:val="24"/>
        </w:rPr>
        <w:t>how to</w:t>
      </w:r>
      <w:r>
        <w:rPr>
          <w:spacing w:val="-1"/>
          <w:sz w:val="24"/>
        </w:rPr>
        <w:t> </w:t>
      </w:r>
      <w:r>
        <w:rPr>
          <w:sz w:val="24"/>
        </w:rPr>
        <w:t>pay</w:t>
      </w:r>
      <w:r>
        <w:rPr>
          <w:spacing w:val="-6"/>
          <w:sz w:val="24"/>
        </w:rPr>
        <w:t> </w:t>
      </w:r>
      <w:r>
        <w:rPr>
          <w:sz w:val="24"/>
        </w:rPr>
        <w:t>it and where</w:t>
      </w:r>
      <w:r>
        <w:rPr>
          <w:spacing w:val="-2"/>
          <w:sz w:val="24"/>
        </w:rPr>
        <w:t> </w:t>
      </w:r>
      <w:r>
        <w:rPr>
          <w:sz w:val="24"/>
        </w:rPr>
        <w:t>to pay</w:t>
      </w:r>
      <w:r>
        <w:rPr>
          <w:spacing w:val="-4"/>
          <w:sz w:val="24"/>
        </w:rPr>
        <w:t> </w:t>
      </w:r>
      <w:r>
        <w:rPr>
          <w:sz w:val="24"/>
        </w:rPr>
        <w:t>it, as</w:t>
      </w:r>
      <w:r>
        <w:rPr>
          <w:spacing w:val="-1"/>
          <w:sz w:val="24"/>
        </w:rPr>
        <w:t> </w:t>
      </w:r>
      <w:r>
        <w:rPr>
          <w:sz w:val="24"/>
        </w:rPr>
        <w:t>the system</w:t>
      </w:r>
      <w:r>
        <w:rPr>
          <w:spacing w:val="15"/>
          <w:sz w:val="24"/>
        </w:rPr>
        <w:t> </w:t>
      </w:r>
      <w:r>
        <w:rPr>
          <w:sz w:val="24"/>
        </w:rPr>
        <w:t>we</w:t>
      </w:r>
      <w:r>
        <w:rPr>
          <w:spacing w:val="14"/>
          <w:sz w:val="24"/>
        </w:rPr>
        <w:t> </w:t>
      </w:r>
      <w:r>
        <w:rPr>
          <w:sz w:val="24"/>
        </w:rPr>
        <w:t>have</w:t>
      </w:r>
      <w:r>
        <w:rPr>
          <w:spacing w:val="14"/>
          <w:sz w:val="24"/>
        </w:rPr>
        <w:t> </w:t>
      </w:r>
      <w:r>
        <w:rPr>
          <w:sz w:val="24"/>
        </w:rPr>
        <w:t>today does</w:t>
      </w:r>
      <w:r>
        <w:rPr>
          <w:spacing w:val="15"/>
          <w:sz w:val="24"/>
        </w:rPr>
        <w:t> </w:t>
      </w:r>
      <w:r>
        <w:rPr>
          <w:sz w:val="24"/>
        </w:rPr>
        <w:t>not</w:t>
      </w:r>
      <w:r>
        <w:rPr>
          <w:spacing w:val="16"/>
          <w:sz w:val="24"/>
        </w:rPr>
        <w:t> </w:t>
      </w:r>
      <w:r>
        <w:rPr>
          <w:sz w:val="24"/>
        </w:rPr>
        <w:t>make</w:t>
      </w:r>
      <w:r>
        <w:rPr>
          <w:spacing w:val="16"/>
          <w:sz w:val="24"/>
        </w:rPr>
        <w:t> </w:t>
      </w:r>
      <w:r>
        <w:rPr>
          <w:sz w:val="24"/>
        </w:rPr>
        <w:t>payment</w:t>
      </w:r>
      <w:r>
        <w:rPr>
          <w:spacing w:val="17"/>
          <w:sz w:val="24"/>
        </w:rPr>
        <w:t> </w:t>
      </w:r>
      <w:r>
        <w:rPr>
          <w:sz w:val="24"/>
        </w:rPr>
        <w:t>of</w:t>
      </w:r>
      <w:r>
        <w:rPr>
          <w:spacing w:val="14"/>
          <w:sz w:val="24"/>
        </w:rPr>
        <w:t> </w:t>
      </w:r>
      <w:r>
        <w:rPr>
          <w:sz w:val="24"/>
        </w:rPr>
        <w:t>taxes</w:t>
      </w:r>
      <w:r>
        <w:rPr>
          <w:spacing w:val="15"/>
          <w:sz w:val="24"/>
        </w:rPr>
        <w:t> </w:t>
      </w:r>
      <w:r>
        <w:rPr>
          <w:sz w:val="24"/>
        </w:rPr>
        <w:t>easy</w:t>
      </w:r>
      <w:r>
        <w:rPr>
          <w:spacing w:val="13"/>
          <w:sz w:val="24"/>
        </w:rPr>
        <w:t> </w:t>
      </w:r>
      <w:r>
        <w:rPr>
          <w:sz w:val="24"/>
        </w:rPr>
        <w:t>for</w:t>
      </w:r>
      <w:r>
        <w:rPr>
          <w:spacing w:val="16"/>
          <w:sz w:val="24"/>
        </w:rPr>
        <w:t> </w:t>
      </w:r>
      <w:r>
        <w:rPr>
          <w:sz w:val="24"/>
        </w:rPr>
        <w:t>tax</w:t>
      </w:r>
      <w:r>
        <w:rPr>
          <w:spacing w:val="17"/>
          <w:sz w:val="24"/>
        </w:rPr>
        <w:t> </w:t>
      </w:r>
      <w:r>
        <w:rPr>
          <w:sz w:val="24"/>
        </w:rPr>
        <w:t>payers.Tax</w:t>
      </w:r>
      <w:r>
        <w:rPr>
          <w:spacing w:val="17"/>
          <w:sz w:val="24"/>
        </w:rPr>
        <w:t> </w:t>
      </w:r>
      <w:r>
        <w:rPr>
          <w:sz w:val="24"/>
        </w:rPr>
        <w:t>laws</w:t>
      </w:r>
    </w:p>
    <w:p>
      <w:pPr>
        <w:spacing w:after="0" w:line="480" w:lineRule="auto"/>
        <w:jc w:val="both"/>
        <w:rPr>
          <w:sz w:val="24"/>
        </w:rPr>
        <w:sectPr>
          <w:pgSz w:w="11910" w:h="16840"/>
          <w:pgMar w:header="0" w:footer="1000" w:top="1340" w:bottom="1200" w:left="1080" w:right="1280"/>
        </w:sectPr>
      </w:pPr>
    </w:p>
    <w:p>
      <w:pPr>
        <w:pStyle w:val="BodyText"/>
        <w:spacing w:line="480" w:lineRule="auto" w:before="74"/>
        <w:ind w:left="1080" w:right="161"/>
        <w:jc w:val="both"/>
      </w:pPr>
      <w:r>
        <w:rPr/>
        <w:t>must be understandable to all; they should be expressed simply, clearly and intelligibly. The annual amendments that are incorporated into the yearly budgets should be aligned with the principal legislation to avoid confusion.</w:t>
      </w:r>
    </w:p>
    <w:p>
      <w:pPr>
        <w:pStyle w:val="ListParagraph"/>
        <w:numPr>
          <w:ilvl w:val="2"/>
          <w:numId w:val="17"/>
        </w:numPr>
        <w:tabs>
          <w:tab w:pos="1077" w:val="left" w:leader="none"/>
          <w:tab w:pos="1080" w:val="left" w:leader="none"/>
        </w:tabs>
        <w:spacing w:line="480" w:lineRule="auto" w:before="0" w:after="0"/>
        <w:ind w:left="1080" w:right="153" w:hanging="620"/>
        <w:jc w:val="both"/>
        <w:rPr>
          <w:sz w:val="24"/>
        </w:rPr>
      </w:pPr>
      <w:r>
        <w:rPr>
          <w:b/>
          <w:sz w:val="24"/>
        </w:rPr>
        <w:t>Eradication of Corruption and High-level of Transparency</w:t>
      </w:r>
      <w:r>
        <w:rPr>
          <w:sz w:val="24"/>
        </w:rPr>
        <w:t>: Government should ensure that those who plunder or misappropriate public funds are prosecuted, as well as the Government providing basic amenities to the people, the anti-corruption drives must</w:t>
      </w:r>
      <w:r>
        <w:rPr>
          <w:spacing w:val="-2"/>
          <w:sz w:val="24"/>
        </w:rPr>
        <w:t> </w:t>
      </w:r>
      <w:r>
        <w:rPr>
          <w:sz w:val="24"/>
        </w:rPr>
        <w:t>not</w:t>
      </w:r>
      <w:r>
        <w:rPr>
          <w:spacing w:val="-2"/>
          <w:sz w:val="24"/>
        </w:rPr>
        <w:t> </w:t>
      </w:r>
      <w:r>
        <w:rPr>
          <w:sz w:val="24"/>
        </w:rPr>
        <w:t>be</w:t>
      </w:r>
      <w:r>
        <w:rPr>
          <w:spacing w:val="-2"/>
          <w:sz w:val="24"/>
        </w:rPr>
        <w:t> </w:t>
      </w:r>
      <w:r>
        <w:rPr>
          <w:sz w:val="24"/>
        </w:rPr>
        <w:t>selective</w:t>
      </w:r>
      <w:r>
        <w:rPr>
          <w:spacing w:val="-1"/>
          <w:sz w:val="24"/>
        </w:rPr>
        <w:t> </w:t>
      </w:r>
      <w:r>
        <w:rPr>
          <w:sz w:val="24"/>
        </w:rPr>
        <w:t>or</w:t>
      </w:r>
      <w:r>
        <w:rPr>
          <w:spacing w:val="-1"/>
          <w:sz w:val="24"/>
        </w:rPr>
        <w:t> </w:t>
      </w:r>
      <w:r>
        <w:rPr>
          <w:sz w:val="24"/>
        </w:rPr>
        <w:t>be</w:t>
      </w:r>
      <w:r>
        <w:rPr>
          <w:spacing w:val="-3"/>
          <w:sz w:val="24"/>
        </w:rPr>
        <w:t> </w:t>
      </w:r>
      <w:r>
        <w:rPr>
          <w:sz w:val="24"/>
        </w:rPr>
        <w:t>done</w:t>
      </w:r>
      <w:r>
        <w:rPr>
          <w:spacing w:val="-1"/>
          <w:sz w:val="24"/>
        </w:rPr>
        <w:t> </w:t>
      </w:r>
      <w:r>
        <w:rPr>
          <w:sz w:val="24"/>
        </w:rPr>
        <w:t>for</w:t>
      </w:r>
      <w:r>
        <w:rPr>
          <w:spacing w:val="-4"/>
          <w:sz w:val="24"/>
        </w:rPr>
        <w:t> </w:t>
      </w:r>
      <w:r>
        <w:rPr>
          <w:sz w:val="24"/>
        </w:rPr>
        <w:t>favor. It</w:t>
      </w:r>
      <w:r>
        <w:rPr>
          <w:spacing w:val="-2"/>
          <w:sz w:val="24"/>
        </w:rPr>
        <w:t> </w:t>
      </w:r>
      <w:r>
        <w:rPr>
          <w:sz w:val="24"/>
        </w:rPr>
        <w:t>is</w:t>
      </w:r>
      <w:r>
        <w:rPr>
          <w:spacing w:val="-2"/>
          <w:sz w:val="24"/>
        </w:rPr>
        <w:t> </w:t>
      </w:r>
      <w:r>
        <w:rPr>
          <w:sz w:val="24"/>
        </w:rPr>
        <w:t>hereby</w:t>
      </w:r>
      <w:r>
        <w:rPr>
          <w:spacing w:val="-7"/>
          <w:sz w:val="24"/>
        </w:rPr>
        <w:t> </w:t>
      </w:r>
      <w:r>
        <w:rPr>
          <w:sz w:val="24"/>
        </w:rPr>
        <w:t>recommended that Government should transparently and judiciously</w:t>
      </w:r>
      <w:r>
        <w:rPr>
          <w:spacing w:val="-2"/>
          <w:sz w:val="24"/>
        </w:rPr>
        <w:t> </w:t>
      </w:r>
      <w:r>
        <w:rPr>
          <w:sz w:val="24"/>
        </w:rPr>
        <w:t>account for the revenue it generates through PPT by investing in the provision of infrastructure and public goods and services.It is expected that the more effectively and efficiently revenue is utilized by Government</w:t>
      </w:r>
      <w:r>
        <w:rPr>
          <w:spacing w:val="40"/>
          <w:sz w:val="24"/>
        </w:rPr>
        <w:t> </w:t>
      </w:r>
      <w:r>
        <w:rPr>
          <w:sz w:val="24"/>
        </w:rPr>
        <w:t>to create growth, employment opportunities and wealth in the economy ,the more willing taxpayers would be to meet their obligations to the Government and discharge their duties in the overriding goal of achieving National Development.Government should make a policy that will ensure justification of payment of taxes, unless and until taxpayers are able to see that the money at the disposal of Government is not unduly</w:t>
      </w:r>
      <w:r>
        <w:rPr>
          <w:spacing w:val="-5"/>
          <w:sz w:val="24"/>
        </w:rPr>
        <w:t> </w:t>
      </w:r>
      <w:r>
        <w:rPr>
          <w:sz w:val="24"/>
        </w:rPr>
        <w:t>and unjustly</w:t>
      </w:r>
      <w:r>
        <w:rPr>
          <w:spacing w:val="-5"/>
          <w:sz w:val="24"/>
        </w:rPr>
        <w:t> </w:t>
      </w:r>
      <w:r>
        <w:rPr>
          <w:sz w:val="24"/>
        </w:rPr>
        <w:t>confiscating</w:t>
      </w:r>
      <w:r>
        <w:rPr>
          <w:spacing w:val="-3"/>
          <w:sz w:val="24"/>
        </w:rPr>
        <w:t> </w:t>
      </w:r>
      <w:r>
        <w:rPr>
          <w:sz w:val="24"/>
        </w:rPr>
        <w:t>their</w:t>
      </w:r>
      <w:r>
        <w:rPr>
          <w:spacing w:val="-1"/>
          <w:sz w:val="24"/>
        </w:rPr>
        <w:t> </w:t>
      </w:r>
      <w:r>
        <w:rPr>
          <w:sz w:val="24"/>
        </w:rPr>
        <w:t>property, tax evasion and avoidance</w:t>
      </w:r>
      <w:r>
        <w:rPr>
          <w:spacing w:val="-1"/>
          <w:sz w:val="24"/>
        </w:rPr>
        <w:t> </w:t>
      </w:r>
      <w:r>
        <w:rPr>
          <w:sz w:val="24"/>
        </w:rPr>
        <w:t>is bound to be in the increase. Corruption has eaten deep into the fabric of our system. If we can reduce corruption to the barest minimum, we will be on the right track. The salary of the</w:t>
      </w:r>
      <w:r>
        <w:rPr>
          <w:spacing w:val="-2"/>
          <w:sz w:val="24"/>
        </w:rPr>
        <w:t> </w:t>
      </w:r>
      <w:r>
        <w:rPr>
          <w:sz w:val="24"/>
        </w:rPr>
        <w:t>staff</w:t>
      </w:r>
      <w:r>
        <w:rPr>
          <w:spacing w:val="-2"/>
          <w:sz w:val="24"/>
        </w:rPr>
        <w:t> </w:t>
      </w:r>
      <w:r>
        <w:rPr>
          <w:sz w:val="24"/>
        </w:rPr>
        <w:t>of</w:t>
      </w:r>
      <w:r>
        <w:rPr>
          <w:spacing w:val="-2"/>
          <w:sz w:val="24"/>
        </w:rPr>
        <w:t> </w:t>
      </w:r>
      <w:r>
        <w:rPr>
          <w:sz w:val="24"/>
        </w:rPr>
        <w:t>the</w:t>
      </w:r>
      <w:r>
        <w:rPr>
          <w:spacing w:val="-4"/>
          <w:sz w:val="24"/>
        </w:rPr>
        <w:t> </w:t>
      </w:r>
      <w:r>
        <w:rPr>
          <w:sz w:val="24"/>
        </w:rPr>
        <w:t>operational</w:t>
      </w:r>
      <w:r>
        <w:rPr>
          <w:spacing w:val="-2"/>
          <w:sz w:val="24"/>
        </w:rPr>
        <w:t> </w:t>
      </w:r>
      <w:r>
        <w:rPr>
          <w:sz w:val="24"/>
        </w:rPr>
        <w:t>arm</w:t>
      </w:r>
      <w:r>
        <w:rPr>
          <w:spacing w:val="-2"/>
          <w:sz w:val="24"/>
        </w:rPr>
        <w:t> </w:t>
      </w:r>
      <w:r>
        <w:rPr>
          <w:sz w:val="24"/>
        </w:rPr>
        <w:t>of</w:t>
      </w:r>
      <w:r>
        <w:rPr>
          <w:spacing w:val="-1"/>
          <w:sz w:val="24"/>
        </w:rPr>
        <w:t> </w:t>
      </w:r>
      <w:r>
        <w:rPr>
          <w:sz w:val="24"/>
        </w:rPr>
        <w:t>the</w:t>
      </w:r>
      <w:r>
        <w:rPr>
          <w:spacing w:val="-1"/>
          <w:sz w:val="24"/>
        </w:rPr>
        <w:t> </w:t>
      </w:r>
      <w:r>
        <w:rPr>
          <w:sz w:val="24"/>
        </w:rPr>
        <w:t>Board</w:t>
      </w:r>
      <w:r>
        <w:rPr>
          <w:spacing w:val="-2"/>
          <w:sz w:val="24"/>
        </w:rPr>
        <w:t> </w:t>
      </w:r>
      <w:r>
        <w:rPr>
          <w:sz w:val="24"/>
        </w:rPr>
        <w:t>should</w:t>
      </w:r>
      <w:r>
        <w:rPr>
          <w:spacing w:val="-2"/>
          <w:sz w:val="24"/>
        </w:rPr>
        <w:t> </w:t>
      </w:r>
      <w:r>
        <w:rPr>
          <w:sz w:val="24"/>
        </w:rPr>
        <w:t>be</w:t>
      </w:r>
      <w:r>
        <w:rPr>
          <w:spacing w:val="-3"/>
          <w:sz w:val="24"/>
        </w:rPr>
        <w:t> </w:t>
      </w:r>
      <w:r>
        <w:rPr>
          <w:sz w:val="24"/>
        </w:rPr>
        <w:t>reviewed. Professionals</w:t>
      </w:r>
      <w:r>
        <w:rPr>
          <w:spacing w:val="-2"/>
          <w:sz w:val="24"/>
        </w:rPr>
        <w:t> </w:t>
      </w:r>
      <w:r>
        <w:rPr>
          <w:sz w:val="24"/>
        </w:rPr>
        <w:t>of</w:t>
      </w:r>
      <w:r>
        <w:rPr>
          <w:spacing w:val="-2"/>
          <w:sz w:val="24"/>
        </w:rPr>
        <w:t> </w:t>
      </w:r>
      <w:r>
        <w:rPr>
          <w:sz w:val="24"/>
        </w:rPr>
        <w:t>high quality should be attracted with sufficient salary that will make the content and not to think of conniving with tax payers to perpetrate the offence of tax avoidance/evasion. Training programs for the staff of the operational arm of the board must be emphasized to enable them perform effectively.</w:t>
      </w:r>
    </w:p>
    <w:p>
      <w:pPr>
        <w:pStyle w:val="ListParagraph"/>
        <w:numPr>
          <w:ilvl w:val="2"/>
          <w:numId w:val="17"/>
        </w:numPr>
        <w:tabs>
          <w:tab w:pos="1078" w:val="left" w:leader="none"/>
          <w:tab w:pos="1080" w:val="left" w:leader="none"/>
        </w:tabs>
        <w:spacing w:line="480" w:lineRule="auto" w:before="3" w:after="0"/>
        <w:ind w:left="1080" w:right="156" w:hanging="608"/>
        <w:jc w:val="both"/>
        <w:rPr>
          <w:sz w:val="24"/>
        </w:rPr>
      </w:pPr>
      <w:r>
        <w:rPr>
          <w:b/>
          <w:sz w:val="24"/>
        </w:rPr>
        <w:t>Provision of Stiffer Penalties</w:t>
      </w:r>
      <w:r>
        <w:rPr>
          <w:sz w:val="24"/>
        </w:rPr>
        <w:t>: There is the need for amendment of PPT laws to strengthen tax administration and to provide adequate penalties for the offences. The</w:t>
      </w:r>
    </w:p>
    <w:p>
      <w:pPr>
        <w:spacing w:after="0" w:line="480" w:lineRule="auto"/>
        <w:jc w:val="both"/>
        <w:rPr>
          <w:sz w:val="24"/>
        </w:rPr>
        <w:sectPr>
          <w:pgSz w:w="11910" w:h="16840"/>
          <w:pgMar w:header="0" w:footer="1000" w:top="1340" w:bottom="1200" w:left="1080" w:right="1280"/>
        </w:sectPr>
      </w:pPr>
    </w:p>
    <w:p>
      <w:pPr>
        <w:pStyle w:val="BodyText"/>
        <w:spacing w:line="480" w:lineRule="auto" w:before="74"/>
        <w:ind w:left="1080" w:right="156"/>
        <w:jc w:val="both"/>
      </w:pPr>
      <w:r>
        <w:rPr/>
        <w:t>present penalty</w:t>
      </w:r>
      <w:r>
        <w:rPr>
          <w:spacing w:val="-3"/>
        </w:rPr>
        <w:t> </w:t>
      </w:r>
      <w:r>
        <w:rPr/>
        <w:t>provisions in our</w:t>
      </w:r>
      <w:r>
        <w:rPr>
          <w:spacing w:val="-1"/>
        </w:rPr>
        <w:t> </w:t>
      </w:r>
      <w:r>
        <w:rPr/>
        <w:t>tax statutes overlap and are</w:t>
      </w:r>
      <w:r>
        <w:rPr>
          <w:spacing w:val="40"/>
        </w:rPr>
        <w:t> </w:t>
      </w:r>
      <w:r>
        <w:rPr/>
        <w:t>in some</w:t>
      </w:r>
      <w:r>
        <w:rPr>
          <w:spacing w:val="-1"/>
        </w:rPr>
        <w:t> </w:t>
      </w:r>
      <w:r>
        <w:rPr/>
        <w:t>places mutually inconsistent especially in terms of the severity of penalties and are thus defective in form the present situation certainly call for a thorough review and re-arrangement of the penalty provisions on a more rational basis.Imposition of stiff penalties for the various offences as prescribed in the tax Acts. As seen no one has been convicted and imprisoned for giving incorrect information, for aiding, abetting, assisting,</w:t>
      </w:r>
      <w:r>
        <w:rPr>
          <w:spacing w:val="40"/>
        </w:rPr>
        <w:t> </w:t>
      </w:r>
      <w:r>
        <w:rPr/>
        <w:t>counseling, inciting or inducing a taxpayer to make or deliver false returns even when such fraudulent intent is established. Therefore, it is recommended that, to solve the problem of corrupt practices mentioned ,government at all levels ensure the enforcement and implementation of stiff penalties and punishments provided by the provisions of the relevant tax laws against any</w:t>
      </w:r>
      <w:r>
        <w:rPr>
          <w:spacing w:val="-4"/>
        </w:rPr>
        <w:t> </w:t>
      </w:r>
      <w:r>
        <w:rPr/>
        <w:t>person caught and such person shall be exposed and publicized through media stations.</w:t>
      </w:r>
    </w:p>
    <w:p>
      <w:pPr>
        <w:pStyle w:val="ListParagraph"/>
        <w:numPr>
          <w:ilvl w:val="2"/>
          <w:numId w:val="17"/>
        </w:numPr>
        <w:tabs>
          <w:tab w:pos="1080" w:val="left" w:leader="none"/>
        </w:tabs>
        <w:spacing w:line="480" w:lineRule="auto" w:before="1" w:after="0"/>
        <w:ind w:left="1080" w:right="157" w:hanging="540"/>
        <w:jc w:val="both"/>
        <w:rPr>
          <w:sz w:val="24"/>
        </w:rPr>
      </w:pPr>
      <w:r>
        <w:rPr>
          <w:b/>
          <w:sz w:val="24"/>
        </w:rPr>
        <w:t>Curtailing Oil Theft and Niger-Delta Crises</w:t>
      </w:r>
      <w:r>
        <w:rPr>
          <w:sz w:val="24"/>
        </w:rPr>
        <w:t>: It is recommended that the Government should create a department vested with the responsibility of curtailing illegal bunkering, and pipeline vandalism. Such a department should be charged with the duty of protecting oil pipelines from the unscrupulous acts of the oil bunkers. NNPC should also work closely</w:t>
      </w:r>
      <w:r>
        <w:rPr>
          <w:spacing w:val="-3"/>
          <w:sz w:val="24"/>
        </w:rPr>
        <w:t> </w:t>
      </w:r>
      <w:r>
        <w:rPr>
          <w:sz w:val="24"/>
        </w:rPr>
        <w:t>with the Nigerian navy</w:t>
      </w:r>
      <w:r>
        <w:rPr>
          <w:spacing w:val="-3"/>
          <w:sz w:val="24"/>
        </w:rPr>
        <w:t> </w:t>
      </w:r>
      <w:r>
        <w:rPr>
          <w:sz w:val="24"/>
        </w:rPr>
        <w:t>to deal with the problem. The government must deal with offenders without political interference.</w:t>
      </w:r>
    </w:p>
    <w:p>
      <w:pPr>
        <w:pStyle w:val="ListParagraph"/>
        <w:numPr>
          <w:ilvl w:val="2"/>
          <w:numId w:val="17"/>
        </w:numPr>
        <w:tabs>
          <w:tab w:pos="1078" w:val="left" w:leader="none"/>
          <w:tab w:pos="1080" w:val="left" w:leader="none"/>
        </w:tabs>
        <w:spacing w:line="480" w:lineRule="auto" w:before="1" w:after="0"/>
        <w:ind w:left="1080" w:right="156" w:hanging="608"/>
        <w:jc w:val="both"/>
        <w:rPr>
          <w:sz w:val="24"/>
        </w:rPr>
      </w:pPr>
      <w:r>
        <w:rPr>
          <w:b/>
          <w:sz w:val="24"/>
        </w:rPr>
        <w:t>Provision of Funds</w:t>
      </w:r>
      <w:r>
        <w:rPr>
          <w:sz w:val="24"/>
        </w:rPr>
        <w:t>:The issue of self-assessment has worsened the ability of FIRS to collect PPT revenues because FIRS will only</w:t>
      </w:r>
      <w:r>
        <w:rPr>
          <w:spacing w:val="-4"/>
          <w:sz w:val="24"/>
        </w:rPr>
        <w:t> </w:t>
      </w:r>
      <w:r>
        <w:rPr>
          <w:sz w:val="24"/>
        </w:rPr>
        <w:t>tax what the company</w:t>
      </w:r>
      <w:r>
        <w:rPr>
          <w:spacing w:val="-2"/>
          <w:sz w:val="24"/>
        </w:rPr>
        <w:t> </w:t>
      </w:r>
      <w:r>
        <w:rPr>
          <w:sz w:val="24"/>
        </w:rPr>
        <w:t>files. The</w:t>
      </w:r>
      <w:r>
        <w:rPr>
          <w:spacing w:val="-1"/>
          <w:sz w:val="24"/>
        </w:rPr>
        <w:t> </w:t>
      </w:r>
      <w:r>
        <w:rPr>
          <w:sz w:val="24"/>
        </w:rPr>
        <w:t>issue of DPR allowing upstream oil to use parameters that suited them to pay what they deemed fit as royalty to government thereby making underpayments should be stopped. The oil companies are using sophisticated practices and loopholes to avoid tax liability. Qualified tax officials s in terms of strategy, power, level of authority, technical knowhow and specialization should be sent to oil companies for tax matters.</w:t>
      </w:r>
    </w:p>
    <w:p>
      <w:pPr>
        <w:spacing w:after="0" w:line="480" w:lineRule="auto"/>
        <w:jc w:val="both"/>
        <w:rPr>
          <w:sz w:val="24"/>
        </w:rPr>
        <w:sectPr>
          <w:pgSz w:w="11910" w:h="16840"/>
          <w:pgMar w:header="0" w:footer="1000" w:top="1340" w:bottom="1200" w:left="1080" w:right="1280"/>
        </w:sectPr>
      </w:pPr>
    </w:p>
    <w:p>
      <w:pPr>
        <w:pStyle w:val="Heading1"/>
        <w:spacing w:before="78"/>
        <w:ind w:right="240"/>
      </w:pPr>
      <w:r>
        <w:rPr>
          <w:spacing w:val="-2"/>
        </w:rPr>
        <w:t>BIBLIOGRAPHY</w:t>
      </w:r>
    </w:p>
    <w:p>
      <w:pPr>
        <w:pStyle w:val="BodyText"/>
        <w:rPr>
          <w:b/>
        </w:rPr>
      </w:pPr>
    </w:p>
    <w:p>
      <w:pPr>
        <w:spacing w:before="0"/>
        <w:ind w:left="360" w:right="0" w:firstLine="0"/>
        <w:jc w:val="left"/>
        <w:rPr>
          <w:b/>
          <w:sz w:val="24"/>
        </w:rPr>
      </w:pPr>
      <w:r>
        <w:rPr>
          <w:b/>
          <w:spacing w:val="-2"/>
          <w:sz w:val="24"/>
        </w:rPr>
        <w:t>BOOKS</w:t>
      </w:r>
    </w:p>
    <w:p>
      <w:pPr>
        <w:spacing w:line="480" w:lineRule="auto" w:before="272"/>
        <w:ind w:left="360" w:right="156" w:firstLine="0"/>
        <w:jc w:val="both"/>
        <w:rPr>
          <w:sz w:val="24"/>
        </w:rPr>
      </w:pPr>
      <w:r>
        <w:rPr>
          <w:sz w:val="24"/>
        </w:rPr>
        <w:t>Abdulrazaq. M. T. (1993) </w:t>
      </w:r>
      <w:r>
        <w:rPr>
          <w:i/>
          <w:sz w:val="24"/>
        </w:rPr>
        <w:t>“Nigerian Tax Offences and Penalties”</w:t>
      </w:r>
      <w:r>
        <w:rPr>
          <w:sz w:val="24"/>
        </w:rPr>
        <w:t>, Batay Law Publications LimitedOla, C. S. (2001), </w:t>
      </w:r>
      <w:r>
        <w:rPr>
          <w:i/>
          <w:sz w:val="24"/>
        </w:rPr>
        <w:t>“Income Tax Law and Practice in Nigeria”</w:t>
      </w:r>
      <w:r>
        <w:rPr>
          <w:sz w:val="24"/>
        </w:rPr>
        <w:t>, Heinemann Educational Book(Nigeria)Plc Ibadan, pp.534-544.</w:t>
      </w:r>
    </w:p>
    <w:p>
      <w:pPr>
        <w:spacing w:line="480" w:lineRule="auto" w:before="0"/>
        <w:ind w:left="360" w:right="159" w:firstLine="0"/>
        <w:jc w:val="left"/>
        <w:rPr>
          <w:sz w:val="24"/>
        </w:rPr>
      </w:pPr>
      <w:r>
        <w:rPr>
          <w:sz w:val="24"/>
        </w:rPr>
        <w:t>Afolabi Khadijat, </w:t>
      </w:r>
      <w:r>
        <w:rPr>
          <w:i/>
          <w:sz w:val="24"/>
        </w:rPr>
        <w:t>Impact of Oil export on Economic Growth in Nigeria from 1970- 2006</w:t>
      </w:r>
      <w:r>
        <w:rPr>
          <w:sz w:val="24"/>
        </w:rPr>
        <w:t>. Ayoola-Daniels Niyi (2008), “</w:t>
      </w:r>
      <w:r>
        <w:rPr>
          <w:i/>
          <w:sz w:val="24"/>
        </w:rPr>
        <w:t>Nigerian Laws, Cases and Materials on Oil and Gas</w:t>
      </w:r>
      <w:r>
        <w:rPr>
          <w:sz w:val="24"/>
        </w:rPr>
        <w:t>”, Petgas Global Consulting Limited, vol. 1, P. 16.</w:t>
      </w:r>
    </w:p>
    <w:p>
      <w:pPr>
        <w:pStyle w:val="BodyText"/>
        <w:spacing w:line="480" w:lineRule="auto" w:before="1"/>
        <w:ind w:left="360"/>
      </w:pPr>
      <w:r>
        <w:rPr/>
        <w:t>Ayua, I. A. (1996) </w:t>
      </w:r>
      <w:r>
        <w:rPr>
          <w:i/>
        </w:rPr>
        <w:t>Nigerian Tax Laws</w:t>
      </w:r>
      <w:r>
        <w:rPr/>
        <w:t>, Spectrum Law Publishing,Ibadan,1</w:t>
      </w:r>
      <w:r>
        <w:rPr>
          <w:vertAlign w:val="superscript"/>
        </w:rPr>
        <w:t>st</w:t>
      </w:r>
      <w:r>
        <w:rPr>
          <w:vertAlign w:val="baseline"/>
        </w:rPr>
        <w:t> edition, p.165 Etikerentse. G. (2005) </w:t>
      </w:r>
      <w:r>
        <w:rPr>
          <w:i/>
          <w:vertAlign w:val="baseline"/>
        </w:rPr>
        <w:t>“Petroleum Law Nigeria”</w:t>
      </w:r>
      <w:r>
        <w:rPr>
          <w:vertAlign w:val="baseline"/>
        </w:rPr>
        <w:t>,(2</w:t>
      </w:r>
      <w:r>
        <w:rPr>
          <w:vertAlign w:val="superscript"/>
        </w:rPr>
        <w:t>nd</w:t>
      </w:r>
      <w:r>
        <w:rPr>
          <w:vertAlign w:val="baseline"/>
        </w:rPr>
        <w:t> edition) Dredew</w:t>
      </w:r>
      <w:r>
        <w:rPr>
          <w:spacing w:val="40"/>
          <w:vertAlign w:val="baseline"/>
        </w:rPr>
        <w:t> </w:t>
      </w:r>
      <w:r>
        <w:rPr>
          <w:vertAlign w:val="baseline"/>
        </w:rPr>
        <w:t>Publishers, Lagos FAGBOHON</w:t>
      </w:r>
      <w:r>
        <w:rPr>
          <w:spacing w:val="37"/>
          <w:vertAlign w:val="baseline"/>
        </w:rPr>
        <w:t> </w:t>
      </w:r>
      <w:r>
        <w:rPr>
          <w:vertAlign w:val="baseline"/>
        </w:rPr>
        <w:t>O</w:t>
      </w:r>
      <w:r>
        <w:rPr>
          <w:spacing w:val="39"/>
          <w:vertAlign w:val="baseline"/>
        </w:rPr>
        <w:t> </w:t>
      </w:r>
      <w:r>
        <w:rPr>
          <w:vertAlign w:val="baseline"/>
        </w:rPr>
        <w:t>(2010)</w:t>
      </w:r>
      <w:r>
        <w:rPr>
          <w:spacing w:val="39"/>
          <w:vertAlign w:val="baseline"/>
        </w:rPr>
        <w:t> </w:t>
      </w:r>
      <w:r>
        <w:rPr>
          <w:vertAlign w:val="baseline"/>
        </w:rPr>
        <w:t>The</w:t>
      </w:r>
      <w:r>
        <w:rPr>
          <w:spacing w:val="38"/>
          <w:vertAlign w:val="baseline"/>
        </w:rPr>
        <w:t> </w:t>
      </w:r>
      <w:r>
        <w:rPr>
          <w:vertAlign w:val="baseline"/>
        </w:rPr>
        <w:t>Law</w:t>
      </w:r>
      <w:r>
        <w:rPr>
          <w:spacing w:val="39"/>
          <w:vertAlign w:val="baseline"/>
        </w:rPr>
        <w:t> </w:t>
      </w:r>
      <w:r>
        <w:rPr>
          <w:vertAlign w:val="baseline"/>
        </w:rPr>
        <w:t>of</w:t>
      </w:r>
      <w:r>
        <w:rPr>
          <w:spacing w:val="36"/>
          <w:vertAlign w:val="baseline"/>
        </w:rPr>
        <w:t> </w:t>
      </w:r>
      <w:r>
        <w:rPr>
          <w:vertAlign w:val="baseline"/>
        </w:rPr>
        <w:t>Oil</w:t>
      </w:r>
      <w:r>
        <w:rPr>
          <w:spacing w:val="38"/>
          <w:vertAlign w:val="baseline"/>
        </w:rPr>
        <w:t> </w:t>
      </w:r>
      <w:r>
        <w:rPr>
          <w:vertAlign w:val="baseline"/>
        </w:rPr>
        <w:t>Pollution</w:t>
      </w:r>
      <w:r>
        <w:rPr>
          <w:spacing w:val="37"/>
          <w:vertAlign w:val="baseline"/>
        </w:rPr>
        <w:t> </w:t>
      </w:r>
      <w:r>
        <w:rPr>
          <w:vertAlign w:val="baseline"/>
        </w:rPr>
        <w:t>and</w:t>
      </w:r>
      <w:r>
        <w:rPr>
          <w:spacing w:val="37"/>
          <w:vertAlign w:val="baseline"/>
        </w:rPr>
        <w:t> </w:t>
      </w:r>
      <w:r>
        <w:rPr>
          <w:vertAlign w:val="baseline"/>
        </w:rPr>
        <w:t>Environmental</w:t>
      </w:r>
      <w:r>
        <w:rPr>
          <w:spacing w:val="39"/>
          <w:vertAlign w:val="baseline"/>
        </w:rPr>
        <w:t> </w:t>
      </w:r>
      <w:r>
        <w:rPr>
          <w:vertAlign w:val="baseline"/>
        </w:rPr>
        <w:t>Restoration.</w:t>
      </w:r>
      <w:r>
        <w:rPr>
          <w:spacing w:val="37"/>
          <w:vertAlign w:val="baseline"/>
        </w:rPr>
        <w:t> </w:t>
      </w:r>
      <w:r>
        <w:rPr>
          <w:vertAlign w:val="baseline"/>
        </w:rPr>
        <w:t>Odadu Publishers, Lagos.</w:t>
      </w:r>
    </w:p>
    <w:p>
      <w:pPr>
        <w:spacing w:line="480" w:lineRule="auto" w:before="0"/>
        <w:ind w:left="360" w:right="0" w:firstLine="0"/>
        <w:jc w:val="left"/>
        <w:rPr>
          <w:sz w:val="24"/>
        </w:rPr>
      </w:pPr>
      <w:r>
        <w:rPr>
          <w:sz w:val="24"/>
        </w:rPr>
        <w:t>G.</w:t>
      </w:r>
      <w:r>
        <w:rPr>
          <w:spacing w:val="40"/>
          <w:sz w:val="24"/>
        </w:rPr>
        <w:t> </w:t>
      </w:r>
      <w:r>
        <w:rPr>
          <w:sz w:val="24"/>
        </w:rPr>
        <w:t>Deinduomo</w:t>
      </w:r>
      <w:r>
        <w:rPr>
          <w:spacing w:val="40"/>
          <w:sz w:val="24"/>
        </w:rPr>
        <w:t> </w:t>
      </w:r>
      <w:r>
        <w:rPr>
          <w:sz w:val="24"/>
        </w:rPr>
        <w:t>(2009)</w:t>
      </w:r>
      <w:r>
        <w:rPr>
          <w:spacing w:val="40"/>
          <w:sz w:val="24"/>
        </w:rPr>
        <w:t> </w:t>
      </w:r>
      <w:r>
        <w:rPr>
          <w:sz w:val="24"/>
        </w:rPr>
        <w:t>In:</w:t>
      </w:r>
      <w:r>
        <w:rPr>
          <w:spacing w:val="40"/>
          <w:sz w:val="24"/>
        </w:rPr>
        <w:t> </w:t>
      </w:r>
      <w:r>
        <w:rPr>
          <w:sz w:val="24"/>
        </w:rPr>
        <w:t>I.Emiri</w:t>
      </w:r>
      <w:r>
        <w:rPr>
          <w:spacing w:val="40"/>
          <w:sz w:val="24"/>
        </w:rPr>
        <w:t> </w:t>
      </w:r>
      <w:r>
        <w:rPr>
          <w:sz w:val="24"/>
        </w:rPr>
        <w:t>And</w:t>
      </w:r>
      <w:r>
        <w:rPr>
          <w:spacing w:val="40"/>
          <w:sz w:val="24"/>
        </w:rPr>
        <w:t> </w:t>
      </w:r>
      <w:r>
        <w:rPr>
          <w:sz w:val="24"/>
        </w:rPr>
        <w:t>G.Dhinduomo,</w:t>
      </w:r>
      <w:r>
        <w:rPr>
          <w:spacing w:val="40"/>
          <w:sz w:val="24"/>
        </w:rPr>
        <w:t> </w:t>
      </w:r>
      <w:r>
        <w:rPr>
          <w:i/>
          <w:sz w:val="24"/>
        </w:rPr>
        <w:t>“Law</w:t>
      </w:r>
      <w:r>
        <w:rPr>
          <w:i/>
          <w:spacing w:val="40"/>
          <w:sz w:val="24"/>
        </w:rPr>
        <w:t> </w:t>
      </w:r>
      <w:r>
        <w:rPr>
          <w:i/>
          <w:sz w:val="24"/>
        </w:rPr>
        <w:t>and</w:t>
      </w:r>
      <w:r>
        <w:rPr>
          <w:i/>
          <w:spacing w:val="40"/>
          <w:sz w:val="24"/>
        </w:rPr>
        <w:t> </w:t>
      </w:r>
      <w:r>
        <w:rPr>
          <w:i/>
          <w:sz w:val="24"/>
        </w:rPr>
        <w:t>Petroleum</w:t>
      </w:r>
      <w:r>
        <w:rPr>
          <w:i/>
          <w:spacing w:val="40"/>
          <w:sz w:val="24"/>
        </w:rPr>
        <w:t> </w:t>
      </w:r>
      <w:r>
        <w:rPr>
          <w:i/>
          <w:sz w:val="24"/>
        </w:rPr>
        <w:t>Industry</w:t>
      </w:r>
      <w:r>
        <w:rPr>
          <w:i/>
          <w:spacing w:val="40"/>
          <w:sz w:val="24"/>
        </w:rPr>
        <w:t> </w:t>
      </w:r>
      <w:r>
        <w:rPr>
          <w:i/>
          <w:sz w:val="24"/>
        </w:rPr>
        <w:t>in Nigeria” </w:t>
      </w:r>
      <w:r>
        <w:rPr>
          <w:sz w:val="24"/>
        </w:rPr>
        <w:t>Malthouse Publication, Lagos,</w:t>
      </w:r>
    </w:p>
    <w:p>
      <w:pPr>
        <w:spacing w:before="0"/>
        <w:ind w:left="360" w:right="0" w:firstLine="0"/>
        <w:jc w:val="left"/>
        <w:rPr>
          <w:i/>
          <w:sz w:val="24"/>
        </w:rPr>
      </w:pPr>
      <w:r>
        <w:rPr>
          <w:sz w:val="24"/>
        </w:rPr>
        <w:t>Mahatni, (2006)</w:t>
      </w:r>
      <w:r>
        <w:rPr>
          <w:spacing w:val="1"/>
          <w:sz w:val="24"/>
        </w:rPr>
        <w:t> </w:t>
      </w:r>
      <w:r>
        <w:rPr>
          <w:sz w:val="24"/>
        </w:rPr>
        <w:t>D,</w:t>
      </w:r>
      <w:r>
        <w:rPr>
          <w:spacing w:val="1"/>
          <w:sz w:val="24"/>
        </w:rPr>
        <w:t> </w:t>
      </w:r>
      <w:r>
        <w:rPr>
          <w:sz w:val="24"/>
        </w:rPr>
        <w:t>Financial</w:t>
      </w:r>
      <w:r>
        <w:rPr>
          <w:spacing w:val="1"/>
          <w:sz w:val="24"/>
        </w:rPr>
        <w:t> </w:t>
      </w:r>
      <w:r>
        <w:rPr>
          <w:sz w:val="24"/>
        </w:rPr>
        <w:t>Times</w:t>
      </w:r>
      <w:r>
        <w:rPr>
          <w:spacing w:val="1"/>
          <w:sz w:val="24"/>
        </w:rPr>
        <w:t> </w:t>
      </w:r>
      <w:r>
        <w:rPr>
          <w:sz w:val="24"/>
        </w:rPr>
        <w:t>Reporter,</w:t>
      </w:r>
      <w:r>
        <w:rPr>
          <w:spacing w:val="3"/>
          <w:sz w:val="24"/>
        </w:rPr>
        <w:t> </w:t>
      </w:r>
      <w:r>
        <w:rPr>
          <w:i/>
          <w:sz w:val="24"/>
        </w:rPr>
        <w:t>‟‟Fight</w:t>
      </w:r>
      <w:r>
        <w:rPr>
          <w:i/>
          <w:spacing w:val="2"/>
          <w:sz w:val="24"/>
        </w:rPr>
        <w:t> </w:t>
      </w:r>
      <w:r>
        <w:rPr>
          <w:i/>
          <w:sz w:val="24"/>
        </w:rPr>
        <w:t>over</w:t>
      </w:r>
      <w:r>
        <w:rPr>
          <w:i/>
          <w:spacing w:val="1"/>
          <w:sz w:val="24"/>
        </w:rPr>
        <w:t> </w:t>
      </w:r>
      <w:r>
        <w:rPr>
          <w:i/>
          <w:sz w:val="24"/>
        </w:rPr>
        <w:t>oil</w:t>
      </w:r>
      <w:r>
        <w:rPr>
          <w:i/>
          <w:spacing w:val="2"/>
          <w:sz w:val="24"/>
        </w:rPr>
        <w:t> </w:t>
      </w:r>
      <w:r>
        <w:rPr>
          <w:i/>
          <w:sz w:val="24"/>
        </w:rPr>
        <w:t>money percolates</w:t>
      </w:r>
      <w:r>
        <w:rPr>
          <w:i/>
          <w:spacing w:val="3"/>
          <w:sz w:val="24"/>
        </w:rPr>
        <w:t> </w:t>
      </w:r>
      <w:r>
        <w:rPr>
          <w:i/>
          <w:sz w:val="24"/>
        </w:rPr>
        <w:t>in</w:t>
      </w:r>
      <w:r>
        <w:rPr>
          <w:i/>
          <w:spacing w:val="2"/>
          <w:sz w:val="24"/>
        </w:rPr>
        <w:t> </w:t>
      </w:r>
      <w:r>
        <w:rPr>
          <w:i/>
          <w:spacing w:val="-2"/>
          <w:sz w:val="24"/>
        </w:rPr>
        <w:t>Nigeria”</w:t>
      </w:r>
    </w:p>
    <w:p>
      <w:pPr>
        <w:pStyle w:val="BodyText"/>
        <w:rPr>
          <w:i/>
        </w:rPr>
      </w:pPr>
    </w:p>
    <w:p>
      <w:pPr>
        <w:pStyle w:val="BodyText"/>
        <w:ind w:left="360"/>
      </w:pPr>
      <w:r>
        <w:rPr/>
        <w:t>Retrieved July</w:t>
      </w:r>
      <w:r>
        <w:rPr>
          <w:spacing w:val="-8"/>
        </w:rPr>
        <w:t> </w:t>
      </w:r>
      <w:r>
        <w:rPr/>
        <w:t>20,2006</w:t>
      </w:r>
      <w:r>
        <w:rPr>
          <w:spacing w:val="3"/>
        </w:rPr>
        <w:t> </w:t>
      </w:r>
      <w:r>
        <w:rPr>
          <w:spacing w:val="-4"/>
        </w:rPr>
        <w:t>from</w:t>
      </w:r>
    </w:p>
    <w:p>
      <w:pPr>
        <w:pStyle w:val="BodyText"/>
      </w:pPr>
    </w:p>
    <w:p>
      <w:pPr>
        <w:spacing w:line="480" w:lineRule="auto" w:before="0"/>
        <w:ind w:left="360" w:right="0" w:firstLine="0"/>
        <w:jc w:val="left"/>
        <w:rPr>
          <w:sz w:val="24"/>
        </w:rPr>
      </w:pPr>
      <w:r>
        <w:rPr>
          <w:sz w:val="24"/>
        </w:rPr>
        <w:t>Olisa,</w:t>
      </w:r>
      <w:r>
        <w:rPr>
          <w:spacing w:val="27"/>
          <w:sz w:val="24"/>
        </w:rPr>
        <w:t> </w:t>
      </w:r>
      <w:r>
        <w:rPr>
          <w:sz w:val="24"/>
        </w:rPr>
        <w:t>M.</w:t>
      </w:r>
      <w:r>
        <w:rPr>
          <w:spacing w:val="28"/>
          <w:sz w:val="24"/>
        </w:rPr>
        <w:t> </w:t>
      </w:r>
      <w:r>
        <w:rPr>
          <w:sz w:val="24"/>
        </w:rPr>
        <w:t>M.</w:t>
      </w:r>
      <w:r>
        <w:rPr>
          <w:spacing w:val="28"/>
          <w:sz w:val="24"/>
        </w:rPr>
        <w:t> </w:t>
      </w:r>
      <w:r>
        <w:rPr>
          <w:sz w:val="24"/>
        </w:rPr>
        <w:t>(1997)</w:t>
      </w:r>
      <w:r>
        <w:rPr>
          <w:spacing w:val="28"/>
          <w:sz w:val="24"/>
        </w:rPr>
        <w:t> </w:t>
      </w:r>
      <w:r>
        <w:rPr>
          <w:i/>
          <w:sz w:val="24"/>
        </w:rPr>
        <w:t>“Nigerian</w:t>
      </w:r>
      <w:r>
        <w:rPr>
          <w:i/>
          <w:spacing w:val="28"/>
          <w:sz w:val="24"/>
        </w:rPr>
        <w:t> </w:t>
      </w:r>
      <w:r>
        <w:rPr>
          <w:i/>
          <w:sz w:val="24"/>
        </w:rPr>
        <w:t>Petroleum</w:t>
      </w:r>
      <w:r>
        <w:rPr>
          <w:i/>
          <w:spacing w:val="27"/>
          <w:sz w:val="24"/>
        </w:rPr>
        <w:t> </w:t>
      </w:r>
      <w:r>
        <w:rPr>
          <w:i/>
          <w:sz w:val="24"/>
        </w:rPr>
        <w:t>Law</w:t>
      </w:r>
      <w:r>
        <w:rPr>
          <w:i/>
          <w:spacing w:val="26"/>
          <w:sz w:val="24"/>
        </w:rPr>
        <w:t> </w:t>
      </w:r>
      <w:r>
        <w:rPr>
          <w:i/>
          <w:sz w:val="24"/>
        </w:rPr>
        <w:t>and</w:t>
      </w:r>
      <w:r>
        <w:rPr>
          <w:i/>
          <w:spacing w:val="27"/>
          <w:sz w:val="24"/>
        </w:rPr>
        <w:t> </w:t>
      </w:r>
      <w:r>
        <w:rPr>
          <w:i/>
          <w:sz w:val="24"/>
        </w:rPr>
        <w:t>Practice”</w:t>
      </w:r>
      <w:r>
        <w:rPr>
          <w:i/>
          <w:spacing w:val="30"/>
          <w:sz w:val="24"/>
        </w:rPr>
        <w:t> </w:t>
      </w:r>
      <w:r>
        <w:rPr>
          <w:sz w:val="24"/>
        </w:rPr>
        <w:t>(2</w:t>
      </w:r>
      <w:r>
        <w:rPr>
          <w:sz w:val="24"/>
          <w:vertAlign w:val="superscript"/>
        </w:rPr>
        <w:t>nd</w:t>
      </w:r>
      <w:r>
        <w:rPr>
          <w:spacing w:val="29"/>
          <w:sz w:val="24"/>
          <w:vertAlign w:val="baseline"/>
        </w:rPr>
        <w:t> </w:t>
      </w:r>
      <w:r>
        <w:rPr>
          <w:sz w:val="24"/>
          <w:vertAlign w:val="baseline"/>
        </w:rPr>
        <w:t>edition)</w:t>
      </w:r>
      <w:r>
        <w:rPr>
          <w:spacing w:val="27"/>
          <w:sz w:val="24"/>
          <w:vertAlign w:val="baseline"/>
        </w:rPr>
        <w:t> </w:t>
      </w:r>
      <w:r>
        <w:rPr>
          <w:sz w:val="24"/>
          <w:vertAlign w:val="baseline"/>
        </w:rPr>
        <w:t>Jonia</w:t>
      </w:r>
      <w:r>
        <w:rPr>
          <w:spacing w:val="27"/>
          <w:sz w:val="24"/>
          <w:vertAlign w:val="baseline"/>
        </w:rPr>
        <w:t> </w:t>
      </w:r>
      <w:r>
        <w:rPr>
          <w:sz w:val="24"/>
          <w:vertAlign w:val="baseline"/>
        </w:rPr>
        <w:t>Ventures Limited Lagos.</w:t>
      </w:r>
    </w:p>
    <w:p>
      <w:pPr>
        <w:spacing w:line="480" w:lineRule="auto" w:before="1"/>
        <w:ind w:left="360" w:right="951" w:firstLine="0"/>
        <w:jc w:val="left"/>
        <w:rPr>
          <w:sz w:val="24"/>
        </w:rPr>
      </w:pPr>
      <w:r>
        <w:rPr>
          <w:sz w:val="24"/>
        </w:rPr>
        <w:t>Omorogbe</w:t>
      </w:r>
      <w:r>
        <w:rPr>
          <w:spacing w:val="-5"/>
          <w:sz w:val="24"/>
        </w:rPr>
        <w:t> </w:t>
      </w:r>
      <w:r>
        <w:rPr>
          <w:sz w:val="24"/>
        </w:rPr>
        <w:t>Y.</w:t>
      </w:r>
      <w:r>
        <w:rPr>
          <w:spacing w:val="-4"/>
          <w:sz w:val="24"/>
        </w:rPr>
        <w:t> </w:t>
      </w:r>
      <w:r>
        <w:rPr>
          <w:sz w:val="24"/>
        </w:rPr>
        <w:t>(2001).</w:t>
      </w:r>
      <w:r>
        <w:rPr>
          <w:spacing w:val="-4"/>
          <w:sz w:val="24"/>
        </w:rPr>
        <w:t> </w:t>
      </w:r>
      <w:r>
        <w:rPr>
          <w:sz w:val="24"/>
        </w:rPr>
        <w:t>Oil</w:t>
      </w:r>
      <w:r>
        <w:rPr>
          <w:spacing w:val="-4"/>
          <w:sz w:val="24"/>
        </w:rPr>
        <w:t> </w:t>
      </w:r>
      <w:r>
        <w:rPr>
          <w:sz w:val="24"/>
        </w:rPr>
        <w:t>and</w:t>
      </w:r>
      <w:r>
        <w:rPr>
          <w:spacing w:val="-4"/>
          <w:sz w:val="24"/>
        </w:rPr>
        <w:t> </w:t>
      </w:r>
      <w:r>
        <w:rPr>
          <w:sz w:val="24"/>
        </w:rPr>
        <w:t>Gas</w:t>
      </w:r>
      <w:r>
        <w:rPr>
          <w:spacing w:val="-3"/>
          <w:sz w:val="24"/>
        </w:rPr>
        <w:t> </w:t>
      </w:r>
      <w:r>
        <w:rPr>
          <w:sz w:val="24"/>
        </w:rPr>
        <w:t>Law</w:t>
      </w:r>
      <w:r>
        <w:rPr>
          <w:spacing w:val="-4"/>
          <w:sz w:val="24"/>
        </w:rPr>
        <w:t> </w:t>
      </w:r>
      <w:r>
        <w:rPr>
          <w:sz w:val="24"/>
        </w:rPr>
        <w:t>in</w:t>
      </w:r>
      <w:r>
        <w:rPr>
          <w:spacing w:val="-4"/>
          <w:sz w:val="24"/>
        </w:rPr>
        <w:t> </w:t>
      </w:r>
      <w:r>
        <w:rPr>
          <w:sz w:val="24"/>
        </w:rPr>
        <w:t>Nigeria,</w:t>
      </w:r>
      <w:r>
        <w:rPr>
          <w:spacing w:val="-3"/>
          <w:sz w:val="24"/>
        </w:rPr>
        <w:t> </w:t>
      </w:r>
      <w:r>
        <w:rPr>
          <w:sz w:val="24"/>
        </w:rPr>
        <w:t>Malthouse</w:t>
      </w:r>
      <w:r>
        <w:rPr>
          <w:spacing w:val="-4"/>
          <w:sz w:val="24"/>
        </w:rPr>
        <w:t> </w:t>
      </w:r>
      <w:r>
        <w:rPr>
          <w:sz w:val="24"/>
        </w:rPr>
        <w:t>Publication,</w:t>
      </w:r>
      <w:r>
        <w:rPr>
          <w:spacing w:val="-4"/>
          <w:sz w:val="24"/>
        </w:rPr>
        <w:t> </w:t>
      </w:r>
      <w:r>
        <w:rPr>
          <w:sz w:val="24"/>
        </w:rPr>
        <w:t>Lagos. Opele, S. (2006) </w:t>
      </w:r>
      <w:r>
        <w:rPr>
          <w:i/>
          <w:sz w:val="24"/>
        </w:rPr>
        <w:t>“Oil and Youth Restiveness in Niger Delta”</w:t>
      </w:r>
      <w:r>
        <w:rPr>
          <w:sz w:val="24"/>
        </w:rPr>
        <w:t>.</w:t>
      </w:r>
    </w:p>
    <w:p>
      <w:pPr>
        <w:pStyle w:val="BodyText"/>
        <w:spacing w:line="480" w:lineRule="auto"/>
        <w:ind w:left="360" w:right="223"/>
      </w:pPr>
      <w:r>
        <w:rPr/>
        <w:t>S. Eabila and D. Kderrl (2009) In: F. Emiri and G. Dhinduomo, Law and Petroleum Industry in Nigeria. Malthouse Publication, Lagos.</w:t>
      </w:r>
    </w:p>
    <w:p>
      <w:pPr>
        <w:pStyle w:val="Heading1"/>
        <w:spacing w:before="5"/>
        <w:ind w:left="360" w:right="0"/>
        <w:jc w:val="left"/>
      </w:pPr>
      <w:r>
        <w:rPr>
          <w:spacing w:val="-2"/>
        </w:rPr>
        <w:t>JOURNALS</w:t>
      </w:r>
    </w:p>
    <w:p>
      <w:pPr>
        <w:spacing w:line="480" w:lineRule="auto" w:before="272"/>
        <w:ind w:left="360" w:right="0" w:firstLine="0"/>
        <w:jc w:val="left"/>
        <w:rPr>
          <w:sz w:val="24"/>
        </w:rPr>
      </w:pPr>
      <w:r>
        <w:rPr>
          <w:sz w:val="24"/>
        </w:rPr>
        <w:t>A.</w:t>
      </w:r>
      <w:r>
        <w:rPr>
          <w:spacing w:val="40"/>
          <w:sz w:val="24"/>
        </w:rPr>
        <w:t> </w:t>
      </w:r>
      <w:r>
        <w:rPr>
          <w:sz w:val="24"/>
        </w:rPr>
        <w:t>O.</w:t>
      </w:r>
      <w:r>
        <w:rPr>
          <w:spacing w:val="40"/>
          <w:sz w:val="24"/>
        </w:rPr>
        <w:t> </w:t>
      </w:r>
      <w:r>
        <w:rPr>
          <w:sz w:val="24"/>
        </w:rPr>
        <w:t>Philips,</w:t>
      </w:r>
      <w:r>
        <w:rPr>
          <w:spacing w:val="40"/>
          <w:sz w:val="24"/>
        </w:rPr>
        <w:t> </w:t>
      </w:r>
      <w:r>
        <w:rPr>
          <w:sz w:val="24"/>
        </w:rPr>
        <w:t>(1968)</w:t>
      </w:r>
      <w:r>
        <w:rPr>
          <w:spacing w:val="40"/>
          <w:sz w:val="24"/>
        </w:rPr>
        <w:t> </w:t>
      </w:r>
      <w:r>
        <w:rPr>
          <w:i/>
          <w:sz w:val="24"/>
        </w:rPr>
        <w:t>„‟Nigeria‟s</w:t>
      </w:r>
      <w:r>
        <w:rPr>
          <w:i/>
          <w:spacing w:val="40"/>
          <w:sz w:val="24"/>
        </w:rPr>
        <w:t> </w:t>
      </w:r>
      <w:r>
        <w:rPr>
          <w:i/>
          <w:sz w:val="24"/>
        </w:rPr>
        <w:t>Companies</w:t>
      </w:r>
      <w:r>
        <w:rPr>
          <w:i/>
          <w:spacing w:val="40"/>
          <w:sz w:val="24"/>
        </w:rPr>
        <w:t> </w:t>
      </w:r>
      <w:r>
        <w:rPr>
          <w:i/>
          <w:sz w:val="24"/>
        </w:rPr>
        <w:t>Income</w:t>
      </w:r>
      <w:r>
        <w:rPr>
          <w:i/>
          <w:spacing w:val="40"/>
          <w:sz w:val="24"/>
        </w:rPr>
        <w:t> </w:t>
      </w:r>
      <w:r>
        <w:rPr>
          <w:i/>
          <w:sz w:val="24"/>
        </w:rPr>
        <w:t>Tax‟‟.</w:t>
      </w:r>
      <w:r>
        <w:rPr>
          <w:i/>
          <w:spacing w:val="40"/>
          <w:sz w:val="24"/>
        </w:rPr>
        <w:t> </w:t>
      </w:r>
      <w:r>
        <w:rPr>
          <w:sz w:val="24"/>
        </w:rPr>
        <w:t>The</w:t>
      </w:r>
      <w:r>
        <w:rPr>
          <w:spacing w:val="40"/>
          <w:sz w:val="24"/>
        </w:rPr>
        <w:t> </w:t>
      </w:r>
      <w:r>
        <w:rPr>
          <w:sz w:val="24"/>
        </w:rPr>
        <w:t>Nigerian</w:t>
      </w:r>
      <w:r>
        <w:rPr>
          <w:spacing w:val="40"/>
          <w:sz w:val="24"/>
        </w:rPr>
        <w:t> </w:t>
      </w:r>
      <w:r>
        <w:rPr>
          <w:sz w:val="24"/>
        </w:rPr>
        <w:t>Journal</w:t>
      </w:r>
      <w:r>
        <w:rPr>
          <w:spacing w:val="40"/>
          <w:sz w:val="24"/>
        </w:rPr>
        <w:t> </w:t>
      </w:r>
      <w:r>
        <w:rPr>
          <w:sz w:val="24"/>
        </w:rPr>
        <w:t>of</w:t>
      </w:r>
      <w:r>
        <w:rPr>
          <w:spacing w:val="40"/>
          <w:sz w:val="24"/>
        </w:rPr>
        <w:t> </w:t>
      </w:r>
      <w:r>
        <w:rPr>
          <w:sz w:val="24"/>
        </w:rPr>
        <w:t>Economics and Social Studies, Vol. 3, at p.333.</w:t>
      </w:r>
    </w:p>
    <w:p>
      <w:pPr>
        <w:spacing w:after="0" w:line="480" w:lineRule="auto"/>
        <w:jc w:val="left"/>
        <w:rPr>
          <w:sz w:val="24"/>
        </w:rPr>
        <w:sectPr>
          <w:pgSz w:w="11910" w:h="16840"/>
          <w:pgMar w:header="0" w:footer="1000" w:top="1340" w:bottom="1200" w:left="1080" w:right="1280"/>
        </w:sectPr>
      </w:pPr>
    </w:p>
    <w:p>
      <w:pPr>
        <w:pStyle w:val="BodyText"/>
        <w:spacing w:line="480" w:lineRule="auto" w:before="74"/>
        <w:ind w:left="360"/>
      </w:pPr>
      <w:r>
        <w:rPr/>
        <w:t>Ayodele</w:t>
      </w:r>
      <w:r>
        <w:rPr>
          <w:spacing w:val="-2"/>
        </w:rPr>
        <w:t> </w:t>
      </w:r>
      <w:r>
        <w:rPr/>
        <w:t>(2006)</w:t>
      </w:r>
      <w:r>
        <w:rPr>
          <w:spacing w:val="-1"/>
        </w:rPr>
        <w:t> </w:t>
      </w:r>
      <w:r>
        <w:rPr>
          <w:i/>
        </w:rPr>
        <w:t>Tax</w:t>
      </w:r>
      <w:r>
        <w:rPr>
          <w:i/>
          <w:spacing w:val="-2"/>
        </w:rPr>
        <w:t> </w:t>
      </w:r>
      <w:r>
        <w:rPr>
          <w:i/>
        </w:rPr>
        <w:t>Policy</w:t>
      </w:r>
      <w:r>
        <w:rPr>
          <w:i/>
          <w:spacing w:val="-2"/>
        </w:rPr>
        <w:t> </w:t>
      </w:r>
      <w:r>
        <w:rPr>
          <w:i/>
        </w:rPr>
        <w:t>Reforms</w:t>
      </w:r>
      <w:r>
        <w:rPr>
          <w:i/>
          <w:spacing w:val="-1"/>
        </w:rPr>
        <w:t> </w:t>
      </w:r>
      <w:r>
        <w:rPr>
          <w:i/>
        </w:rPr>
        <w:t>in</w:t>
      </w:r>
      <w:r>
        <w:rPr>
          <w:i/>
          <w:spacing w:val="-1"/>
        </w:rPr>
        <w:t> </w:t>
      </w:r>
      <w:r>
        <w:rPr>
          <w:i/>
        </w:rPr>
        <w:t>Nigeria</w:t>
      </w:r>
      <w:r>
        <w:rPr/>
        <w:t>,</w:t>
      </w:r>
      <w:r>
        <w:rPr>
          <w:spacing w:val="-1"/>
        </w:rPr>
        <w:t> </w:t>
      </w:r>
      <w:r>
        <w:rPr/>
        <w:t>Research</w:t>
      </w:r>
      <w:r>
        <w:rPr>
          <w:spacing w:val="-1"/>
        </w:rPr>
        <w:t> </w:t>
      </w:r>
      <w:r>
        <w:rPr/>
        <w:t>Paper</w:t>
      </w:r>
      <w:r>
        <w:rPr>
          <w:spacing w:val="-2"/>
        </w:rPr>
        <w:t> </w:t>
      </w:r>
      <w:r>
        <w:rPr/>
        <w:t>No.</w:t>
      </w:r>
      <w:r>
        <w:rPr>
          <w:spacing w:val="-2"/>
        </w:rPr>
        <w:t> </w:t>
      </w:r>
      <w:r>
        <w:rPr/>
        <w:t>2004, National</w:t>
      </w:r>
      <w:r>
        <w:rPr>
          <w:spacing w:val="-1"/>
        </w:rPr>
        <w:t> </w:t>
      </w:r>
      <w:r>
        <w:rPr/>
        <w:t>centre</w:t>
      </w:r>
      <w:r>
        <w:rPr>
          <w:spacing w:val="-2"/>
        </w:rPr>
        <w:t> </w:t>
      </w:r>
      <w:r>
        <w:rPr/>
        <w:t>for Economic Management and Administration, Ibadan, (Nigeria).</w:t>
      </w:r>
    </w:p>
    <w:p>
      <w:pPr>
        <w:pStyle w:val="Heading1"/>
        <w:spacing w:before="5"/>
        <w:ind w:left="360" w:right="0"/>
        <w:jc w:val="left"/>
      </w:pPr>
      <w:r>
        <w:rPr/>
        <w:t>INTERNET</w:t>
      </w:r>
      <w:r>
        <w:rPr>
          <w:spacing w:val="-1"/>
        </w:rPr>
        <w:t> </w:t>
      </w:r>
      <w:r>
        <w:rPr>
          <w:spacing w:val="-2"/>
        </w:rPr>
        <w:t>MATERIALS</w:t>
      </w:r>
    </w:p>
    <w:p>
      <w:pPr>
        <w:pStyle w:val="BodyText"/>
        <w:spacing w:before="271"/>
        <w:ind w:left="360"/>
      </w:pPr>
      <w:hyperlink r:id="rId7">
        <w:r>
          <w:rPr>
            <w:color w:val="0000FF"/>
            <w:spacing w:val="-2"/>
            <w:u w:val="single" w:color="0000FF"/>
          </w:rPr>
          <w:t>http://www.npr.org</w:t>
        </w:r>
      </w:hyperlink>
    </w:p>
    <w:p>
      <w:pPr>
        <w:pStyle w:val="BodyText"/>
      </w:pPr>
    </w:p>
    <w:p>
      <w:pPr>
        <w:tabs>
          <w:tab w:pos="7392" w:val="left" w:leader="none"/>
          <w:tab w:pos="7843" w:val="left" w:leader="none"/>
          <w:tab w:pos="8903" w:val="left" w:leader="none"/>
        </w:tabs>
        <w:spacing w:line="480" w:lineRule="auto" w:before="0"/>
        <w:ind w:left="360" w:right="158" w:firstLine="0"/>
        <w:jc w:val="left"/>
        <w:rPr>
          <w:sz w:val="24"/>
        </w:rPr>
      </w:pPr>
      <w:hyperlink r:id="rId8">
        <w:r>
          <w:rPr>
            <w:color w:val="0000FF"/>
            <w:sz w:val="24"/>
            <w:u w:val="single" w:color="0000FF"/>
          </w:rPr>
          <w:t>http://www.nigerdeltacampaign.com</w:t>
        </w:r>
      </w:hyperlink>
      <w:r>
        <w:rPr>
          <w:sz w:val="24"/>
        </w:rPr>
        <w:t>Retrieved September 10,2006 </w:t>
      </w:r>
      <w:hyperlink r:id="rId11">
        <w:r>
          <w:rPr>
            <w:i/>
            <w:color w:val="0000FF"/>
            <w:spacing w:val="-2"/>
            <w:sz w:val="24"/>
            <w:u w:val="single" w:color="0000FF"/>
          </w:rPr>
          <w:t>http://www.abdulhamidmustapha.wordpress.com/2011/12/29</w:t>
        </w:r>
      </w:hyperlink>
      <w:r>
        <w:rPr>
          <w:spacing w:val="-2"/>
          <w:sz w:val="24"/>
        </w:rPr>
        <w:t>Retrieved</w:t>
      </w:r>
      <w:r>
        <w:rPr>
          <w:sz w:val="24"/>
        </w:rPr>
        <w:tab/>
      </w:r>
      <w:r>
        <w:rPr>
          <w:spacing w:val="-6"/>
          <w:sz w:val="24"/>
        </w:rPr>
        <w:t>on</w:t>
      </w:r>
      <w:r>
        <w:rPr>
          <w:sz w:val="24"/>
        </w:rPr>
        <w:tab/>
      </w:r>
      <w:r>
        <w:rPr>
          <w:spacing w:val="-2"/>
          <w:sz w:val="24"/>
        </w:rPr>
        <w:t>Saturday</w:t>
      </w:r>
      <w:r>
        <w:rPr>
          <w:sz w:val="24"/>
        </w:rPr>
        <w:tab/>
      </w:r>
      <w:r>
        <w:rPr>
          <w:spacing w:val="-4"/>
          <w:sz w:val="24"/>
        </w:rPr>
        <w:t>22nd </w:t>
      </w:r>
      <w:r>
        <w:rPr>
          <w:sz w:val="24"/>
        </w:rPr>
        <w:t>June, 2013.</w:t>
      </w:r>
    </w:p>
    <w:sectPr>
      <w:pgSz w:w="11910" w:h="16840"/>
      <w:pgMar w:header="0" w:footer="1000" w:top="1340" w:bottom="1200" w:left="1080" w:right="128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1"/>
    <w:family w:val="roman"/>
    <w:pitch w:val="variable"/>
  </w:font>
  <w:font w:name="Arial">
    <w:altName w:val="Arial"/>
    <w:charset w:val="1"/>
    <w:family w:val="swiss"/>
    <w:pitch w:val="variable"/>
  </w:font>
  <w:font w:name="Arial MT">
    <w:altName w:val="Arial MT"/>
    <w:charset w:val="1"/>
    <w:family w:val="swiss"/>
    <w:pitch w:val="variable"/>
  </w:font>
  <w:font w:name="Calibri">
    <w:altName w:val="Calibri"/>
    <w:charset w:val="1"/>
    <w:family w:val="roman"/>
    <w:pitch w:val="variable"/>
  </w:font>
</w:fonts>
</file>

<file path=word/footer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6824960">
              <wp:simplePos x="0" y="0"/>
              <wp:positionH relativeFrom="page">
                <wp:posOffset>3662807</wp:posOffset>
              </wp:positionH>
              <wp:positionV relativeFrom="page">
                <wp:posOffset>9917683</wp:posOffset>
              </wp:positionV>
              <wp:extent cx="249554" cy="165735"/>
              <wp:effectExtent l="0" t="0" r="0" b="0"/>
              <wp:wrapNone/>
              <wp:docPr id="1" name="Textbox 1"/>
              <wp:cNvGraphicFramePr>
                <a:graphicFrameLocks/>
              </wp:cNvGraphicFramePr>
              <a:graphic>
                <a:graphicData uri="http://schemas.microsoft.com/office/word/2010/wordprocessingShape">
                  <wps:wsp>
                    <wps:cNvPr id="1" name="Textbox 1"/>
                    <wps:cNvSpPr txBox="1"/>
                    <wps:spPr>
                      <a:xfrm>
                        <a:off x="0" y="0"/>
                        <a:ext cx="249554" cy="165735"/>
                      </a:xfrm>
                      <a:prstGeom prst="rect">
                        <a:avLst/>
                      </a:prstGeom>
                    </wps:spPr>
                    <wps:txbx>
                      <w:txbxContent>
                        <w:p>
                          <w:pPr>
                            <w:spacing w:line="245" w:lineRule="exact" w:before="0"/>
                            <w:ind w:left="60" w:right="0" w:firstLine="0"/>
                            <w:jc w:val="left"/>
                            <w:rPr>
                              <w:rFonts w:ascii="Calibri"/>
                              <w:sz w:val="22"/>
                            </w:rPr>
                          </w:pPr>
                          <w:r>
                            <w:rPr>
                              <w:rFonts w:ascii="Calibri"/>
                              <w:spacing w:val="-4"/>
                              <w:sz w:val="22"/>
                            </w:rPr>
                            <w:fldChar w:fldCharType="begin"/>
                          </w:r>
                          <w:r>
                            <w:rPr>
                              <w:rFonts w:ascii="Calibri"/>
                              <w:spacing w:val="-4"/>
                              <w:sz w:val="22"/>
                            </w:rPr>
                            <w:instrText> PAGE  \* roman </w:instrText>
                          </w:r>
                          <w:r>
                            <w:rPr>
                              <w:rFonts w:ascii="Calibri"/>
                              <w:spacing w:val="-4"/>
                              <w:sz w:val="22"/>
                            </w:rPr>
                            <w:fldChar w:fldCharType="separate"/>
                          </w:r>
                          <w:r>
                            <w:rPr>
                              <w:rFonts w:ascii="Calibri"/>
                              <w:spacing w:val="-4"/>
                              <w:sz w:val="22"/>
                            </w:rPr>
                            <w:t>viii</w:t>
                          </w:r>
                          <w:r>
                            <w:rPr>
                              <w:rFonts w:ascii="Calibri"/>
                              <w:spacing w:val="-4"/>
                              <w:sz w:val="22"/>
                            </w:rPr>
                            <w:fldChar w:fldCharType="end"/>
                          </w:r>
                        </w:p>
                      </w:txbxContent>
                    </wps:txbx>
                    <wps:bodyPr wrap="square" lIns="0" tIns="0" rIns="0" bIns="0" rtlCol="0">
                      <a:noAutofit/>
                    </wps:bodyPr>
                  </wps:wsp>
                </a:graphicData>
              </a:graphic>
            </wp:anchor>
          </w:drawing>
        </mc:Choice>
        <mc:Fallback>
          <w:pict>
            <v:shapetype id="_x0000_t202" o:spt="202" coordsize="21600,21600" path="m,l,21600r21600,l21600,xe">
              <v:stroke joinstyle="miter"/>
              <v:path gradientshapeok="t" o:connecttype="rect"/>
            </v:shapetype>
            <v:shape style="position:absolute;margin-left:288.410004pt;margin-top:780.919983pt;width:19.650pt;height:13.05pt;mso-position-horizontal-relative:page;mso-position-vertical-relative:page;z-index:-16491520" type="#_x0000_t202" id="docshape1" filled="false" stroked="false">
              <v:textbox inset="0,0,0,0">
                <w:txbxContent>
                  <w:p>
                    <w:pPr>
                      <w:spacing w:line="245" w:lineRule="exact" w:before="0"/>
                      <w:ind w:left="60" w:right="0" w:firstLine="0"/>
                      <w:jc w:val="left"/>
                      <w:rPr>
                        <w:rFonts w:ascii="Calibri"/>
                        <w:sz w:val="22"/>
                      </w:rPr>
                    </w:pPr>
                    <w:r>
                      <w:rPr>
                        <w:rFonts w:ascii="Calibri"/>
                        <w:spacing w:val="-4"/>
                        <w:sz w:val="22"/>
                      </w:rPr>
                      <w:fldChar w:fldCharType="begin"/>
                    </w:r>
                    <w:r>
                      <w:rPr>
                        <w:rFonts w:ascii="Calibri"/>
                        <w:spacing w:val="-4"/>
                        <w:sz w:val="22"/>
                      </w:rPr>
                      <w:instrText> PAGE  \* roman </w:instrText>
                    </w:r>
                    <w:r>
                      <w:rPr>
                        <w:rFonts w:ascii="Calibri"/>
                        <w:spacing w:val="-4"/>
                        <w:sz w:val="22"/>
                      </w:rPr>
                      <w:fldChar w:fldCharType="separate"/>
                    </w:r>
                    <w:r>
                      <w:rPr>
                        <w:rFonts w:ascii="Calibri"/>
                        <w:spacing w:val="-4"/>
                        <w:sz w:val="22"/>
                      </w:rPr>
                      <w:t>viii</w:t>
                    </w:r>
                    <w:r>
                      <w:rPr>
                        <w:rFonts w:ascii="Calibri"/>
                        <w:spacing w:val="-4"/>
                        <w:sz w:val="22"/>
                      </w:rPr>
                      <w:fldChar w:fldCharType="end"/>
                    </w:r>
                  </w:p>
                </w:txbxContent>
              </v:textbox>
              <w10:wrap type="none"/>
            </v:shape>
          </w:pict>
        </mc:Fallback>
      </mc:AlternateContent>
    </w:r>
  </w:p>
</w:ftr>
</file>

<file path=word/footer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6825472">
              <wp:simplePos x="0" y="0"/>
              <wp:positionH relativeFrom="page">
                <wp:posOffset>3671951</wp:posOffset>
              </wp:positionH>
              <wp:positionV relativeFrom="page">
                <wp:posOffset>9917683</wp:posOffset>
              </wp:positionV>
              <wp:extent cx="232410" cy="165735"/>
              <wp:effectExtent l="0" t="0" r="0" b="0"/>
              <wp:wrapNone/>
              <wp:docPr id="12" name="Textbox 12"/>
              <wp:cNvGraphicFramePr>
                <a:graphicFrameLocks/>
              </wp:cNvGraphicFramePr>
              <a:graphic>
                <a:graphicData uri="http://schemas.microsoft.com/office/word/2010/wordprocessingShape">
                  <wps:wsp>
                    <wps:cNvPr id="12" name="Textbox 12"/>
                    <wps:cNvSpPr txBox="1"/>
                    <wps:spPr>
                      <a:xfrm>
                        <a:off x="0" y="0"/>
                        <a:ext cx="232410" cy="165735"/>
                      </a:xfrm>
                      <a:prstGeom prst="rect">
                        <a:avLst/>
                      </a:prstGeom>
                    </wps:spPr>
                    <wps:txbx>
                      <w:txbxContent>
                        <w:p>
                          <w:pPr>
                            <w:spacing w:line="245" w:lineRule="exact" w:before="0"/>
                            <w:ind w:left="60" w:right="0" w:firstLine="0"/>
                            <w:jc w:val="left"/>
                            <w:rPr>
                              <w:rFonts w:ascii="Calibri"/>
                              <w:sz w:val="22"/>
                            </w:rPr>
                          </w:pPr>
                          <w:r>
                            <w:rPr>
                              <w:rFonts w:ascii="Calibri"/>
                              <w:spacing w:val="-5"/>
                              <w:sz w:val="22"/>
                            </w:rPr>
                            <w:fldChar w:fldCharType="begin"/>
                          </w:r>
                          <w:r>
                            <w:rPr>
                              <w:rFonts w:ascii="Calibri"/>
                              <w:spacing w:val="-5"/>
                              <w:sz w:val="22"/>
                            </w:rPr>
                            <w:instrText> PAGE </w:instrText>
                          </w:r>
                          <w:r>
                            <w:rPr>
                              <w:rFonts w:ascii="Calibri"/>
                              <w:spacing w:val="-5"/>
                              <w:sz w:val="22"/>
                            </w:rPr>
                            <w:fldChar w:fldCharType="separate"/>
                          </w:r>
                          <w:r>
                            <w:rPr>
                              <w:rFonts w:ascii="Calibri"/>
                              <w:spacing w:val="-5"/>
                              <w:sz w:val="22"/>
                            </w:rPr>
                            <w:t>10</w:t>
                          </w:r>
                          <w:r>
                            <w:rPr>
                              <w:rFonts w:ascii="Calibri"/>
                              <w:spacing w:val="-5"/>
                              <w:sz w:val="22"/>
                            </w:rPr>
                            <w:fldChar w:fldCharType="end"/>
                          </w:r>
                        </w:p>
                      </w:txbxContent>
                    </wps:txbx>
                    <wps:bodyPr wrap="square" lIns="0" tIns="0" rIns="0" bIns="0" rtlCol="0">
                      <a:noAutofit/>
                    </wps:bodyPr>
                  </wps:wsp>
                </a:graphicData>
              </a:graphic>
            </wp:anchor>
          </w:drawing>
        </mc:Choice>
        <mc:Fallback>
          <w:pict>
            <v:shape style="position:absolute;margin-left:289.130005pt;margin-top:780.919983pt;width:18.3pt;height:13.05pt;mso-position-horizontal-relative:page;mso-position-vertical-relative:page;z-index:-16491008" type="#_x0000_t202" id="docshape12" filled="false" stroked="false">
              <v:textbox inset="0,0,0,0">
                <w:txbxContent>
                  <w:p>
                    <w:pPr>
                      <w:spacing w:line="245" w:lineRule="exact" w:before="0"/>
                      <w:ind w:left="60" w:right="0" w:firstLine="0"/>
                      <w:jc w:val="left"/>
                      <w:rPr>
                        <w:rFonts w:ascii="Calibri"/>
                        <w:sz w:val="22"/>
                      </w:rPr>
                    </w:pPr>
                    <w:r>
                      <w:rPr>
                        <w:rFonts w:ascii="Calibri"/>
                        <w:spacing w:val="-5"/>
                        <w:sz w:val="22"/>
                      </w:rPr>
                      <w:fldChar w:fldCharType="begin"/>
                    </w:r>
                    <w:r>
                      <w:rPr>
                        <w:rFonts w:ascii="Calibri"/>
                        <w:spacing w:val="-5"/>
                        <w:sz w:val="22"/>
                      </w:rPr>
                      <w:instrText> PAGE </w:instrText>
                    </w:r>
                    <w:r>
                      <w:rPr>
                        <w:rFonts w:ascii="Calibri"/>
                        <w:spacing w:val="-5"/>
                        <w:sz w:val="22"/>
                      </w:rPr>
                      <w:fldChar w:fldCharType="separate"/>
                    </w:r>
                    <w:r>
                      <w:rPr>
                        <w:rFonts w:ascii="Calibri"/>
                        <w:spacing w:val="-5"/>
                        <w:sz w:val="22"/>
                      </w:rPr>
                      <w:t>10</w:t>
                    </w:r>
                    <w:r>
                      <w:rPr>
                        <w:rFonts w:ascii="Calibri"/>
                        <w:spacing w:val="-5"/>
                        <w:sz w:val="22"/>
                      </w:rPr>
                      <w:fldChar w:fldCharType="end"/>
                    </w:r>
                  </w:p>
                </w:txbxContent>
              </v:textbox>
              <w10:wrap type="none"/>
            </v:shape>
          </w:pict>
        </mc:Fallback>
      </mc:AlternateContent>
    </w:r>
  </w:p>
</w:ftr>
</file>

<file path=word/footer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6825984">
              <wp:simplePos x="0" y="0"/>
              <wp:positionH relativeFrom="page">
                <wp:posOffset>3671951</wp:posOffset>
              </wp:positionH>
              <wp:positionV relativeFrom="page">
                <wp:posOffset>9917683</wp:posOffset>
              </wp:positionV>
              <wp:extent cx="232410" cy="165735"/>
              <wp:effectExtent l="0" t="0" r="0" b="0"/>
              <wp:wrapNone/>
              <wp:docPr id="22" name="Textbox 22"/>
              <wp:cNvGraphicFramePr>
                <a:graphicFrameLocks/>
              </wp:cNvGraphicFramePr>
              <a:graphic>
                <a:graphicData uri="http://schemas.microsoft.com/office/word/2010/wordprocessingShape">
                  <wps:wsp>
                    <wps:cNvPr id="22" name="Textbox 22"/>
                    <wps:cNvSpPr txBox="1"/>
                    <wps:spPr>
                      <a:xfrm>
                        <a:off x="0" y="0"/>
                        <a:ext cx="232410" cy="165735"/>
                      </a:xfrm>
                      <a:prstGeom prst="rect">
                        <a:avLst/>
                      </a:prstGeom>
                    </wps:spPr>
                    <wps:txbx>
                      <w:txbxContent>
                        <w:p>
                          <w:pPr>
                            <w:spacing w:line="245" w:lineRule="exact" w:before="0"/>
                            <w:ind w:left="60" w:right="0" w:firstLine="0"/>
                            <w:jc w:val="left"/>
                            <w:rPr>
                              <w:rFonts w:ascii="Calibri"/>
                              <w:sz w:val="22"/>
                            </w:rPr>
                          </w:pPr>
                          <w:r>
                            <w:rPr>
                              <w:rFonts w:ascii="Calibri"/>
                              <w:spacing w:val="-5"/>
                              <w:sz w:val="22"/>
                            </w:rPr>
                            <w:fldChar w:fldCharType="begin"/>
                          </w:r>
                          <w:r>
                            <w:rPr>
                              <w:rFonts w:ascii="Calibri"/>
                              <w:spacing w:val="-5"/>
                              <w:sz w:val="22"/>
                            </w:rPr>
                            <w:instrText> PAGE </w:instrText>
                          </w:r>
                          <w:r>
                            <w:rPr>
                              <w:rFonts w:ascii="Calibri"/>
                              <w:spacing w:val="-5"/>
                              <w:sz w:val="22"/>
                            </w:rPr>
                            <w:fldChar w:fldCharType="separate"/>
                          </w:r>
                          <w:r>
                            <w:rPr>
                              <w:rFonts w:ascii="Calibri"/>
                              <w:spacing w:val="-5"/>
                              <w:sz w:val="22"/>
                            </w:rPr>
                            <w:t>17</w:t>
                          </w:r>
                          <w:r>
                            <w:rPr>
                              <w:rFonts w:ascii="Calibri"/>
                              <w:spacing w:val="-5"/>
                              <w:sz w:val="22"/>
                            </w:rPr>
                            <w:fldChar w:fldCharType="end"/>
                          </w:r>
                        </w:p>
                      </w:txbxContent>
                    </wps:txbx>
                    <wps:bodyPr wrap="square" lIns="0" tIns="0" rIns="0" bIns="0" rtlCol="0">
                      <a:noAutofit/>
                    </wps:bodyPr>
                  </wps:wsp>
                </a:graphicData>
              </a:graphic>
            </wp:anchor>
          </w:drawing>
        </mc:Choice>
        <mc:Fallback>
          <w:pict>
            <v:shape style="position:absolute;margin-left:289.130005pt;margin-top:780.919983pt;width:18.3pt;height:13.05pt;mso-position-horizontal-relative:page;mso-position-vertical-relative:page;z-index:-16490496" type="#_x0000_t202" id="docshape22" filled="false" stroked="false">
              <v:textbox inset="0,0,0,0">
                <w:txbxContent>
                  <w:p>
                    <w:pPr>
                      <w:spacing w:line="245" w:lineRule="exact" w:before="0"/>
                      <w:ind w:left="60" w:right="0" w:firstLine="0"/>
                      <w:jc w:val="left"/>
                      <w:rPr>
                        <w:rFonts w:ascii="Calibri"/>
                        <w:sz w:val="22"/>
                      </w:rPr>
                    </w:pPr>
                    <w:r>
                      <w:rPr>
                        <w:rFonts w:ascii="Calibri"/>
                        <w:spacing w:val="-5"/>
                        <w:sz w:val="22"/>
                      </w:rPr>
                      <w:fldChar w:fldCharType="begin"/>
                    </w:r>
                    <w:r>
                      <w:rPr>
                        <w:rFonts w:ascii="Calibri"/>
                        <w:spacing w:val="-5"/>
                        <w:sz w:val="22"/>
                      </w:rPr>
                      <w:instrText> PAGE </w:instrText>
                    </w:r>
                    <w:r>
                      <w:rPr>
                        <w:rFonts w:ascii="Calibri"/>
                        <w:spacing w:val="-5"/>
                        <w:sz w:val="22"/>
                      </w:rPr>
                      <w:fldChar w:fldCharType="separate"/>
                    </w:r>
                    <w:r>
                      <w:rPr>
                        <w:rFonts w:ascii="Calibri"/>
                        <w:spacing w:val="-5"/>
                        <w:sz w:val="22"/>
                      </w:rPr>
                      <w:t>17</w:t>
                    </w:r>
                    <w:r>
                      <w:rPr>
                        <w:rFonts w:ascii="Calibri"/>
                        <w:spacing w:val="-5"/>
                        <w:sz w:val="22"/>
                      </w:rPr>
                      <w:fldChar w:fldCharType="end"/>
                    </w:r>
                  </w:p>
                </w:txbxContent>
              </v:textbox>
              <w10:wrap type="none"/>
            </v:shape>
          </w:pict>
        </mc:Fallback>
      </mc:AlternateConten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6">
    <w:multiLevelType w:val="hybridMultilevel"/>
    <w:lvl w:ilvl="0">
      <w:start w:val="5"/>
      <w:numFmt w:val="decimal"/>
      <w:lvlText w:val="%1"/>
      <w:lvlJc w:val="left"/>
      <w:pPr>
        <w:ind w:left="1080" w:hanging="720"/>
        <w:jc w:val="left"/>
      </w:pPr>
      <w:rPr>
        <w:rFonts w:hint="default"/>
        <w:lang w:val="en-US" w:eastAsia="en-US" w:bidi="ar-SA"/>
      </w:rPr>
    </w:lvl>
    <w:lvl w:ilvl="1">
      <w:start w:val="1"/>
      <w:numFmt w:val="decimal"/>
      <w:lvlText w:val="%1.%2"/>
      <w:lvlJc w:val="left"/>
      <w:pPr>
        <w:ind w:left="1080" w:hanging="720"/>
        <w:jc w:val="left"/>
      </w:pPr>
      <w:rPr>
        <w:rFonts w:hint="default" w:ascii="Times New Roman" w:hAnsi="Times New Roman" w:eastAsia="Times New Roman" w:cs="Times New Roman"/>
        <w:b/>
        <w:bCs/>
        <w:i w:val="0"/>
        <w:iCs w:val="0"/>
        <w:spacing w:val="0"/>
        <w:w w:val="100"/>
        <w:sz w:val="24"/>
        <w:szCs w:val="24"/>
        <w:lang w:val="en-US" w:eastAsia="en-US" w:bidi="ar-SA"/>
      </w:rPr>
    </w:lvl>
    <w:lvl w:ilvl="2">
      <w:start w:val="1"/>
      <w:numFmt w:val="lowerRoman"/>
      <w:lvlText w:val="%3."/>
      <w:lvlJc w:val="left"/>
      <w:pPr>
        <w:ind w:left="1080" w:hanging="488"/>
        <w:jc w:val="right"/>
      </w:pPr>
      <w:rPr>
        <w:rFonts w:hint="default" w:ascii="Times New Roman" w:hAnsi="Times New Roman" w:eastAsia="Times New Roman" w:cs="Times New Roman"/>
        <w:b w:val="0"/>
        <w:bCs w:val="0"/>
        <w:i w:val="0"/>
        <w:iCs w:val="0"/>
        <w:spacing w:val="0"/>
        <w:w w:val="100"/>
        <w:sz w:val="24"/>
        <w:szCs w:val="24"/>
        <w:lang w:val="en-US" w:eastAsia="en-US" w:bidi="ar-SA"/>
      </w:rPr>
    </w:lvl>
    <w:lvl w:ilvl="3">
      <w:start w:val="0"/>
      <w:numFmt w:val="bullet"/>
      <w:lvlText w:val="•"/>
      <w:lvlJc w:val="left"/>
      <w:pPr>
        <w:ind w:left="3619" w:hanging="488"/>
      </w:pPr>
      <w:rPr>
        <w:rFonts w:hint="default"/>
        <w:lang w:val="en-US" w:eastAsia="en-US" w:bidi="ar-SA"/>
      </w:rPr>
    </w:lvl>
    <w:lvl w:ilvl="4">
      <w:start w:val="0"/>
      <w:numFmt w:val="bullet"/>
      <w:lvlText w:val="•"/>
      <w:lvlJc w:val="left"/>
      <w:pPr>
        <w:ind w:left="4466" w:hanging="488"/>
      </w:pPr>
      <w:rPr>
        <w:rFonts w:hint="default"/>
        <w:lang w:val="en-US" w:eastAsia="en-US" w:bidi="ar-SA"/>
      </w:rPr>
    </w:lvl>
    <w:lvl w:ilvl="5">
      <w:start w:val="0"/>
      <w:numFmt w:val="bullet"/>
      <w:lvlText w:val="•"/>
      <w:lvlJc w:val="left"/>
      <w:pPr>
        <w:ind w:left="5313" w:hanging="488"/>
      </w:pPr>
      <w:rPr>
        <w:rFonts w:hint="default"/>
        <w:lang w:val="en-US" w:eastAsia="en-US" w:bidi="ar-SA"/>
      </w:rPr>
    </w:lvl>
    <w:lvl w:ilvl="6">
      <w:start w:val="0"/>
      <w:numFmt w:val="bullet"/>
      <w:lvlText w:val="•"/>
      <w:lvlJc w:val="left"/>
      <w:pPr>
        <w:ind w:left="6159" w:hanging="488"/>
      </w:pPr>
      <w:rPr>
        <w:rFonts w:hint="default"/>
        <w:lang w:val="en-US" w:eastAsia="en-US" w:bidi="ar-SA"/>
      </w:rPr>
    </w:lvl>
    <w:lvl w:ilvl="7">
      <w:start w:val="0"/>
      <w:numFmt w:val="bullet"/>
      <w:lvlText w:val="•"/>
      <w:lvlJc w:val="left"/>
      <w:pPr>
        <w:ind w:left="7006" w:hanging="488"/>
      </w:pPr>
      <w:rPr>
        <w:rFonts w:hint="default"/>
        <w:lang w:val="en-US" w:eastAsia="en-US" w:bidi="ar-SA"/>
      </w:rPr>
    </w:lvl>
    <w:lvl w:ilvl="8">
      <w:start w:val="0"/>
      <w:numFmt w:val="bullet"/>
      <w:lvlText w:val="•"/>
      <w:lvlJc w:val="left"/>
      <w:pPr>
        <w:ind w:left="7853" w:hanging="488"/>
      </w:pPr>
      <w:rPr>
        <w:rFonts w:hint="default"/>
        <w:lang w:val="en-US" w:eastAsia="en-US" w:bidi="ar-SA"/>
      </w:rPr>
    </w:lvl>
  </w:abstractNum>
  <w:abstractNum w:abstractNumId="15">
    <w:multiLevelType w:val="hybridMultilevel"/>
    <w:lvl w:ilvl="0">
      <w:start w:val="1"/>
      <w:numFmt w:val="lowerRoman"/>
      <w:lvlText w:val="%1."/>
      <w:lvlJc w:val="left"/>
      <w:pPr>
        <w:ind w:left="1080" w:hanging="720"/>
        <w:jc w:val="righ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1"/>
      <w:numFmt w:val="lowerLetter"/>
      <w:lvlText w:val="%2."/>
      <w:lvlJc w:val="left"/>
      <w:pPr>
        <w:ind w:left="1800" w:hanging="36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2">
      <w:start w:val="0"/>
      <w:numFmt w:val="bullet"/>
      <w:lvlText w:val="•"/>
      <w:lvlJc w:val="left"/>
      <w:pPr>
        <w:ind w:left="2660" w:hanging="360"/>
      </w:pPr>
      <w:rPr>
        <w:rFonts w:hint="default"/>
        <w:lang w:val="en-US" w:eastAsia="en-US" w:bidi="ar-SA"/>
      </w:rPr>
    </w:lvl>
    <w:lvl w:ilvl="3">
      <w:start w:val="0"/>
      <w:numFmt w:val="bullet"/>
      <w:lvlText w:val="•"/>
      <w:lvlJc w:val="left"/>
      <w:pPr>
        <w:ind w:left="3521" w:hanging="360"/>
      </w:pPr>
      <w:rPr>
        <w:rFonts w:hint="default"/>
        <w:lang w:val="en-US" w:eastAsia="en-US" w:bidi="ar-SA"/>
      </w:rPr>
    </w:lvl>
    <w:lvl w:ilvl="4">
      <w:start w:val="0"/>
      <w:numFmt w:val="bullet"/>
      <w:lvlText w:val="•"/>
      <w:lvlJc w:val="left"/>
      <w:pPr>
        <w:ind w:left="4382" w:hanging="360"/>
      </w:pPr>
      <w:rPr>
        <w:rFonts w:hint="default"/>
        <w:lang w:val="en-US" w:eastAsia="en-US" w:bidi="ar-SA"/>
      </w:rPr>
    </w:lvl>
    <w:lvl w:ilvl="5">
      <w:start w:val="0"/>
      <w:numFmt w:val="bullet"/>
      <w:lvlText w:val="•"/>
      <w:lvlJc w:val="left"/>
      <w:pPr>
        <w:ind w:left="5242" w:hanging="360"/>
      </w:pPr>
      <w:rPr>
        <w:rFonts w:hint="default"/>
        <w:lang w:val="en-US" w:eastAsia="en-US" w:bidi="ar-SA"/>
      </w:rPr>
    </w:lvl>
    <w:lvl w:ilvl="6">
      <w:start w:val="0"/>
      <w:numFmt w:val="bullet"/>
      <w:lvlText w:val="•"/>
      <w:lvlJc w:val="left"/>
      <w:pPr>
        <w:ind w:left="6103" w:hanging="360"/>
      </w:pPr>
      <w:rPr>
        <w:rFonts w:hint="default"/>
        <w:lang w:val="en-US" w:eastAsia="en-US" w:bidi="ar-SA"/>
      </w:rPr>
    </w:lvl>
    <w:lvl w:ilvl="7">
      <w:start w:val="0"/>
      <w:numFmt w:val="bullet"/>
      <w:lvlText w:val="•"/>
      <w:lvlJc w:val="left"/>
      <w:pPr>
        <w:ind w:left="6964" w:hanging="360"/>
      </w:pPr>
      <w:rPr>
        <w:rFonts w:hint="default"/>
        <w:lang w:val="en-US" w:eastAsia="en-US" w:bidi="ar-SA"/>
      </w:rPr>
    </w:lvl>
    <w:lvl w:ilvl="8">
      <w:start w:val="0"/>
      <w:numFmt w:val="bullet"/>
      <w:lvlText w:val="•"/>
      <w:lvlJc w:val="left"/>
      <w:pPr>
        <w:ind w:left="7824" w:hanging="360"/>
      </w:pPr>
      <w:rPr>
        <w:rFonts w:hint="default"/>
        <w:lang w:val="en-US" w:eastAsia="en-US" w:bidi="ar-SA"/>
      </w:rPr>
    </w:lvl>
  </w:abstractNum>
  <w:abstractNum w:abstractNumId="14">
    <w:multiLevelType w:val="hybridMultilevel"/>
    <w:lvl w:ilvl="0">
      <w:start w:val="1"/>
      <w:numFmt w:val="decimal"/>
      <w:lvlText w:val="%1."/>
      <w:lvlJc w:val="left"/>
      <w:pPr>
        <w:ind w:left="713" w:hanging="353"/>
        <w:jc w:val="left"/>
      </w:pPr>
      <w:rPr>
        <w:rFonts w:hint="default" w:ascii="Times New Roman" w:hAnsi="Times New Roman" w:eastAsia="Times New Roman" w:cs="Times New Roman"/>
        <w:b w:val="0"/>
        <w:bCs w:val="0"/>
        <w:i w:val="0"/>
        <w:iCs w:val="0"/>
        <w:spacing w:val="-29"/>
        <w:w w:val="100"/>
        <w:sz w:val="24"/>
        <w:szCs w:val="24"/>
        <w:lang w:val="en-US" w:eastAsia="en-US" w:bidi="ar-SA"/>
      </w:rPr>
    </w:lvl>
    <w:lvl w:ilvl="1">
      <w:start w:val="0"/>
      <w:numFmt w:val="bullet"/>
      <w:lvlText w:val="•"/>
      <w:lvlJc w:val="left"/>
      <w:pPr>
        <w:ind w:left="1602" w:hanging="353"/>
      </w:pPr>
      <w:rPr>
        <w:rFonts w:hint="default"/>
        <w:lang w:val="en-US" w:eastAsia="en-US" w:bidi="ar-SA"/>
      </w:rPr>
    </w:lvl>
    <w:lvl w:ilvl="2">
      <w:start w:val="0"/>
      <w:numFmt w:val="bullet"/>
      <w:lvlText w:val="•"/>
      <w:lvlJc w:val="left"/>
      <w:pPr>
        <w:ind w:left="2485" w:hanging="353"/>
      </w:pPr>
      <w:rPr>
        <w:rFonts w:hint="default"/>
        <w:lang w:val="en-US" w:eastAsia="en-US" w:bidi="ar-SA"/>
      </w:rPr>
    </w:lvl>
    <w:lvl w:ilvl="3">
      <w:start w:val="0"/>
      <w:numFmt w:val="bullet"/>
      <w:lvlText w:val="•"/>
      <w:lvlJc w:val="left"/>
      <w:pPr>
        <w:ind w:left="3367" w:hanging="353"/>
      </w:pPr>
      <w:rPr>
        <w:rFonts w:hint="default"/>
        <w:lang w:val="en-US" w:eastAsia="en-US" w:bidi="ar-SA"/>
      </w:rPr>
    </w:lvl>
    <w:lvl w:ilvl="4">
      <w:start w:val="0"/>
      <w:numFmt w:val="bullet"/>
      <w:lvlText w:val="•"/>
      <w:lvlJc w:val="left"/>
      <w:pPr>
        <w:ind w:left="4250" w:hanging="353"/>
      </w:pPr>
      <w:rPr>
        <w:rFonts w:hint="default"/>
        <w:lang w:val="en-US" w:eastAsia="en-US" w:bidi="ar-SA"/>
      </w:rPr>
    </w:lvl>
    <w:lvl w:ilvl="5">
      <w:start w:val="0"/>
      <w:numFmt w:val="bullet"/>
      <w:lvlText w:val="•"/>
      <w:lvlJc w:val="left"/>
      <w:pPr>
        <w:ind w:left="5133" w:hanging="353"/>
      </w:pPr>
      <w:rPr>
        <w:rFonts w:hint="default"/>
        <w:lang w:val="en-US" w:eastAsia="en-US" w:bidi="ar-SA"/>
      </w:rPr>
    </w:lvl>
    <w:lvl w:ilvl="6">
      <w:start w:val="0"/>
      <w:numFmt w:val="bullet"/>
      <w:lvlText w:val="•"/>
      <w:lvlJc w:val="left"/>
      <w:pPr>
        <w:ind w:left="6015" w:hanging="353"/>
      </w:pPr>
      <w:rPr>
        <w:rFonts w:hint="default"/>
        <w:lang w:val="en-US" w:eastAsia="en-US" w:bidi="ar-SA"/>
      </w:rPr>
    </w:lvl>
    <w:lvl w:ilvl="7">
      <w:start w:val="0"/>
      <w:numFmt w:val="bullet"/>
      <w:lvlText w:val="•"/>
      <w:lvlJc w:val="left"/>
      <w:pPr>
        <w:ind w:left="6898" w:hanging="353"/>
      </w:pPr>
      <w:rPr>
        <w:rFonts w:hint="default"/>
        <w:lang w:val="en-US" w:eastAsia="en-US" w:bidi="ar-SA"/>
      </w:rPr>
    </w:lvl>
    <w:lvl w:ilvl="8">
      <w:start w:val="0"/>
      <w:numFmt w:val="bullet"/>
      <w:lvlText w:val="•"/>
      <w:lvlJc w:val="left"/>
      <w:pPr>
        <w:ind w:left="7781" w:hanging="353"/>
      </w:pPr>
      <w:rPr>
        <w:rFonts w:hint="default"/>
        <w:lang w:val="en-US" w:eastAsia="en-US" w:bidi="ar-SA"/>
      </w:rPr>
    </w:lvl>
  </w:abstractNum>
  <w:abstractNum w:abstractNumId="13">
    <w:multiLevelType w:val="hybridMultilevel"/>
    <w:lvl w:ilvl="0">
      <w:start w:val="4"/>
      <w:numFmt w:val="decimal"/>
      <w:lvlText w:val="%1"/>
      <w:lvlJc w:val="left"/>
      <w:pPr>
        <w:ind w:left="1080" w:hanging="720"/>
        <w:jc w:val="left"/>
      </w:pPr>
      <w:rPr>
        <w:rFonts w:hint="default"/>
        <w:lang w:val="en-US" w:eastAsia="en-US" w:bidi="ar-SA"/>
      </w:rPr>
    </w:lvl>
    <w:lvl w:ilvl="1">
      <w:start w:val="1"/>
      <w:numFmt w:val="decimal"/>
      <w:lvlText w:val="%1.%2"/>
      <w:lvlJc w:val="left"/>
      <w:pPr>
        <w:ind w:left="1080" w:hanging="720"/>
        <w:jc w:val="left"/>
      </w:pPr>
      <w:rPr>
        <w:rFonts w:hint="default" w:ascii="Times New Roman" w:hAnsi="Times New Roman" w:eastAsia="Times New Roman" w:cs="Times New Roman"/>
        <w:b/>
        <w:bCs/>
        <w:i w:val="0"/>
        <w:iCs w:val="0"/>
        <w:spacing w:val="-24"/>
        <w:w w:val="100"/>
        <w:sz w:val="24"/>
        <w:szCs w:val="24"/>
        <w:lang w:val="en-US" w:eastAsia="en-US" w:bidi="ar-SA"/>
      </w:rPr>
    </w:lvl>
    <w:lvl w:ilvl="2">
      <w:start w:val="1"/>
      <w:numFmt w:val="lowerRoman"/>
      <w:lvlText w:val="%3."/>
      <w:lvlJc w:val="left"/>
      <w:pPr>
        <w:ind w:left="1800" w:hanging="72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3">
      <w:start w:val="1"/>
      <w:numFmt w:val="decimal"/>
      <w:lvlText w:val="(%4)"/>
      <w:lvlJc w:val="left"/>
      <w:pPr>
        <w:ind w:left="1800" w:hanging="555"/>
        <w:jc w:val="left"/>
      </w:pPr>
      <w:rPr>
        <w:rFonts w:hint="default" w:ascii="Times New Roman" w:hAnsi="Times New Roman" w:eastAsia="Times New Roman" w:cs="Times New Roman"/>
        <w:b w:val="0"/>
        <w:bCs w:val="0"/>
        <w:i w:val="0"/>
        <w:iCs w:val="0"/>
        <w:spacing w:val="-6"/>
        <w:w w:val="100"/>
        <w:sz w:val="24"/>
        <w:szCs w:val="24"/>
        <w:lang w:val="en-US" w:eastAsia="en-US" w:bidi="ar-SA"/>
      </w:rPr>
    </w:lvl>
    <w:lvl w:ilvl="4">
      <w:start w:val="0"/>
      <w:numFmt w:val="bullet"/>
      <w:lvlText w:val="•"/>
      <w:lvlJc w:val="left"/>
      <w:pPr>
        <w:ind w:left="4382" w:hanging="555"/>
      </w:pPr>
      <w:rPr>
        <w:rFonts w:hint="default"/>
        <w:lang w:val="en-US" w:eastAsia="en-US" w:bidi="ar-SA"/>
      </w:rPr>
    </w:lvl>
    <w:lvl w:ilvl="5">
      <w:start w:val="0"/>
      <w:numFmt w:val="bullet"/>
      <w:lvlText w:val="•"/>
      <w:lvlJc w:val="left"/>
      <w:pPr>
        <w:ind w:left="5242" w:hanging="555"/>
      </w:pPr>
      <w:rPr>
        <w:rFonts w:hint="default"/>
        <w:lang w:val="en-US" w:eastAsia="en-US" w:bidi="ar-SA"/>
      </w:rPr>
    </w:lvl>
    <w:lvl w:ilvl="6">
      <w:start w:val="0"/>
      <w:numFmt w:val="bullet"/>
      <w:lvlText w:val="•"/>
      <w:lvlJc w:val="left"/>
      <w:pPr>
        <w:ind w:left="6103" w:hanging="555"/>
      </w:pPr>
      <w:rPr>
        <w:rFonts w:hint="default"/>
        <w:lang w:val="en-US" w:eastAsia="en-US" w:bidi="ar-SA"/>
      </w:rPr>
    </w:lvl>
    <w:lvl w:ilvl="7">
      <w:start w:val="0"/>
      <w:numFmt w:val="bullet"/>
      <w:lvlText w:val="•"/>
      <w:lvlJc w:val="left"/>
      <w:pPr>
        <w:ind w:left="6964" w:hanging="555"/>
      </w:pPr>
      <w:rPr>
        <w:rFonts w:hint="default"/>
        <w:lang w:val="en-US" w:eastAsia="en-US" w:bidi="ar-SA"/>
      </w:rPr>
    </w:lvl>
    <w:lvl w:ilvl="8">
      <w:start w:val="0"/>
      <w:numFmt w:val="bullet"/>
      <w:lvlText w:val="•"/>
      <w:lvlJc w:val="left"/>
      <w:pPr>
        <w:ind w:left="7824" w:hanging="555"/>
      </w:pPr>
      <w:rPr>
        <w:rFonts w:hint="default"/>
        <w:lang w:val="en-US" w:eastAsia="en-US" w:bidi="ar-SA"/>
      </w:rPr>
    </w:lvl>
  </w:abstractNum>
  <w:abstractNum w:abstractNumId="12">
    <w:multiLevelType w:val="hybridMultilevel"/>
    <w:lvl w:ilvl="0">
      <w:start w:val="1"/>
      <w:numFmt w:val="lowerRoman"/>
      <w:lvlText w:val="%1."/>
      <w:lvlJc w:val="left"/>
      <w:pPr>
        <w:ind w:left="1080" w:hanging="488"/>
        <w:jc w:val="righ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926" w:hanging="488"/>
      </w:pPr>
      <w:rPr>
        <w:rFonts w:hint="default"/>
        <w:lang w:val="en-US" w:eastAsia="en-US" w:bidi="ar-SA"/>
      </w:rPr>
    </w:lvl>
    <w:lvl w:ilvl="2">
      <w:start w:val="0"/>
      <w:numFmt w:val="bullet"/>
      <w:lvlText w:val="•"/>
      <w:lvlJc w:val="left"/>
      <w:pPr>
        <w:ind w:left="2773" w:hanging="488"/>
      </w:pPr>
      <w:rPr>
        <w:rFonts w:hint="default"/>
        <w:lang w:val="en-US" w:eastAsia="en-US" w:bidi="ar-SA"/>
      </w:rPr>
    </w:lvl>
    <w:lvl w:ilvl="3">
      <w:start w:val="0"/>
      <w:numFmt w:val="bullet"/>
      <w:lvlText w:val="•"/>
      <w:lvlJc w:val="left"/>
      <w:pPr>
        <w:ind w:left="3619" w:hanging="488"/>
      </w:pPr>
      <w:rPr>
        <w:rFonts w:hint="default"/>
        <w:lang w:val="en-US" w:eastAsia="en-US" w:bidi="ar-SA"/>
      </w:rPr>
    </w:lvl>
    <w:lvl w:ilvl="4">
      <w:start w:val="0"/>
      <w:numFmt w:val="bullet"/>
      <w:lvlText w:val="•"/>
      <w:lvlJc w:val="left"/>
      <w:pPr>
        <w:ind w:left="4466" w:hanging="488"/>
      </w:pPr>
      <w:rPr>
        <w:rFonts w:hint="default"/>
        <w:lang w:val="en-US" w:eastAsia="en-US" w:bidi="ar-SA"/>
      </w:rPr>
    </w:lvl>
    <w:lvl w:ilvl="5">
      <w:start w:val="0"/>
      <w:numFmt w:val="bullet"/>
      <w:lvlText w:val="•"/>
      <w:lvlJc w:val="left"/>
      <w:pPr>
        <w:ind w:left="5313" w:hanging="488"/>
      </w:pPr>
      <w:rPr>
        <w:rFonts w:hint="default"/>
        <w:lang w:val="en-US" w:eastAsia="en-US" w:bidi="ar-SA"/>
      </w:rPr>
    </w:lvl>
    <w:lvl w:ilvl="6">
      <w:start w:val="0"/>
      <w:numFmt w:val="bullet"/>
      <w:lvlText w:val="•"/>
      <w:lvlJc w:val="left"/>
      <w:pPr>
        <w:ind w:left="6159" w:hanging="488"/>
      </w:pPr>
      <w:rPr>
        <w:rFonts w:hint="default"/>
        <w:lang w:val="en-US" w:eastAsia="en-US" w:bidi="ar-SA"/>
      </w:rPr>
    </w:lvl>
    <w:lvl w:ilvl="7">
      <w:start w:val="0"/>
      <w:numFmt w:val="bullet"/>
      <w:lvlText w:val="•"/>
      <w:lvlJc w:val="left"/>
      <w:pPr>
        <w:ind w:left="7006" w:hanging="488"/>
      </w:pPr>
      <w:rPr>
        <w:rFonts w:hint="default"/>
        <w:lang w:val="en-US" w:eastAsia="en-US" w:bidi="ar-SA"/>
      </w:rPr>
    </w:lvl>
    <w:lvl w:ilvl="8">
      <w:start w:val="0"/>
      <w:numFmt w:val="bullet"/>
      <w:lvlText w:val="•"/>
      <w:lvlJc w:val="left"/>
      <w:pPr>
        <w:ind w:left="7853" w:hanging="488"/>
      </w:pPr>
      <w:rPr>
        <w:rFonts w:hint="default"/>
        <w:lang w:val="en-US" w:eastAsia="en-US" w:bidi="ar-SA"/>
      </w:rPr>
    </w:lvl>
  </w:abstractNum>
  <w:abstractNum w:abstractNumId="11">
    <w:multiLevelType w:val="hybridMultilevel"/>
    <w:lvl w:ilvl="0">
      <w:start w:val="1"/>
      <w:numFmt w:val="lowerRoman"/>
      <w:lvlText w:val="%1."/>
      <w:lvlJc w:val="left"/>
      <w:pPr>
        <w:ind w:left="1080" w:hanging="488"/>
        <w:jc w:val="righ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926" w:hanging="488"/>
      </w:pPr>
      <w:rPr>
        <w:rFonts w:hint="default"/>
        <w:lang w:val="en-US" w:eastAsia="en-US" w:bidi="ar-SA"/>
      </w:rPr>
    </w:lvl>
    <w:lvl w:ilvl="2">
      <w:start w:val="0"/>
      <w:numFmt w:val="bullet"/>
      <w:lvlText w:val="•"/>
      <w:lvlJc w:val="left"/>
      <w:pPr>
        <w:ind w:left="2773" w:hanging="488"/>
      </w:pPr>
      <w:rPr>
        <w:rFonts w:hint="default"/>
        <w:lang w:val="en-US" w:eastAsia="en-US" w:bidi="ar-SA"/>
      </w:rPr>
    </w:lvl>
    <w:lvl w:ilvl="3">
      <w:start w:val="0"/>
      <w:numFmt w:val="bullet"/>
      <w:lvlText w:val="•"/>
      <w:lvlJc w:val="left"/>
      <w:pPr>
        <w:ind w:left="3619" w:hanging="488"/>
      </w:pPr>
      <w:rPr>
        <w:rFonts w:hint="default"/>
        <w:lang w:val="en-US" w:eastAsia="en-US" w:bidi="ar-SA"/>
      </w:rPr>
    </w:lvl>
    <w:lvl w:ilvl="4">
      <w:start w:val="0"/>
      <w:numFmt w:val="bullet"/>
      <w:lvlText w:val="•"/>
      <w:lvlJc w:val="left"/>
      <w:pPr>
        <w:ind w:left="4466" w:hanging="488"/>
      </w:pPr>
      <w:rPr>
        <w:rFonts w:hint="default"/>
        <w:lang w:val="en-US" w:eastAsia="en-US" w:bidi="ar-SA"/>
      </w:rPr>
    </w:lvl>
    <w:lvl w:ilvl="5">
      <w:start w:val="0"/>
      <w:numFmt w:val="bullet"/>
      <w:lvlText w:val="•"/>
      <w:lvlJc w:val="left"/>
      <w:pPr>
        <w:ind w:left="5313" w:hanging="488"/>
      </w:pPr>
      <w:rPr>
        <w:rFonts w:hint="default"/>
        <w:lang w:val="en-US" w:eastAsia="en-US" w:bidi="ar-SA"/>
      </w:rPr>
    </w:lvl>
    <w:lvl w:ilvl="6">
      <w:start w:val="0"/>
      <w:numFmt w:val="bullet"/>
      <w:lvlText w:val="•"/>
      <w:lvlJc w:val="left"/>
      <w:pPr>
        <w:ind w:left="6159" w:hanging="488"/>
      </w:pPr>
      <w:rPr>
        <w:rFonts w:hint="default"/>
        <w:lang w:val="en-US" w:eastAsia="en-US" w:bidi="ar-SA"/>
      </w:rPr>
    </w:lvl>
    <w:lvl w:ilvl="7">
      <w:start w:val="0"/>
      <w:numFmt w:val="bullet"/>
      <w:lvlText w:val="•"/>
      <w:lvlJc w:val="left"/>
      <w:pPr>
        <w:ind w:left="7006" w:hanging="488"/>
      </w:pPr>
      <w:rPr>
        <w:rFonts w:hint="default"/>
        <w:lang w:val="en-US" w:eastAsia="en-US" w:bidi="ar-SA"/>
      </w:rPr>
    </w:lvl>
    <w:lvl w:ilvl="8">
      <w:start w:val="0"/>
      <w:numFmt w:val="bullet"/>
      <w:lvlText w:val="•"/>
      <w:lvlJc w:val="left"/>
      <w:pPr>
        <w:ind w:left="7853" w:hanging="488"/>
      </w:pPr>
      <w:rPr>
        <w:rFonts w:hint="default"/>
        <w:lang w:val="en-US" w:eastAsia="en-US" w:bidi="ar-SA"/>
      </w:rPr>
    </w:lvl>
  </w:abstractNum>
  <w:abstractNum w:abstractNumId="10">
    <w:multiLevelType w:val="hybridMultilevel"/>
    <w:lvl w:ilvl="0">
      <w:start w:val="1"/>
      <w:numFmt w:val="lowerRoman"/>
      <w:lvlText w:val="%1."/>
      <w:lvlJc w:val="left"/>
      <w:pPr>
        <w:ind w:left="1080" w:hanging="488"/>
        <w:jc w:val="righ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926" w:hanging="488"/>
      </w:pPr>
      <w:rPr>
        <w:rFonts w:hint="default"/>
        <w:lang w:val="en-US" w:eastAsia="en-US" w:bidi="ar-SA"/>
      </w:rPr>
    </w:lvl>
    <w:lvl w:ilvl="2">
      <w:start w:val="0"/>
      <w:numFmt w:val="bullet"/>
      <w:lvlText w:val="•"/>
      <w:lvlJc w:val="left"/>
      <w:pPr>
        <w:ind w:left="2773" w:hanging="488"/>
      </w:pPr>
      <w:rPr>
        <w:rFonts w:hint="default"/>
        <w:lang w:val="en-US" w:eastAsia="en-US" w:bidi="ar-SA"/>
      </w:rPr>
    </w:lvl>
    <w:lvl w:ilvl="3">
      <w:start w:val="0"/>
      <w:numFmt w:val="bullet"/>
      <w:lvlText w:val="•"/>
      <w:lvlJc w:val="left"/>
      <w:pPr>
        <w:ind w:left="3619" w:hanging="488"/>
      </w:pPr>
      <w:rPr>
        <w:rFonts w:hint="default"/>
        <w:lang w:val="en-US" w:eastAsia="en-US" w:bidi="ar-SA"/>
      </w:rPr>
    </w:lvl>
    <w:lvl w:ilvl="4">
      <w:start w:val="0"/>
      <w:numFmt w:val="bullet"/>
      <w:lvlText w:val="•"/>
      <w:lvlJc w:val="left"/>
      <w:pPr>
        <w:ind w:left="4466" w:hanging="488"/>
      </w:pPr>
      <w:rPr>
        <w:rFonts w:hint="default"/>
        <w:lang w:val="en-US" w:eastAsia="en-US" w:bidi="ar-SA"/>
      </w:rPr>
    </w:lvl>
    <w:lvl w:ilvl="5">
      <w:start w:val="0"/>
      <w:numFmt w:val="bullet"/>
      <w:lvlText w:val="•"/>
      <w:lvlJc w:val="left"/>
      <w:pPr>
        <w:ind w:left="5313" w:hanging="488"/>
      </w:pPr>
      <w:rPr>
        <w:rFonts w:hint="default"/>
        <w:lang w:val="en-US" w:eastAsia="en-US" w:bidi="ar-SA"/>
      </w:rPr>
    </w:lvl>
    <w:lvl w:ilvl="6">
      <w:start w:val="0"/>
      <w:numFmt w:val="bullet"/>
      <w:lvlText w:val="•"/>
      <w:lvlJc w:val="left"/>
      <w:pPr>
        <w:ind w:left="6159" w:hanging="488"/>
      </w:pPr>
      <w:rPr>
        <w:rFonts w:hint="default"/>
        <w:lang w:val="en-US" w:eastAsia="en-US" w:bidi="ar-SA"/>
      </w:rPr>
    </w:lvl>
    <w:lvl w:ilvl="7">
      <w:start w:val="0"/>
      <w:numFmt w:val="bullet"/>
      <w:lvlText w:val="•"/>
      <w:lvlJc w:val="left"/>
      <w:pPr>
        <w:ind w:left="7006" w:hanging="488"/>
      </w:pPr>
      <w:rPr>
        <w:rFonts w:hint="default"/>
        <w:lang w:val="en-US" w:eastAsia="en-US" w:bidi="ar-SA"/>
      </w:rPr>
    </w:lvl>
    <w:lvl w:ilvl="8">
      <w:start w:val="0"/>
      <w:numFmt w:val="bullet"/>
      <w:lvlText w:val="•"/>
      <w:lvlJc w:val="left"/>
      <w:pPr>
        <w:ind w:left="7853" w:hanging="488"/>
      </w:pPr>
      <w:rPr>
        <w:rFonts w:hint="default"/>
        <w:lang w:val="en-US" w:eastAsia="en-US" w:bidi="ar-SA"/>
      </w:rPr>
    </w:lvl>
  </w:abstractNum>
  <w:abstractNum w:abstractNumId="9">
    <w:multiLevelType w:val="hybridMultilevel"/>
    <w:lvl w:ilvl="0">
      <w:start w:val="1"/>
      <w:numFmt w:val="lowerRoman"/>
      <w:lvlText w:val="%1."/>
      <w:lvlJc w:val="left"/>
      <w:pPr>
        <w:ind w:left="1080" w:hanging="488"/>
        <w:jc w:val="righ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926" w:hanging="488"/>
      </w:pPr>
      <w:rPr>
        <w:rFonts w:hint="default"/>
        <w:lang w:val="en-US" w:eastAsia="en-US" w:bidi="ar-SA"/>
      </w:rPr>
    </w:lvl>
    <w:lvl w:ilvl="2">
      <w:start w:val="0"/>
      <w:numFmt w:val="bullet"/>
      <w:lvlText w:val="•"/>
      <w:lvlJc w:val="left"/>
      <w:pPr>
        <w:ind w:left="2773" w:hanging="488"/>
      </w:pPr>
      <w:rPr>
        <w:rFonts w:hint="default"/>
        <w:lang w:val="en-US" w:eastAsia="en-US" w:bidi="ar-SA"/>
      </w:rPr>
    </w:lvl>
    <w:lvl w:ilvl="3">
      <w:start w:val="0"/>
      <w:numFmt w:val="bullet"/>
      <w:lvlText w:val="•"/>
      <w:lvlJc w:val="left"/>
      <w:pPr>
        <w:ind w:left="3619" w:hanging="488"/>
      </w:pPr>
      <w:rPr>
        <w:rFonts w:hint="default"/>
        <w:lang w:val="en-US" w:eastAsia="en-US" w:bidi="ar-SA"/>
      </w:rPr>
    </w:lvl>
    <w:lvl w:ilvl="4">
      <w:start w:val="0"/>
      <w:numFmt w:val="bullet"/>
      <w:lvlText w:val="•"/>
      <w:lvlJc w:val="left"/>
      <w:pPr>
        <w:ind w:left="4466" w:hanging="488"/>
      </w:pPr>
      <w:rPr>
        <w:rFonts w:hint="default"/>
        <w:lang w:val="en-US" w:eastAsia="en-US" w:bidi="ar-SA"/>
      </w:rPr>
    </w:lvl>
    <w:lvl w:ilvl="5">
      <w:start w:val="0"/>
      <w:numFmt w:val="bullet"/>
      <w:lvlText w:val="•"/>
      <w:lvlJc w:val="left"/>
      <w:pPr>
        <w:ind w:left="5313" w:hanging="488"/>
      </w:pPr>
      <w:rPr>
        <w:rFonts w:hint="default"/>
        <w:lang w:val="en-US" w:eastAsia="en-US" w:bidi="ar-SA"/>
      </w:rPr>
    </w:lvl>
    <w:lvl w:ilvl="6">
      <w:start w:val="0"/>
      <w:numFmt w:val="bullet"/>
      <w:lvlText w:val="•"/>
      <w:lvlJc w:val="left"/>
      <w:pPr>
        <w:ind w:left="6159" w:hanging="488"/>
      </w:pPr>
      <w:rPr>
        <w:rFonts w:hint="default"/>
        <w:lang w:val="en-US" w:eastAsia="en-US" w:bidi="ar-SA"/>
      </w:rPr>
    </w:lvl>
    <w:lvl w:ilvl="7">
      <w:start w:val="0"/>
      <w:numFmt w:val="bullet"/>
      <w:lvlText w:val="•"/>
      <w:lvlJc w:val="left"/>
      <w:pPr>
        <w:ind w:left="7006" w:hanging="488"/>
      </w:pPr>
      <w:rPr>
        <w:rFonts w:hint="default"/>
        <w:lang w:val="en-US" w:eastAsia="en-US" w:bidi="ar-SA"/>
      </w:rPr>
    </w:lvl>
    <w:lvl w:ilvl="8">
      <w:start w:val="0"/>
      <w:numFmt w:val="bullet"/>
      <w:lvlText w:val="•"/>
      <w:lvlJc w:val="left"/>
      <w:pPr>
        <w:ind w:left="7853" w:hanging="488"/>
      </w:pPr>
      <w:rPr>
        <w:rFonts w:hint="default"/>
        <w:lang w:val="en-US" w:eastAsia="en-US" w:bidi="ar-SA"/>
      </w:rPr>
    </w:lvl>
  </w:abstractNum>
  <w:abstractNum w:abstractNumId="8">
    <w:multiLevelType w:val="hybridMultilevel"/>
    <w:lvl w:ilvl="0">
      <w:start w:val="1"/>
      <w:numFmt w:val="lowerRoman"/>
      <w:lvlText w:val="%1."/>
      <w:lvlJc w:val="left"/>
      <w:pPr>
        <w:ind w:left="1080" w:hanging="488"/>
        <w:jc w:val="righ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926" w:hanging="488"/>
      </w:pPr>
      <w:rPr>
        <w:rFonts w:hint="default"/>
        <w:lang w:val="en-US" w:eastAsia="en-US" w:bidi="ar-SA"/>
      </w:rPr>
    </w:lvl>
    <w:lvl w:ilvl="2">
      <w:start w:val="0"/>
      <w:numFmt w:val="bullet"/>
      <w:lvlText w:val="•"/>
      <w:lvlJc w:val="left"/>
      <w:pPr>
        <w:ind w:left="2773" w:hanging="488"/>
      </w:pPr>
      <w:rPr>
        <w:rFonts w:hint="default"/>
        <w:lang w:val="en-US" w:eastAsia="en-US" w:bidi="ar-SA"/>
      </w:rPr>
    </w:lvl>
    <w:lvl w:ilvl="3">
      <w:start w:val="0"/>
      <w:numFmt w:val="bullet"/>
      <w:lvlText w:val="•"/>
      <w:lvlJc w:val="left"/>
      <w:pPr>
        <w:ind w:left="3619" w:hanging="488"/>
      </w:pPr>
      <w:rPr>
        <w:rFonts w:hint="default"/>
        <w:lang w:val="en-US" w:eastAsia="en-US" w:bidi="ar-SA"/>
      </w:rPr>
    </w:lvl>
    <w:lvl w:ilvl="4">
      <w:start w:val="0"/>
      <w:numFmt w:val="bullet"/>
      <w:lvlText w:val="•"/>
      <w:lvlJc w:val="left"/>
      <w:pPr>
        <w:ind w:left="4466" w:hanging="488"/>
      </w:pPr>
      <w:rPr>
        <w:rFonts w:hint="default"/>
        <w:lang w:val="en-US" w:eastAsia="en-US" w:bidi="ar-SA"/>
      </w:rPr>
    </w:lvl>
    <w:lvl w:ilvl="5">
      <w:start w:val="0"/>
      <w:numFmt w:val="bullet"/>
      <w:lvlText w:val="•"/>
      <w:lvlJc w:val="left"/>
      <w:pPr>
        <w:ind w:left="5313" w:hanging="488"/>
      </w:pPr>
      <w:rPr>
        <w:rFonts w:hint="default"/>
        <w:lang w:val="en-US" w:eastAsia="en-US" w:bidi="ar-SA"/>
      </w:rPr>
    </w:lvl>
    <w:lvl w:ilvl="6">
      <w:start w:val="0"/>
      <w:numFmt w:val="bullet"/>
      <w:lvlText w:val="•"/>
      <w:lvlJc w:val="left"/>
      <w:pPr>
        <w:ind w:left="6159" w:hanging="488"/>
      </w:pPr>
      <w:rPr>
        <w:rFonts w:hint="default"/>
        <w:lang w:val="en-US" w:eastAsia="en-US" w:bidi="ar-SA"/>
      </w:rPr>
    </w:lvl>
    <w:lvl w:ilvl="7">
      <w:start w:val="0"/>
      <w:numFmt w:val="bullet"/>
      <w:lvlText w:val="•"/>
      <w:lvlJc w:val="left"/>
      <w:pPr>
        <w:ind w:left="7006" w:hanging="488"/>
      </w:pPr>
      <w:rPr>
        <w:rFonts w:hint="default"/>
        <w:lang w:val="en-US" w:eastAsia="en-US" w:bidi="ar-SA"/>
      </w:rPr>
    </w:lvl>
    <w:lvl w:ilvl="8">
      <w:start w:val="0"/>
      <w:numFmt w:val="bullet"/>
      <w:lvlText w:val="•"/>
      <w:lvlJc w:val="left"/>
      <w:pPr>
        <w:ind w:left="7853" w:hanging="488"/>
      </w:pPr>
      <w:rPr>
        <w:rFonts w:hint="default"/>
        <w:lang w:val="en-US" w:eastAsia="en-US" w:bidi="ar-SA"/>
      </w:rPr>
    </w:lvl>
  </w:abstractNum>
  <w:abstractNum w:abstractNumId="7">
    <w:multiLevelType w:val="hybridMultilevel"/>
    <w:lvl w:ilvl="0">
      <w:start w:val="3"/>
      <w:numFmt w:val="decimal"/>
      <w:lvlText w:val="%1"/>
      <w:lvlJc w:val="left"/>
      <w:pPr>
        <w:ind w:left="1080" w:hanging="720"/>
        <w:jc w:val="left"/>
      </w:pPr>
      <w:rPr>
        <w:rFonts w:hint="default"/>
        <w:lang w:val="en-US" w:eastAsia="en-US" w:bidi="ar-SA"/>
      </w:rPr>
    </w:lvl>
    <w:lvl w:ilvl="1">
      <w:start w:val="1"/>
      <w:numFmt w:val="decimal"/>
      <w:lvlText w:val="%1.%2"/>
      <w:lvlJc w:val="left"/>
      <w:pPr>
        <w:ind w:left="1080" w:hanging="720"/>
        <w:jc w:val="left"/>
      </w:pPr>
      <w:rPr>
        <w:rFonts w:hint="default" w:ascii="Times New Roman" w:hAnsi="Times New Roman" w:eastAsia="Times New Roman" w:cs="Times New Roman"/>
        <w:b/>
        <w:bCs/>
        <w:i w:val="0"/>
        <w:iCs w:val="0"/>
        <w:spacing w:val="0"/>
        <w:w w:val="100"/>
        <w:sz w:val="24"/>
        <w:szCs w:val="24"/>
        <w:lang w:val="en-US" w:eastAsia="en-US" w:bidi="ar-SA"/>
      </w:rPr>
    </w:lvl>
    <w:lvl w:ilvl="2">
      <w:start w:val="1"/>
      <w:numFmt w:val="decimal"/>
      <w:lvlText w:val="%1.%2.%3"/>
      <w:lvlJc w:val="left"/>
      <w:pPr>
        <w:ind w:left="1080" w:hanging="720"/>
        <w:jc w:val="left"/>
      </w:pPr>
      <w:rPr>
        <w:rFonts w:hint="default" w:ascii="Times New Roman" w:hAnsi="Times New Roman" w:eastAsia="Times New Roman" w:cs="Times New Roman"/>
        <w:b/>
        <w:bCs/>
        <w:i/>
        <w:iCs/>
        <w:spacing w:val="0"/>
        <w:w w:val="100"/>
        <w:sz w:val="24"/>
        <w:szCs w:val="24"/>
        <w:lang w:val="en-US" w:eastAsia="en-US" w:bidi="ar-SA"/>
      </w:rPr>
    </w:lvl>
    <w:lvl w:ilvl="3">
      <w:start w:val="1"/>
      <w:numFmt w:val="lowerLetter"/>
      <w:lvlText w:val="%4."/>
      <w:lvlJc w:val="left"/>
      <w:pPr>
        <w:ind w:left="1080" w:hanging="36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4">
      <w:start w:val="0"/>
      <w:numFmt w:val="bullet"/>
      <w:lvlText w:val="•"/>
      <w:lvlJc w:val="left"/>
      <w:pPr>
        <w:ind w:left="4142" w:hanging="360"/>
      </w:pPr>
      <w:rPr>
        <w:rFonts w:hint="default"/>
        <w:lang w:val="en-US" w:eastAsia="en-US" w:bidi="ar-SA"/>
      </w:rPr>
    </w:lvl>
    <w:lvl w:ilvl="5">
      <w:start w:val="0"/>
      <w:numFmt w:val="bullet"/>
      <w:lvlText w:val="•"/>
      <w:lvlJc w:val="left"/>
      <w:pPr>
        <w:ind w:left="4922" w:hanging="360"/>
      </w:pPr>
      <w:rPr>
        <w:rFonts w:hint="default"/>
        <w:lang w:val="en-US" w:eastAsia="en-US" w:bidi="ar-SA"/>
      </w:rPr>
    </w:lvl>
    <w:lvl w:ilvl="6">
      <w:start w:val="0"/>
      <w:numFmt w:val="bullet"/>
      <w:lvlText w:val="•"/>
      <w:lvlJc w:val="left"/>
      <w:pPr>
        <w:ind w:left="5703" w:hanging="360"/>
      </w:pPr>
      <w:rPr>
        <w:rFonts w:hint="default"/>
        <w:lang w:val="en-US" w:eastAsia="en-US" w:bidi="ar-SA"/>
      </w:rPr>
    </w:lvl>
    <w:lvl w:ilvl="7">
      <w:start w:val="0"/>
      <w:numFmt w:val="bullet"/>
      <w:lvlText w:val="•"/>
      <w:lvlJc w:val="left"/>
      <w:pPr>
        <w:ind w:left="6484" w:hanging="360"/>
      </w:pPr>
      <w:rPr>
        <w:rFonts w:hint="default"/>
        <w:lang w:val="en-US" w:eastAsia="en-US" w:bidi="ar-SA"/>
      </w:rPr>
    </w:lvl>
    <w:lvl w:ilvl="8">
      <w:start w:val="0"/>
      <w:numFmt w:val="bullet"/>
      <w:lvlText w:val="•"/>
      <w:lvlJc w:val="left"/>
      <w:pPr>
        <w:ind w:left="7265" w:hanging="360"/>
      </w:pPr>
      <w:rPr>
        <w:rFonts w:hint="default"/>
        <w:lang w:val="en-US" w:eastAsia="en-US" w:bidi="ar-SA"/>
      </w:rPr>
    </w:lvl>
  </w:abstractNum>
  <w:abstractNum w:abstractNumId="6">
    <w:multiLevelType w:val="hybridMultilevel"/>
    <w:lvl w:ilvl="0">
      <w:start w:val="2"/>
      <w:numFmt w:val="decimal"/>
      <w:lvlText w:val="%1"/>
      <w:lvlJc w:val="left"/>
      <w:pPr>
        <w:ind w:left="1080" w:hanging="720"/>
        <w:jc w:val="left"/>
      </w:pPr>
      <w:rPr>
        <w:rFonts w:hint="default"/>
        <w:lang w:val="en-US" w:eastAsia="en-US" w:bidi="ar-SA"/>
      </w:rPr>
    </w:lvl>
    <w:lvl w:ilvl="1">
      <w:start w:val="1"/>
      <w:numFmt w:val="decimal"/>
      <w:lvlText w:val="%1.%2"/>
      <w:lvlJc w:val="left"/>
      <w:pPr>
        <w:ind w:left="1080" w:hanging="720"/>
        <w:jc w:val="left"/>
      </w:pPr>
      <w:rPr>
        <w:rFonts w:hint="default" w:ascii="Times New Roman" w:hAnsi="Times New Roman" w:eastAsia="Times New Roman" w:cs="Times New Roman"/>
        <w:b/>
        <w:bCs/>
        <w:i w:val="0"/>
        <w:iCs w:val="0"/>
        <w:spacing w:val="0"/>
        <w:w w:val="100"/>
        <w:sz w:val="24"/>
        <w:szCs w:val="24"/>
        <w:lang w:val="en-US" w:eastAsia="en-US" w:bidi="ar-SA"/>
      </w:rPr>
    </w:lvl>
    <w:lvl w:ilvl="2">
      <w:start w:val="1"/>
      <w:numFmt w:val="lowerLetter"/>
      <w:lvlText w:val="%3)"/>
      <w:lvlJc w:val="left"/>
      <w:pPr>
        <w:ind w:left="1080" w:hanging="360"/>
        <w:jc w:val="left"/>
      </w:pPr>
      <w:rPr>
        <w:rFonts w:hint="default" w:ascii="Times New Roman" w:hAnsi="Times New Roman" w:eastAsia="Times New Roman" w:cs="Times New Roman"/>
        <w:b w:val="0"/>
        <w:bCs w:val="0"/>
        <w:i w:val="0"/>
        <w:iCs w:val="0"/>
        <w:spacing w:val="-11"/>
        <w:w w:val="100"/>
        <w:sz w:val="24"/>
        <w:szCs w:val="24"/>
        <w:lang w:val="en-US" w:eastAsia="en-US" w:bidi="ar-SA"/>
      </w:rPr>
    </w:lvl>
    <w:lvl w:ilvl="3">
      <w:start w:val="1"/>
      <w:numFmt w:val="lowerRoman"/>
      <w:lvlText w:val="%4."/>
      <w:lvlJc w:val="left"/>
      <w:pPr>
        <w:ind w:left="1433" w:hanging="72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4">
      <w:start w:val="0"/>
      <w:numFmt w:val="bullet"/>
      <w:lvlText w:val="•"/>
      <w:lvlJc w:val="left"/>
      <w:pPr>
        <w:ind w:left="4142" w:hanging="720"/>
      </w:pPr>
      <w:rPr>
        <w:rFonts w:hint="default"/>
        <w:lang w:val="en-US" w:eastAsia="en-US" w:bidi="ar-SA"/>
      </w:rPr>
    </w:lvl>
    <w:lvl w:ilvl="5">
      <w:start w:val="0"/>
      <w:numFmt w:val="bullet"/>
      <w:lvlText w:val="•"/>
      <w:lvlJc w:val="left"/>
      <w:pPr>
        <w:ind w:left="5042" w:hanging="720"/>
      </w:pPr>
      <w:rPr>
        <w:rFonts w:hint="default"/>
        <w:lang w:val="en-US" w:eastAsia="en-US" w:bidi="ar-SA"/>
      </w:rPr>
    </w:lvl>
    <w:lvl w:ilvl="6">
      <w:start w:val="0"/>
      <w:numFmt w:val="bullet"/>
      <w:lvlText w:val="•"/>
      <w:lvlJc w:val="left"/>
      <w:pPr>
        <w:ind w:left="5943" w:hanging="720"/>
      </w:pPr>
      <w:rPr>
        <w:rFonts w:hint="default"/>
        <w:lang w:val="en-US" w:eastAsia="en-US" w:bidi="ar-SA"/>
      </w:rPr>
    </w:lvl>
    <w:lvl w:ilvl="7">
      <w:start w:val="0"/>
      <w:numFmt w:val="bullet"/>
      <w:lvlText w:val="•"/>
      <w:lvlJc w:val="left"/>
      <w:pPr>
        <w:ind w:left="6844" w:hanging="720"/>
      </w:pPr>
      <w:rPr>
        <w:rFonts w:hint="default"/>
        <w:lang w:val="en-US" w:eastAsia="en-US" w:bidi="ar-SA"/>
      </w:rPr>
    </w:lvl>
    <w:lvl w:ilvl="8">
      <w:start w:val="0"/>
      <w:numFmt w:val="bullet"/>
      <w:lvlText w:val="•"/>
      <w:lvlJc w:val="left"/>
      <w:pPr>
        <w:ind w:left="7744" w:hanging="720"/>
      </w:pPr>
      <w:rPr>
        <w:rFonts w:hint="default"/>
        <w:lang w:val="en-US" w:eastAsia="en-US" w:bidi="ar-SA"/>
      </w:rPr>
    </w:lvl>
  </w:abstractNum>
  <w:abstractNum w:abstractNumId="5">
    <w:multiLevelType w:val="hybridMultilevel"/>
    <w:lvl w:ilvl="0">
      <w:start w:val="1"/>
      <w:numFmt w:val="lowerRoman"/>
      <w:lvlText w:val="%1."/>
      <w:lvlJc w:val="left"/>
      <w:pPr>
        <w:ind w:left="720" w:hanging="488"/>
        <w:jc w:val="righ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602" w:hanging="488"/>
      </w:pPr>
      <w:rPr>
        <w:rFonts w:hint="default"/>
        <w:lang w:val="en-US" w:eastAsia="en-US" w:bidi="ar-SA"/>
      </w:rPr>
    </w:lvl>
    <w:lvl w:ilvl="2">
      <w:start w:val="0"/>
      <w:numFmt w:val="bullet"/>
      <w:lvlText w:val="•"/>
      <w:lvlJc w:val="left"/>
      <w:pPr>
        <w:ind w:left="2485" w:hanging="488"/>
      </w:pPr>
      <w:rPr>
        <w:rFonts w:hint="default"/>
        <w:lang w:val="en-US" w:eastAsia="en-US" w:bidi="ar-SA"/>
      </w:rPr>
    </w:lvl>
    <w:lvl w:ilvl="3">
      <w:start w:val="0"/>
      <w:numFmt w:val="bullet"/>
      <w:lvlText w:val="•"/>
      <w:lvlJc w:val="left"/>
      <w:pPr>
        <w:ind w:left="3367" w:hanging="488"/>
      </w:pPr>
      <w:rPr>
        <w:rFonts w:hint="default"/>
        <w:lang w:val="en-US" w:eastAsia="en-US" w:bidi="ar-SA"/>
      </w:rPr>
    </w:lvl>
    <w:lvl w:ilvl="4">
      <w:start w:val="0"/>
      <w:numFmt w:val="bullet"/>
      <w:lvlText w:val="•"/>
      <w:lvlJc w:val="left"/>
      <w:pPr>
        <w:ind w:left="4250" w:hanging="488"/>
      </w:pPr>
      <w:rPr>
        <w:rFonts w:hint="default"/>
        <w:lang w:val="en-US" w:eastAsia="en-US" w:bidi="ar-SA"/>
      </w:rPr>
    </w:lvl>
    <w:lvl w:ilvl="5">
      <w:start w:val="0"/>
      <w:numFmt w:val="bullet"/>
      <w:lvlText w:val="•"/>
      <w:lvlJc w:val="left"/>
      <w:pPr>
        <w:ind w:left="5133" w:hanging="488"/>
      </w:pPr>
      <w:rPr>
        <w:rFonts w:hint="default"/>
        <w:lang w:val="en-US" w:eastAsia="en-US" w:bidi="ar-SA"/>
      </w:rPr>
    </w:lvl>
    <w:lvl w:ilvl="6">
      <w:start w:val="0"/>
      <w:numFmt w:val="bullet"/>
      <w:lvlText w:val="•"/>
      <w:lvlJc w:val="left"/>
      <w:pPr>
        <w:ind w:left="6015" w:hanging="488"/>
      </w:pPr>
      <w:rPr>
        <w:rFonts w:hint="default"/>
        <w:lang w:val="en-US" w:eastAsia="en-US" w:bidi="ar-SA"/>
      </w:rPr>
    </w:lvl>
    <w:lvl w:ilvl="7">
      <w:start w:val="0"/>
      <w:numFmt w:val="bullet"/>
      <w:lvlText w:val="•"/>
      <w:lvlJc w:val="left"/>
      <w:pPr>
        <w:ind w:left="6898" w:hanging="488"/>
      </w:pPr>
      <w:rPr>
        <w:rFonts w:hint="default"/>
        <w:lang w:val="en-US" w:eastAsia="en-US" w:bidi="ar-SA"/>
      </w:rPr>
    </w:lvl>
    <w:lvl w:ilvl="8">
      <w:start w:val="0"/>
      <w:numFmt w:val="bullet"/>
      <w:lvlText w:val="•"/>
      <w:lvlJc w:val="left"/>
      <w:pPr>
        <w:ind w:left="7781" w:hanging="488"/>
      </w:pPr>
      <w:rPr>
        <w:rFonts w:hint="default"/>
        <w:lang w:val="en-US" w:eastAsia="en-US" w:bidi="ar-SA"/>
      </w:rPr>
    </w:lvl>
  </w:abstractNum>
  <w:abstractNum w:abstractNumId="4">
    <w:multiLevelType w:val="hybridMultilevel"/>
    <w:lvl w:ilvl="0">
      <w:start w:val="1"/>
      <w:numFmt w:val="decimal"/>
      <w:lvlText w:val="%1"/>
      <w:lvlJc w:val="left"/>
      <w:pPr>
        <w:ind w:left="1080" w:hanging="720"/>
        <w:jc w:val="left"/>
      </w:pPr>
      <w:rPr>
        <w:rFonts w:hint="default"/>
        <w:lang w:val="en-US" w:eastAsia="en-US" w:bidi="ar-SA"/>
      </w:rPr>
    </w:lvl>
    <w:lvl w:ilvl="1">
      <w:start w:val="1"/>
      <w:numFmt w:val="decimal"/>
      <w:lvlText w:val="%1.%2"/>
      <w:lvlJc w:val="left"/>
      <w:pPr>
        <w:ind w:left="1080" w:hanging="720"/>
        <w:jc w:val="left"/>
      </w:pPr>
      <w:rPr>
        <w:rFonts w:hint="default" w:ascii="Times New Roman" w:hAnsi="Times New Roman" w:eastAsia="Times New Roman" w:cs="Times New Roman"/>
        <w:b/>
        <w:bCs/>
        <w:i w:val="0"/>
        <w:iCs w:val="0"/>
        <w:spacing w:val="0"/>
        <w:w w:val="100"/>
        <w:sz w:val="24"/>
        <w:szCs w:val="24"/>
        <w:lang w:val="en-US" w:eastAsia="en-US" w:bidi="ar-SA"/>
      </w:rPr>
    </w:lvl>
    <w:lvl w:ilvl="2">
      <w:start w:val="1"/>
      <w:numFmt w:val="lowerRoman"/>
      <w:lvlText w:val="%3."/>
      <w:lvlJc w:val="left"/>
      <w:pPr>
        <w:ind w:left="1080" w:hanging="488"/>
        <w:jc w:val="right"/>
      </w:pPr>
      <w:rPr>
        <w:rFonts w:hint="default" w:ascii="Times New Roman" w:hAnsi="Times New Roman" w:eastAsia="Times New Roman" w:cs="Times New Roman"/>
        <w:b w:val="0"/>
        <w:bCs w:val="0"/>
        <w:i w:val="0"/>
        <w:iCs w:val="0"/>
        <w:spacing w:val="0"/>
        <w:w w:val="100"/>
        <w:sz w:val="24"/>
        <w:szCs w:val="24"/>
        <w:lang w:val="en-US" w:eastAsia="en-US" w:bidi="ar-SA"/>
      </w:rPr>
    </w:lvl>
    <w:lvl w:ilvl="3">
      <w:start w:val="0"/>
      <w:numFmt w:val="bullet"/>
      <w:lvlText w:val="•"/>
      <w:lvlJc w:val="left"/>
      <w:pPr>
        <w:ind w:left="3619" w:hanging="488"/>
      </w:pPr>
      <w:rPr>
        <w:rFonts w:hint="default"/>
        <w:lang w:val="en-US" w:eastAsia="en-US" w:bidi="ar-SA"/>
      </w:rPr>
    </w:lvl>
    <w:lvl w:ilvl="4">
      <w:start w:val="0"/>
      <w:numFmt w:val="bullet"/>
      <w:lvlText w:val="•"/>
      <w:lvlJc w:val="left"/>
      <w:pPr>
        <w:ind w:left="4466" w:hanging="488"/>
      </w:pPr>
      <w:rPr>
        <w:rFonts w:hint="default"/>
        <w:lang w:val="en-US" w:eastAsia="en-US" w:bidi="ar-SA"/>
      </w:rPr>
    </w:lvl>
    <w:lvl w:ilvl="5">
      <w:start w:val="0"/>
      <w:numFmt w:val="bullet"/>
      <w:lvlText w:val="•"/>
      <w:lvlJc w:val="left"/>
      <w:pPr>
        <w:ind w:left="5313" w:hanging="488"/>
      </w:pPr>
      <w:rPr>
        <w:rFonts w:hint="default"/>
        <w:lang w:val="en-US" w:eastAsia="en-US" w:bidi="ar-SA"/>
      </w:rPr>
    </w:lvl>
    <w:lvl w:ilvl="6">
      <w:start w:val="0"/>
      <w:numFmt w:val="bullet"/>
      <w:lvlText w:val="•"/>
      <w:lvlJc w:val="left"/>
      <w:pPr>
        <w:ind w:left="6159" w:hanging="488"/>
      </w:pPr>
      <w:rPr>
        <w:rFonts w:hint="default"/>
        <w:lang w:val="en-US" w:eastAsia="en-US" w:bidi="ar-SA"/>
      </w:rPr>
    </w:lvl>
    <w:lvl w:ilvl="7">
      <w:start w:val="0"/>
      <w:numFmt w:val="bullet"/>
      <w:lvlText w:val="•"/>
      <w:lvlJc w:val="left"/>
      <w:pPr>
        <w:ind w:left="7006" w:hanging="488"/>
      </w:pPr>
      <w:rPr>
        <w:rFonts w:hint="default"/>
        <w:lang w:val="en-US" w:eastAsia="en-US" w:bidi="ar-SA"/>
      </w:rPr>
    </w:lvl>
    <w:lvl w:ilvl="8">
      <w:start w:val="0"/>
      <w:numFmt w:val="bullet"/>
      <w:lvlText w:val="•"/>
      <w:lvlJc w:val="left"/>
      <w:pPr>
        <w:ind w:left="7853" w:hanging="488"/>
      </w:pPr>
      <w:rPr>
        <w:rFonts w:hint="default"/>
        <w:lang w:val="en-US" w:eastAsia="en-US" w:bidi="ar-SA"/>
      </w:rPr>
    </w:lvl>
  </w:abstractNum>
  <w:abstractNum w:abstractNumId="3">
    <w:multiLevelType w:val="hybridMultilevel"/>
    <w:lvl w:ilvl="0">
      <w:start w:val="3"/>
      <w:numFmt w:val="decimal"/>
      <w:lvlText w:val="%1"/>
      <w:lvlJc w:val="left"/>
      <w:pPr>
        <w:ind w:left="1080" w:hanging="720"/>
        <w:jc w:val="left"/>
      </w:pPr>
      <w:rPr>
        <w:rFonts w:hint="default"/>
        <w:lang w:val="en-US" w:eastAsia="en-US" w:bidi="ar-SA"/>
      </w:rPr>
    </w:lvl>
    <w:lvl w:ilvl="1">
      <w:start w:val="1"/>
      <w:numFmt w:val="decimal"/>
      <w:lvlText w:val="%1.%2"/>
      <w:lvlJc w:val="left"/>
      <w:pPr>
        <w:ind w:left="1080" w:hanging="72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2">
      <w:start w:val="0"/>
      <w:numFmt w:val="bullet"/>
      <w:lvlText w:val="•"/>
      <w:lvlJc w:val="left"/>
      <w:pPr>
        <w:ind w:left="2773" w:hanging="720"/>
      </w:pPr>
      <w:rPr>
        <w:rFonts w:hint="default"/>
        <w:lang w:val="en-US" w:eastAsia="en-US" w:bidi="ar-SA"/>
      </w:rPr>
    </w:lvl>
    <w:lvl w:ilvl="3">
      <w:start w:val="0"/>
      <w:numFmt w:val="bullet"/>
      <w:lvlText w:val="•"/>
      <w:lvlJc w:val="left"/>
      <w:pPr>
        <w:ind w:left="3619" w:hanging="720"/>
      </w:pPr>
      <w:rPr>
        <w:rFonts w:hint="default"/>
        <w:lang w:val="en-US" w:eastAsia="en-US" w:bidi="ar-SA"/>
      </w:rPr>
    </w:lvl>
    <w:lvl w:ilvl="4">
      <w:start w:val="0"/>
      <w:numFmt w:val="bullet"/>
      <w:lvlText w:val="•"/>
      <w:lvlJc w:val="left"/>
      <w:pPr>
        <w:ind w:left="4466" w:hanging="720"/>
      </w:pPr>
      <w:rPr>
        <w:rFonts w:hint="default"/>
        <w:lang w:val="en-US" w:eastAsia="en-US" w:bidi="ar-SA"/>
      </w:rPr>
    </w:lvl>
    <w:lvl w:ilvl="5">
      <w:start w:val="0"/>
      <w:numFmt w:val="bullet"/>
      <w:lvlText w:val="•"/>
      <w:lvlJc w:val="left"/>
      <w:pPr>
        <w:ind w:left="5313" w:hanging="720"/>
      </w:pPr>
      <w:rPr>
        <w:rFonts w:hint="default"/>
        <w:lang w:val="en-US" w:eastAsia="en-US" w:bidi="ar-SA"/>
      </w:rPr>
    </w:lvl>
    <w:lvl w:ilvl="6">
      <w:start w:val="0"/>
      <w:numFmt w:val="bullet"/>
      <w:lvlText w:val="•"/>
      <w:lvlJc w:val="left"/>
      <w:pPr>
        <w:ind w:left="6159" w:hanging="720"/>
      </w:pPr>
      <w:rPr>
        <w:rFonts w:hint="default"/>
        <w:lang w:val="en-US" w:eastAsia="en-US" w:bidi="ar-SA"/>
      </w:rPr>
    </w:lvl>
    <w:lvl w:ilvl="7">
      <w:start w:val="0"/>
      <w:numFmt w:val="bullet"/>
      <w:lvlText w:val="•"/>
      <w:lvlJc w:val="left"/>
      <w:pPr>
        <w:ind w:left="7006" w:hanging="720"/>
      </w:pPr>
      <w:rPr>
        <w:rFonts w:hint="default"/>
        <w:lang w:val="en-US" w:eastAsia="en-US" w:bidi="ar-SA"/>
      </w:rPr>
    </w:lvl>
    <w:lvl w:ilvl="8">
      <w:start w:val="0"/>
      <w:numFmt w:val="bullet"/>
      <w:lvlText w:val="•"/>
      <w:lvlJc w:val="left"/>
      <w:pPr>
        <w:ind w:left="7853" w:hanging="720"/>
      </w:pPr>
      <w:rPr>
        <w:rFonts w:hint="default"/>
        <w:lang w:val="en-US" w:eastAsia="en-US" w:bidi="ar-SA"/>
      </w:rPr>
    </w:lvl>
  </w:abstractNum>
  <w:abstractNum w:abstractNumId="2">
    <w:multiLevelType w:val="hybridMultilevel"/>
    <w:lvl w:ilvl="0">
      <w:start w:val="2"/>
      <w:numFmt w:val="decimal"/>
      <w:lvlText w:val="%1"/>
      <w:lvlJc w:val="left"/>
      <w:pPr>
        <w:ind w:left="1080" w:hanging="720"/>
        <w:jc w:val="left"/>
      </w:pPr>
      <w:rPr>
        <w:rFonts w:hint="default"/>
        <w:lang w:val="en-US" w:eastAsia="en-US" w:bidi="ar-SA"/>
      </w:rPr>
    </w:lvl>
    <w:lvl w:ilvl="1">
      <w:start w:val="1"/>
      <w:numFmt w:val="decimal"/>
      <w:lvlText w:val="%1.%2"/>
      <w:lvlJc w:val="left"/>
      <w:pPr>
        <w:ind w:left="1080" w:hanging="72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2">
      <w:start w:val="0"/>
      <w:numFmt w:val="bullet"/>
      <w:lvlText w:val="•"/>
      <w:lvlJc w:val="left"/>
      <w:pPr>
        <w:ind w:left="2773" w:hanging="720"/>
      </w:pPr>
      <w:rPr>
        <w:rFonts w:hint="default"/>
        <w:lang w:val="en-US" w:eastAsia="en-US" w:bidi="ar-SA"/>
      </w:rPr>
    </w:lvl>
    <w:lvl w:ilvl="3">
      <w:start w:val="0"/>
      <w:numFmt w:val="bullet"/>
      <w:lvlText w:val="•"/>
      <w:lvlJc w:val="left"/>
      <w:pPr>
        <w:ind w:left="3619" w:hanging="720"/>
      </w:pPr>
      <w:rPr>
        <w:rFonts w:hint="default"/>
        <w:lang w:val="en-US" w:eastAsia="en-US" w:bidi="ar-SA"/>
      </w:rPr>
    </w:lvl>
    <w:lvl w:ilvl="4">
      <w:start w:val="0"/>
      <w:numFmt w:val="bullet"/>
      <w:lvlText w:val="•"/>
      <w:lvlJc w:val="left"/>
      <w:pPr>
        <w:ind w:left="4466" w:hanging="720"/>
      </w:pPr>
      <w:rPr>
        <w:rFonts w:hint="default"/>
        <w:lang w:val="en-US" w:eastAsia="en-US" w:bidi="ar-SA"/>
      </w:rPr>
    </w:lvl>
    <w:lvl w:ilvl="5">
      <w:start w:val="0"/>
      <w:numFmt w:val="bullet"/>
      <w:lvlText w:val="•"/>
      <w:lvlJc w:val="left"/>
      <w:pPr>
        <w:ind w:left="5313" w:hanging="720"/>
      </w:pPr>
      <w:rPr>
        <w:rFonts w:hint="default"/>
        <w:lang w:val="en-US" w:eastAsia="en-US" w:bidi="ar-SA"/>
      </w:rPr>
    </w:lvl>
    <w:lvl w:ilvl="6">
      <w:start w:val="0"/>
      <w:numFmt w:val="bullet"/>
      <w:lvlText w:val="•"/>
      <w:lvlJc w:val="left"/>
      <w:pPr>
        <w:ind w:left="6159" w:hanging="720"/>
      </w:pPr>
      <w:rPr>
        <w:rFonts w:hint="default"/>
        <w:lang w:val="en-US" w:eastAsia="en-US" w:bidi="ar-SA"/>
      </w:rPr>
    </w:lvl>
    <w:lvl w:ilvl="7">
      <w:start w:val="0"/>
      <w:numFmt w:val="bullet"/>
      <w:lvlText w:val="•"/>
      <w:lvlJc w:val="left"/>
      <w:pPr>
        <w:ind w:left="7006" w:hanging="720"/>
      </w:pPr>
      <w:rPr>
        <w:rFonts w:hint="default"/>
        <w:lang w:val="en-US" w:eastAsia="en-US" w:bidi="ar-SA"/>
      </w:rPr>
    </w:lvl>
    <w:lvl w:ilvl="8">
      <w:start w:val="0"/>
      <w:numFmt w:val="bullet"/>
      <w:lvlText w:val="•"/>
      <w:lvlJc w:val="left"/>
      <w:pPr>
        <w:ind w:left="7853" w:hanging="720"/>
      </w:pPr>
      <w:rPr>
        <w:rFonts w:hint="default"/>
        <w:lang w:val="en-US" w:eastAsia="en-US" w:bidi="ar-SA"/>
      </w:rPr>
    </w:lvl>
  </w:abstractNum>
  <w:abstractNum w:abstractNumId="1">
    <w:multiLevelType w:val="hybridMultilevel"/>
    <w:lvl w:ilvl="0">
      <w:start w:val="1"/>
      <w:numFmt w:val="decimal"/>
      <w:lvlText w:val="%1"/>
      <w:lvlJc w:val="left"/>
      <w:pPr>
        <w:ind w:left="1080" w:hanging="720"/>
        <w:jc w:val="left"/>
      </w:pPr>
      <w:rPr>
        <w:rFonts w:hint="default"/>
        <w:lang w:val="en-US" w:eastAsia="en-US" w:bidi="ar-SA"/>
      </w:rPr>
    </w:lvl>
    <w:lvl w:ilvl="1">
      <w:start w:val="1"/>
      <w:numFmt w:val="decimal"/>
      <w:lvlText w:val="%1.%2"/>
      <w:lvlJc w:val="left"/>
      <w:pPr>
        <w:ind w:left="1080" w:hanging="72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2">
      <w:start w:val="0"/>
      <w:numFmt w:val="bullet"/>
      <w:lvlText w:val="•"/>
      <w:lvlJc w:val="left"/>
      <w:pPr>
        <w:ind w:left="2773" w:hanging="720"/>
      </w:pPr>
      <w:rPr>
        <w:rFonts w:hint="default"/>
        <w:lang w:val="en-US" w:eastAsia="en-US" w:bidi="ar-SA"/>
      </w:rPr>
    </w:lvl>
    <w:lvl w:ilvl="3">
      <w:start w:val="0"/>
      <w:numFmt w:val="bullet"/>
      <w:lvlText w:val="•"/>
      <w:lvlJc w:val="left"/>
      <w:pPr>
        <w:ind w:left="3619" w:hanging="720"/>
      </w:pPr>
      <w:rPr>
        <w:rFonts w:hint="default"/>
        <w:lang w:val="en-US" w:eastAsia="en-US" w:bidi="ar-SA"/>
      </w:rPr>
    </w:lvl>
    <w:lvl w:ilvl="4">
      <w:start w:val="0"/>
      <w:numFmt w:val="bullet"/>
      <w:lvlText w:val="•"/>
      <w:lvlJc w:val="left"/>
      <w:pPr>
        <w:ind w:left="4466" w:hanging="720"/>
      </w:pPr>
      <w:rPr>
        <w:rFonts w:hint="default"/>
        <w:lang w:val="en-US" w:eastAsia="en-US" w:bidi="ar-SA"/>
      </w:rPr>
    </w:lvl>
    <w:lvl w:ilvl="5">
      <w:start w:val="0"/>
      <w:numFmt w:val="bullet"/>
      <w:lvlText w:val="•"/>
      <w:lvlJc w:val="left"/>
      <w:pPr>
        <w:ind w:left="5313" w:hanging="720"/>
      </w:pPr>
      <w:rPr>
        <w:rFonts w:hint="default"/>
        <w:lang w:val="en-US" w:eastAsia="en-US" w:bidi="ar-SA"/>
      </w:rPr>
    </w:lvl>
    <w:lvl w:ilvl="6">
      <w:start w:val="0"/>
      <w:numFmt w:val="bullet"/>
      <w:lvlText w:val="•"/>
      <w:lvlJc w:val="left"/>
      <w:pPr>
        <w:ind w:left="6159" w:hanging="720"/>
      </w:pPr>
      <w:rPr>
        <w:rFonts w:hint="default"/>
        <w:lang w:val="en-US" w:eastAsia="en-US" w:bidi="ar-SA"/>
      </w:rPr>
    </w:lvl>
    <w:lvl w:ilvl="7">
      <w:start w:val="0"/>
      <w:numFmt w:val="bullet"/>
      <w:lvlText w:val="•"/>
      <w:lvlJc w:val="left"/>
      <w:pPr>
        <w:ind w:left="7006" w:hanging="720"/>
      </w:pPr>
      <w:rPr>
        <w:rFonts w:hint="default"/>
        <w:lang w:val="en-US" w:eastAsia="en-US" w:bidi="ar-SA"/>
      </w:rPr>
    </w:lvl>
    <w:lvl w:ilvl="8">
      <w:start w:val="0"/>
      <w:numFmt w:val="bullet"/>
      <w:lvlText w:val="•"/>
      <w:lvlJc w:val="left"/>
      <w:pPr>
        <w:ind w:left="7853" w:hanging="720"/>
      </w:pPr>
      <w:rPr>
        <w:rFonts w:hint="default"/>
        <w:lang w:val="en-US" w:eastAsia="en-US" w:bidi="ar-SA"/>
      </w:rPr>
    </w:lvl>
  </w:abstractNum>
  <w:abstractNum w:abstractNumId="0">
    <w:multiLevelType w:val="hybridMultilevel"/>
    <w:lvl w:ilvl="0">
      <w:start w:val="1"/>
      <w:numFmt w:val="decimal"/>
      <w:lvlText w:val="%1."/>
      <w:lvlJc w:val="left"/>
      <w:pPr>
        <w:ind w:left="3661" w:hanging="360"/>
        <w:jc w:val="left"/>
      </w:pPr>
      <w:rPr>
        <w:rFonts w:hint="default" w:ascii="Times New Roman" w:hAnsi="Times New Roman" w:eastAsia="Times New Roman" w:cs="Times New Roman"/>
        <w:b/>
        <w:bCs/>
        <w:i w:val="0"/>
        <w:iCs w:val="0"/>
        <w:spacing w:val="0"/>
        <w:w w:val="100"/>
        <w:sz w:val="24"/>
        <w:szCs w:val="24"/>
        <w:lang w:val="en-US" w:eastAsia="en-US" w:bidi="ar-SA"/>
      </w:rPr>
    </w:lvl>
    <w:lvl w:ilvl="1">
      <w:start w:val="0"/>
      <w:numFmt w:val="bullet"/>
      <w:lvlText w:val="•"/>
      <w:lvlJc w:val="left"/>
      <w:pPr>
        <w:ind w:left="4248" w:hanging="360"/>
      </w:pPr>
      <w:rPr>
        <w:rFonts w:hint="default"/>
        <w:lang w:val="en-US" w:eastAsia="en-US" w:bidi="ar-SA"/>
      </w:rPr>
    </w:lvl>
    <w:lvl w:ilvl="2">
      <w:start w:val="0"/>
      <w:numFmt w:val="bullet"/>
      <w:lvlText w:val="•"/>
      <w:lvlJc w:val="left"/>
      <w:pPr>
        <w:ind w:left="4837" w:hanging="360"/>
      </w:pPr>
      <w:rPr>
        <w:rFonts w:hint="default"/>
        <w:lang w:val="en-US" w:eastAsia="en-US" w:bidi="ar-SA"/>
      </w:rPr>
    </w:lvl>
    <w:lvl w:ilvl="3">
      <w:start w:val="0"/>
      <w:numFmt w:val="bullet"/>
      <w:lvlText w:val="•"/>
      <w:lvlJc w:val="left"/>
      <w:pPr>
        <w:ind w:left="5425" w:hanging="360"/>
      </w:pPr>
      <w:rPr>
        <w:rFonts w:hint="default"/>
        <w:lang w:val="en-US" w:eastAsia="en-US" w:bidi="ar-SA"/>
      </w:rPr>
    </w:lvl>
    <w:lvl w:ilvl="4">
      <w:start w:val="0"/>
      <w:numFmt w:val="bullet"/>
      <w:lvlText w:val="•"/>
      <w:lvlJc w:val="left"/>
      <w:pPr>
        <w:ind w:left="6014" w:hanging="360"/>
      </w:pPr>
      <w:rPr>
        <w:rFonts w:hint="default"/>
        <w:lang w:val="en-US" w:eastAsia="en-US" w:bidi="ar-SA"/>
      </w:rPr>
    </w:lvl>
    <w:lvl w:ilvl="5">
      <w:start w:val="0"/>
      <w:numFmt w:val="bullet"/>
      <w:lvlText w:val="•"/>
      <w:lvlJc w:val="left"/>
      <w:pPr>
        <w:ind w:left="6603" w:hanging="360"/>
      </w:pPr>
      <w:rPr>
        <w:rFonts w:hint="default"/>
        <w:lang w:val="en-US" w:eastAsia="en-US" w:bidi="ar-SA"/>
      </w:rPr>
    </w:lvl>
    <w:lvl w:ilvl="6">
      <w:start w:val="0"/>
      <w:numFmt w:val="bullet"/>
      <w:lvlText w:val="•"/>
      <w:lvlJc w:val="left"/>
      <w:pPr>
        <w:ind w:left="7191" w:hanging="360"/>
      </w:pPr>
      <w:rPr>
        <w:rFonts w:hint="default"/>
        <w:lang w:val="en-US" w:eastAsia="en-US" w:bidi="ar-SA"/>
      </w:rPr>
    </w:lvl>
    <w:lvl w:ilvl="7">
      <w:start w:val="0"/>
      <w:numFmt w:val="bullet"/>
      <w:lvlText w:val="•"/>
      <w:lvlJc w:val="left"/>
      <w:pPr>
        <w:ind w:left="7780" w:hanging="360"/>
      </w:pPr>
      <w:rPr>
        <w:rFonts w:hint="default"/>
        <w:lang w:val="en-US" w:eastAsia="en-US" w:bidi="ar-SA"/>
      </w:rPr>
    </w:lvl>
    <w:lvl w:ilvl="8">
      <w:start w:val="0"/>
      <w:numFmt w:val="bullet"/>
      <w:lvlText w:val="•"/>
      <w:lvlJc w:val="left"/>
      <w:pPr>
        <w:ind w:left="8369" w:hanging="360"/>
      </w:pPr>
      <w:rPr>
        <w:rFonts w:hint="default"/>
        <w:lang w:val="en-US" w:eastAsia="en-US" w:bidi="ar-SA"/>
      </w:rPr>
    </w:lvl>
  </w:abstractNum>
  <w:num w:numId="17">
    <w:abstractNumId w:val="16"/>
  </w:num>
  <w:num w:numId="16">
    <w:abstractNumId w:val="15"/>
  </w:num>
  <w:num w:numId="15">
    <w:abstractNumId w:val="14"/>
  </w:num>
  <w:num w:numId="14">
    <w:abstractNumId w:val="13"/>
  </w:num>
  <w:num w:numId="13">
    <w:abstractNumId w:val="12"/>
  </w:num>
  <w:num w:numId="12">
    <w:abstractNumId w:val="11"/>
  </w:num>
  <w:num w:numId="11">
    <w:abstractNumId w:val="10"/>
  </w:num>
  <w:num w:numId="10">
    <w:abstractNumId w:val="9"/>
  </w:num>
  <w:num w:numId="9">
    <w:abstractNumId w:val="8"/>
  </w:num>
  <w:num w:numId="8">
    <w:abstractNumId w:val="7"/>
  </w: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en-US" w:eastAsia="en-US" w:bidi="ar-SA"/>
    </w:rPr>
  </w:style>
  <w:style w:styleId="TOC1" w:type="paragraph">
    <w:name w:val="TOC 1"/>
    <w:basedOn w:val="Normal"/>
    <w:uiPriority w:val="1"/>
    <w:qFormat/>
    <w:pPr>
      <w:spacing w:before="276"/>
      <w:ind w:left="1080" w:hanging="720"/>
    </w:pPr>
    <w:rPr>
      <w:rFonts w:ascii="Times New Roman" w:hAnsi="Times New Roman" w:eastAsia="Times New Roman" w:cs="Times New Roman"/>
      <w:sz w:val="24"/>
      <w:szCs w:val="24"/>
      <w:lang w:val="en-US" w:eastAsia="en-US" w:bidi="ar-SA"/>
    </w:rPr>
  </w:style>
  <w:style w:styleId="TOC2" w:type="paragraph">
    <w:name w:val="TOC 2"/>
    <w:basedOn w:val="Normal"/>
    <w:uiPriority w:val="1"/>
    <w:qFormat/>
    <w:pPr>
      <w:spacing w:before="276"/>
      <w:ind w:left="438" w:right="238"/>
      <w:jc w:val="center"/>
    </w:pPr>
    <w:rPr>
      <w:rFonts w:ascii="Times New Roman" w:hAnsi="Times New Roman" w:eastAsia="Times New Roman" w:cs="Times New Roman"/>
      <w:b/>
      <w:bCs/>
      <w:sz w:val="24"/>
      <w:szCs w:val="24"/>
      <w:lang w:val="en-US" w:eastAsia="en-US" w:bidi="ar-SA"/>
    </w:rPr>
  </w:style>
  <w:style w:styleId="TOC3" w:type="paragraph">
    <w:name w:val="TOC 3"/>
    <w:basedOn w:val="Normal"/>
    <w:uiPriority w:val="1"/>
    <w:qFormat/>
    <w:pPr>
      <w:spacing w:before="281"/>
      <w:ind w:left="3289" w:right="2632" w:firstLine="708"/>
    </w:pPr>
    <w:rPr>
      <w:rFonts w:ascii="Times New Roman" w:hAnsi="Times New Roman" w:eastAsia="Times New Roman" w:cs="Times New Roman"/>
      <w:b/>
      <w:bCs/>
      <w:sz w:val="24"/>
      <w:szCs w:val="24"/>
      <w:lang w:val="en-US" w:eastAsia="en-US" w:bidi="ar-SA"/>
    </w:rPr>
  </w:style>
  <w:style w:styleId="BodyText" w:type="paragraph">
    <w:name w:val="Body Text"/>
    <w:basedOn w:val="Normal"/>
    <w:uiPriority w:val="1"/>
    <w:qFormat/>
    <w:pPr/>
    <w:rPr>
      <w:rFonts w:ascii="Times New Roman" w:hAnsi="Times New Roman" w:eastAsia="Times New Roman" w:cs="Times New Roman"/>
      <w:sz w:val="24"/>
      <w:szCs w:val="24"/>
      <w:lang w:val="en-US" w:eastAsia="en-US" w:bidi="ar-SA"/>
    </w:rPr>
  </w:style>
  <w:style w:styleId="Heading1" w:type="paragraph">
    <w:name w:val="Heading 1"/>
    <w:basedOn w:val="Normal"/>
    <w:uiPriority w:val="1"/>
    <w:qFormat/>
    <w:pPr>
      <w:ind w:left="438" w:right="238"/>
      <w:jc w:val="center"/>
      <w:outlineLvl w:val="1"/>
    </w:pPr>
    <w:rPr>
      <w:rFonts w:ascii="Times New Roman" w:hAnsi="Times New Roman" w:eastAsia="Times New Roman" w:cs="Times New Roman"/>
      <w:b/>
      <w:bCs/>
      <w:sz w:val="24"/>
      <w:szCs w:val="24"/>
      <w:lang w:val="en-US" w:eastAsia="en-US" w:bidi="ar-SA"/>
    </w:rPr>
  </w:style>
  <w:style w:styleId="Heading2" w:type="paragraph">
    <w:name w:val="Heading 2"/>
    <w:basedOn w:val="Normal"/>
    <w:uiPriority w:val="1"/>
    <w:qFormat/>
    <w:pPr>
      <w:spacing w:before="5"/>
      <w:ind w:left="1079" w:hanging="719"/>
      <w:jc w:val="both"/>
      <w:outlineLvl w:val="2"/>
    </w:pPr>
    <w:rPr>
      <w:rFonts w:ascii="Times New Roman" w:hAnsi="Times New Roman" w:eastAsia="Times New Roman" w:cs="Times New Roman"/>
      <w:b/>
      <w:bCs/>
      <w:sz w:val="24"/>
      <w:szCs w:val="24"/>
      <w:lang w:val="en-US" w:eastAsia="en-US" w:bidi="ar-SA"/>
    </w:rPr>
  </w:style>
  <w:style w:styleId="Heading3" w:type="paragraph">
    <w:name w:val="Heading 3"/>
    <w:basedOn w:val="Normal"/>
    <w:uiPriority w:val="1"/>
    <w:qFormat/>
    <w:pPr>
      <w:spacing w:before="5"/>
      <w:ind w:left="1079" w:hanging="719"/>
      <w:jc w:val="both"/>
      <w:outlineLvl w:val="3"/>
    </w:pPr>
    <w:rPr>
      <w:rFonts w:ascii="Times New Roman" w:hAnsi="Times New Roman" w:eastAsia="Times New Roman" w:cs="Times New Roman"/>
      <w:b/>
      <w:bCs/>
      <w:i/>
      <w:iCs/>
      <w:sz w:val="24"/>
      <w:szCs w:val="24"/>
      <w:lang w:val="en-US" w:eastAsia="en-US" w:bidi="ar-SA"/>
    </w:rPr>
  </w:style>
  <w:style w:styleId="ListParagraph" w:type="paragraph">
    <w:name w:val="List Paragraph"/>
    <w:basedOn w:val="Normal"/>
    <w:uiPriority w:val="1"/>
    <w:qFormat/>
    <w:pPr>
      <w:ind w:left="1080" w:hanging="720"/>
      <w:jc w:val="both"/>
    </w:pPr>
    <w:rPr>
      <w:rFonts w:ascii="Times New Roman" w:hAnsi="Times New Roman" w:eastAsia="Times New Roman" w:cs="Times New Roman"/>
      <w:lang w:val="en-US" w:eastAsia="en-US" w:bidi="ar-SA"/>
    </w:rPr>
  </w:style>
  <w:style w:styleId="TableParagraph" w:type="paragraph">
    <w:name w:val="Table Paragraph"/>
    <w:basedOn w:val="Normal"/>
    <w:uiPriority w:val="1"/>
    <w:qFormat/>
    <w:pPr>
      <w:spacing w:before="133"/>
      <w:ind w:left="50"/>
    </w:pPr>
    <w:rPr>
      <w:rFonts w:ascii="Times New Roman" w:hAnsi="Times New Roman" w:eastAsia="Times New Roman" w:cs="Times New Roman"/>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footer" Target="footer2.xml"/><Relationship Id="rId7" Type="http://schemas.openxmlformats.org/officeDocument/2006/relationships/hyperlink" Target="http://www.npr.org/" TargetMode="External"/><Relationship Id="rId8" Type="http://schemas.openxmlformats.org/officeDocument/2006/relationships/hyperlink" Target="http://www.nigerdeltacampaign.com/" TargetMode="External"/><Relationship Id="rId9" Type="http://schemas.openxmlformats.org/officeDocument/2006/relationships/footer" Target="footer3.xml"/><Relationship Id="rId10" Type="http://schemas.openxmlformats.org/officeDocument/2006/relationships/hyperlink" Target="http://www.akindelano.com/" TargetMode="External"/><Relationship Id="rId11" Type="http://schemas.openxmlformats.org/officeDocument/2006/relationships/hyperlink" Target="http://www.abdulhamidmustapha.wordpress.com/2011/12/29" TargetMode="External"/><Relationship Id="rId12" Type="http://schemas.openxmlformats.org/officeDocument/2006/relationships/hyperlink" Target="http://onlinenigeria.com/" TargetMode="External"/><Relationship Id="rId13" Type="http://schemas.openxmlformats.org/officeDocument/2006/relationships/hyperlink" Target="http://www.doublegist.com/economicgrowth-nigeria-impact-oil-industry" TargetMode="External"/><Relationship Id="rId14" Type="http://schemas.openxmlformats.org/officeDocument/2006/relationships/hyperlink" Target="http://www.opensocietyfoundations.org/voices/oilsubsidy-report-chance-new-democracy-Nigeria" TargetMode="External"/><Relationship Id="rId15"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dcterms:created xsi:type="dcterms:W3CDTF">2023-10-31T21:39:14Z</dcterms:created>
  <dcterms:modified xsi:type="dcterms:W3CDTF">2023-10-31T21:39:14Z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2016-08-10T00:00:00Z</vt:filetime>
  </property>
  <property fmtid="{D5CDD505-2E9C-101B-9397-08002B2CF9AE}" pid="3" name="Creator">
    <vt:lpwstr>Microsoft® Office Word 2007</vt:lpwstr>
  </property>
  <property fmtid="{D5CDD505-2E9C-101B-9397-08002B2CF9AE}" pid="4" name="LastSaved">
    <vt:filetime>2023-10-31T00:00:00Z</vt:filetime>
  </property>
  <property fmtid="{D5CDD505-2E9C-101B-9397-08002B2CF9AE}" pid="5" name="Producer">
    <vt:lpwstr>Microsoft® Office Word 2007</vt:lpwstr>
  </property>
</Properties>
</file>