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0" w:lineRule="atLeast"/>
        <w:ind w:right="-579"/>
        <w:jc w:val="center"/>
        <w:rPr>
          <w:rFonts w:hint="default" w:ascii="Times New Roman" w:hAnsi="Times New Roman" w:eastAsia="Times New Roman"/>
          <w:b/>
          <w:sz w:val="24"/>
          <w:lang w:val="en-US"/>
        </w:rPr>
      </w:pPr>
      <w:bookmarkStart w:id="0" w:name="page9"/>
      <w:bookmarkEnd w:id="0"/>
      <w:r>
        <w:rPr>
          <w:rFonts w:hint="default" w:ascii="Times New Roman" w:hAnsi="Times New Roman" w:eastAsia="Times New Roman"/>
          <w:b/>
          <w:sz w:val="24"/>
          <w:lang w:val="en-US"/>
        </w:rPr>
        <w:t>AN EVALUATION OF SOME CHEMICAL CONSTITUENTS OF SELECTED ENERGY DRINKS</w:t>
      </w:r>
    </w:p>
    <w:p>
      <w:pPr>
        <w:spacing w:line="0" w:lineRule="atLeast"/>
        <w:ind w:right="-579"/>
        <w:rPr>
          <w:rFonts w:ascii="Times New Roman" w:hAnsi="Times New Roman" w:eastAsia="Times New Roman"/>
          <w:b/>
          <w:sz w:val="24"/>
        </w:rPr>
      </w:pPr>
    </w:p>
    <w:p>
      <w:pPr>
        <w:spacing w:line="240" w:lineRule="auto"/>
        <w:ind w:right="-579"/>
        <w:rPr>
          <w:rFonts w:ascii="Times New Roman" w:hAnsi="Times New Roman" w:eastAsia="Times New Roman"/>
          <w:b/>
          <w:sz w:val="24"/>
        </w:rPr>
      </w:pPr>
      <w:r>
        <w:rPr>
          <w:rFonts w:ascii="Times New Roman" w:hAnsi="Times New Roman" w:eastAsia="Times New Roman"/>
          <w:b/>
          <w:sz w:val="24"/>
        </w:rPr>
        <w:t>ABS</w:t>
      </w:r>
      <w:bookmarkStart w:id="102" w:name="_GoBack"/>
      <w:bookmarkEnd w:id="102"/>
      <w:r>
        <w:rPr>
          <w:rFonts w:ascii="Times New Roman" w:hAnsi="Times New Roman" w:eastAsia="Times New Roman"/>
          <w:b/>
          <w:sz w:val="24"/>
        </w:rPr>
        <w:t>TRACT</w:t>
      </w:r>
    </w:p>
    <w:p>
      <w:pPr>
        <w:spacing w:line="240" w:lineRule="auto"/>
        <w:rPr>
          <w:rFonts w:ascii="Times New Roman" w:hAnsi="Times New Roman" w:eastAsia="Times New Roman"/>
        </w:rPr>
      </w:pPr>
    </w:p>
    <w:p>
      <w:pPr>
        <w:spacing w:line="240" w:lineRule="auto"/>
        <w:jc w:val="both"/>
        <w:rPr>
          <w:rFonts w:ascii="Times New Roman" w:hAnsi="Times New Roman" w:eastAsia="Times New Roman"/>
          <w:sz w:val="24"/>
        </w:rPr>
      </w:pPr>
      <w:r>
        <w:rPr>
          <w:rFonts w:ascii="Times New Roman" w:hAnsi="Times New Roman" w:eastAsia="Times New Roman"/>
          <w:sz w:val="24"/>
        </w:rPr>
        <w:t>This research work examined and compares the physicochemical properties and some chemical constituents of selected energy drinks. Fourteen (14) brands of energy drinks samples consisting eleven (11) liquid and three (3) powdered forms were randomly purchased. All samples were analyzed for their physicochemical properties (pH, turbidity, conductivity and total dissolved solids), trace and heavy metals, aspartame, sugar and caffeine contents. Results showed that the physicochemical properties (i.e. pH, turbidity, conductivity and total dissolved solids) ranged from 4.47 ± 0.012 - 5.96 ± 0.012, 8 ± 0.577</w:t>
      </w:r>
      <w:r>
        <w:rPr>
          <w:rFonts w:hint="default" w:ascii="Times New Roman" w:hAnsi="Times New Roman" w:eastAsia="Times New Roman"/>
          <w:sz w:val="24"/>
          <w:lang w:val="en-US"/>
        </w:rPr>
        <w:t xml:space="preserve"> </w:t>
      </w:r>
      <w:r>
        <w:rPr>
          <w:rFonts w:ascii="Times New Roman" w:hAnsi="Times New Roman" w:eastAsia="Times New Roman"/>
          <w:sz w:val="24"/>
        </w:rPr>
        <w:t>– 592 ± 1.155 NTU, 2.21 ± 0.006 – 1975 ± 1.732 µs/cm, and 243 ± 0.577 – 1064 ± 0.577 mg/L respectively. Energy drinks analyzed all fell within the FDA recommended range for the physicochemical properties analyzed. Iron, calcium, zinc and potassium were found in all the energy drinks and their concentration ranged from 1.961 ± 0.0003 - 0.294 ± 0.0005 mg/L, 2.763 ± 0.0009 - 19.310 ± 0.0015 mg/L, 0.045 ± 0.0001 - 13.887 ± 0.0037 mg/L, and 2.0 to 2500 mg/L respectively. The copper, lead and manganese concentration of energy drinks ranged from 0.002 ± 0.0002 - 0.102 ± 0.0003 mg/L, 0.028 ± 0.0006 - 0.209</w:t>
      </w:r>
      <w:r>
        <w:rPr>
          <w:rFonts w:hint="default" w:ascii="Times New Roman" w:hAnsi="Times New Roman" w:eastAsia="Times New Roman"/>
          <w:sz w:val="24"/>
          <w:lang w:val="en-US"/>
        </w:rPr>
        <w:t xml:space="preserve"> </w:t>
      </w:r>
      <w:r>
        <w:rPr>
          <w:rFonts w:ascii="Times New Roman" w:hAnsi="Times New Roman" w:eastAsia="Times New Roman"/>
          <w:sz w:val="24"/>
        </w:rPr>
        <w:t>± 0.0009 mg/L and 0.003 ± 0.0001 - 0.024 ± 0.0002 mg/L respectively. The concentration of copper and manganese were below the MCL of 1.0 mg/L and 0.05 mg/L respectively while lead had a concentration above the MCL of 0.01 mg/L. Cadmium was not detected in all energy drinks except for sample EJ which had a concentration of 0.102 ± 0.0003 mg/L and exceeded the MCL of 0.005 mg/L. The caffeine, aspartame and sugar concentrations ranged from 1.11 mg/L – 2487.13 mg/L, 6.51 mg/L – 1491.19 mg/L, and 16.98 – 1686.73 mg/L respectively. Caffeine and aspartame concentrations in all the energy drink samples were below the FDA set standard of 400 mg/L and 3000 mg/L respectively except for sample AL which had a concentration above the set standard for</w:t>
      </w:r>
      <w:bookmarkStart w:id="1" w:name="page10"/>
      <w:bookmarkEnd w:id="1"/>
      <w:r>
        <w:rPr>
          <w:rFonts w:hint="default" w:ascii="Times New Roman" w:hAnsi="Times New Roman" w:eastAsia="Times New Roman"/>
          <w:sz w:val="24"/>
          <w:lang w:val="en-US"/>
        </w:rPr>
        <w:t xml:space="preserve"> </w:t>
      </w:r>
      <w:r>
        <w:rPr>
          <w:rFonts w:ascii="Times New Roman" w:hAnsi="Times New Roman" w:eastAsia="Times New Roman"/>
          <w:sz w:val="24"/>
        </w:rPr>
        <w:t>caffeine. Though the analyzed parameters were mostly below the set standards, especially caffeine, aspartame and sugar, it is important that the pattern of consumption of these drinks must be monitored to minimize ingestion of excess doses of harmful substances to prevent the reported adverse effects.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47" w:lineRule="exact"/>
        <w:rPr>
          <w:rFonts w:ascii="Times New Roman" w:hAnsi="Times New Roman" w:eastAsia="Times New Roman"/>
        </w:rPr>
      </w:pPr>
    </w:p>
    <w:p>
      <w:pPr>
        <w:spacing w:line="0" w:lineRule="atLeast"/>
        <w:ind w:left="4920"/>
        <w:rPr>
          <w:sz w:val="22"/>
        </w:rPr>
      </w:pPr>
      <w:r>
        <w:rPr>
          <w:sz w:val="22"/>
        </w:rPr>
        <w:t>x</w:t>
      </w:r>
    </w:p>
    <w:p>
      <w:pPr>
        <w:spacing w:line="0" w:lineRule="atLeast"/>
        <w:ind w:left="4920"/>
        <w:rPr>
          <w:sz w:val="22"/>
        </w:rPr>
        <w:sectPr>
          <w:pgSz w:w="12240" w:h="15840"/>
          <w:pgMar w:top="1440" w:right="1440" w:bottom="428" w:left="1440" w:header="0" w:footer="0" w:gutter="0"/>
          <w:cols w:equalWidth="0" w:num="1">
            <w:col w:w="9360"/>
          </w:cols>
          <w:docGrid w:linePitch="360" w:charSpace="0"/>
        </w:sectPr>
      </w:pPr>
    </w:p>
    <w:p>
      <w:pPr>
        <w:spacing w:line="2" w:lineRule="exact"/>
        <w:rPr>
          <w:rFonts w:ascii="Times New Roman" w:hAnsi="Times New Roman" w:eastAsia="Times New Roman"/>
        </w:rPr>
      </w:pPr>
      <w:bookmarkStart w:id="2" w:name="page11"/>
      <w:bookmarkEnd w:id="2"/>
    </w:p>
    <w:p>
      <w:pPr>
        <w:spacing w:line="0" w:lineRule="atLeast"/>
        <w:ind w:left="4060"/>
        <w:rPr>
          <w:rFonts w:ascii="Times New Roman" w:hAnsi="Times New Roman" w:eastAsia="Times New Roman"/>
          <w:b/>
          <w:sz w:val="23"/>
        </w:rPr>
      </w:pPr>
      <w:r>
        <w:rPr>
          <w:rFonts w:ascii="Times New Roman" w:hAnsi="Times New Roman" w:eastAsia="Times New Roman"/>
          <w:b/>
          <w:sz w:val="23"/>
        </w:rPr>
        <w:t>Table of Contents</w:t>
      </w:r>
    </w:p>
    <w:p>
      <w:pPr>
        <w:spacing w:line="0" w:lineRule="atLeast"/>
        <w:ind w:left="4060"/>
        <w:rPr>
          <w:rFonts w:ascii="Times New Roman" w:hAnsi="Times New Roman" w:eastAsia="Times New Roman"/>
          <w:b/>
          <w:sz w:val="23"/>
        </w:rPr>
        <w:sectPr>
          <w:pgSz w:w="12240" w:h="15840"/>
          <w:pgMar w:top="1440" w:right="1440" w:bottom="428" w:left="1440" w:header="0" w:footer="0" w:gutter="0"/>
          <w:cols w:equalWidth="0" w:num="1">
            <w:col w:w="9360"/>
          </w:cols>
          <w:docGrid w:linePitch="360" w:charSpace="0"/>
        </w:sectPr>
      </w:pPr>
    </w:p>
    <w:p>
      <w:pPr>
        <w:spacing w:line="23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Cover Page</w:t>
      </w:r>
    </w:p>
    <w:p>
      <w:pPr>
        <w:spacing w:line="250" w:lineRule="exact"/>
        <w:rPr>
          <w:rFonts w:ascii="Times New Roman" w:hAnsi="Times New Roman" w:eastAsia="Times New Roman"/>
        </w:rPr>
      </w:pPr>
      <w:r>
        <w:rPr>
          <w:rFonts w:ascii="Times New Roman" w:hAnsi="Times New Roman" w:eastAsia="Times New Roman"/>
          <w:sz w:val="24"/>
        </w:rPr>
        <w:br w:type="column"/>
      </w:r>
    </w:p>
    <w:p>
      <w:pPr>
        <w:spacing w:line="0" w:lineRule="atLeast"/>
        <w:rPr>
          <w:rFonts w:ascii="Times New Roman" w:hAnsi="Times New Roman" w:eastAsia="Times New Roman"/>
          <w:sz w:val="21"/>
        </w:rPr>
      </w:pPr>
      <w:r>
        <w:rPr>
          <w:rFonts w:ascii="Times New Roman" w:hAnsi="Times New Roman" w:eastAsia="Times New Roman"/>
          <w:sz w:val="21"/>
        </w:rPr>
        <w:t>i</w:t>
      </w:r>
    </w:p>
    <w:p>
      <w:pPr>
        <w:spacing w:line="0" w:lineRule="atLeast"/>
        <w:rPr>
          <w:rFonts w:ascii="Times New Roman" w:hAnsi="Times New Roman" w:eastAsia="Times New Roman"/>
          <w:sz w:val="21"/>
        </w:rPr>
        <w:sectPr>
          <w:type w:val="continuous"/>
          <w:pgSz w:w="12240" w:h="15840"/>
          <w:pgMar w:top="1440" w:right="1440" w:bottom="428" w:left="1440" w:header="0" w:footer="0" w:gutter="0"/>
          <w:cols w:equalWidth="0" w:num="2">
            <w:col w:w="8300" w:space="720"/>
            <w:col w:w="340"/>
          </w:cols>
          <w:docGrid w:linePitch="360" w:charSpace="0"/>
        </w:sectPr>
      </w:pPr>
    </w:p>
    <w:p>
      <w:pPr>
        <w:spacing w:line="255"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Title page</w:t>
      </w:r>
    </w:p>
    <w:p>
      <w:pPr>
        <w:spacing w:line="243"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4"/>
        </w:rPr>
      </w:pPr>
      <w:r>
        <w:rPr>
          <w:rFonts w:ascii="Times New Roman" w:hAnsi="Times New Roman" w:eastAsia="Times New Roman"/>
          <w:sz w:val="24"/>
        </w:rPr>
        <w:t>ii</w:t>
      </w:r>
    </w:p>
    <w:p>
      <w:pPr>
        <w:spacing w:line="0" w:lineRule="atLeast"/>
        <w:rPr>
          <w:rFonts w:ascii="Times New Roman" w:hAnsi="Times New Roman" w:eastAsia="Times New Roman"/>
          <w:sz w:val="24"/>
        </w:rPr>
        <w:sectPr>
          <w:type w:val="continuous"/>
          <w:pgSz w:w="12240" w:h="15840"/>
          <w:pgMar w:top="1440" w:right="1440" w:bottom="428" w:left="1440" w:header="0" w:footer="0" w:gutter="0"/>
          <w:cols w:equalWidth="0" w:num="2">
            <w:col w:w="8260" w:space="720"/>
            <w:col w:w="380"/>
          </w:cols>
          <w:docGrid w:linePitch="360" w:charSpace="0"/>
        </w:sectPr>
      </w:pPr>
    </w:p>
    <w:p>
      <w:pPr>
        <w:spacing w:line="23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Declaration</w:t>
      </w:r>
    </w:p>
    <w:p>
      <w:pPr>
        <w:spacing w:line="249" w:lineRule="exact"/>
        <w:rPr>
          <w:rFonts w:ascii="Times New Roman" w:hAnsi="Times New Roman" w:eastAsia="Times New Roman"/>
        </w:rPr>
      </w:pPr>
      <w:r>
        <w:rPr>
          <w:rFonts w:ascii="Times New Roman" w:hAnsi="Times New Roman" w:eastAsia="Times New Roman"/>
          <w:sz w:val="24"/>
        </w:rPr>
        <w:br w:type="column"/>
      </w:r>
    </w:p>
    <w:p>
      <w:pPr>
        <w:spacing w:line="0" w:lineRule="atLeast"/>
        <w:rPr>
          <w:rFonts w:ascii="Times New Roman" w:hAnsi="Times New Roman" w:eastAsia="Times New Roman"/>
          <w:sz w:val="23"/>
        </w:rPr>
      </w:pPr>
      <w:r>
        <w:rPr>
          <w:rFonts w:ascii="Times New Roman" w:hAnsi="Times New Roman" w:eastAsia="Times New Roman"/>
          <w:sz w:val="23"/>
        </w:rPr>
        <w:t>iii</w:t>
      </w:r>
    </w:p>
    <w:p>
      <w:pPr>
        <w:spacing w:line="0" w:lineRule="atLeast"/>
        <w:rPr>
          <w:rFonts w:ascii="Times New Roman" w:hAnsi="Times New Roman" w:eastAsia="Times New Roman"/>
          <w:sz w:val="23"/>
        </w:rPr>
        <w:sectPr>
          <w:type w:val="continuous"/>
          <w:pgSz w:w="12240" w:h="15840"/>
          <w:pgMar w:top="1440" w:right="1440" w:bottom="428" w:left="1440" w:header="0" w:footer="0" w:gutter="0"/>
          <w:cols w:equalWidth="0" w:num="2">
            <w:col w:w="8300" w:space="720"/>
            <w:col w:w="340"/>
          </w:cols>
          <w:docGrid w:linePitch="360" w:charSpace="0"/>
        </w:sectPr>
      </w:pPr>
    </w:p>
    <w:p>
      <w:pPr>
        <w:spacing w:line="242"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Certification</w:t>
      </w:r>
    </w:p>
    <w:p>
      <w:pPr>
        <w:spacing w:line="254" w:lineRule="exact"/>
        <w:rPr>
          <w:rFonts w:ascii="Times New Roman" w:hAnsi="Times New Roman" w:eastAsia="Times New Roman"/>
        </w:rPr>
      </w:pPr>
      <w:r>
        <w:rPr>
          <w:rFonts w:ascii="Times New Roman" w:hAnsi="Times New Roman" w:eastAsia="Times New Roman"/>
          <w:sz w:val="24"/>
        </w:rPr>
        <w:br w:type="column"/>
      </w:r>
    </w:p>
    <w:p>
      <w:pPr>
        <w:spacing w:line="0" w:lineRule="atLeast"/>
        <w:rPr>
          <w:rFonts w:ascii="Times New Roman" w:hAnsi="Times New Roman" w:eastAsia="Times New Roman"/>
          <w:sz w:val="23"/>
        </w:rPr>
      </w:pPr>
      <w:r>
        <w:rPr>
          <w:rFonts w:ascii="Times New Roman" w:hAnsi="Times New Roman" w:eastAsia="Times New Roman"/>
          <w:sz w:val="23"/>
        </w:rPr>
        <w:t>iv</w:t>
      </w:r>
    </w:p>
    <w:p>
      <w:pPr>
        <w:spacing w:line="0" w:lineRule="atLeast"/>
        <w:rPr>
          <w:rFonts w:ascii="Times New Roman" w:hAnsi="Times New Roman" w:eastAsia="Times New Roman"/>
          <w:sz w:val="23"/>
        </w:rPr>
        <w:sectPr>
          <w:type w:val="continuous"/>
          <w:pgSz w:w="12240" w:h="15840"/>
          <w:pgMar w:top="1440" w:right="1440" w:bottom="428" w:left="1440" w:header="0" w:footer="0" w:gutter="0"/>
          <w:cols w:equalWidth="0" w:num="2">
            <w:col w:w="8280" w:space="720"/>
            <w:col w:w="360"/>
          </w:cols>
          <w:docGrid w:linePitch="360" w:charSpace="0"/>
        </w:sectPr>
      </w:pPr>
    </w:p>
    <w:p>
      <w:pPr>
        <w:spacing w:line="254"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Dedication</w:t>
      </w:r>
    </w:p>
    <w:p>
      <w:pPr>
        <w:spacing w:line="243"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4"/>
        </w:rPr>
      </w:pPr>
      <w:r>
        <w:rPr>
          <w:rFonts w:ascii="Times New Roman" w:hAnsi="Times New Roman" w:eastAsia="Times New Roman"/>
          <w:sz w:val="24"/>
        </w:rPr>
        <w:t>v</w:t>
      </w:r>
    </w:p>
    <w:p>
      <w:pPr>
        <w:spacing w:line="0" w:lineRule="atLeast"/>
        <w:rPr>
          <w:rFonts w:ascii="Times New Roman" w:hAnsi="Times New Roman" w:eastAsia="Times New Roman"/>
          <w:sz w:val="24"/>
        </w:rPr>
        <w:sectPr>
          <w:type w:val="continuous"/>
          <w:pgSz w:w="12240" w:h="15840"/>
          <w:pgMar w:top="1440" w:right="1440" w:bottom="428" w:left="1440" w:header="0" w:footer="0" w:gutter="0"/>
          <w:cols w:equalWidth="0" w:num="2">
            <w:col w:w="8300" w:space="720"/>
            <w:col w:w="340"/>
          </w:cols>
          <w:docGrid w:linePitch="360" w:charSpace="0"/>
        </w:sectPr>
      </w:pPr>
    </w:p>
    <w:p>
      <w:pPr>
        <w:spacing w:line="254"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Acknowledgement</w:t>
      </w:r>
    </w:p>
    <w:p>
      <w:pPr>
        <w:spacing w:line="254"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3"/>
        </w:rPr>
      </w:pPr>
      <w:r>
        <w:rPr>
          <w:rFonts w:ascii="Times New Roman" w:hAnsi="Times New Roman" w:eastAsia="Times New Roman"/>
          <w:sz w:val="23"/>
        </w:rPr>
        <w:t>vi</w:t>
      </w:r>
    </w:p>
    <w:p>
      <w:pPr>
        <w:spacing w:line="0" w:lineRule="atLeast"/>
        <w:rPr>
          <w:rFonts w:ascii="Times New Roman" w:hAnsi="Times New Roman" w:eastAsia="Times New Roman"/>
          <w:sz w:val="23"/>
        </w:rPr>
        <w:sectPr>
          <w:type w:val="continuous"/>
          <w:pgSz w:w="12240" w:h="15840"/>
          <w:pgMar w:top="1440" w:right="1440" w:bottom="428" w:left="1440" w:header="0" w:footer="0" w:gutter="0"/>
          <w:cols w:equalWidth="0" w:num="2">
            <w:col w:w="8280" w:space="720"/>
            <w:col w:w="360"/>
          </w:cols>
          <w:docGrid w:linePitch="360" w:charSpace="0"/>
        </w:sectPr>
      </w:pPr>
    </w:p>
    <w:p>
      <w:pPr>
        <w:spacing w:line="254"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Abstract</w:t>
      </w:r>
    </w:p>
    <w:p>
      <w:pPr>
        <w:spacing w:line="255"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2"/>
        </w:rPr>
      </w:pPr>
      <w:r>
        <w:rPr>
          <w:rFonts w:ascii="Times New Roman" w:hAnsi="Times New Roman" w:eastAsia="Times New Roman"/>
          <w:sz w:val="22"/>
        </w:rPr>
        <w:t>vii</w:t>
      </w:r>
    </w:p>
    <w:p>
      <w:pPr>
        <w:spacing w:line="0" w:lineRule="atLeast"/>
        <w:rPr>
          <w:rFonts w:ascii="Times New Roman" w:hAnsi="Times New Roman" w:eastAsia="Times New Roman"/>
          <w:sz w:val="22"/>
        </w:rPr>
        <w:sectPr>
          <w:type w:val="continuous"/>
          <w:pgSz w:w="12240" w:h="15840"/>
          <w:pgMar w:top="1440" w:right="1440" w:bottom="428" w:left="1440" w:header="0" w:footer="0" w:gutter="0"/>
          <w:cols w:equalWidth="0" w:num="2">
            <w:col w:w="8300" w:space="720"/>
            <w:col w:w="340"/>
          </w:cols>
          <w:docGrid w:linePitch="360" w:charSpace="0"/>
        </w:sectPr>
      </w:pPr>
    </w:p>
    <w:p>
      <w:pPr>
        <w:spacing w:line="249"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Table of Contents</w:t>
      </w:r>
    </w:p>
    <w:p>
      <w:pPr>
        <w:spacing w:line="249"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3"/>
        </w:rPr>
      </w:pPr>
      <w:r>
        <w:rPr>
          <w:rFonts w:ascii="Times New Roman" w:hAnsi="Times New Roman" w:eastAsia="Times New Roman"/>
          <w:sz w:val="23"/>
        </w:rPr>
        <w:t>ix</w:t>
      </w:r>
    </w:p>
    <w:p>
      <w:pPr>
        <w:spacing w:line="0" w:lineRule="atLeast"/>
        <w:rPr>
          <w:rFonts w:ascii="Times New Roman" w:hAnsi="Times New Roman" w:eastAsia="Times New Roman"/>
          <w:sz w:val="23"/>
        </w:rPr>
        <w:sectPr>
          <w:type w:val="continuous"/>
          <w:pgSz w:w="12240" w:h="15840"/>
          <w:pgMar w:top="1440" w:right="1440" w:bottom="428" w:left="1440" w:header="0" w:footer="0" w:gutter="0"/>
          <w:cols w:equalWidth="0" w:num="2">
            <w:col w:w="8300" w:space="720"/>
            <w:col w:w="340"/>
          </w:cols>
          <w:docGrid w:linePitch="360" w:charSpace="0"/>
        </w:sectPr>
      </w:pPr>
    </w:p>
    <w:p>
      <w:pPr>
        <w:spacing w:line="255"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List of Figures</w:t>
      </w:r>
    </w:p>
    <w:p>
      <w:pPr>
        <w:spacing w:line="255"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2"/>
        </w:rPr>
      </w:pPr>
      <w:r>
        <w:rPr>
          <w:rFonts w:ascii="Times New Roman" w:hAnsi="Times New Roman" w:eastAsia="Times New Roman"/>
          <w:sz w:val="22"/>
        </w:rPr>
        <w:t>xv</w:t>
      </w:r>
    </w:p>
    <w:p>
      <w:pPr>
        <w:spacing w:line="0" w:lineRule="atLeast"/>
        <w:rPr>
          <w:rFonts w:ascii="Times New Roman" w:hAnsi="Times New Roman" w:eastAsia="Times New Roman"/>
          <w:sz w:val="22"/>
        </w:rPr>
        <w:sectPr>
          <w:type w:val="continuous"/>
          <w:pgSz w:w="12240" w:h="15840"/>
          <w:pgMar w:top="1440" w:right="1440" w:bottom="428" w:left="1440" w:header="0" w:footer="0" w:gutter="0"/>
          <w:cols w:equalWidth="0" w:num="2">
            <w:col w:w="8300" w:space="720"/>
            <w:col w:w="340"/>
          </w:cols>
          <w:docGrid w:linePitch="360" w:charSpace="0"/>
        </w:sectPr>
      </w:pPr>
    </w:p>
    <w:p>
      <w:pPr>
        <w:spacing w:line="254"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List of Tables</w:t>
      </w:r>
    </w:p>
    <w:p>
      <w:pPr>
        <w:spacing w:line="254"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3"/>
        </w:rPr>
      </w:pPr>
      <w:r>
        <w:rPr>
          <w:rFonts w:ascii="Times New Roman" w:hAnsi="Times New Roman" w:eastAsia="Times New Roman"/>
          <w:sz w:val="23"/>
        </w:rPr>
        <w:t>xvi</w:t>
      </w:r>
    </w:p>
    <w:p>
      <w:pPr>
        <w:spacing w:line="0" w:lineRule="atLeast"/>
        <w:rPr>
          <w:rFonts w:ascii="Times New Roman" w:hAnsi="Times New Roman" w:eastAsia="Times New Roman"/>
          <w:sz w:val="23"/>
        </w:rPr>
        <w:sectPr>
          <w:type w:val="continuous"/>
          <w:pgSz w:w="12240" w:h="15840"/>
          <w:pgMar w:top="1440" w:right="1440" w:bottom="428" w:left="1440" w:header="0" w:footer="0" w:gutter="0"/>
          <w:cols w:equalWidth="0" w:num="2">
            <w:col w:w="8280" w:space="720"/>
            <w:col w:w="360"/>
          </w:cols>
          <w:docGrid w:linePitch="360" w:charSpace="0"/>
        </w:sectPr>
      </w:pPr>
    </w:p>
    <w:p>
      <w:pPr>
        <w:spacing w:line="254"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List of Abbreviations</w:t>
      </w:r>
    </w:p>
    <w:p>
      <w:pPr>
        <w:spacing w:line="254"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3"/>
        </w:rPr>
      </w:pPr>
      <w:r>
        <w:rPr>
          <w:rFonts w:ascii="Times New Roman" w:hAnsi="Times New Roman" w:eastAsia="Times New Roman"/>
          <w:sz w:val="23"/>
        </w:rPr>
        <w:t>xvii</w:t>
      </w:r>
    </w:p>
    <w:p>
      <w:pPr>
        <w:spacing w:line="0" w:lineRule="atLeast"/>
        <w:rPr>
          <w:rFonts w:ascii="Times New Roman" w:hAnsi="Times New Roman" w:eastAsia="Times New Roman"/>
          <w:sz w:val="23"/>
        </w:rPr>
        <w:sectPr>
          <w:type w:val="continuous"/>
          <w:pgSz w:w="12240" w:h="15840"/>
          <w:pgMar w:top="1440" w:right="1440" w:bottom="428" w:left="1440" w:header="0" w:footer="0" w:gutter="0"/>
          <w:cols w:equalWidth="0" w:num="2">
            <w:col w:w="8280" w:space="720"/>
            <w:col w:w="360"/>
          </w:cols>
          <w:docGrid w:linePitch="360" w:charSpace="0"/>
        </w:sect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1"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6260"/>
        <w:gridCol w:w="178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sz w:val="23"/>
              </w:rPr>
            </w:pPr>
          </w:p>
        </w:tc>
        <w:tc>
          <w:tcPr>
            <w:tcW w:w="6260" w:type="dxa"/>
            <w:shd w:val="clear" w:color="auto" w:fill="auto"/>
            <w:vAlign w:val="bottom"/>
          </w:tcPr>
          <w:p>
            <w:pPr>
              <w:spacing w:line="0" w:lineRule="atLeast"/>
              <w:ind w:left="2920"/>
              <w:rPr>
                <w:rFonts w:ascii="Times New Roman" w:hAnsi="Times New Roman" w:eastAsia="Times New Roman"/>
                <w:b/>
                <w:sz w:val="24"/>
              </w:rPr>
            </w:pPr>
            <w:r>
              <w:rPr>
                <w:rFonts w:ascii="Times New Roman" w:hAnsi="Times New Roman" w:eastAsia="Times New Roman"/>
                <w:b/>
                <w:sz w:val="24"/>
              </w:rPr>
              <w:t>CHAPTER ONE</w:t>
            </w:r>
          </w:p>
        </w:tc>
        <w:tc>
          <w:tcPr>
            <w:tcW w:w="178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23"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1.0</w:t>
            </w:r>
          </w:p>
        </w:tc>
        <w:tc>
          <w:tcPr>
            <w:tcW w:w="626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INTRODUCTION</w:t>
            </w:r>
          </w:p>
        </w:tc>
        <w:tc>
          <w:tcPr>
            <w:tcW w:w="178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1</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1.1</w:t>
            </w:r>
          </w:p>
        </w:tc>
        <w:tc>
          <w:tcPr>
            <w:tcW w:w="626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Energy Drinks</w:t>
            </w:r>
          </w:p>
        </w:tc>
        <w:tc>
          <w:tcPr>
            <w:tcW w:w="178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2</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1.2</w:t>
            </w:r>
          </w:p>
        </w:tc>
        <w:tc>
          <w:tcPr>
            <w:tcW w:w="6260" w:type="dxa"/>
            <w:shd w:val="clear" w:color="auto" w:fill="auto"/>
            <w:vAlign w:val="bottom"/>
          </w:tcPr>
          <w:p>
            <w:pPr>
              <w:spacing w:line="0" w:lineRule="atLeast"/>
              <w:ind w:left="180"/>
              <w:rPr>
                <w:rFonts w:ascii="Times New Roman" w:hAnsi="Times New Roman" w:eastAsia="Times New Roman"/>
                <w:b/>
                <w:sz w:val="24"/>
              </w:rPr>
            </w:pPr>
            <w:r>
              <w:rPr>
                <w:rFonts w:ascii="Times New Roman" w:hAnsi="Times New Roman" w:eastAsia="Times New Roman"/>
                <w:b/>
                <w:sz w:val="24"/>
              </w:rPr>
              <w:t>Contents of Energy Drinks</w:t>
            </w:r>
          </w:p>
        </w:tc>
        <w:tc>
          <w:tcPr>
            <w:tcW w:w="178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3</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1.2.1</w:t>
            </w:r>
          </w:p>
        </w:tc>
        <w:tc>
          <w:tcPr>
            <w:tcW w:w="62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Caffeine</w:t>
            </w:r>
          </w:p>
        </w:tc>
        <w:tc>
          <w:tcPr>
            <w:tcW w:w="178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w:t>
            </w:r>
          </w:p>
        </w:tc>
      </w:tr>
      <w:tr>
        <w:tblPrEx>
          <w:tblCellMar>
            <w:top w:w="0" w:type="dxa"/>
            <w:left w:w="0" w:type="dxa"/>
            <w:bottom w:w="0" w:type="dxa"/>
            <w:right w:w="0" w:type="dxa"/>
          </w:tblCellMar>
        </w:tblPrEx>
        <w:trPr>
          <w:trHeight w:val="553" w:hRule="atLeast"/>
        </w:trPr>
        <w:tc>
          <w:tcPr>
            <w:tcW w:w="600" w:type="dxa"/>
            <w:shd w:val="clear" w:color="auto" w:fill="auto"/>
            <w:vAlign w:val="bottom"/>
          </w:tcPr>
          <w:p>
            <w:pPr>
              <w:spacing w:line="0" w:lineRule="atLeast"/>
              <w:rPr>
                <w:rFonts w:ascii="Times New Roman" w:hAnsi="Times New Roman" w:eastAsia="Times New Roman"/>
                <w:color w:val="292526"/>
                <w:sz w:val="24"/>
              </w:rPr>
            </w:pPr>
            <w:r>
              <w:rPr>
                <w:rFonts w:ascii="Times New Roman" w:hAnsi="Times New Roman" w:eastAsia="Times New Roman"/>
                <w:color w:val="292526"/>
                <w:sz w:val="24"/>
              </w:rPr>
              <w:t>1.2.2</w:t>
            </w:r>
          </w:p>
        </w:tc>
        <w:tc>
          <w:tcPr>
            <w:tcW w:w="6260" w:type="dxa"/>
            <w:shd w:val="clear" w:color="auto" w:fill="auto"/>
            <w:vAlign w:val="bottom"/>
          </w:tcPr>
          <w:p>
            <w:pPr>
              <w:spacing w:line="0" w:lineRule="atLeast"/>
              <w:ind w:left="120"/>
              <w:rPr>
                <w:rFonts w:ascii="Times New Roman" w:hAnsi="Times New Roman" w:eastAsia="Times New Roman"/>
                <w:color w:val="292526"/>
                <w:sz w:val="24"/>
              </w:rPr>
            </w:pPr>
            <w:r>
              <w:rPr>
                <w:rFonts w:ascii="Times New Roman" w:hAnsi="Times New Roman" w:eastAsia="Times New Roman"/>
                <w:color w:val="292526"/>
                <w:sz w:val="24"/>
              </w:rPr>
              <w:t>Taurine</w:t>
            </w:r>
          </w:p>
        </w:tc>
        <w:tc>
          <w:tcPr>
            <w:tcW w:w="1780" w:type="dxa"/>
            <w:shd w:val="clear" w:color="auto" w:fill="auto"/>
            <w:vAlign w:val="bottom"/>
          </w:tcPr>
          <w:p>
            <w:pPr>
              <w:spacing w:line="0" w:lineRule="atLeast"/>
              <w:jc w:val="right"/>
              <w:rPr>
                <w:rFonts w:ascii="Times New Roman" w:hAnsi="Times New Roman" w:eastAsia="Times New Roman"/>
                <w:color w:val="292526"/>
                <w:sz w:val="24"/>
              </w:rPr>
            </w:pPr>
            <w:r>
              <w:rPr>
                <w:rFonts w:ascii="Times New Roman" w:hAnsi="Times New Roman" w:eastAsia="Times New Roman"/>
                <w:color w:val="292526"/>
                <w:sz w:val="24"/>
              </w:rPr>
              <w:t>4</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color w:val="292526"/>
                <w:sz w:val="24"/>
              </w:rPr>
            </w:pPr>
            <w:r>
              <w:rPr>
                <w:rFonts w:ascii="Times New Roman" w:hAnsi="Times New Roman" w:eastAsia="Times New Roman"/>
                <w:color w:val="292526"/>
                <w:sz w:val="24"/>
              </w:rPr>
              <w:t>1.2.3</w:t>
            </w:r>
          </w:p>
        </w:tc>
        <w:tc>
          <w:tcPr>
            <w:tcW w:w="6260" w:type="dxa"/>
            <w:shd w:val="clear" w:color="auto" w:fill="auto"/>
            <w:vAlign w:val="bottom"/>
          </w:tcPr>
          <w:p>
            <w:pPr>
              <w:spacing w:line="0" w:lineRule="atLeast"/>
              <w:ind w:left="120"/>
              <w:rPr>
                <w:rFonts w:ascii="Times New Roman" w:hAnsi="Times New Roman" w:eastAsia="Times New Roman"/>
                <w:color w:val="292526"/>
                <w:sz w:val="24"/>
              </w:rPr>
            </w:pPr>
            <w:r>
              <w:rPr>
                <w:rFonts w:ascii="Times New Roman" w:hAnsi="Times New Roman" w:eastAsia="Times New Roman"/>
                <w:color w:val="292526"/>
                <w:sz w:val="24"/>
              </w:rPr>
              <w:t>Guarana</w:t>
            </w:r>
          </w:p>
        </w:tc>
        <w:tc>
          <w:tcPr>
            <w:tcW w:w="1780" w:type="dxa"/>
            <w:shd w:val="clear" w:color="auto" w:fill="auto"/>
            <w:vAlign w:val="bottom"/>
          </w:tcPr>
          <w:p>
            <w:pPr>
              <w:spacing w:line="0" w:lineRule="atLeast"/>
              <w:jc w:val="right"/>
              <w:rPr>
                <w:rFonts w:ascii="Times New Roman" w:hAnsi="Times New Roman" w:eastAsia="Times New Roman"/>
                <w:color w:val="292526"/>
                <w:sz w:val="24"/>
              </w:rPr>
            </w:pPr>
            <w:r>
              <w:rPr>
                <w:rFonts w:ascii="Times New Roman" w:hAnsi="Times New Roman" w:eastAsia="Times New Roman"/>
                <w:color w:val="292526"/>
                <w:sz w:val="24"/>
              </w:rPr>
              <w:t>4</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color w:val="292526"/>
                <w:sz w:val="24"/>
              </w:rPr>
            </w:pPr>
            <w:r>
              <w:rPr>
                <w:rFonts w:ascii="Times New Roman" w:hAnsi="Times New Roman" w:eastAsia="Times New Roman"/>
                <w:color w:val="292526"/>
                <w:sz w:val="24"/>
              </w:rPr>
              <w:t>1.2.4</w:t>
            </w:r>
          </w:p>
        </w:tc>
        <w:tc>
          <w:tcPr>
            <w:tcW w:w="6260" w:type="dxa"/>
            <w:shd w:val="clear" w:color="auto" w:fill="auto"/>
            <w:vAlign w:val="bottom"/>
          </w:tcPr>
          <w:p>
            <w:pPr>
              <w:spacing w:line="0" w:lineRule="atLeast"/>
              <w:ind w:left="120"/>
              <w:rPr>
                <w:rFonts w:ascii="Times New Roman" w:hAnsi="Times New Roman" w:eastAsia="Times New Roman"/>
                <w:color w:val="292526"/>
                <w:sz w:val="24"/>
              </w:rPr>
            </w:pPr>
            <w:r>
              <w:rPr>
                <w:rFonts w:ascii="Times New Roman" w:hAnsi="Times New Roman" w:eastAsia="Times New Roman"/>
                <w:color w:val="292526"/>
                <w:sz w:val="24"/>
              </w:rPr>
              <w:t>Glucuronolactone</w:t>
            </w:r>
          </w:p>
        </w:tc>
        <w:tc>
          <w:tcPr>
            <w:tcW w:w="1780" w:type="dxa"/>
            <w:shd w:val="clear" w:color="auto" w:fill="auto"/>
            <w:vAlign w:val="bottom"/>
          </w:tcPr>
          <w:p>
            <w:pPr>
              <w:spacing w:line="0" w:lineRule="atLeast"/>
              <w:jc w:val="right"/>
              <w:rPr>
                <w:rFonts w:ascii="Times New Roman" w:hAnsi="Times New Roman" w:eastAsia="Times New Roman"/>
                <w:color w:val="292526"/>
                <w:sz w:val="24"/>
              </w:rPr>
            </w:pPr>
            <w:r>
              <w:rPr>
                <w:rFonts w:ascii="Times New Roman" w:hAnsi="Times New Roman" w:eastAsia="Times New Roman"/>
                <w:color w:val="292526"/>
                <w:sz w:val="24"/>
              </w:rPr>
              <w:t>5</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1.2.5</w:t>
            </w:r>
          </w:p>
        </w:tc>
        <w:tc>
          <w:tcPr>
            <w:tcW w:w="62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Ginseng</w:t>
            </w:r>
          </w:p>
        </w:tc>
        <w:tc>
          <w:tcPr>
            <w:tcW w:w="178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6</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1.2.6</w:t>
            </w:r>
          </w:p>
        </w:tc>
        <w:tc>
          <w:tcPr>
            <w:tcW w:w="62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Vitamins</w:t>
            </w:r>
          </w:p>
        </w:tc>
        <w:tc>
          <w:tcPr>
            <w:tcW w:w="178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6</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1.2.7</w:t>
            </w:r>
          </w:p>
        </w:tc>
        <w:tc>
          <w:tcPr>
            <w:tcW w:w="62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Sugar</w:t>
            </w:r>
          </w:p>
        </w:tc>
        <w:tc>
          <w:tcPr>
            <w:tcW w:w="178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8</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58" w:lineRule="exact"/>
        <w:rPr>
          <w:rFonts w:ascii="Times New Roman" w:hAnsi="Times New Roman" w:eastAsia="Times New Roman"/>
        </w:rPr>
      </w:pPr>
    </w:p>
    <w:p>
      <w:pPr>
        <w:spacing w:line="0" w:lineRule="atLeast"/>
        <w:ind w:left="4900"/>
        <w:rPr>
          <w:sz w:val="22"/>
        </w:rPr>
      </w:pPr>
      <w:r>
        <w:rPr>
          <w:sz w:val="22"/>
        </w:rPr>
        <w:t>xi</w:t>
      </w:r>
    </w:p>
    <w:p>
      <w:pPr>
        <w:spacing w:line="0" w:lineRule="atLeast"/>
        <w:ind w:left="4900"/>
        <w:rPr>
          <w:sz w:val="22"/>
        </w:rPr>
        <w:sectPr>
          <w:type w:val="continuous"/>
          <w:pgSz w:w="12240" w:h="15840"/>
          <w:pgMar w:top="1440" w:right="1440" w:bottom="428" w:left="1440" w:header="0" w:footer="0" w:gutter="0"/>
          <w:cols w:equalWidth="0" w:num="1">
            <w:col w:w="9360"/>
          </w:cols>
          <w:docGrid w:linePitch="360" w:charSpace="0"/>
        </w:sectPr>
      </w:pPr>
    </w:p>
    <w:tbl>
      <w:tblPr>
        <w:tblStyle w:val="3"/>
        <w:tblW w:w="0" w:type="auto"/>
        <w:tblInd w:w="580" w:type="dxa"/>
        <w:tblLayout w:type="fixed"/>
        <w:tblCellMar>
          <w:top w:w="0" w:type="dxa"/>
          <w:left w:w="0" w:type="dxa"/>
          <w:bottom w:w="0" w:type="dxa"/>
          <w:right w:w="0" w:type="dxa"/>
        </w:tblCellMar>
      </w:tblPr>
      <w:tblGrid>
        <w:gridCol w:w="500"/>
        <w:gridCol w:w="5120"/>
        <w:gridCol w:w="3020"/>
      </w:tblGrid>
      <w:tr>
        <w:tblPrEx>
          <w:tblCellMar>
            <w:top w:w="0" w:type="dxa"/>
            <w:left w:w="0" w:type="dxa"/>
            <w:bottom w:w="0" w:type="dxa"/>
            <w:right w:w="0" w:type="dxa"/>
          </w:tblCellMar>
        </w:tblPrEx>
        <w:trPr>
          <w:trHeight w:val="276" w:hRule="atLeast"/>
        </w:trPr>
        <w:tc>
          <w:tcPr>
            <w:tcW w:w="500" w:type="dxa"/>
            <w:shd w:val="clear" w:color="auto" w:fill="auto"/>
            <w:vAlign w:val="bottom"/>
          </w:tcPr>
          <w:p>
            <w:pPr>
              <w:spacing w:line="0" w:lineRule="atLeast"/>
              <w:ind w:right="80"/>
              <w:jc w:val="right"/>
              <w:rPr>
                <w:rFonts w:ascii="Times New Roman" w:hAnsi="Times New Roman" w:eastAsia="Times New Roman"/>
                <w:b/>
                <w:w w:val="93"/>
                <w:sz w:val="24"/>
              </w:rPr>
            </w:pPr>
            <w:bookmarkStart w:id="3" w:name="page12"/>
            <w:bookmarkEnd w:id="3"/>
            <w:r>
              <w:rPr>
                <w:rFonts w:ascii="Times New Roman" w:hAnsi="Times New Roman" w:eastAsia="Times New Roman"/>
                <w:b/>
                <w:w w:val="93"/>
                <w:sz w:val="24"/>
              </w:rPr>
              <w:t>1.3</w:t>
            </w:r>
          </w:p>
        </w:tc>
        <w:tc>
          <w:tcPr>
            <w:tcW w:w="5120" w:type="dxa"/>
            <w:shd w:val="clear" w:color="auto" w:fill="auto"/>
            <w:vAlign w:val="bottom"/>
          </w:tcPr>
          <w:p>
            <w:pPr>
              <w:spacing w:line="0" w:lineRule="atLeast"/>
              <w:ind w:left="220"/>
              <w:rPr>
                <w:rFonts w:ascii="Times New Roman" w:hAnsi="Times New Roman" w:eastAsia="Times New Roman"/>
                <w:b/>
                <w:sz w:val="24"/>
              </w:rPr>
            </w:pPr>
            <w:r>
              <w:rPr>
                <w:rFonts w:ascii="Times New Roman" w:hAnsi="Times New Roman" w:eastAsia="Times New Roman"/>
                <w:b/>
                <w:sz w:val="24"/>
              </w:rPr>
              <w:t>Justification</w:t>
            </w:r>
          </w:p>
        </w:tc>
        <w:tc>
          <w:tcPr>
            <w:tcW w:w="302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8</w:t>
            </w:r>
          </w:p>
        </w:tc>
      </w:tr>
      <w:tr>
        <w:tblPrEx>
          <w:tblCellMar>
            <w:top w:w="0" w:type="dxa"/>
            <w:left w:w="0" w:type="dxa"/>
            <w:bottom w:w="0" w:type="dxa"/>
            <w:right w:w="0" w:type="dxa"/>
          </w:tblCellMar>
        </w:tblPrEx>
        <w:trPr>
          <w:trHeight w:val="552" w:hRule="atLeast"/>
        </w:trPr>
        <w:tc>
          <w:tcPr>
            <w:tcW w:w="500" w:type="dxa"/>
            <w:shd w:val="clear" w:color="auto" w:fill="auto"/>
            <w:vAlign w:val="bottom"/>
          </w:tcPr>
          <w:p>
            <w:pPr>
              <w:spacing w:line="0" w:lineRule="atLeast"/>
              <w:ind w:right="80"/>
              <w:jc w:val="right"/>
              <w:rPr>
                <w:rFonts w:ascii="Times New Roman" w:hAnsi="Times New Roman" w:eastAsia="Times New Roman"/>
                <w:b/>
                <w:w w:val="93"/>
                <w:sz w:val="24"/>
              </w:rPr>
            </w:pPr>
            <w:r>
              <w:rPr>
                <w:rFonts w:ascii="Times New Roman" w:hAnsi="Times New Roman" w:eastAsia="Times New Roman"/>
                <w:b/>
                <w:w w:val="93"/>
                <w:sz w:val="24"/>
              </w:rPr>
              <w:t>1.4</w:t>
            </w:r>
          </w:p>
        </w:tc>
        <w:tc>
          <w:tcPr>
            <w:tcW w:w="5120" w:type="dxa"/>
            <w:shd w:val="clear" w:color="auto" w:fill="auto"/>
            <w:vAlign w:val="bottom"/>
          </w:tcPr>
          <w:p>
            <w:pPr>
              <w:spacing w:line="0" w:lineRule="atLeast"/>
              <w:ind w:left="220"/>
              <w:rPr>
                <w:rFonts w:ascii="Times New Roman" w:hAnsi="Times New Roman" w:eastAsia="Times New Roman"/>
                <w:b/>
                <w:sz w:val="24"/>
              </w:rPr>
            </w:pPr>
            <w:r>
              <w:rPr>
                <w:rFonts w:ascii="Times New Roman" w:hAnsi="Times New Roman" w:eastAsia="Times New Roman"/>
                <w:b/>
                <w:sz w:val="24"/>
              </w:rPr>
              <w:t>Aim and Objectives</w:t>
            </w:r>
          </w:p>
        </w:tc>
        <w:tc>
          <w:tcPr>
            <w:tcW w:w="302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9</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9"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6280"/>
        <w:gridCol w:w="190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sz w:val="23"/>
              </w:rPr>
            </w:pPr>
          </w:p>
        </w:tc>
        <w:tc>
          <w:tcPr>
            <w:tcW w:w="6280" w:type="dxa"/>
            <w:shd w:val="clear" w:color="auto" w:fill="auto"/>
            <w:vAlign w:val="bottom"/>
          </w:tcPr>
          <w:p>
            <w:pPr>
              <w:spacing w:line="0" w:lineRule="atLeast"/>
              <w:ind w:left="2880"/>
              <w:rPr>
                <w:rFonts w:ascii="Times New Roman" w:hAnsi="Times New Roman" w:eastAsia="Times New Roman"/>
                <w:b/>
                <w:sz w:val="24"/>
              </w:rPr>
            </w:pPr>
            <w:r>
              <w:rPr>
                <w:rFonts w:ascii="Times New Roman" w:hAnsi="Times New Roman" w:eastAsia="Times New Roman"/>
                <w:b/>
                <w:sz w:val="24"/>
              </w:rPr>
              <w:t>CHAPTER TWO</w:t>
            </w:r>
          </w:p>
        </w:tc>
        <w:tc>
          <w:tcPr>
            <w:tcW w:w="190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2.0</w:t>
            </w:r>
          </w:p>
        </w:tc>
        <w:tc>
          <w:tcPr>
            <w:tcW w:w="628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LITERATURE REVIEW</w:t>
            </w:r>
          </w:p>
        </w:tc>
        <w:tc>
          <w:tcPr>
            <w:tcW w:w="19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10</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2.1</w:t>
            </w:r>
          </w:p>
        </w:tc>
        <w:tc>
          <w:tcPr>
            <w:tcW w:w="628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Review Work on Energy Drinks</w:t>
            </w:r>
          </w:p>
        </w:tc>
        <w:tc>
          <w:tcPr>
            <w:tcW w:w="19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10</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2.2</w:t>
            </w:r>
          </w:p>
        </w:tc>
        <w:tc>
          <w:tcPr>
            <w:tcW w:w="628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Caffeine</w:t>
            </w:r>
          </w:p>
        </w:tc>
        <w:tc>
          <w:tcPr>
            <w:tcW w:w="19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11</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2.2.1</w:t>
            </w:r>
          </w:p>
        </w:tc>
        <w:tc>
          <w:tcPr>
            <w:tcW w:w="62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Metabolism of caffeine</w:t>
            </w:r>
          </w:p>
        </w:tc>
        <w:tc>
          <w:tcPr>
            <w:tcW w:w="19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12</w:t>
            </w:r>
          </w:p>
        </w:tc>
      </w:tr>
      <w:tr>
        <w:tblPrEx>
          <w:tblCellMar>
            <w:top w:w="0" w:type="dxa"/>
            <w:left w:w="0" w:type="dxa"/>
            <w:bottom w:w="0" w:type="dxa"/>
            <w:right w:w="0" w:type="dxa"/>
          </w:tblCellMar>
        </w:tblPrEx>
        <w:trPr>
          <w:trHeight w:val="553"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2.2.2</w:t>
            </w:r>
          </w:p>
        </w:tc>
        <w:tc>
          <w:tcPr>
            <w:tcW w:w="62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Caffeine and health</w:t>
            </w:r>
          </w:p>
        </w:tc>
        <w:tc>
          <w:tcPr>
            <w:tcW w:w="19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14</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2.2.3</w:t>
            </w:r>
          </w:p>
        </w:tc>
        <w:tc>
          <w:tcPr>
            <w:tcW w:w="62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Research works on caffeine</w:t>
            </w:r>
          </w:p>
        </w:tc>
        <w:tc>
          <w:tcPr>
            <w:tcW w:w="19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15</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5160"/>
        <w:gridCol w:w="302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2.3</w:t>
            </w:r>
          </w:p>
        </w:tc>
        <w:tc>
          <w:tcPr>
            <w:tcW w:w="516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Aspartame</w:t>
            </w:r>
          </w:p>
        </w:tc>
        <w:tc>
          <w:tcPr>
            <w:tcW w:w="302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16</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2.3.1</w:t>
            </w:r>
          </w:p>
        </w:tc>
        <w:tc>
          <w:tcPr>
            <w:tcW w:w="51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Chemistry of aspartame</w:t>
            </w:r>
          </w:p>
        </w:tc>
        <w:tc>
          <w:tcPr>
            <w:tcW w:w="30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17</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2.3.2</w:t>
            </w:r>
          </w:p>
        </w:tc>
        <w:tc>
          <w:tcPr>
            <w:tcW w:w="51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Biochemical data</w:t>
            </w:r>
          </w:p>
        </w:tc>
        <w:tc>
          <w:tcPr>
            <w:tcW w:w="30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18</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4660"/>
        <w:gridCol w:w="352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2.4</w:t>
            </w:r>
          </w:p>
        </w:tc>
        <w:tc>
          <w:tcPr>
            <w:tcW w:w="466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Heavy Metal</w:t>
            </w:r>
          </w:p>
        </w:tc>
        <w:tc>
          <w:tcPr>
            <w:tcW w:w="352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21</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2.4.1</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Lead</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22</w:t>
            </w:r>
          </w:p>
        </w:tc>
      </w:tr>
      <w:tr>
        <w:tblPrEx>
          <w:tblCellMar>
            <w:top w:w="0" w:type="dxa"/>
            <w:left w:w="0" w:type="dxa"/>
            <w:bottom w:w="0" w:type="dxa"/>
            <w:right w:w="0" w:type="dxa"/>
          </w:tblCellMar>
        </w:tblPrEx>
        <w:trPr>
          <w:trHeight w:val="553"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2.4.2</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Cadmium</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22</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2.4.3</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Copper</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23</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2.4.4</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Zinc</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24</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2.4.5</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Manganese</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24</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2.4.6</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Iron</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25</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2.4.7</w:t>
            </w:r>
          </w:p>
        </w:tc>
        <w:tc>
          <w:tcPr>
            <w:tcW w:w="466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Calcium</w:t>
            </w:r>
          </w:p>
        </w:tc>
        <w:tc>
          <w:tcPr>
            <w:tcW w:w="352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25</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5" w:lineRule="exact"/>
        <w:rPr>
          <w:rFonts w:ascii="Times New Roman" w:hAnsi="Times New Roman" w:eastAsia="Times New Roman"/>
        </w:rPr>
      </w:pPr>
    </w:p>
    <w:p>
      <w:pPr>
        <w:spacing w:line="0" w:lineRule="atLeast"/>
        <w:ind w:left="4860"/>
        <w:rPr>
          <w:sz w:val="22"/>
        </w:rPr>
      </w:pPr>
      <w:r>
        <w:rPr>
          <w:sz w:val="22"/>
        </w:rPr>
        <w:t>xii</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tbl>
      <w:tblPr>
        <w:tblStyle w:val="3"/>
        <w:tblW w:w="0" w:type="auto"/>
        <w:tblInd w:w="580" w:type="dxa"/>
        <w:tblLayout w:type="fixed"/>
        <w:tblCellMar>
          <w:top w:w="0" w:type="dxa"/>
          <w:left w:w="0" w:type="dxa"/>
          <w:bottom w:w="0" w:type="dxa"/>
          <w:right w:w="0" w:type="dxa"/>
        </w:tblCellMar>
      </w:tblPr>
      <w:tblGrid>
        <w:gridCol w:w="5100"/>
        <w:gridCol w:w="3640"/>
      </w:tblGrid>
      <w:tr>
        <w:tblPrEx>
          <w:tblCellMar>
            <w:top w:w="0" w:type="dxa"/>
            <w:left w:w="0" w:type="dxa"/>
            <w:bottom w:w="0" w:type="dxa"/>
            <w:right w:w="0" w:type="dxa"/>
          </w:tblCellMar>
        </w:tblPrEx>
        <w:trPr>
          <w:trHeight w:val="276" w:hRule="atLeast"/>
        </w:trPr>
        <w:tc>
          <w:tcPr>
            <w:tcW w:w="5100" w:type="dxa"/>
            <w:shd w:val="clear" w:color="auto" w:fill="auto"/>
            <w:vAlign w:val="bottom"/>
          </w:tcPr>
          <w:p>
            <w:pPr>
              <w:spacing w:line="0" w:lineRule="atLeast"/>
              <w:rPr>
                <w:rFonts w:ascii="Times New Roman" w:hAnsi="Times New Roman" w:eastAsia="Times New Roman"/>
                <w:sz w:val="24"/>
              </w:rPr>
            </w:pPr>
            <w:bookmarkStart w:id="4" w:name="page13"/>
            <w:bookmarkEnd w:id="4"/>
            <w:r>
              <w:rPr>
                <w:rFonts w:ascii="Times New Roman" w:hAnsi="Times New Roman" w:eastAsia="Times New Roman"/>
                <w:sz w:val="24"/>
              </w:rPr>
              <w:t>2.4.8   Potassium</w:t>
            </w:r>
          </w:p>
        </w:tc>
        <w:tc>
          <w:tcPr>
            <w:tcW w:w="36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26</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6100"/>
        <w:gridCol w:w="206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2.5</w:t>
            </w:r>
          </w:p>
        </w:tc>
        <w:tc>
          <w:tcPr>
            <w:tcW w:w="610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Carbohydrates</w:t>
            </w:r>
          </w:p>
        </w:tc>
        <w:tc>
          <w:tcPr>
            <w:tcW w:w="206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27</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2.5.1</w:t>
            </w:r>
          </w:p>
        </w:tc>
        <w:tc>
          <w:tcPr>
            <w:tcW w:w="61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Sugar</w:t>
            </w:r>
          </w:p>
        </w:tc>
        <w:tc>
          <w:tcPr>
            <w:tcW w:w="20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27</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2.5.2</w:t>
            </w:r>
          </w:p>
        </w:tc>
        <w:tc>
          <w:tcPr>
            <w:tcW w:w="61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Added sugars</w:t>
            </w:r>
          </w:p>
        </w:tc>
        <w:tc>
          <w:tcPr>
            <w:tcW w:w="20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28</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2.5.3</w:t>
            </w:r>
          </w:p>
        </w:tc>
        <w:tc>
          <w:tcPr>
            <w:tcW w:w="61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Sugar-sweetened beverage</w:t>
            </w:r>
          </w:p>
        </w:tc>
        <w:tc>
          <w:tcPr>
            <w:tcW w:w="20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28</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2.5.4</w:t>
            </w:r>
          </w:p>
        </w:tc>
        <w:tc>
          <w:tcPr>
            <w:tcW w:w="61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Sugar-sweetened beverages and health risks</w:t>
            </w:r>
          </w:p>
        </w:tc>
        <w:tc>
          <w:tcPr>
            <w:tcW w:w="20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29</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15"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100"/>
        <w:gridCol w:w="2620"/>
      </w:tblGrid>
      <w:tr>
        <w:tblPrEx>
          <w:tblCellMar>
            <w:top w:w="0" w:type="dxa"/>
            <w:left w:w="0" w:type="dxa"/>
            <w:bottom w:w="0" w:type="dxa"/>
            <w:right w:w="0" w:type="dxa"/>
          </w:tblCellMar>
        </w:tblPrEx>
        <w:trPr>
          <w:trHeight w:val="276" w:hRule="atLeast"/>
        </w:trPr>
        <w:tc>
          <w:tcPr>
            <w:tcW w:w="61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2.6Research Work on Beverages</w:t>
            </w:r>
          </w:p>
        </w:tc>
        <w:tc>
          <w:tcPr>
            <w:tcW w:w="262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30</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05"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80"/>
        <w:gridCol w:w="6240"/>
        <w:gridCol w:w="1860"/>
      </w:tblGrid>
      <w:tr>
        <w:tblPrEx>
          <w:tblCellMar>
            <w:top w:w="0" w:type="dxa"/>
            <w:left w:w="0" w:type="dxa"/>
            <w:bottom w:w="0" w:type="dxa"/>
            <w:right w:w="0" w:type="dxa"/>
          </w:tblCellMar>
        </w:tblPrEx>
        <w:trPr>
          <w:trHeight w:val="276" w:hRule="atLeast"/>
        </w:trPr>
        <w:tc>
          <w:tcPr>
            <w:tcW w:w="680" w:type="dxa"/>
            <w:shd w:val="clear" w:color="auto" w:fill="auto"/>
            <w:vAlign w:val="bottom"/>
          </w:tcPr>
          <w:p>
            <w:pPr>
              <w:spacing w:line="0" w:lineRule="atLeast"/>
              <w:rPr>
                <w:rFonts w:ascii="Times New Roman" w:hAnsi="Times New Roman" w:eastAsia="Times New Roman"/>
                <w:sz w:val="23"/>
              </w:rPr>
            </w:pPr>
          </w:p>
        </w:tc>
        <w:tc>
          <w:tcPr>
            <w:tcW w:w="6240" w:type="dxa"/>
            <w:shd w:val="clear" w:color="auto" w:fill="auto"/>
            <w:vAlign w:val="bottom"/>
          </w:tcPr>
          <w:p>
            <w:pPr>
              <w:spacing w:line="0" w:lineRule="atLeast"/>
              <w:ind w:left="2680"/>
              <w:rPr>
                <w:rFonts w:ascii="Times New Roman" w:hAnsi="Times New Roman" w:eastAsia="Times New Roman"/>
                <w:b/>
                <w:sz w:val="24"/>
              </w:rPr>
            </w:pPr>
            <w:r>
              <w:rPr>
                <w:rFonts w:ascii="Times New Roman" w:hAnsi="Times New Roman" w:eastAsia="Times New Roman"/>
                <w:b/>
                <w:sz w:val="24"/>
              </w:rPr>
              <w:t>CHAPTER THREE</w:t>
            </w:r>
          </w:p>
        </w:tc>
        <w:tc>
          <w:tcPr>
            <w:tcW w:w="186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3.0</w:t>
            </w:r>
          </w:p>
        </w:tc>
        <w:tc>
          <w:tcPr>
            <w:tcW w:w="6240" w:type="dxa"/>
            <w:shd w:val="clear" w:color="auto" w:fill="auto"/>
            <w:vAlign w:val="bottom"/>
          </w:tcPr>
          <w:p>
            <w:pPr>
              <w:spacing w:line="0" w:lineRule="atLeast"/>
              <w:ind w:left="40"/>
              <w:rPr>
                <w:rFonts w:ascii="Times New Roman" w:hAnsi="Times New Roman" w:eastAsia="Times New Roman"/>
                <w:b/>
                <w:sz w:val="24"/>
              </w:rPr>
            </w:pPr>
            <w:r>
              <w:rPr>
                <w:rFonts w:ascii="Times New Roman" w:hAnsi="Times New Roman" w:eastAsia="Times New Roman"/>
                <w:b/>
                <w:sz w:val="24"/>
              </w:rPr>
              <w:t>MATERIALS AND METHODS</w:t>
            </w:r>
          </w:p>
        </w:tc>
        <w:tc>
          <w:tcPr>
            <w:tcW w:w="186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34</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3.1</w:t>
            </w:r>
          </w:p>
        </w:tc>
        <w:tc>
          <w:tcPr>
            <w:tcW w:w="6240" w:type="dxa"/>
            <w:shd w:val="clear" w:color="auto" w:fill="auto"/>
            <w:vAlign w:val="bottom"/>
          </w:tcPr>
          <w:p>
            <w:pPr>
              <w:spacing w:line="0" w:lineRule="atLeast"/>
              <w:ind w:left="40"/>
              <w:rPr>
                <w:rFonts w:ascii="Times New Roman" w:hAnsi="Times New Roman" w:eastAsia="Times New Roman"/>
                <w:b/>
                <w:sz w:val="24"/>
              </w:rPr>
            </w:pPr>
            <w:r>
              <w:rPr>
                <w:rFonts w:ascii="Times New Roman" w:hAnsi="Times New Roman" w:eastAsia="Times New Roman"/>
                <w:b/>
                <w:sz w:val="24"/>
              </w:rPr>
              <w:t>Materials</w:t>
            </w:r>
          </w:p>
        </w:tc>
        <w:tc>
          <w:tcPr>
            <w:tcW w:w="186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34</w:t>
            </w:r>
          </w:p>
        </w:tc>
      </w:tr>
      <w:tr>
        <w:tblPrEx>
          <w:tblCellMar>
            <w:top w:w="0" w:type="dxa"/>
            <w:left w:w="0" w:type="dxa"/>
            <w:bottom w:w="0" w:type="dxa"/>
            <w:right w:w="0" w:type="dxa"/>
          </w:tblCellMar>
        </w:tblPrEx>
        <w:trPr>
          <w:trHeight w:val="547" w:hRule="atLeast"/>
        </w:trPr>
        <w:tc>
          <w:tcPr>
            <w:tcW w:w="6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3.1.1</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Chemicals and reagents</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34</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3.1.2</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Preparation of stock solution</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34</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w w:val="99"/>
                <w:sz w:val="24"/>
              </w:rPr>
            </w:pPr>
            <w:r>
              <w:rPr>
                <w:rFonts w:ascii="Times New Roman" w:hAnsi="Times New Roman" w:eastAsia="Times New Roman"/>
                <w:w w:val="99"/>
                <w:sz w:val="24"/>
              </w:rPr>
              <w:t>3.1.2.1</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Preparation of standard solution for AAS</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34</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w w:val="99"/>
                <w:sz w:val="24"/>
              </w:rPr>
            </w:pPr>
            <w:r>
              <w:rPr>
                <w:rFonts w:ascii="Times New Roman" w:hAnsi="Times New Roman" w:eastAsia="Times New Roman"/>
                <w:w w:val="99"/>
                <w:sz w:val="24"/>
              </w:rPr>
              <w:t>3.1.2.2</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Preparation of standard solution for HPLC</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35</w:t>
            </w:r>
          </w:p>
        </w:tc>
      </w:tr>
      <w:tr>
        <w:tblPrEx>
          <w:tblCellMar>
            <w:top w:w="0" w:type="dxa"/>
            <w:left w:w="0" w:type="dxa"/>
            <w:bottom w:w="0" w:type="dxa"/>
            <w:right w:w="0" w:type="dxa"/>
          </w:tblCellMar>
        </w:tblPrEx>
        <w:trPr>
          <w:trHeight w:val="553" w:hRule="atLeast"/>
        </w:trPr>
        <w:tc>
          <w:tcPr>
            <w:tcW w:w="680" w:type="dxa"/>
            <w:shd w:val="clear" w:color="auto" w:fill="auto"/>
            <w:vAlign w:val="bottom"/>
          </w:tcPr>
          <w:p>
            <w:pPr>
              <w:spacing w:line="0" w:lineRule="atLeast"/>
              <w:rPr>
                <w:rFonts w:ascii="Times New Roman" w:hAnsi="Times New Roman" w:eastAsia="Times New Roman"/>
                <w:w w:val="99"/>
                <w:sz w:val="24"/>
              </w:rPr>
            </w:pPr>
            <w:r>
              <w:rPr>
                <w:rFonts w:ascii="Times New Roman" w:hAnsi="Times New Roman" w:eastAsia="Times New Roman"/>
                <w:w w:val="99"/>
                <w:sz w:val="24"/>
              </w:rPr>
              <w:t>3.1.2.3</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Preparation of standard solution for UV</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35</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3.1.3</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Apparatus and equipments</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36</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3.1.4</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Sample collection</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37</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3.1.5</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Sample preparation</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37</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w w:val="99"/>
                <w:sz w:val="24"/>
              </w:rPr>
            </w:pPr>
            <w:r>
              <w:rPr>
                <w:rFonts w:ascii="Times New Roman" w:hAnsi="Times New Roman" w:eastAsia="Times New Roman"/>
                <w:w w:val="99"/>
                <w:sz w:val="24"/>
              </w:rPr>
              <w:t>3.1.5.1</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Sample preparation for AAS</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37</w:t>
            </w:r>
          </w:p>
        </w:tc>
      </w:tr>
      <w:tr>
        <w:tblPrEx>
          <w:tblCellMar>
            <w:top w:w="0" w:type="dxa"/>
            <w:left w:w="0" w:type="dxa"/>
            <w:bottom w:w="0" w:type="dxa"/>
            <w:right w:w="0" w:type="dxa"/>
          </w:tblCellMar>
        </w:tblPrEx>
        <w:trPr>
          <w:trHeight w:val="552" w:hRule="atLeast"/>
        </w:trPr>
        <w:tc>
          <w:tcPr>
            <w:tcW w:w="680" w:type="dxa"/>
            <w:shd w:val="clear" w:color="auto" w:fill="auto"/>
            <w:vAlign w:val="bottom"/>
          </w:tcPr>
          <w:p>
            <w:pPr>
              <w:spacing w:line="0" w:lineRule="atLeast"/>
              <w:rPr>
                <w:rFonts w:ascii="Times New Roman" w:hAnsi="Times New Roman" w:eastAsia="Times New Roman"/>
                <w:w w:val="99"/>
                <w:sz w:val="24"/>
              </w:rPr>
            </w:pPr>
            <w:r>
              <w:rPr>
                <w:rFonts w:ascii="Times New Roman" w:hAnsi="Times New Roman" w:eastAsia="Times New Roman"/>
                <w:w w:val="99"/>
                <w:sz w:val="24"/>
              </w:rPr>
              <w:t>3.1.5.2</w:t>
            </w:r>
          </w:p>
        </w:tc>
        <w:tc>
          <w:tcPr>
            <w:tcW w:w="6240" w:type="dxa"/>
            <w:shd w:val="clear" w:color="auto" w:fill="auto"/>
            <w:vAlign w:val="bottom"/>
          </w:tcPr>
          <w:p>
            <w:pPr>
              <w:spacing w:line="0" w:lineRule="atLeast"/>
              <w:ind w:left="40"/>
              <w:rPr>
                <w:rFonts w:ascii="Times New Roman" w:hAnsi="Times New Roman" w:eastAsia="Times New Roman"/>
                <w:sz w:val="24"/>
              </w:rPr>
            </w:pPr>
            <w:r>
              <w:rPr>
                <w:rFonts w:ascii="Times New Roman" w:hAnsi="Times New Roman" w:eastAsia="Times New Roman"/>
                <w:sz w:val="24"/>
              </w:rPr>
              <w:t>Sample preparation for HPLC</w:t>
            </w:r>
          </w:p>
        </w:tc>
        <w:tc>
          <w:tcPr>
            <w:tcW w:w="18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37</w:t>
            </w:r>
          </w:p>
        </w:tc>
      </w:tr>
    </w:tbl>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spacing w:line="0" w:lineRule="atLeast"/>
        <w:ind w:left="4840"/>
        <w:rPr>
          <w:sz w:val="22"/>
        </w:rPr>
      </w:pPr>
      <w:r>
        <w:rPr>
          <w:sz w:val="22"/>
        </w:rPr>
        <w:t>xiii</w:t>
      </w:r>
    </w:p>
    <w:p>
      <w:pPr>
        <w:spacing w:line="0" w:lineRule="atLeast"/>
        <w:ind w:left="4840"/>
        <w:rPr>
          <w:sz w:val="22"/>
        </w:rPr>
        <w:sectPr>
          <w:pgSz w:w="12240" w:h="15840"/>
          <w:pgMar w:top="1430" w:right="1440" w:bottom="428" w:left="1440" w:header="0" w:footer="0" w:gutter="0"/>
          <w:cols w:equalWidth="0" w:num="1">
            <w:col w:w="9360"/>
          </w:cols>
          <w:docGrid w:linePitch="360" w:charSpace="0"/>
        </w:sectPr>
      </w:pPr>
    </w:p>
    <w:tbl>
      <w:tblPr>
        <w:tblStyle w:val="3"/>
        <w:tblW w:w="0" w:type="auto"/>
        <w:tblInd w:w="580" w:type="dxa"/>
        <w:tblLayout w:type="fixed"/>
        <w:tblCellMar>
          <w:top w:w="0" w:type="dxa"/>
          <w:left w:w="0" w:type="dxa"/>
          <w:bottom w:w="0" w:type="dxa"/>
          <w:right w:w="0" w:type="dxa"/>
        </w:tblCellMar>
      </w:tblPr>
      <w:tblGrid>
        <w:gridCol w:w="5920"/>
        <w:gridCol w:w="2800"/>
      </w:tblGrid>
      <w:tr>
        <w:tblPrEx>
          <w:tblCellMar>
            <w:top w:w="0" w:type="dxa"/>
            <w:left w:w="0" w:type="dxa"/>
            <w:bottom w:w="0" w:type="dxa"/>
            <w:right w:w="0" w:type="dxa"/>
          </w:tblCellMar>
        </w:tblPrEx>
        <w:trPr>
          <w:trHeight w:val="276" w:hRule="atLeast"/>
        </w:trPr>
        <w:tc>
          <w:tcPr>
            <w:tcW w:w="5920" w:type="dxa"/>
            <w:shd w:val="clear" w:color="auto" w:fill="auto"/>
            <w:vAlign w:val="bottom"/>
          </w:tcPr>
          <w:p>
            <w:pPr>
              <w:spacing w:line="0" w:lineRule="atLeast"/>
              <w:rPr>
                <w:rFonts w:ascii="Times New Roman" w:hAnsi="Times New Roman" w:eastAsia="Times New Roman"/>
                <w:sz w:val="24"/>
              </w:rPr>
            </w:pPr>
            <w:bookmarkStart w:id="5" w:name="page14"/>
            <w:bookmarkEnd w:id="5"/>
            <w:r>
              <w:rPr>
                <w:rFonts w:ascii="Times New Roman" w:hAnsi="Times New Roman" w:eastAsia="Times New Roman"/>
                <w:sz w:val="24"/>
              </w:rPr>
              <w:t>3.1.5.3 Sample preparation for UV</w:t>
            </w:r>
          </w:p>
        </w:tc>
        <w:tc>
          <w:tcPr>
            <w:tcW w:w="28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38</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6000"/>
        <w:gridCol w:w="216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3.2</w:t>
            </w:r>
          </w:p>
        </w:tc>
        <w:tc>
          <w:tcPr>
            <w:tcW w:w="600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Analysis of Physicochemical Properties</w:t>
            </w:r>
          </w:p>
        </w:tc>
        <w:tc>
          <w:tcPr>
            <w:tcW w:w="216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38</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3.2.1</w:t>
            </w:r>
          </w:p>
        </w:tc>
        <w:tc>
          <w:tcPr>
            <w:tcW w:w="60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Determination of pH</w:t>
            </w:r>
          </w:p>
        </w:tc>
        <w:tc>
          <w:tcPr>
            <w:tcW w:w="21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38</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3.2.2</w:t>
            </w:r>
          </w:p>
        </w:tc>
        <w:tc>
          <w:tcPr>
            <w:tcW w:w="60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Determination of conductivity</w:t>
            </w:r>
          </w:p>
        </w:tc>
        <w:tc>
          <w:tcPr>
            <w:tcW w:w="21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38</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3.2.3</w:t>
            </w:r>
          </w:p>
        </w:tc>
        <w:tc>
          <w:tcPr>
            <w:tcW w:w="60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Determination of turbidity</w:t>
            </w:r>
          </w:p>
        </w:tc>
        <w:tc>
          <w:tcPr>
            <w:tcW w:w="21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39</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3.2.4</w:t>
            </w:r>
          </w:p>
        </w:tc>
        <w:tc>
          <w:tcPr>
            <w:tcW w:w="60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Total dissolved solid</w:t>
            </w:r>
          </w:p>
        </w:tc>
        <w:tc>
          <w:tcPr>
            <w:tcW w:w="21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39</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00"/>
        <w:gridCol w:w="6300"/>
        <w:gridCol w:w="180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3.3</w:t>
            </w:r>
          </w:p>
        </w:tc>
        <w:tc>
          <w:tcPr>
            <w:tcW w:w="630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Elemental Analysis</w:t>
            </w:r>
          </w:p>
        </w:tc>
        <w:tc>
          <w:tcPr>
            <w:tcW w:w="18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40</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3.4</w:t>
            </w:r>
          </w:p>
        </w:tc>
        <w:tc>
          <w:tcPr>
            <w:tcW w:w="630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Determination of Carbohydrates (Sugar)</w:t>
            </w:r>
          </w:p>
        </w:tc>
        <w:tc>
          <w:tcPr>
            <w:tcW w:w="18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40</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3.5</w:t>
            </w:r>
          </w:p>
        </w:tc>
        <w:tc>
          <w:tcPr>
            <w:tcW w:w="630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Determination of Caffeine and Aspartame</w:t>
            </w:r>
          </w:p>
        </w:tc>
        <w:tc>
          <w:tcPr>
            <w:tcW w:w="18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40</w:t>
            </w:r>
          </w:p>
        </w:tc>
      </w:tr>
      <w:tr>
        <w:tblPrEx>
          <w:tblCellMar>
            <w:top w:w="0" w:type="dxa"/>
            <w:left w:w="0" w:type="dxa"/>
            <w:bottom w:w="0" w:type="dxa"/>
            <w:right w:w="0" w:type="dxa"/>
          </w:tblCellMar>
        </w:tblPrEx>
        <w:trPr>
          <w:trHeight w:val="548"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3.5.1</w:t>
            </w:r>
          </w:p>
        </w:tc>
        <w:tc>
          <w:tcPr>
            <w:tcW w:w="63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Preparation of pH 4.0 and pH 7.0 buffer solution</w:t>
            </w:r>
          </w:p>
        </w:tc>
        <w:tc>
          <w:tcPr>
            <w:tcW w:w="18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40</w:t>
            </w:r>
          </w:p>
        </w:tc>
      </w:tr>
      <w:tr>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3.5.2</w:t>
            </w:r>
          </w:p>
        </w:tc>
        <w:tc>
          <w:tcPr>
            <w:tcW w:w="63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Buffer preparation</w:t>
            </w:r>
          </w:p>
        </w:tc>
        <w:tc>
          <w:tcPr>
            <w:tcW w:w="18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41</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3.5.3</w:t>
            </w:r>
          </w:p>
        </w:tc>
        <w:tc>
          <w:tcPr>
            <w:tcW w:w="630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Mobile phase preparation</w:t>
            </w:r>
          </w:p>
        </w:tc>
        <w:tc>
          <w:tcPr>
            <w:tcW w:w="18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41</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5500"/>
        <w:gridCol w:w="3200"/>
      </w:tblGrid>
      <w:tr>
        <w:tblPrEx>
          <w:tblCellMar>
            <w:top w:w="0" w:type="dxa"/>
            <w:left w:w="0" w:type="dxa"/>
            <w:bottom w:w="0" w:type="dxa"/>
            <w:right w:w="0" w:type="dxa"/>
          </w:tblCellMar>
        </w:tblPrEx>
        <w:trPr>
          <w:trHeight w:val="276" w:hRule="atLeast"/>
        </w:trPr>
        <w:tc>
          <w:tcPr>
            <w:tcW w:w="550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3.6   Statistical Analysis</w:t>
            </w:r>
          </w:p>
        </w:tc>
        <w:tc>
          <w:tcPr>
            <w:tcW w:w="32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41</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0"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560"/>
        <w:gridCol w:w="6300"/>
        <w:gridCol w:w="1880"/>
      </w:tblGrid>
      <w:tr>
        <w:tblPrEx>
          <w:tblCellMar>
            <w:top w:w="0" w:type="dxa"/>
            <w:left w:w="0" w:type="dxa"/>
            <w:bottom w:w="0" w:type="dxa"/>
            <w:right w:w="0" w:type="dxa"/>
          </w:tblCellMar>
        </w:tblPrEx>
        <w:trPr>
          <w:trHeight w:val="276" w:hRule="atLeast"/>
        </w:trPr>
        <w:tc>
          <w:tcPr>
            <w:tcW w:w="560" w:type="dxa"/>
            <w:shd w:val="clear" w:color="auto" w:fill="auto"/>
            <w:vAlign w:val="bottom"/>
          </w:tcPr>
          <w:p>
            <w:pPr>
              <w:spacing w:line="0" w:lineRule="atLeast"/>
              <w:rPr>
                <w:rFonts w:ascii="Times New Roman" w:hAnsi="Times New Roman" w:eastAsia="Times New Roman"/>
                <w:sz w:val="23"/>
              </w:rPr>
            </w:pPr>
          </w:p>
        </w:tc>
        <w:tc>
          <w:tcPr>
            <w:tcW w:w="6300" w:type="dxa"/>
            <w:shd w:val="clear" w:color="auto" w:fill="auto"/>
            <w:vAlign w:val="bottom"/>
          </w:tcPr>
          <w:p>
            <w:pPr>
              <w:spacing w:line="0" w:lineRule="atLeast"/>
              <w:ind w:left="2880"/>
              <w:rPr>
                <w:rFonts w:ascii="Times New Roman" w:hAnsi="Times New Roman" w:eastAsia="Times New Roman"/>
                <w:b/>
                <w:sz w:val="24"/>
              </w:rPr>
            </w:pPr>
            <w:r>
              <w:rPr>
                <w:rFonts w:ascii="Times New Roman" w:hAnsi="Times New Roman" w:eastAsia="Times New Roman"/>
                <w:b/>
                <w:sz w:val="24"/>
              </w:rPr>
              <w:t>CHAPTER FOUR</w:t>
            </w:r>
          </w:p>
        </w:tc>
        <w:tc>
          <w:tcPr>
            <w:tcW w:w="188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47" w:hRule="atLeast"/>
        </w:trPr>
        <w:tc>
          <w:tcPr>
            <w:tcW w:w="56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4.0</w:t>
            </w:r>
          </w:p>
        </w:tc>
        <w:tc>
          <w:tcPr>
            <w:tcW w:w="6300" w:type="dxa"/>
            <w:shd w:val="clear" w:color="auto" w:fill="auto"/>
            <w:vAlign w:val="bottom"/>
          </w:tcPr>
          <w:p>
            <w:pPr>
              <w:spacing w:line="0" w:lineRule="atLeast"/>
              <w:ind w:left="60"/>
              <w:rPr>
                <w:rFonts w:ascii="Times New Roman" w:hAnsi="Times New Roman" w:eastAsia="Times New Roman"/>
                <w:b/>
                <w:sz w:val="24"/>
              </w:rPr>
            </w:pPr>
            <w:r>
              <w:rPr>
                <w:rFonts w:ascii="Times New Roman" w:hAnsi="Times New Roman" w:eastAsia="Times New Roman"/>
                <w:b/>
                <w:sz w:val="24"/>
              </w:rPr>
              <w:t>RESULTS</w:t>
            </w:r>
          </w:p>
        </w:tc>
        <w:tc>
          <w:tcPr>
            <w:tcW w:w="188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42</w:t>
            </w:r>
          </w:p>
        </w:tc>
      </w:tr>
      <w:tr>
        <w:tblPrEx>
          <w:tblCellMar>
            <w:top w:w="0" w:type="dxa"/>
            <w:left w:w="0" w:type="dxa"/>
            <w:bottom w:w="0" w:type="dxa"/>
            <w:right w:w="0" w:type="dxa"/>
          </w:tblCellMar>
        </w:tblPrEx>
        <w:trPr>
          <w:trHeight w:val="552" w:hRule="atLeast"/>
        </w:trPr>
        <w:tc>
          <w:tcPr>
            <w:tcW w:w="56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4.1</w:t>
            </w:r>
          </w:p>
        </w:tc>
        <w:tc>
          <w:tcPr>
            <w:tcW w:w="6300" w:type="dxa"/>
            <w:shd w:val="clear" w:color="auto" w:fill="auto"/>
            <w:vAlign w:val="bottom"/>
          </w:tcPr>
          <w:p>
            <w:pPr>
              <w:spacing w:line="0" w:lineRule="atLeast"/>
              <w:ind w:left="240"/>
              <w:rPr>
                <w:rFonts w:ascii="Times New Roman" w:hAnsi="Times New Roman" w:eastAsia="Times New Roman"/>
                <w:b/>
                <w:sz w:val="24"/>
              </w:rPr>
            </w:pPr>
            <w:r>
              <w:rPr>
                <w:rFonts w:ascii="Times New Roman" w:hAnsi="Times New Roman" w:eastAsia="Times New Roman"/>
                <w:b/>
                <w:sz w:val="24"/>
              </w:rPr>
              <w:t>Physicochemical Parameters of Samples</w:t>
            </w:r>
          </w:p>
        </w:tc>
        <w:tc>
          <w:tcPr>
            <w:tcW w:w="188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42</w:t>
            </w:r>
          </w:p>
        </w:tc>
      </w:tr>
      <w:tr>
        <w:tblPrEx>
          <w:tblCellMar>
            <w:top w:w="0" w:type="dxa"/>
            <w:left w:w="0" w:type="dxa"/>
            <w:bottom w:w="0" w:type="dxa"/>
            <w:right w:w="0" w:type="dxa"/>
          </w:tblCellMar>
        </w:tblPrEx>
        <w:trPr>
          <w:trHeight w:val="552" w:hRule="atLeast"/>
        </w:trPr>
        <w:tc>
          <w:tcPr>
            <w:tcW w:w="56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4.2</w:t>
            </w:r>
          </w:p>
        </w:tc>
        <w:tc>
          <w:tcPr>
            <w:tcW w:w="6300" w:type="dxa"/>
            <w:shd w:val="clear" w:color="auto" w:fill="auto"/>
            <w:vAlign w:val="bottom"/>
          </w:tcPr>
          <w:p>
            <w:pPr>
              <w:spacing w:line="0" w:lineRule="atLeast"/>
              <w:ind w:left="160"/>
              <w:rPr>
                <w:rFonts w:ascii="Times New Roman" w:hAnsi="Times New Roman" w:eastAsia="Times New Roman"/>
                <w:b/>
                <w:sz w:val="24"/>
              </w:rPr>
            </w:pPr>
            <w:r>
              <w:rPr>
                <w:rFonts w:ascii="Times New Roman" w:hAnsi="Times New Roman" w:eastAsia="Times New Roman"/>
                <w:b/>
                <w:sz w:val="24"/>
              </w:rPr>
              <w:t>Metal Concentrations</w:t>
            </w:r>
          </w:p>
        </w:tc>
        <w:tc>
          <w:tcPr>
            <w:tcW w:w="188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42</w:t>
            </w:r>
          </w:p>
        </w:tc>
      </w:tr>
      <w:tr>
        <w:tblPrEx>
          <w:tblCellMar>
            <w:top w:w="0" w:type="dxa"/>
            <w:left w:w="0" w:type="dxa"/>
            <w:bottom w:w="0" w:type="dxa"/>
            <w:right w:w="0" w:type="dxa"/>
          </w:tblCellMar>
        </w:tblPrEx>
        <w:trPr>
          <w:trHeight w:val="547" w:hRule="atLeast"/>
        </w:trPr>
        <w:tc>
          <w:tcPr>
            <w:tcW w:w="56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4.2.1</w:t>
            </w:r>
          </w:p>
        </w:tc>
        <w:tc>
          <w:tcPr>
            <w:tcW w:w="6300" w:type="dxa"/>
            <w:shd w:val="clear" w:color="auto" w:fill="auto"/>
            <w:vAlign w:val="bottom"/>
          </w:tcPr>
          <w:p>
            <w:pPr>
              <w:spacing w:line="0" w:lineRule="atLeast"/>
              <w:ind w:left="240"/>
              <w:rPr>
                <w:rFonts w:ascii="Times New Roman" w:hAnsi="Times New Roman" w:eastAsia="Times New Roman"/>
                <w:sz w:val="24"/>
              </w:rPr>
            </w:pPr>
            <w:r>
              <w:rPr>
                <w:rFonts w:ascii="Times New Roman" w:hAnsi="Times New Roman" w:eastAsia="Times New Roman"/>
                <w:sz w:val="24"/>
              </w:rPr>
              <w:t>Concentration of heavy metals</w:t>
            </w:r>
          </w:p>
        </w:tc>
        <w:tc>
          <w:tcPr>
            <w:tcW w:w="188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42</w:t>
            </w:r>
          </w:p>
        </w:tc>
      </w:tr>
      <w:tr>
        <w:tblPrEx>
          <w:tblCellMar>
            <w:top w:w="0" w:type="dxa"/>
            <w:left w:w="0" w:type="dxa"/>
            <w:bottom w:w="0" w:type="dxa"/>
            <w:right w:w="0" w:type="dxa"/>
          </w:tblCellMar>
        </w:tblPrEx>
        <w:trPr>
          <w:trHeight w:val="552" w:hRule="atLeast"/>
        </w:trPr>
        <w:tc>
          <w:tcPr>
            <w:tcW w:w="56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4.2.2</w:t>
            </w:r>
          </w:p>
        </w:tc>
        <w:tc>
          <w:tcPr>
            <w:tcW w:w="6300" w:type="dxa"/>
            <w:shd w:val="clear" w:color="auto" w:fill="auto"/>
            <w:vAlign w:val="bottom"/>
          </w:tcPr>
          <w:p>
            <w:pPr>
              <w:spacing w:line="0" w:lineRule="atLeast"/>
              <w:ind w:left="240"/>
              <w:rPr>
                <w:rFonts w:ascii="Times New Roman" w:hAnsi="Times New Roman" w:eastAsia="Times New Roman"/>
                <w:sz w:val="24"/>
              </w:rPr>
            </w:pPr>
            <w:r>
              <w:rPr>
                <w:rFonts w:ascii="Times New Roman" w:hAnsi="Times New Roman" w:eastAsia="Times New Roman"/>
                <w:sz w:val="24"/>
              </w:rPr>
              <w:t>Concentrations of essential metals</w:t>
            </w:r>
          </w:p>
        </w:tc>
        <w:tc>
          <w:tcPr>
            <w:tcW w:w="188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42</w:t>
            </w:r>
          </w:p>
        </w:tc>
      </w:tr>
    </w:tbl>
    <w:p>
      <w:pPr>
        <w:spacing w:line="200" w:lineRule="exact"/>
        <w:rPr>
          <w:rFonts w:ascii="Times New Roman" w:hAnsi="Times New Roman" w:eastAsia="Times New Roman"/>
        </w:rPr>
      </w:pPr>
    </w:p>
    <w:p>
      <w:pPr>
        <w:spacing w:line="328" w:lineRule="exact"/>
        <w:rPr>
          <w:rFonts w:ascii="Times New Roman" w:hAnsi="Times New Roman" w:eastAsia="Times New Roman"/>
        </w:rPr>
      </w:pPr>
    </w:p>
    <w:p>
      <w:pPr>
        <w:spacing w:line="0" w:lineRule="atLeast"/>
        <w:ind w:left="4840"/>
        <w:rPr>
          <w:sz w:val="22"/>
        </w:rPr>
      </w:pPr>
      <w:r>
        <w:rPr>
          <w:sz w:val="22"/>
        </w:rPr>
        <w:t>xiv</w:t>
      </w:r>
    </w:p>
    <w:p>
      <w:pPr>
        <w:spacing w:line="0" w:lineRule="atLeast"/>
        <w:ind w:left="4840"/>
        <w:rPr>
          <w:sz w:val="22"/>
        </w:rPr>
        <w:sectPr>
          <w:pgSz w:w="12240" w:h="15840"/>
          <w:pgMar w:top="1430" w:right="1440" w:bottom="428" w:left="1440" w:header="0" w:footer="0" w:gutter="0"/>
          <w:cols w:equalWidth="0" w:num="1">
            <w:col w:w="9360"/>
          </w:cols>
          <w:docGrid w:linePitch="360" w:charSpace="0"/>
        </w:sectPr>
      </w:pPr>
    </w:p>
    <w:p>
      <w:pPr>
        <w:tabs>
          <w:tab w:val="left" w:pos="1280"/>
          <w:tab w:val="left" w:pos="9000"/>
        </w:tabs>
        <w:spacing w:line="0" w:lineRule="atLeast"/>
        <w:ind w:left="580"/>
        <w:rPr>
          <w:rFonts w:ascii="Times New Roman" w:hAnsi="Times New Roman" w:eastAsia="Times New Roman"/>
          <w:b/>
          <w:sz w:val="24"/>
        </w:rPr>
      </w:pPr>
      <w:bookmarkStart w:id="6" w:name="page15"/>
      <w:bookmarkEnd w:id="6"/>
      <w:r>
        <w:rPr>
          <w:rFonts w:ascii="Times New Roman" w:hAnsi="Times New Roman" w:eastAsia="Times New Roman"/>
          <w:b/>
          <w:sz w:val="24"/>
        </w:rPr>
        <w:t>4.3</w:t>
      </w:r>
      <w:r>
        <w:rPr>
          <w:rFonts w:ascii="Times New Roman" w:hAnsi="Times New Roman" w:eastAsia="Times New Roman"/>
        </w:rPr>
        <w:tab/>
      </w:r>
      <w:r>
        <w:rPr>
          <w:rFonts w:ascii="Times New Roman" w:hAnsi="Times New Roman" w:eastAsia="Times New Roman"/>
          <w:b/>
          <w:sz w:val="24"/>
        </w:rPr>
        <w:t>Concentrations of Caffeine, Aspartame and Sugar</w:t>
      </w:r>
      <w:r>
        <w:rPr>
          <w:rFonts w:ascii="Times New Roman" w:hAnsi="Times New Roman" w:eastAsia="Times New Roman"/>
        </w:rPr>
        <w:tab/>
      </w:r>
      <w:r>
        <w:rPr>
          <w:rFonts w:ascii="Times New Roman" w:hAnsi="Times New Roman" w:eastAsia="Times New Roman"/>
          <w:b/>
          <w:sz w:val="24"/>
        </w:rPr>
        <w:t>42</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9"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640"/>
        <w:gridCol w:w="6220"/>
        <w:gridCol w:w="1840"/>
      </w:tblGrid>
      <w:tr>
        <w:tblPrEx>
          <w:tblCellMar>
            <w:top w:w="0" w:type="dxa"/>
            <w:left w:w="0" w:type="dxa"/>
            <w:bottom w:w="0" w:type="dxa"/>
            <w:right w:w="0" w:type="dxa"/>
          </w:tblCellMar>
        </w:tblPrEx>
        <w:trPr>
          <w:trHeight w:val="276" w:hRule="atLeast"/>
        </w:trPr>
        <w:tc>
          <w:tcPr>
            <w:tcW w:w="640" w:type="dxa"/>
            <w:shd w:val="clear" w:color="auto" w:fill="auto"/>
            <w:vAlign w:val="bottom"/>
          </w:tcPr>
          <w:p>
            <w:pPr>
              <w:spacing w:line="0" w:lineRule="atLeast"/>
              <w:rPr>
                <w:rFonts w:ascii="Times New Roman" w:hAnsi="Times New Roman" w:eastAsia="Times New Roman"/>
                <w:sz w:val="23"/>
              </w:rPr>
            </w:pPr>
          </w:p>
        </w:tc>
        <w:tc>
          <w:tcPr>
            <w:tcW w:w="6220" w:type="dxa"/>
            <w:shd w:val="clear" w:color="auto" w:fill="auto"/>
            <w:vAlign w:val="bottom"/>
          </w:tcPr>
          <w:p>
            <w:pPr>
              <w:spacing w:line="0" w:lineRule="atLeast"/>
              <w:ind w:left="2840"/>
              <w:rPr>
                <w:rFonts w:ascii="Times New Roman" w:hAnsi="Times New Roman" w:eastAsia="Times New Roman"/>
                <w:b/>
                <w:sz w:val="24"/>
              </w:rPr>
            </w:pPr>
            <w:r>
              <w:rPr>
                <w:rFonts w:ascii="Times New Roman" w:hAnsi="Times New Roman" w:eastAsia="Times New Roman"/>
                <w:b/>
                <w:sz w:val="24"/>
              </w:rPr>
              <w:t>CHAPTER FIVE</w:t>
            </w:r>
          </w:p>
        </w:tc>
        <w:tc>
          <w:tcPr>
            <w:tcW w:w="184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52" w:hRule="atLeast"/>
        </w:trPr>
        <w:tc>
          <w:tcPr>
            <w:tcW w:w="64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5.0</w:t>
            </w:r>
          </w:p>
        </w:tc>
        <w:tc>
          <w:tcPr>
            <w:tcW w:w="6220" w:type="dxa"/>
            <w:shd w:val="clear" w:color="auto" w:fill="auto"/>
            <w:vAlign w:val="bottom"/>
          </w:tcPr>
          <w:p>
            <w:pPr>
              <w:spacing w:line="0" w:lineRule="atLeast"/>
              <w:ind w:left="160"/>
              <w:rPr>
                <w:rFonts w:ascii="Times New Roman" w:hAnsi="Times New Roman" w:eastAsia="Times New Roman"/>
                <w:b/>
                <w:sz w:val="24"/>
              </w:rPr>
            </w:pPr>
            <w:r>
              <w:rPr>
                <w:rFonts w:ascii="Times New Roman" w:hAnsi="Times New Roman" w:eastAsia="Times New Roman"/>
                <w:b/>
                <w:sz w:val="24"/>
              </w:rPr>
              <w:t>DISCUSSION</w:t>
            </w:r>
          </w:p>
        </w:tc>
        <w:tc>
          <w:tcPr>
            <w:tcW w:w="184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49</w:t>
            </w:r>
          </w:p>
        </w:tc>
      </w:tr>
      <w:tr>
        <w:tblPrEx>
          <w:tblCellMar>
            <w:top w:w="0" w:type="dxa"/>
            <w:left w:w="0" w:type="dxa"/>
            <w:bottom w:w="0" w:type="dxa"/>
            <w:right w:w="0" w:type="dxa"/>
          </w:tblCellMar>
        </w:tblPrEx>
        <w:trPr>
          <w:trHeight w:val="552" w:hRule="atLeast"/>
        </w:trPr>
        <w:tc>
          <w:tcPr>
            <w:tcW w:w="64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5.1</w:t>
            </w:r>
          </w:p>
        </w:tc>
        <w:tc>
          <w:tcPr>
            <w:tcW w:w="6220" w:type="dxa"/>
            <w:shd w:val="clear" w:color="auto" w:fill="auto"/>
            <w:vAlign w:val="bottom"/>
          </w:tcPr>
          <w:p>
            <w:pPr>
              <w:spacing w:line="0" w:lineRule="atLeast"/>
              <w:ind w:left="160"/>
              <w:rPr>
                <w:rFonts w:ascii="Times New Roman" w:hAnsi="Times New Roman" w:eastAsia="Times New Roman"/>
                <w:b/>
                <w:sz w:val="24"/>
              </w:rPr>
            </w:pPr>
            <w:r>
              <w:rPr>
                <w:rFonts w:ascii="Times New Roman" w:hAnsi="Times New Roman" w:eastAsia="Times New Roman"/>
                <w:b/>
                <w:sz w:val="24"/>
              </w:rPr>
              <w:t>Physicochemical Parameters of the Samples</w:t>
            </w:r>
          </w:p>
        </w:tc>
        <w:tc>
          <w:tcPr>
            <w:tcW w:w="184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49</w:t>
            </w:r>
          </w:p>
        </w:tc>
      </w:tr>
      <w:tr>
        <w:tblPrEx>
          <w:tblCellMar>
            <w:top w:w="0" w:type="dxa"/>
            <w:left w:w="0" w:type="dxa"/>
            <w:bottom w:w="0" w:type="dxa"/>
            <w:right w:w="0" w:type="dxa"/>
          </w:tblCellMar>
        </w:tblPrEx>
        <w:trPr>
          <w:trHeight w:val="548" w:hRule="atLeast"/>
        </w:trPr>
        <w:tc>
          <w:tcPr>
            <w:tcW w:w="6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5.1.1</w:t>
            </w:r>
          </w:p>
        </w:tc>
        <w:tc>
          <w:tcPr>
            <w:tcW w:w="6220" w:type="dxa"/>
            <w:shd w:val="clear" w:color="auto" w:fill="auto"/>
            <w:vAlign w:val="bottom"/>
          </w:tcPr>
          <w:p>
            <w:pPr>
              <w:spacing w:line="0" w:lineRule="atLeast"/>
              <w:ind w:left="160"/>
              <w:rPr>
                <w:rFonts w:ascii="Times New Roman" w:hAnsi="Times New Roman" w:eastAsia="Times New Roman"/>
                <w:sz w:val="24"/>
              </w:rPr>
            </w:pPr>
            <w:r>
              <w:rPr>
                <w:rFonts w:ascii="Times New Roman" w:hAnsi="Times New Roman" w:eastAsia="Times New Roman"/>
                <w:sz w:val="24"/>
              </w:rPr>
              <w:t>pH</w:t>
            </w:r>
          </w:p>
        </w:tc>
        <w:tc>
          <w:tcPr>
            <w:tcW w:w="18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49</w:t>
            </w:r>
          </w:p>
        </w:tc>
      </w:tr>
      <w:tr>
        <w:tblPrEx>
          <w:tblCellMar>
            <w:top w:w="0" w:type="dxa"/>
            <w:left w:w="0" w:type="dxa"/>
            <w:bottom w:w="0" w:type="dxa"/>
            <w:right w:w="0" w:type="dxa"/>
          </w:tblCellMar>
        </w:tblPrEx>
        <w:trPr>
          <w:trHeight w:val="552" w:hRule="atLeast"/>
        </w:trPr>
        <w:tc>
          <w:tcPr>
            <w:tcW w:w="6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5.1.2</w:t>
            </w:r>
          </w:p>
        </w:tc>
        <w:tc>
          <w:tcPr>
            <w:tcW w:w="6220" w:type="dxa"/>
            <w:shd w:val="clear" w:color="auto" w:fill="auto"/>
            <w:vAlign w:val="bottom"/>
          </w:tcPr>
          <w:p>
            <w:pPr>
              <w:spacing w:line="0" w:lineRule="atLeast"/>
              <w:ind w:left="160"/>
              <w:rPr>
                <w:rFonts w:ascii="Times New Roman" w:hAnsi="Times New Roman" w:eastAsia="Times New Roman"/>
                <w:sz w:val="24"/>
              </w:rPr>
            </w:pPr>
            <w:r>
              <w:rPr>
                <w:rFonts w:ascii="Times New Roman" w:hAnsi="Times New Roman" w:eastAsia="Times New Roman"/>
                <w:sz w:val="24"/>
              </w:rPr>
              <w:t>Turbidity</w:t>
            </w:r>
          </w:p>
        </w:tc>
        <w:tc>
          <w:tcPr>
            <w:tcW w:w="18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50</w:t>
            </w:r>
          </w:p>
        </w:tc>
      </w:tr>
      <w:tr>
        <w:tblPrEx>
          <w:tblCellMar>
            <w:top w:w="0" w:type="dxa"/>
            <w:left w:w="0" w:type="dxa"/>
            <w:bottom w:w="0" w:type="dxa"/>
            <w:right w:w="0" w:type="dxa"/>
          </w:tblCellMar>
        </w:tblPrEx>
        <w:trPr>
          <w:trHeight w:val="552" w:hRule="atLeast"/>
        </w:trPr>
        <w:tc>
          <w:tcPr>
            <w:tcW w:w="6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5.1.3</w:t>
            </w:r>
          </w:p>
        </w:tc>
        <w:tc>
          <w:tcPr>
            <w:tcW w:w="6220" w:type="dxa"/>
            <w:shd w:val="clear" w:color="auto" w:fill="auto"/>
            <w:vAlign w:val="bottom"/>
          </w:tcPr>
          <w:p>
            <w:pPr>
              <w:spacing w:line="0" w:lineRule="atLeast"/>
              <w:ind w:left="160"/>
              <w:rPr>
                <w:rFonts w:ascii="Times New Roman" w:hAnsi="Times New Roman" w:eastAsia="Times New Roman"/>
                <w:sz w:val="24"/>
              </w:rPr>
            </w:pPr>
            <w:r>
              <w:rPr>
                <w:rFonts w:ascii="Times New Roman" w:hAnsi="Times New Roman" w:eastAsia="Times New Roman"/>
                <w:sz w:val="24"/>
              </w:rPr>
              <w:t>Total dissolved solids</w:t>
            </w:r>
          </w:p>
        </w:tc>
        <w:tc>
          <w:tcPr>
            <w:tcW w:w="18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51</w:t>
            </w:r>
          </w:p>
        </w:tc>
      </w:tr>
      <w:tr>
        <w:tblPrEx>
          <w:tblCellMar>
            <w:top w:w="0" w:type="dxa"/>
            <w:left w:w="0" w:type="dxa"/>
            <w:bottom w:w="0" w:type="dxa"/>
            <w:right w:w="0" w:type="dxa"/>
          </w:tblCellMar>
        </w:tblPrEx>
        <w:trPr>
          <w:trHeight w:val="553" w:hRule="atLeast"/>
        </w:trPr>
        <w:tc>
          <w:tcPr>
            <w:tcW w:w="6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5.1.4</w:t>
            </w:r>
          </w:p>
        </w:tc>
        <w:tc>
          <w:tcPr>
            <w:tcW w:w="6220" w:type="dxa"/>
            <w:shd w:val="clear" w:color="auto" w:fill="auto"/>
            <w:vAlign w:val="bottom"/>
          </w:tcPr>
          <w:p>
            <w:pPr>
              <w:spacing w:line="0" w:lineRule="atLeast"/>
              <w:ind w:left="160"/>
              <w:rPr>
                <w:rFonts w:ascii="Times New Roman" w:hAnsi="Times New Roman" w:eastAsia="Times New Roman"/>
                <w:sz w:val="24"/>
              </w:rPr>
            </w:pPr>
            <w:r>
              <w:rPr>
                <w:rFonts w:ascii="Times New Roman" w:hAnsi="Times New Roman" w:eastAsia="Times New Roman"/>
                <w:sz w:val="24"/>
              </w:rPr>
              <w:t>Conductivity</w:t>
            </w:r>
          </w:p>
        </w:tc>
        <w:tc>
          <w:tcPr>
            <w:tcW w:w="18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52</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720"/>
        <w:gridCol w:w="5040"/>
        <w:gridCol w:w="3000"/>
      </w:tblGrid>
      <w:tr>
        <w:tblPrEx>
          <w:tblCellMar>
            <w:top w:w="0" w:type="dxa"/>
            <w:left w:w="0" w:type="dxa"/>
            <w:bottom w:w="0" w:type="dxa"/>
            <w:right w:w="0" w:type="dxa"/>
          </w:tblCellMar>
        </w:tblPrEx>
        <w:trPr>
          <w:trHeight w:val="276" w:hRule="atLeast"/>
        </w:trPr>
        <w:tc>
          <w:tcPr>
            <w:tcW w:w="720" w:type="dxa"/>
            <w:shd w:val="clear" w:color="auto" w:fill="auto"/>
            <w:vAlign w:val="bottom"/>
          </w:tcPr>
          <w:p>
            <w:pPr>
              <w:spacing w:line="0" w:lineRule="atLeast"/>
              <w:rPr>
                <w:rFonts w:ascii="Times New Roman" w:hAnsi="Times New Roman" w:eastAsia="Times New Roman"/>
                <w:b/>
                <w:sz w:val="24"/>
              </w:rPr>
            </w:pPr>
            <w:r>
              <w:rPr>
                <w:rFonts w:ascii="Times New Roman" w:hAnsi="Times New Roman" w:eastAsia="Times New Roman"/>
                <w:b/>
                <w:sz w:val="24"/>
              </w:rPr>
              <w:t>5.2</w:t>
            </w:r>
          </w:p>
        </w:tc>
        <w:tc>
          <w:tcPr>
            <w:tcW w:w="5040" w:type="dxa"/>
            <w:shd w:val="clear" w:color="auto" w:fill="auto"/>
            <w:vAlign w:val="bottom"/>
          </w:tcPr>
          <w:p>
            <w:pPr>
              <w:spacing w:line="0" w:lineRule="atLeast"/>
              <w:ind w:left="80"/>
              <w:rPr>
                <w:rFonts w:ascii="Times New Roman" w:hAnsi="Times New Roman" w:eastAsia="Times New Roman"/>
                <w:b/>
                <w:sz w:val="24"/>
              </w:rPr>
            </w:pPr>
            <w:r>
              <w:rPr>
                <w:rFonts w:ascii="Times New Roman" w:hAnsi="Times New Roman" w:eastAsia="Times New Roman"/>
                <w:b/>
                <w:sz w:val="24"/>
              </w:rPr>
              <w:t>Metal Concentrations</w:t>
            </w:r>
          </w:p>
        </w:tc>
        <w:tc>
          <w:tcPr>
            <w:tcW w:w="300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52</w:t>
            </w:r>
          </w:p>
        </w:tc>
      </w:tr>
      <w:tr>
        <w:tblPrEx>
          <w:tblCellMar>
            <w:top w:w="0" w:type="dxa"/>
            <w:left w:w="0" w:type="dxa"/>
            <w:bottom w:w="0" w:type="dxa"/>
            <w:right w:w="0" w:type="dxa"/>
          </w:tblCellMar>
        </w:tblPrEx>
        <w:trPr>
          <w:trHeight w:val="548"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5.2.1</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Heavy metals</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52</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5.2.1.1</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Cadmium</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53</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5.2.1.2</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Lead</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54</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5.2.1.3</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Copper</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54</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5.2.1.4</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Manganese</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55</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5.2.1.5</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Zinc</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56</w:t>
            </w:r>
          </w:p>
        </w:tc>
      </w:tr>
      <w:tr>
        <w:tblPrEx>
          <w:tblCellMar>
            <w:top w:w="0" w:type="dxa"/>
            <w:left w:w="0" w:type="dxa"/>
            <w:bottom w:w="0" w:type="dxa"/>
            <w:right w:w="0" w:type="dxa"/>
          </w:tblCellMar>
        </w:tblPrEx>
        <w:trPr>
          <w:trHeight w:val="553"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5.2.2</w:t>
            </w:r>
          </w:p>
        </w:tc>
        <w:tc>
          <w:tcPr>
            <w:tcW w:w="5040" w:type="dxa"/>
            <w:shd w:val="clear" w:color="auto" w:fill="auto"/>
            <w:vAlign w:val="bottom"/>
          </w:tcPr>
          <w:p>
            <w:pPr>
              <w:spacing w:line="0" w:lineRule="atLeast"/>
              <w:ind w:left="80"/>
              <w:rPr>
                <w:rFonts w:ascii="Times New Roman" w:hAnsi="Times New Roman" w:eastAsia="Times New Roman"/>
                <w:sz w:val="24"/>
              </w:rPr>
            </w:pPr>
            <w:r>
              <w:rPr>
                <w:rFonts w:ascii="Times New Roman" w:hAnsi="Times New Roman" w:eastAsia="Times New Roman"/>
                <w:sz w:val="24"/>
              </w:rPr>
              <w:t>Essential Metals</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57</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5.2.2.1</w:t>
            </w:r>
          </w:p>
        </w:tc>
        <w:tc>
          <w:tcPr>
            <w:tcW w:w="5040" w:type="dxa"/>
            <w:shd w:val="clear" w:color="auto" w:fill="auto"/>
            <w:vAlign w:val="bottom"/>
          </w:tcPr>
          <w:p>
            <w:pPr>
              <w:spacing w:line="0" w:lineRule="atLeast"/>
              <w:ind w:left="160"/>
              <w:rPr>
                <w:rFonts w:ascii="Times New Roman" w:hAnsi="Times New Roman" w:eastAsia="Times New Roman"/>
                <w:sz w:val="24"/>
              </w:rPr>
            </w:pPr>
            <w:r>
              <w:rPr>
                <w:rFonts w:ascii="Times New Roman" w:hAnsi="Times New Roman" w:eastAsia="Times New Roman"/>
                <w:sz w:val="24"/>
              </w:rPr>
              <w:t>Iron</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58</w:t>
            </w:r>
          </w:p>
        </w:tc>
      </w:tr>
      <w:tr>
        <w:tblPrEx>
          <w:tblCellMar>
            <w:top w:w="0" w:type="dxa"/>
            <w:left w:w="0" w:type="dxa"/>
            <w:bottom w:w="0" w:type="dxa"/>
            <w:right w:w="0" w:type="dxa"/>
          </w:tblCellMar>
        </w:tblPrEx>
        <w:trPr>
          <w:trHeight w:val="552" w:hRule="atLeast"/>
        </w:trPr>
        <w:tc>
          <w:tcPr>
            <w:tcW w:w="5760" w:type="dxa"/>
            <w:gridSpan w:val="2"/>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5.2.2.2 Calcium</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58</w:t>
            </w:r>
          </w:p>
        </w:tc>
      </w:tr>
      <w:tr>
        <w:tblPrEx>
          <w:tblCellMar>
            <w:top w:w="0" w:type="dxa"/>
            <w:left w:w="0" w:type="dxa"/>
            <w:bottom w:w="0" w:type="dxa"/>
            <w:right w:w="0" w:type="dxa"/>
          </w:tblCellMar>
        </w:tblPrEx>
        <w:trPr>
          <w:trHeight w:val="552" w:hRule="atLeast"/>
        </w:trPr>
        <w:tc>
          <w:tcPr>
            <w:tcW w:w="72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5.2.2.3</w:t>
            </w:r>
          </w:p>
        </w:tc>
        <w:tc>
          <w:tcPr>
            <w:tcW w:w="5040" w:type="dxa"/>
            <w:shd w:val="clear" w:color="auto" w:fill="auto"/>
            <w:vAlign w:val="bottom"/>
          </w:tcPr>
          <w:p>
            <w:pPr>
              <w:spacing w:line="0" w:lineRule="atLeast"/>
              <w:ind w:left="60"/>
              <w:rPr>
                <w:rFonts w:ascii="Times New Roman" w:hAnsi="Times New Roman" w:eastAsia="Times New Roman"/>
                <w:sz w:val="24"/>
              </w:rPr>
            </w:pPr>
            <w:r>
              <w:rPr>
                <w:rFonts w:ascii="Times New Roman" w:hAnsi="Times New Roman" w:eastAsia="Times New Roman"/>
                <w:sz w:val="24"/>
              </w:rPr>
              <w:t>Potassium</w:t>
            </w:r>
          </w:p>
        </w:tc>
        <w:tc>
          <w:tcPr>
            <w:tcW w:w="300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59</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9" w:lineRule="exact"/>
        <w:rPr>
          <w:rFonts w:ascii="Times New Roman" w:hAnsi="Times New Roman" w:eastAsia="Times New Roman"/>
        </w:rPr>
      </w:pPr>
    </w:p>
    <w:p>
      <w:pPr>
        <w:spacing w:line="0" w:lineRule="atLeast"/>
        <w:ind w:left="4860"/>
        <w:rPr>
          <w:sz w:val="22"/>
        </w:rPr>
      </w:pPr>
      <w:r>
        <w:rPr>
          <w:sz w:val="22"/>
        </w:rPr>
        <w:t>xv</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tbl>
      <w:tblPr>
        <w:tblStyle w:val="3"/>
        <w:tblW w:w="0" w:type="auto"/>
        <w:tblInd w:w="580" w:type="dxa"/>
        <w:tblLayout w:type="fixed"/>
        <w:tblCellMar>
          <w:top w:w="0" w:type="dxa"/>
          <w:left w:w="0" w:type="dxa"/>
          <w:bottom w:w="0" w:type="dxa"/>
          <w:right w:w="0" w:type="dxa"/>
        </w:tblCellMar>
      </w:tblPr>
      <w:tblGrid>
        <w:gridCol w:w="600"/>
        <w:gridCol w:w="7340"/>
        <w:gridCol w:w="760"/>
      </w:tblGrid>
      <w:tr>
        <w:tblPrEx>
          <w:tblCellMar>
            <w:top w:w="0" w:type="dxa"/>
            <w:left w:w="0" w:type="dxa"/>
            <w:bottom w:w="0" w:type="dxa"/>
            <w:right w:w="0" w:type="dxa"/>
          </w:tblCellMar>
        </w:tblPrEx>
        <w:trPr>
          <w:trHeight w:val="276" w:hRule="atLeast"/>
        </w:trPr>
        <w:tc>
          <w:tcPr>
            <w:tcW w:w="600" w:type="dxa"/>
            <w:shd w:val="clear" w:color="auto" w:fill="auto"/>
            <w:vAlign w:val="bottom"/>
          </w:tcPr>
          <w:p>
            <w:pPr>
              <w:spacing w:line="0" w:lineRule="atLeast"/>
              <w:rPr>
                <w:rFonts w:ascii="Times New Roman" w:hAnsi="Times New Roman" w:eastAsia="Times New Roman"/>
                <w:b/>
                <w:sz w:val="24"/>
              </w:rPr>
            </w:pPr>
            <w:bookmarkStart w:id="7" w:name="page16"/>
            <w:bookmarkEnd w:id="7"/>
            <w:r>
              <w:rPr>
                <w:rFonts w:ascii="Times New Roman" w:hAnsi="Times New Roman" w:eastAsia="Times New Roman"/>
                <w:b/>
                <w:sz w:val="24"/>
              </w:rPr>
              <w:t>5.3</w:t>
            </w:r>
          </w:p>
        </w:tc>
        <w:tc>
          <w:tcPr>
            <w:tcW w:w="7340" w:type="dxa"/>
            <w:shd w:val="clear" w:color="auto" w:fill="auto"/>
            <w:vAlign w:val="bottom"/>
          </w:tcPr>
          <w:p>
            <w:pPr>
              <w:spacing w:line="0" w:lineRule="atLeast"/>
              <w:ind w:left="120"/>
              <w:rPr>
                <w:rFonts w:ascii="Times New Roman" w:hAnsi="Times New Roman" w:eastAsia="Times New Roman"/>
                <w:b/>
                <w:sz w:val="24"/>
              </w:rPr>
            </w:pPr>
            <w:r>
              <w:rPr>
                <w:rFonts w:ascii="Times New Roman" w:hAnsi="Times New Roman" w:eastAsia="Times New Roman"/>
                <w:b/>
                <w:sz w:val="24"/>
              </w:rPr>
              <w:t>Caffeine, Aspartame and Sugar Concentrations in Energy Drinks</w:t>
            </w:r>
          </w:p>
        </w:tc>
        <w:tc>
          <w:tcPr>
            <w:tcW w:w="76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60</w:t>
            </w:r>
          </w:p>
        </w:tc>
      </w:tr>
      <w:tr>
        <w:tblPrEx>
          <w:tblCellMar>
            <w:top w:w="0" w:type="dxa"/>
            <w:left w:w="0" w:type="dxa"/>
            <w:bottom w:w="0" w:type="dxa"/>
            <w:right w:w="0" w:type="dxa"/>
          </w:tblCellMar>
        </w:tblPrEx>
        <w:trPr>
          <w:trHeight w:val="547"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5.3.1</w:t>
            </w:r>
          </w:p>
        </w:tc>
        <w:tc>
          <w:tcPr>
            <w:tcW w:w="734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Caffeine</w:t>
            </w:r>
          </w:p>
        </w:tc>
        <w:tc>
          <w:tcPr>
            <w:tcW w:w="7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60</w:t>
            </w:r>
          </w:p>
        </w:tc>
      </w:tr>
      <w:tr>
        <w:tblPrEx>
          <w:tblCellMar>
            <w:top w:w="0" w:type="dxa"/>
            <w:left w:w="0" w:type="dxa"/>
            <w:bottom w:w="0" w:type="dxa"/>
            <w:right w:w="0" w:type="dxa"/>
          </w:tblCellMar>
        </w:tblPrEx>
        <w:trPr>
          <w:trHeight w:val="553"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5.3.2</w:t>
            </w:r>
          </w:p>
        </w:tc>
        <w:tc>
          <w:tcPr>
            <w:tcW w:w="734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Aspartame</w:t>
            </w:r>
          </w:p>
        </w:tc>
        <w:tc>
          <w:tcPr>
            <w:tcW w:w="7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63</w:t>
            </w:r>
          </w:p>
        </w:tc>
      </w:tr>
      <w:tr>
        <w:tblPrEx>
          <w:tblCellMar>
            <w:top w:w="0" w:type="dxa"/>
            <w:left w:w="0" w:type="dxa"/>
            <w:bottom w:w="0" w:type="dxa"/>
            <w:right w:w="0" w:type="dxa"/>
          </w:tblCellMar>
        </w:tblPrEx>
        <w:trPr>
          <w:trHeight w:val="552" w:hRule="atLeast"/>
        </w:trPr>
        <w:tc>
          <w:tcPr>
            <w:tcW w:w="6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5.3.3</w:t>
            </w:r>
          </w:p>
        </w:tc>
        <w:tc>
          <w:tcPr>
            <w:tcW w:w="734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Sugar</w:t>
            </w:r>
          </w:p>
        </w:tc>
        <w:tc>
          <w:tcPr>
            <w:tcW w:w="7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65</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500"/>
        <w:gridCol w:w="2600"/>
        <w:gridCol w:w="5640"/>
      </w:tblGrid>
      <w:tr>
        <w:tblPrEx>
          <w:tblCellMar>
            <w:top w:w="0" w:type="dxa"/>
            <w:left w:w="0" w:type="dxa"/>
            <w:bottom w:w="0" w:type="dxa"/>
            <w:right w:w="0" w:type="dxa"/>
          </w:tblCellMar>
        </w:tblPrEx>
        <w:trPr>
          <w:trHeight w:val="276" w:hRule="atLeast"/>
        </w:trPr>
        <w:tc>
          <w:tcPr>
            <w:tcW w:w="500" w:type="dxa"/>
            <w:shd w:val="clear" w:color="auto" w:fill="auto"/>
            <w:vAlign w:val="bottom"/>
          </w:tcPr>
          <w:p>
            <w:pPr>
              <w:spacing w:line="0" w:lineRule="atLeast"/>
              <w:rPr>
                <w:rFonts w:ascii="Times New Roman" w:hAnsi="Times New Roman" w:eastAsia="Times New Roman"/>
                <w:sz w:val="23"/>
              </w:rPr>
            </w:pPr>
          </w:p>
        </w:tc>
        <w:tc>
          <w:tcPr>
            <w:tcW w:w="2600" w:type="dxa"/>
            <w:shd w:val="clear" w:color="auto" w:fill="auto"/>
            <w:vAlign w:val="bottom"/>
          </w:tcPr>
          <w:p>
            <w:pPr>
              <w:spacing w:line="0" w:lineRule="atLeast"/>
              <w:rPr>
                <w:rFonts w:ascii="Times New Roman" w:hAnsi="Times New Roman" w:eastAsia="Times New Roman"/>
                <w:sz w:val="23"/>
              </w:rPr>
            </w:pPr>
          </w:p>
        </w:tc>
        <w:tc>
          <w:tcPr>
            <w:tcW w:w="5640" w:type="dxa"/>
            <w:shd w:val="clear" w:color="auto" w:fill="auto"/>
            <w:vAlign w:val="bottom"/>
          </w:tcPr>
          <w:p>
            <w:pPr>
              <w:spacing w:line="0" w:lineRule="atLeast"/>
              <w:ind w:right="3420"/>
              <w:jc w:val="right"/>
              <w:rPr>
                <w:rFonts w:ascii="Times New Roman" w:hAnsi="Times New Roman" w:eastAsia="Times New Roman"/>
                <w:b/>
                <w:sz w:val="24"/>
              </w:rPr>
            </w:pPr>
            <w:r>
              <w:rPr>
                <w:rFonts w:ascii="Times New Roman" w:hAnsi="Times New Roman" w:eastAsia="Times New Roman"/>
                <w:b/>
                <w:sz w:val="24"/>
              </w:rPr>
              <w:t>CHAPTER SIX</w:t>
            </w:r>
          </w:p>
        </w:tc>
      </w:tr>
      <w:tr>
        <w:tblPrEx>
          <w:tblCellMar>
            <w:top w:w="0" w:type="dxa"/>
            <w:left w:w="0" w:type="dxa"/>
            <w:bottom w:w="0" w:type="dxa"/>
            <w:right w:w="0" w:type="dxa"/>
          </w:tblCellMar>
        </w:tblPrEx>
        <w:trPr>
          <w:trHeight w:val="552" w:hRule="atLeast"/>
        </w:trPr>
        <w:tc>
          <w:tcPr>
            <w:tcW w:w="500" w:type="dxa"/>
            <w:shd w:val="clear" w:color="auto" w:fill="auto"/>
            <w:vAlign w:val="bottom"/>
          </w:tcPr>
          <w:p>
            <w:pPr>
              <w:spacing w:line="0" w:lineRule="atLeast"/>
              <w:ind w:right="80"/>
              <w:jc w:val="right"/>
              <w:rPr>
                <w:rFonts w:ascii="Times New Roman" w:hAnsi="Times New Roman" w:eastAsia="Times New Roman"/>
                <w:b/>
                <w:w w:val="93"/>
                <w:sz w:val="24"/>
              </w:rPr>
            </w:pPr>
            <w:r>
              <w:rPr>
                <w:rFonts w:ascii="Times New Roman" w:hAnsi="Times New Roman" w:eastAsia="Times New Roman"/>
                <w:b/>
                <w:w w:val="93"/>
                <w:sz w:val="24"/>
              </w:rPr>
              <w:t>6.0</w:t>
            </w:r>
          </w:p>
        </w:tc>
        <w:tc>
          <w:tcPr>
            <w:tcW w:w="2600" w:type="dxa"/>
            <w:shd w:val="clear" w:color="auto" w:fill="auto"/>
            <w:vAlign w:val="bottom"/>
          </w:tcPr>
          <w:p>
            <w:pPr>
              <w:spacing w:line="0" w:lineRule="atLeast"/>
              <w:ind w:left="220"/>
              <w:rPr>
                <w:rFonts w:ascii="Times New Roman" w:hAnsi="Times New Roman" w:eastAsia="Times New Roman"/>
                <w:b/>
                <w:sz w:val="24"/>
              </w:rPr>
            </w:pPr>
            <w:r>
              <w:rPr>
                <w:rFonts w:ascii="Times New Roman" w:hAnsi="Times New Roman" w:eastAsia="Times New Roman"/>
                <w:b/>
                <w:sz w:val="24"/>
              </w:rPr>
              <w:t>Conclusion</w:t>
            </w:r>
          </w:p>
        </w:tc>
        <w:tc>
          <w:tcPr>
            <w:tcW w:w="564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68</w:t>
            </w:r>
          </w:p>
        </w:tc>
      </w:tr>
      <w:tr>
        <w:tblPrEx>
          <w:tblCellMar>
            <w:top w:w="0" w:type="dxa"/>
            <w:left w:w="0" w:type="dxa"/>
            <w:bottom w:w="0" w:type="dxa"/>
            <w:right w:w="0" w:type="dxa"/>
          </w:tblCellMar>
        </w:tblPrEx>
        <w:trPr>
          <w:trHeight w:val="552" w:hRule="atLeast"/>
        </w:trPr>
        <w:tc>
          <w:tcPr>
            <w:tcW w:w="500" w:type="dxa"/>
            <w:shd w:val="clear" w:color="auto" w:fill="auto"/>
            <w:vAlign w:val="bottom"/>
          </w:tcPr>
          <w:p>
            <w:pPr>
              <w:spacing w:line="0" w:lineRule="atLeast"/>
              <w:ind w:right="80"/>
              <w:jc w:val="right"/>
              <w:rPr>
                <w:rFonts w:ascii="Times New Roman" w:hAnsi="Times New Roman" w:eastAsia="Times New Roman"/>
                <w:b/>
                <w:w w:val="93"/>
                <w:sz w:val="24"/>
              </w:rPr>
            </w:pPr>
            <w:r>
              <w:rPr>
                <w:rFonts w:ascii="Times New Roman" w:hAnsi="Times New Roman" w:eastAsia="Times New Roman"/>
                <w:b/>
                <w:w w:val="93"/>
                <w:sz w:val="24"/>
              </w:rPr>
              <w:t>6.1</w:t>
            </w:r>
          </w:p>
        </w:tc>
        <w:tc>
          <w:tcPr>
            <w:tcW w:w="2600" w:type="dxa"/>
            <w:shd w:val="clear" w:color="auto" w:fill="auto"/>
            <w:vAlign w:val="bottom"/>
          </w:tcPr>
          <w:p>
            <w:pPr>
              <w:spacing w:line="0" w:lineRule="atLeast"/>
              <w:ind w:left="220"/>
              <w:rPr>
                <w:rFonts w:ascii="Times New Roman" w:hAnsi="Times New Roman" w:eastAsia="Times New Roman"/>
                <w:b/>
                <w:sz w:val="24"/>
              </w:rPr>
            </w:pPr>
            <w:r>
              <w:rPr>
                <w:rFonts w:ascii="Times New Roman" w:hAnsi="Times New Roman" w:eastAsia="Times New Roman"/>
                <w:b/>
                <w:sz w:val="24"/>
              </w:rPr>
              <w:t>Recommendations</w:t>
            </w:r>
          </w:p>
        </w:tc>
        <w:tc>
          <w:tcPr>
            <w:tcW w:w="5640" w:type="dxa"/>
            <w:shd w:val="clear" w:color="auto" w:fill="auto"/>
            <w:vAlign w:val="bottom"/>
          </w:tcPr>
          <w:p>
            <w:pPr>
              <w:spacing w:line="0" w:lineRule="atLeast"/>
              <w:jc w:val="right"/>
              <w:rPr>
                <w:rFonts w:ascii="Times New Roman" w:hAnsi="Times New Roman" w:eastAsia="Times New Roman"/>
                <w:b/>
                <w:sz w:val="24"/>
              </w:rPr>
            </w:pPr>
            <w:r>
              <w:rPr>
                <w:rFonts w:ascii="Times New Roman" w:hAnsi="Times New Roman" w:eastAsia="Times New Roman"/>
                <w:b/>
                <w:sz w:val="24"/>
              </w:rPr>
              <w:t>70</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4" w:lineRule="exact"/>
        <w:rPr>
          <w:rFonts w:ascii="Times New Roman" w:hAnsi="Times New Roman" w:eastAsia="Times New Roman"/>
        </w:rPr>
      </w:pPr>
    </w:p>
    <w:tbl>
      <w:tblPr>
        <w:tblStyle w:val="3"/>
        <w:tblW w:w="0" w:type="auto"/>
        <w:tblInd w:w="580" w:type="dxa"/>
        <w:tblLayout w:type="fixed"/>
        <w:tblCellMar>
          <w:top w:w="0" w:type="dxa"/>
          <w:left w:w="0" w:type="dxa"/>
          <w:bottom w:w="0" w:type="dxa"/>
          <w:right w:w="0" w:type="dxa"/>
        </w:tblCellMar>
      </w:tblPr>
      <w:tblGrid>
        <w:gridCol w:w="4780"/>
        <w:gridCol w:w="3940"/>
      </w:tblGrid>
      <w:tr>
        <w:tblPrEx>
          <w:tblCellMar>
            <w:top w:w="0" w:type="dxa"/>
            <w:left w:w="0" w:type="dxa"/>
            <w:bottom w:w="0" w:type="dxa"/>
            <w:right w:w="0" w:type="dxa"/>
          </w:tblCellMar>
        </w:tblPrEx>
        <w:trPr>
          <w:trHeight w:val="276" w:hRule="atLeast"/>
        </w:trPr>
        <w:tc>
          <w:tcPr>
            <w:tcW w:w="47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Reference</w:t>
            </w:r>
          </w:p>
        </w:tc>
        <w:tc>
          <w:tcPr>
            <w:tcW w:w="39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72</w:t>
            </w:r>
          </w:p>
        </w:tc>
      </w:tr>
      <w:tr>
        <w:tblPrEx>
          <w:tblCellMar>
            <w:top w:w="0" w:type="dxa"/>
            <w:left w:w="0" w:type="dxa"/>
            <w:bottom w:w="0" w:type="dxa"/>
            <w:right w:w="0" w:type="dxa"/>
          </w:tblCellMar>
        </w:tblPrEx>
        <w:trPr>
          <w:trHeight w:val="552" w:hRule="atLeast"/>
        </w:trPr>
        <w:tc>
          <w:tcPr>
            <w:tcW w:w="478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Appendices</w:t>
            </w:r>
          </w:p>
        </w:tc>
        <w:tc>
          <w:tcPr>
            <w:tcW w:w="39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88</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1" w:lineRule="exact"/>
        <w:rPr>
          <w:rFonts w:ascii="Times New Roman" w:hAnsi="Times New Roman" w:eastAsia="Times New Roman"/>
        </w:rPr>
      </w:pPr>
    </w:p>
    <w:p>
      <w:pPr>
        <w:spacing w:line="0" w:lineRule="atLeast"/>
        <w:ind w:left="4840"/>
        <w:rPr>
          <w:sz w:val="22"/>
        </w:rPr>
      </w:pPr>
      <w:r>
        <w:rPr>
          <w:sz w:val="22"/>
        </w:rPr>
        <w:t>xvi</w:t>
      </w:r>
    </w:p>
    <w:p>
      <w:pPr>
        <w:spacing w:line="0" w:lineRule="atLeast"/>
        <w:ind w:left="4840"/>
        <w:rPr>
          <w:sz w:val="22"/>
        </w:rPr>
        <w:sectPr>
          <w:pgSz w:w="12240" w:h="15840"/>
          <w:pgMar w:top="1435" w:right="1440" w:bottom="428" w:left="1440" w:header="0" w:footer="0" w:gutter="0"/>
          <w:cols w:equalWidth="0" w:num="1">
            <w:col w:w="9360"/>
          </w:cols>
          <w:docGrid w:linePitch="360" w:charSpace="0"/>
        </w:sectPr>
      </w:pPr>
    </w:p>
    <w:tbl>
      <w:tblPr>
        <w:tblStyle w:val="3"/>
        <w:tblW w:w="0" w:type="auto"/>
        <w:tblInd w:w="580" w:type="dxa"/>
        <w:tblLayout w:type="fixed"/>
        <w:tblCellMar>
          <w:top w:w="0" w:type="dxa"/>
          <w:left w:w="0" w:type="dxa"/>
          <w:bottom w:w="0" w:type="dxa"/>
          <w:right w:w="0" w:type="dxa"/>
        </w:tblCellMar>
      </w:tblPr>
      <w:tblGrid>
        <w:gridCol w:w="1240"/>
        <w:gridCol w:w="6980"/>
        <w:gridCol w:w="460"/>
      </w:tblGrid>
      <w:tr>
        <w:tblPrEx>
          <w:tblCellMar>
            <w:top w:w="0" w:type="dxa"/>
            <w:left w:w="0" w:type="dxa"/>
            <w:bottom w:w="0" w:type="dxa"/>
            <w:right w:w="0" w:type="dxa"/>
          </w:tblCellMar>
        </w:tblPrEx>
        <w:trPr>
          <w:trHeight w:val="276" w:hRule="atLeast"/>
        </w:trPr>
        <w:tc>
          <w:tcPr>
            <w:tcW w:w="1240" w:type="dxa"/>
            <w:shd w:val="clear" w:color="auto" w:fill="auto"/>
            <w:vAlign w:val="bottom"/>
          </w:tcPr>
          <w:p>
            <w:pPr>
              <w:spacing w:line="0" w:lineRule="atLeast"/>
              <w:rPr>
                <w:rFonts w:ascii="Times New Roman" w:hAnsi="Times New Roman" w:eastAsia="Times New Roman"/>
                <w:sz w:val="23"/>
              </w:rPr>
            </w:pPr>
            <w:bookmarkStart w:id="8" w:name="page17"/>
            <w:bookmarkEnd w:id="8"/>
          </w:p>
        </w:tc>
        <w:tc>
          <w:tcPr>
            <w:tcW w:w="6980" w:type="dxa"/>
            <w:shd w:val="clear" w:color="auto" w:fill="auto"/>
            <w:vAlign w:val="bottom"/>
          </w:tcPr>
          <w:p>
            <w:pPr>
              <w:spacing w:line="0" w:lineRule="atLeast"/>
              <w:ind w:left="2400"/>
              <w:rPr>
                <w:rFonts w:ascii="Times New Roman" w:hAnsi="Times New Roman" w:eastAsia="Times New Roman"/>
                <w:b/>
                <w:sz w:val="24"/>
              </w:rPr>
            </w:pPr>
            <w:r>
              <w:rPr>
                <w:rFonts w:ascii="Times New Roman" w:hAnsi="Times New Roman" w:eastAsia="Times New Roman"/>
                <w:b/>
                <w:sz w:val="24"/>
              </w:rPr>
              <w:t>List of Figures</w:t>
            </w:r>
          </w:p>
        </w:tc>
        <w:tc>
          <w:tcPr>
            <w:tcW w:w="46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18" w:hRule="atLeast"/>
        </w:trPr>
        <w:tc>
          <w:tcPr>
            <w:tcW w:w="12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Figure 2.1:</w:t>
            </w:r>
          </w:p>
        </w:tc>
        <w:tc>
          <w:tcPr>
            <w:tcW w:w="698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Structure of caffeine and adenosine</w:t>
            </w:r>
          </w:p>
        </w:tc>
        <w:tc>
          <w:tcPr>
            <w:tcW w:w="4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12</w:t>
            </w:r>
          </w:p>
        </w:tc>
      </w:tr>
      <w:tr>
        <w:tblPrEx>
          <w:tblCellMar>
            <w:top w:w="0" w:type="dxa"/>
            <w:left w:w="0" w:type="dxa"/>
            <w:bottom w:w="0" w:type="dxa"/>
            <w:right w:w="0" w:type="dxa"/>
          </w:tblCellMar>
        </w:tblPrEx>
        <w:trPr>
          <w:trHeight w:val="553" w:hRule="atLeast"/>
        </w:trPr>
        <w:tc>
          <w:tcPr>
            <w:tcW w:w="12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Figure 2.2:</w:t>
            </w:r>
          </w:p>
        </w:tc>
        <w:tc>
          <w:tcPr>
            <w:tcW w:w="698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Metabolism of caffeine</w:t>
            </w:r>
          </w:p>
        </w:tc>
        <w:tc>
          <w:tcPr>
            <w:tcW w:w="4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13</w:t>
            </w:r>
          </w:p>
        </w:tc>
      </w:tr>
      <w:tr>
        <w:tblPrEx>
          <w:tblCellMar>
            <w:top w:w="0" w:type="dxa"/>
            <w:left w:w="0" w:type="dxa"/>
            <w:bottom w:w="0" w:type="dxa"/>
            <w:right w:w="0" w:type="dxa"/>
          </w:tblCellMar>
        </w:tblPrEx>
        <w:trPr>
          <w:trHeight w:val="552" w:hRule="atLeast"/>
        </w:trPr>
        <w:tc>
          <w:tcPr>
            <w:tcW w:w="12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Figure 2.3:</w:t>
            </w:r>
          </w:p>
        </w:tc>
        <w:tc>
          <w:tcPr>
            <w:tcW w:w="698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Metabolism of aspartame</w:t>
            </w:r>
          </w:p>
        </w:tc>
        <w:tc>
          <w:tcPr>
            <w:tcW w:w="4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20</w:t>
            </w:r>
          </w:p>
        </w:tc>
      </w:tr>
      <w:tr>
        <w:tblPrEx>
          <w:tblCellMar>
            <w:top w:w="0" w:type="dxa"/>
            <w:left w:w="0" w:type="dxa"/>
            <w:bottom w:w="0" w:type="dxa"/>
            <w:right w:w="0" w:type="dxa"/>
          </w:tblCellMar>
        </w:tblPrEx>
        <w:trPr>
          <w:trHeight w:val="552" w:hRule="atLeast"/>
        </w:trPr>
        <w:tc>
          <w:tcPr>
            <w:tcW w:w="12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Figure 4.1:</w:t>
            </w:r>
          </w:p>
        </w:tc>
        <w:tc>
          <w:tcPr>
            <w:tcW w:w="698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A comparison of the calculated concentration of caffeine in energy</w:t>
            </w:r>
          </w:p>
        </w:tc>
        <w:tc>
          <w:tcPr>
            <w:tcW w:w="460" w:type="dxa"/>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74" w:hRule="atLeast"/>
        </w:trPr>
        <w:tc>
          <w:tcPr>
            <w:tcW w:w="1240" w:type="dxa"/>
            <w:shd w:val="clear" w:color="auto" w:fill="auto"/>
            <w:vAlign w:val="bottom"/>
          </w:tcPr>
          <w:p>
            <w:pPr>
              <w:spacing w:line="0" w:lineRule="atLeast"/>
              <w:rPr>
                <w:rFonts w:ascii="Times New Roman" w:hAnsi="Times New Roman" w:eastAsia="Times New Roman"/>
                <w:sz w:val="23"/>
              </w:rPr>
            </w:pPr>
          </w:p>
        </w:tc>
        <w:tc>
          <w:tcPr>
            <w:tcW w:w="6980" w:type="dxa"/>
            <w:shd w:val="clear" w:color="auto" w:fill="auto"/>
            <w:vAlign w:val="bottom"/>
          </w:tcPr>
          <w:p>
            <w:pPr>
              <w:spacing w:line="273" w:lineRule="exact"/>
              <w:ind w:left="200"/>
              <w:rPr>
                <w:rFonts w:ascii="Times New Roman" w:hAnsi="Times New Roman" w:eastAsia="Times New Roman"/>
                <w:sz w:val="24"/>
              </w:rPr>
            </w:pPr>
            <w:r>
              <w:rPr>
                <w:rFonts w:ascii="Times New Roman" w:hAnsi="Times New Roman" w:eastAsia="Times New Roman"/>
                <w:sz w:val="24"/>
              </w:rPr>
              <w:t>drinks with the maximum US FDA standard</w:t>
            </w:r>
          </w:p>
        </w:tc>
        <w:tc>
          <w:tcPr>
            <w:tcW w:w="460" w:type="dxa"/>
            <w:shd w:val="clear" w:color="auto" w:fill="auto"/>
            <w:vAlign w:val="bottom"/>
          </w:tcPr>
          <w:p>
            <w:pPr>
              <w:spacing w:line="273" w:lineRule="exact"/>
              <w:jc w:val="right"/>
              <w:rPr>
                <w:rFonts w:ascii="Times New Roman" w:hAnsi="Times New Roman" w:eastAsia="Times New Roman"/>
                <w:sz w:val="24"/>
              </w:rPr>
            </w:pPr>
            <w:r>
              <w:rPr>
                <w:rFonts w:ascii="Times New Roman" w:hAnsi="Times New Roman" w:eastAsia="Times New Roman"/>
                <w:sz w:val="24"/>
              </w:rPr>
              <w:t>47</w:t>
            </w:r>
          </w:p>
        </w:tc>
      </w:tr>
      <w:tr>
        <w:tblPrEx>
          <w:tblCellMar>
            <w:top w:w="0" w:type="dxa"/>
            <w:left w:w="0" w:type="dxa"/>
            <w:bottom w:w="0" w:type="dxa"/>
            <w:right w:w="0" w:type="dxa"/>
          </w:tblCellMar>
        </w:tblPrEx>
        <w:trPr>
          <w:trHeight w:val="552" w:hRule="atLeast"/>
        </w:trPr>
        <w:tc>
          <w:tcPr>
            <w:tcW w:w="124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Figure 4.2:</w:t>
            </w:r>
          </w:p>
        </w:tc>
        <w:tc>
          <w:tcPr>
            <w:tcW w:w="6980" w:type="dxa"/>
            <w:shd w:val="clear" w:color="auto" w:fill="auto"/>
            <w:vAlign w:val="bottom"/>
          </w:tcPr>
          <w:p>
            <w:pPr>
              <w:spacing w:line="0" w:lineRule="atLeast"/>
              <w:ind w:left="200"/>
              <w:rPr>
                <w:rFonts w:ascii="Times New Roman" w:hAnsi="Times New Roman" w:eastAsia="Times New Roman"/>
                <w:sz w:val="24"/>
              </w:rPr>
            </w:pPr>
            <w:r>
              <w:rPr>
                <w:rFonts w:ascii="Times New Roman" w:hAnsi="Times New Roman" w:eastAsia="Times New Roman"/>
                <w:sz w:val="24"/>
              </w:rPr>
              <w:t>A comparison of the calculated concentration of aspartame in energy</w:t>
            </w:r>
          </w:p>
        </w:tc>
        <w:tc>
          <w:tcPr>
            <w:tcW w:w="460" w:type="dxa"/>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78" w:hRule="atLeast"/>
        </w:trPr>
        <w:tc>
          <w:tcPr>
            <w:tcW w:w="1240" w:type="dxa"/>
            <w:shd w:val="clear" w:color="auto" w:fill="auto"/>
            <w:vAlign w:val="bottom"/>
          </w:tcPr>
          <w:p>
            <w:pPr>
              <w:spacing w:line="0" w:lineRule="atLeast"/>
              <w:rPr>
                <w:rFonts w:ascii="Times New Roman" w:hAnsi="Times New Roman" w:eastAsia="Times New Roman"/>
                <w:sz w:val="24"/>
              </w:rPr>
            </w:pPr>
          </w:p>
        </w:tc>
        <w:tc>
          <w:tcPr>
            <w:tcW w:w="6980" w:type="dxa"/>
            <w:shd w:val="clear" w:color="auto" w:fill="auto"/>
            <w:vAlign w:val="bottom"/>
          </w:tcPr>
          <w:p>
            <w:pPr>
              <w:spacing w:line="0" w:lineRule="atLeast"/>
              <w:ind w:left="260"/>
              <w:rPr>
                <w:rFonts w:ascii="Times New Roman" w:hAnsi="Times New Roman" w:eastAsia="Times New Roman"/>
                <w:sz w:val="24"/>
              </w:rPr>
            </w:pPr>
            <w:r>
              <w:rPr>
                <w:rFonts w:ascii="Times New Roman" w:hAnsi="Times New Roman" w:eastAsia="Times New Roman"/>
                <w:sz w:val="24"/>
              </w:rPr>
              <w:t>drinks with the minimum and maximum US FDA standard</w:t>
            </w:r>
          </w:p>
        </w:tc>
        <w:tc>
          <w:tcPr>
            <w:tcW w:w="46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48</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93" w:lineRule="exact"/>
        <w:rPr>
          <w:rFonts w:ascii="Times New Roman" w:hAnsi="Times New Roman" w:eastAsia="Times New Roman"/>
        </w:rPr>
      </w:pPr>
    </w:p>
    <w:p>
      <w:pPr>
        <w:spacing w:line="0" w:lineRule="atLeast"/>
        <w:ind w:left="4820"/>
        <w:rPr>
          <w:sz w:val="22"/>
        </w:rPr>
      </w:pPr>
      <w:r>
        <w:rPr>
          <w:sz w:val="22"/>
        </w:rPr>
        <w:t>xvii</w:t>
      </w:r>
    </w:p>
    <w:p>
      <w:pPr>
        <w:spacing w:line="0" w:lineRule="atLeast"/>
        <w:ind w:left="4820"/>
        <w:rPr>
          <w:sz w:val="22"/>
        </w:rPr>
        <w:sectPr>
          <w:pgSz w:w="12240" w:h="15840"/>
          <w:pgMar w:top="1430" w:right="1440" w:bottom="428" w:left="1440" w:header="0" w:footer="0" w:gutter="0"/>
          <w:cols w:equalWidth="0" w:num="1">
            <w:col w:w="9360"/>
          </w:cols>
          <w:docGrid w:linePitch="360" w:charSpace="0"/>
        </w:sectPr>
      </w:pPr>
    </w:p>
    <w:tbl>
      <w:tblPr>
        <w:tblStyle w:val="3"/>
        <w:tblW w:w="0" w:type="auto"/>
        <w:tblInd w:w="580" w:type="dxa"/>
        <w:tblLayout w:type="fixed"/>
        <w:tblCellMar>
          <w:top w:w="0" w:type="dxa"/>
          <w:left w:w="0" w:type="dxa"/>
          <w:bottom w:w="0" w:type="dxa"/>
          <w:right w:w="0" w:type="dxa"/>
        </w:tblCellMar>
      </w:tblPr>
      <w:tblGrid>
        <w:gridCol w:w="1200"/>
        <w:gridCol w:w="7120"/>
        <w:gridCol w:w="440"/>
      </w:tblGrid>
      <w:tr>
        <w:tblPrEx>
          <w:tblCellMar>
            <w:top w:w="0" w:type="dxa"/>
            <w:left w:w="0" w:type="dxa"/>
            <w:bottom w:w="0" w:type="dxa"/>
            <w:right w:w="0" w:type="dxa"/>
          </w:tblCellMar>
        </w:tblPrEx>
        <w:trPr>
          <w:trHeight w:val="276" w:hRule="atLeast"/>
        </w:trPr>
        <w:tc>
          <w:tcPr>
            <w:tcW w:w="1200" w:type="dxa"/>
            <w:shd w:val="clear" w:color="auto" w:fill="auto"/>
            <w:vAlign w:val="bottom"/>
          </w:tcPr>
          <w:p>
            <w:pPr>
              <w:spacing w:line="0" w:lineRule="atLeast"/>
              <w:rPr>
                <w:rFonts w:ascii="Times New Roman" w:hAnsi="Times New Roman" w:eastAsia="Times New Roman"/>
                <w:sz w:val="23"/>
              </w:rPr>
            </w:pPr>
            <w:bookmarkStart w:id="9" w:name="page18"/>
            <w:bookmarkEnd w:id="9"/>
          </w:p>
        </w:tc>
        <w:tc>
          <w:tcPr>
            <w:tcW w:w="7120" w:type="dxa"/>
            <w:shd w:val="clear" w:color="auto" w:fill="auto"/>
            <w:vAlign w:val="bottom"/>
          </w:tcPr>
          <w:p>
            <w:pPr>
              <w:spacing w:line="0" w:lineRule="atLeast"/>
              <w:ind w:left="2480"/>
              <w:rPr>
                <w:rFonts w:ascii="Times New Roman" w:hAnsi="Times New Roman" w:eastAsia="Times New Roman"/>
                <w:b/>
                <w:sz w:val="24"/>
              </w:rPr>
            </w:pPr>
            <w:r>
              <w:rPr>
                <w:rFonts w:ascii="Times New Roman" w:hAnsi="Times New Roman" w:eastAsia="Times New Roman"/>
                <w:b/>
                <w:sz w:val="24"/>
              </w:rPr>
              <w:t>List of Tables</w:t>
            </w:r>
          </w:p>
        </w:tc>
        <w:tc>
          <w:tcPr>
            <w:tcW w:w="440" w:type="dxa"/>
            <w:shd w:val="clear" w:color="auto" w:fill="auto"/>
            <w:vAlign w:val="bottom"/>
          </w:tcPr>
          <w:p>
            <w:pPr>
              <w:spacing w:line="0" w:lineRule="atLeast"/>
              <w:rPr>
                <w:rFonts w:ascii="Times New Roman" w:hAnsi="Times New Roman" w:eastAsia="Times New Roman"/>
                <w:sz w:val="23"/>
              </w:rPr>
            </w:pPr>
          </w:p>
        </w:tc>
      </w:tr>
      <w:tr>
        <w:tblPrEx>
          <w:tblCellMar>
            <w:top w:w="0" w:type="dxa"/>
            <w:left w:w="0" w:type="dxa"/>
            <w:bottom w:w="0" w:type="dxa"/>
            <w:right w:w="0" w:type="dxa"/>
          </w:tblCellMar>
        </w:tblPrEx>
        <w:trPr>
          <w:trHeight w:val="547" w:hRule="atLeast"/>
        </w:trPr>
        <w:tc>
          <w:tcPr>
            <w:tcW w:w="12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Table 4.1:</w:t>
            </w:r>
          </w:p>
        </w:tc>
        <w:tc>
          <w:tcPr>
            <w:tcW w:w="7120" w:type="dxa"/>
            <w:shd w:val="clear" w:color="auto" w:fill="auto"/>
            <w:vAlign w:val="bottom"/>
          </w:tcPr>
          <w:p>
            <w:pPr>
              <w:spacing w:line="0" w:lineRule="atLeast"/>
              <w:ind w:left="240"/>
              <w:rPr>
                <w:rFonts w:ascii="Times New Roman" w:hAnsi="Times New Roman" w:eastAsia="Times New Roman"/>
                <w:sz w:val="24"/>
              </w:rPr>
            </w:pPr>
            <w:r>
              <w:rPr>
                <w:rFonts w:ascii="Times New Roman" w:hAnsi="Times New Roman" w:eastAsia="Times New Roman"/>
                <w:sz w:val="24"/>
              </w:rPr>
              <w:t>pH, turbidity, total dissolved solids and conductivity of energy</w:t>
            </w:r>
          </w:p>
        </w:tc>
        <w:tc>
          <w:tcPr>
            <w:tcW w:w="440" w:type="dxa"/>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74" w:hRule="atLeast"/>
        </w:trPr>
        <w:tc>
          <w:tcPr>
            <w:tcW w:w="1200" w:type="dxa"/>
            <w:shd w:val="clear" w:color="auto" w:fill="auto"/>
            <w:vAlign w:val="bottom"/>
          </w:tcPr>
          <w:p>
            <w:pPr>
              <w:spacing w:line="0" w:lineRule="atLeast"/>
              <w:rPr>
                <w:rFonts w:ascii="Times New Roman" w:hAnsi="Times New Roman" w:eastAsia="Times New Roman"/>
                <w:sz w:val="23"/>
              </w:rPr>
            </w:pPr>
          </w:p>
        </w:tc>
        <w:tc>
          <w:tcPr>
            <w:tcW w:w="7120" w:type="dxa"/>
            <w:shd w:val="clear" w:color="auto" w:fill="auto"/>
            <w:vAlign w:val="bottom"/>
          </w:tcPr>
          <w:p>
            <w:pPr>
              <w:spacing w:line="273" w:lineRule="exact"/>
              <w:ind w:left="300"/>
              <w:rPr>
                <w:rFonts w:ascii="Times New Roman" w:hAnsi="Times New Roman" w:eastAsia="Times New Roman"/>
                <w:sz w:val="24"/>
              </w:rPr>
            </w:pPr>
            <w:r>
              <w:rPr>
                <w:rFonts w:ascii="Times New Roman" w:hAnsi="Times New Roman" w:eastAsia="Times New Roman"/>
                <w:sz w:val="24"/>
              </w:rPr>
              <w:t>drinks</w:t>
            </w:r>
          </w:p>
        </w:tc>
        <w:tc>
          <w:tcPr>
            <w:tcW w:w="440" w:type="dxa"/>
            <w:shd w:val="clear" w:color="auto" w:fill="auto"/>
            <w:vAlign w:val="bottom"/>
          </w:tcPr>
          <w:p>
            <w:pPr>
              <w:spacing w:line="273" w:lineRule="exact"/>
              <w:jc w:val="right"/>
              <w:rPr>
                <w:rFonts w:ascii="Times New Roman" w:hAnsi="Times New Roman" w:eastAsia="Times New Roman"/>
                <w:sz w:val="24"/>
              </w:rPr>
            </w:pPr>
            <w:r>
              <w:rPr>
                <w:rFonts w:ascii="Times New Roman" w:hAnsi="Times New Roman" w:eastAsia="Times New Roman"/>
                <w:sz w:val="24"/>
              </w:rPr>
              <w:t>43</w:t>
            </w:r>
          </w:p>
        </w:tc>
      </w:tr>
      <w:tr>
        <w:tblPrEx>
          <w:tblCellMar>
            <w:top w:w="0" w:type="dxa"/>
            <w:left w:w="0" w:type="dxa"/>
            <w:bottom w:w="0" w:type="dxa"/>
            <w:right w:w="0" w:type="dxa"/>
          </w:tblCellMar>
        </w:tblPrEx>
        <w:trPr>
          <w:trHeight w:val="553" w:hRule="atLeast"/>
        </w:trPr>
        <w:tc>
          <w:tcPr>
            <w:tcW w:w="12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Table 4.2:</w:t>
            </w:r>
          </w:p>
        </w:tc>
        <w:tc>
          <w:tcPr>
            <w:tcW w:w="7120" w:type="dxa"/>
            <w:shd w:val="clear" w:color="auto" w:fill="auto"/>
            <w:vAlign w:val="bottom"/>
          </w:tcPr>
          <w:p>
            <w:pPr>
              <w:spacing w:line="0" w:lineRule="atLeast"/>
              <w:ind w:left="240"/>
              <w:rPr>
                <w:rFonts w:ascii="Times New Roman" w:hAnsi="Times New Roman" w:eastAsia="Times New Roman"/>
                <w:sz w:val="24"/>
              </w:rPr>
            </w:pPr>
            <w:r>
              <w:rPr>
                <w:rFonts w:ascii="Times New Roman" w:hAnsi="Times New Roman" w:eastAsia="Times New Roman"/>
                <w:sz w:val="24"/>
              </w:rPr>
              <w:t>Cadmium, copper, zinc, lead and manganese concentrations of energy</w:t>
            </w:r>
          </w:p>
        </w:tc>
        <w:tc>
          <w:tcPr>
            <w:tcW w:w="440" w:type="dxa"/>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78" w:hRule="atLeast"/>
        </w:trPr>
        <w:tc>
          <w:tcPr>
            <w:tcW w:w="1200" w:type="dxa"/>
            <w:shd w:val="clear" w:color="auto" w:fill="auto"/>
            <w:vAlign w:val="bottom"/>
          </w:tcPr>
          <w:p>
            <w:pPr>
              <w:spacing w:line="0" w:lineRule="atLeast"/>
              <w:rPr>
                <w:rFonts w:ascii="Times New Roman" w:hAnsi="Times New Roman" w:eastAsia="Times New Roman"/>
                <w:sz w:val="24"/>
              </w:rPr>
            </w:pPr>
          </w:p>
        </w:tc>
        <w:tc>
          <w:tcPr>
            <w:tcW w:w="7120" w:type="dxa"/>
            <w:shd w:val="clear" w:color="auto" w:fill="auto"/>
            <w:vAlign w:val="bottom"/>
          </w:tcPr>
          <w:p>
            <w:pPr>
              <w:spacing w:line="0" w:lineRule="atLeast"/>
              <w:ind w:left="300"/>
              <w:rPr>
                <w:rFonts w:ascii="Times New Roman" w:hAnsi="Times New Roman" w:eastAsia="Times New Roman"/>
                <w:sz w:val="24"/>
              </w:rPr>
            </w:pPr>
            <w:r>
              <w:rPr>
                <w:rFonts w:ascii="Times New Roman" w:hAnsi="Times New Roman" w:eastAsia="Times New Roman"/>
                <w:sz w:val="24"/>
              </w:rPr>
              <w:t>drink</w:t>
            </w:r>
          </w:p>
        </w:tc>
        <w:tc>
          <w:tcPr>
            <w:tcW w:w="4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44</w:t>
            </w:r>
          </w:p>
        </w:tc>
      </w:tr>
      <w:tr>
        <w:tblPrEx>
          <w:tblCellMar>
            <w:top w:w="0" w:type="dxa"/>
            <w:left w:w="0" w:type="dxa"/>
            <w:bottom w:w="0" w:type="dxa"/>
            <w:right w:w="0" w:type="dxa"/>
          </w:tblCellMar>
        </w:tblPrEx>
        <w:trPr>
          <w:trHeight w:val="552" w:hRule="atLeast"/>
        </w:trPr>
        <w:tc>
          <w:tcPr>
            <w:tcW w:w="12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Table 4.3:</w:t>
            </w:r>
          </w:p>
        </w:tc>
        <w:tc>
          <w:tcPr>
            <w:tcW w:w="7120" w:type="dxa"/>
            <w:shd w:val="clear" w:color="auto" w:fill="auto"/>
            <w:vAlign w:val="bottom"/>
          </w:tcPr>
          <w:p>
            <w:pPr>
              <w:spacing w:line="0" w:lineRule="atLeast"/>
              <w:ind w:left="240"/>
              <w:rPr>
                <w:rFonts w:ascii="Times New Roman" w:hAnsi="Times New Roman" w:eastAsia="Times New Roman"/>
                <w:sz w:val="24"/>
              </w:rPr>
            </w:pPr>
            <w:r>
              <w:rPr>
                <w:rFonts w:ascii="Times New Roman" w:hAnsi="Times New Roman" w:eastAsia="Times New Roman"/>
                <w:sz w:val="24"/>
              </w:rPr>
              <w:t>Iron, calcium and potassium concentrations of energy drinks</w:t>
            </w:r>
          </w:p>
        </w:tc>
        <w:tc>
          <w:tcPr>
            <w:tcW w:w="4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45</w:t>
            </w:r>
          </w:p>
        </w:tc>
      </w:tr>
      <w:tr>
        <w:tblPrEx>
          <w:tblCellMar>
            <w:top w:w="0" w:type="dxa"/>
            <w:left w:w="0" w:type="dxa"/>
            <w:bottom w:w="0" w:type="dxa"/>
            <w:right w:w="0" w:type="dxa"/>
          </w:tblCellMar>
        </w:tblPrEx>
        <w:trPr>
          <w:trHeight w:val="552" w:hRule="atLeast"/>
        </w:trPr>
        <w:tc>
          <w:tcPr>
            <w:tcW w:w="1200" w:type="dxa"/>
            <w:shd w:val="clear" w:color="auto" w:fill="auto"/>
            <w:vAlign w:val="bottom"/>
          </w:tcPr>
          <w:p>
            <w:pPr>
              <w:spacing w:line="0" w:lineRule="atLeast"/>
              <w:rPr>
                <w:rFonts w:ascii="Times New Roman" w:hAnsi="Times New Roman" w:eastAsia="Times New Roman"/>
                <w:sz w:val="24"/>
              </w:rPr>
            </w:pPr>
            <w:r>
              <w:rPr>
                <w:rFonts w:ascii="Times New Roman" w:hAnsi="Times New Roman" w:eastAsia="Times New Roman"/>
                <w:sz w:val="24"/>
              </w:rPr>
              <w:t>Table 4.4:</w:t>
            </w:r>
          </w:p>
        </w:tc>
        <w:tc>
          <w:tcPr>
            <w:tcW w:w="7120" w:type="dxa"/>
            <w:shd w:val="clear" w:color="auto" w:fill="auto"/>
            <w:vAlign w:val="bottom"/>
          </w:tcPr>
          <w:p>
            <w:pPr>
              <w:spacing w:line="0" w:lineRule="atLeast"/>
              <w:ind w:left="240"/>
              <w:rPr>
                <w:rFonts w:ascii="Times New Roman" w:hAnsi="Times New Roman" w:eastAsia="Times New Roman"/>
                <w:sz w:val="24"/>
              </w:rPr>
            </w:pPr>
            <w:r>
              <w:rPr>
                <w:rFonts w:ascii="Times New Roman" w:hAnsi="Times New Roman" w:eastAsia="Times New Roman"/>
                <w:sz w:val="24"/>
              </w:rPr>
              <w:t>Concentration of sugar, caffeine and aspartame</w:t>
            </w:r>
          </w:p>
        </w:tc>
        <w:tc>
          <w:tcPr>
            <w:tcW w:w="440" w:type="dxa"/>
            <w:shd w:val="clear" w:color="auto" w:fill="auto"/>
            <w:vAlign w:val="bottom"/>
          </w:tcPr>
          <w:p>
            <w:pPr>
              <w:spacing w:line="0" w:lineRule="atLeast"/>
              <w:jc w:val="right"/>
              <w:rPr>
                <w:rFonts w:ascii="Times New Roman" w:hAnsi="Times New Roman" w:eastAsia="Times New Roman"/>
                <w:sz w:val="24"/>
              </w:rPr>
            </w:pPr>
            <w:r>
              <w:rPr>
                <w:rFonts w:ascii="Times New Roman" w:hAnsi="Times New Roman" w:eastAsia="Times New Roman"/>
                <w:sz w:val="24"/>
              </w:rPr>
              <w:t>46</w:t>
            </w: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11" w:lineRule="exact"/>
        <w:rPr>
          <w:rFonts w:ascii="Times New Roman" w:hAnsi="Times New Roman" w:eastAsia="Times New Roman"/>
        </w:rPr>
      </w:pPr>
    </w:p>
    <w:p>
      <w:pPr>
        <w:spacing w:line="0" w:lineRule="atLeast"/>
        <w:ind w:left="4800"/>
        <w:rPr>
          <w:sz w:val="22"/>
        </w:rPr>
      </w:pPr>
      <w:r>
        <w:rPr>
          <w:sz w:val="22"/>
        </w:rPr>
        <w:t>xviii</w:t>
      </w:r>
    </w:p>
    <w:p>
      <w:pPr>
        <w:spacing w:line="0" w:lineRule="atLeast"/>
        <w:ind w:left="4800"/>
        <w:rPr>
          <w:sz w:val="22"/>
        </w:rPr>
        <w:sectPr>
          <w:pgSz w:w="12240" w:h="15840"/>
          <w:pgMar w:top="1435" w:right="1440" w:bottom="428" w:left="1440" w:header="0" w:footer="0" w:gutter="0"/>
          <w:cols w:equalWidth="0" w:num="1">
            <w:col w:w="9360"/>
          </w:cols>
          <w:docGrid w:linePitch="360" w:charSpace="0"/>
        </w:sectPr>
      </w:pPr>
    </w:p>
    <w:p>
      <w:pPr>
        <w:spacing w:line="0" w:lineRule="atLeast"/>
        <w:ind w:left="3880"/>
        <w:rPr>
          <w:rFonts w:ascii="Times New Roman" w:hAnsi="Times New Roman" w:eastAsia="Times New Roman"/>
          <w:b/>
          <w:sz w:val="24"/>
        </w:rPr>
      </w:pPr>
      <w:bookmarkStart w:id="10" w:name="page19"/>
      <w:bookmarkEnd w:id="10"/>
      <w:r>
        <w:rPr>
          <w:rFonts w:ascii="Times New Roman" w:hAnsi="Times New Roman" w:eastAsia="Times New Roman"/>
          <w:b/>
          <w:sz w:val="24"/>
        </w:rPr>
        <w:t>List of Abbreviations</w:t>
      </w:r>
    </w:p>
    <w:p>
      <w:pPr>
        <w:spacing w:line="0" w:lineRule="atLeast"/>
        <w:ind w:left="3880"/>
        <w:rPr>
          <w:rFonts w:ascii="Times New Roman" w:hAnsi="Times New Roman" w:eastAsia="Times New Roman"/>
          <w:b/>
          <w:sz w:val="24"/>
        </w:rPr>
        <w:sectPr>
          <w:pgSz w:w="12240" w:h="15840"/>
          <w:pgMar w:top="1435" w:right="1440" w:bottom="428" w:left="1440" w:header="0" w:footer="0" w:gutter="0"/>
          <w:cols w:equalWidth="0" w:num="1">
            <w:col w:w="9360"/>
          </w:cols>
          <w:docGrid w:linePitch="360" w:charSpace="0"/>
        </w:sectPr>
      </w:pPr>
    </w:p>
    <w:p>
      <w:pPr>
        <w:spacing w:line="271"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AAS</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ATP</w:t>
      </w:r>
    </w:p>
    <w:p>
      <w:pPr>
        <w:spacing w:line="288"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CYP1A2</w:t>
      </w:r>
    </w:p>
    <w:p>
      <w:pPr>
        <w:spacing w:line="288"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CYP2A6</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DKP</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DNA</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color w:val="292526"/>
          <w:sz w:val="24"/>
        </w:rPr>
      </w:pPr>
      <w:r>
        <w:rPr>
          <w:rFonts w:ascii="Times New Roman" w:hAnsi="Times New Roman" w:eastAsia="Times New Roman"/>
          <w:color w:val="292526"/>
          <w:sz w:val="24"/>
        </w:rPr>
        <w:t>EU</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FAO</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color w:val="292526"/>
          <w:sz w:val="24"/>
        </w:rPr>
      </w:pPr>
      <w:r>
        <w:rPr>
          <w:rFonts w:ascii="Times New Roman" w:hAnsi="Times New Roman" w:eastAsia="Times New Roman"/>
          <w:color w:val="292526"/>
          <w:sz w:val="24"/>
        </w:rPr>
        <w:t>FDA</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GC–MS</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HDL</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HPLC</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NAT2</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NAG</w:t>
      </w:r>
    </w:p>
    <w:p>
      <w:pPr>
        <w:spacing w:line="271" w:lineRule="exact"/>
        <w:rPr>
          <w:rFonts w:ascii="Times New Roman" w:hAnsi="Times New Roman" w:eastAsia="Times New Roman"/>
        </w:rPr>
      </w:pPr>
      <w:r>
        <w:rPr>
          <w:rFonts w:ascii="Times New Roman" w:hAnsi="Times New Roman" w:eastAsia="Times New Roman"/>
          <w:sz w:val="24"/>
        </w:rPr>
        <w:br w:type="column"/>
      </w:r>
    </w:p>
    <w:p>
      <w:pPr>
        <w:spacing w:line="0" w:lineRule="atLeast"/>
        <w:rPr>
          <w:rFonts w:ascii="Times New Roman" w:hAnsi="Times New Roman" w:eastAsia="Times New Roman"/>
          <w:sz w:val="24"/>
        </w:rPr>
      </w:pPr>
      <w:r>
        <w:rPr>
          <w:rFonts w:ascii="Times New Roman" w:hAnsi="Times New Roman" w:eastAsia="Times New Roman"/>
          <w:sz w:val="24"/>
        </w:rPr>
        <w:t>Atomic Absorption Spectroscopy</w:t>
      </w:r>
    </w:p>
    <w:p>
      <w:pPr>
        <w:spacing w:line="277" w:lineRule="exact"/>
        <w:rPr>
          <w:rFonts w:ascii="Times New Roman" w:hAnsi="Times New Roman" w:eastAsia="Times New Roman"/>
        </w:rPr>
      </w:pPr>
    </w:p>
    <w:p>
      <w:pPr>
        <w:spacing w:line="0" w:lineRule="atLeast"/>
        <w:ind w:left="20"/>
        <w:rPr>
          <w:rFonts w:ascii="Times New Roman" w:hAnsi="Times New Roman" w:eastAsia="Times New Roman"/>
          <w:sz w:val="24"/>
        </w:rPr>
      </w:pPr>
      <w:r>
        <w:rPr>
          <w:rFonts w:ascii="Times New Roman" w:hAnsi="Times New Roman" w:eastAsia="Times New Roman"/>
          <w:sz w:val="24"/>
        </w:rPr>
        <w:t>Adenosine Triphosphate</w:t>
      </w:r>
    </w:p>
    <w:p>
      <w:pPr>
        <w:spacing w:line="276" w:lineRule="exact"/>
        <w:rPr>
          <w:rFonts w:ascii="Times New Roman" w:hAnsi="Times New Roman" w:eastAsia="Times New Roman"/>
        </w:rPr>
      </w:pPr>
    </w:p>
    <w:p>
      <w:pPr>
        <w:spacing w:line="0" w:lineRule="atLeast"/>
        <w:ind w:left="40"/>
        <w:rPr>
          <w:rFonts w:ascii="Times New Roman" w:hAnsi="Times New Roman" w:eastAsia="Times New Roman"/>
          <w:sz w:val="24"/>
        </w:rPr>
      </w:pPr>
      <w:r>
        <w:rPr>
          <w:rFonts w:ascii="Times New Roman" w:hAnsi="Times New Roman" w:eastAsia="Times New Roman"/>
          <w:sz w:val="24"/>
        </w:rPr>
        <w:t>Cytochrome P450 1A2</w:t>
      </w:r>
    </w:p>
    <w:p>
      <w:pPr>
        <w:spacing w:line="276" w:lineRule="exact"/>
        <w:rPr>
          <w:rFonts w:ascii="Times New Roman" w:hAnsi="Times New Roman" w:eastAsia="Times New Roman"/>
        </w:rPr>
      </w:pPr>
    </w:p>
    <w:p>
      <w:pPr>
        <w:spacing w:line="0" w:lineRule="atLeast"/>
        <w:ind w:left="40"/>
        <w:rPr>
          <w:rFonts w:ascii="Times New Roman" w:hAnsi="Times New Roman" w:eastAsia="Times New Roman"/>
          <w:sz w:val="24"/>
        </w:rPr>
      </w:pPr>
      <w:r>
        <w:rPr>
          <w:rFonts w:ascii="Times New Roman" w:hAnsi="Times New Roman" w:eastAsia="Times New Roman"/>
          <w:sz w:val="24"/>
        </w:rPr>
        <w:t>Cytochrome P450 2A6</w:t>
      </w:r>
    </w:p>
    <w:p>
      <w:pPr>
        <w:spacing w:line="276" w:lineRule="exact"/>
        <w:rPr>
          <w:rFonts w:ascii="Times New Roman" w:hAnsi="Times New Roman" w:eastAsia="Times New Roman"/>
        </w:rPr>
      </w:pPr>
    </w:p>
    <w:p>
      <w:pPr>
        <w:spacing w:line="0" w:lineRule="atLeast"/>
        <w:ind w:left="60"/>
        <w:rPr>
          <w:rFonts w:ascii="Times New Roman" w:hAnsi="Times New Roman" w:eastAsia="Times New Roman"/>
          <w:sz w:val="24"/>
        </w:rPr>
      </w:pPr>
      <w:r>
        <w:rPr>
          <w:rFonts w:ascii="Times New Roman" w:hAnsi="Times New Roman" w:eastAsia="Times New Roman"/>
          <w:sz w:val="24"/>
        </w:rPr>
        <w:t>5-benzyl-3, 6-dioxo-2-piperazine acetic acid</w:t>
      </w:r>
    </w:p>
    <w:p>
      <w:pPr>
        <w:spacing w:line="276" w:lineRule="exact"/>
        <w:rPr>
          <w:rFonts w:ascii="Times New Roman" w:hAnsi="Times New Roman" w:eastAsia="Times New Roman"/>
        </w:rPr>
      </w:pPr>
    </w:p>
    <w:p>
      <w:pPr>
        <w:spacing w:line="0" w:lineRule="atLeast"/>
        <w:ind w:left="100"/>
        <w:rPr>
          <w:rFonts w:ascii="Times New Roman" w:hAnsi="Times New Roman" w:eastAsia="Times New Roman"/>
          <w:sz w:val="24"/>
        </w:rPr>
      </w:pPr>
      <w:r>
        <w:rPr>
          <w:rFonts w:ascii="Times New Roman" w:hAnsi="Times New Roman" w:eastAsia="Times New Roman"/>
          <w:sz w:val="24"/>
        </w:rPr>
        <w:t>Deoxyribonucleic Acid</w:t>
      </w:r>
    </w:p>
    <w:p>
      <w:pPr>
        <w:spacing w:line="276" w:lineRule="exact"/>
        <w:rPr>
          <w:rFonts w:ascii="Times New Roman" w:hAnsi="Times New Roman" w:eastAsia="Times New Roman"/>
        </w:rPr>
      </w:pPr>
    </w:p>
    <w:p>
      <w:pPr>
        <w:spacing w:line="0" w:lineRule="atLeast"/>
        <w:ind w:left="80"/>
        <w:rPr>
          <w:rFonts w:ascii="Times New Roman" w:hAnsi="Times New Roman" w:eastAsia="Times New Roman"/>
          <w:color w:val="292526"/>
          <w:sz w:val="24"/>
        </w:rPr>
      </w:pPr>
      <w:r>
        <w:rPr>
          <w:rFonts w:ascii="Times New Roman" w:hAnsi="Times New Roman" w:eastAsia="Times New Roman"/>
          <w:color w:val="292526"/>
          <w:sz w:val="24"/>
        </w:rPr>
        <w:t>European Union</w:t>
      </w:r>
    </w:p>
    <w:p>
      <w:pPr>
        <w:spacing w:line="277" w:lineRule="exact"/>
        <w:rPr>
          <w:rFonts w:ascii="Times New Roman" w:hAnsi="Times New Roman" w:eastAsia="Times New Roman"/>
        </w:rPr>
      </w:pPr>
    </w:p>
    <w:p>
      <w:pPr>
        <w:spacing w:line="0" w:lineRule="atLeast"/>
        <w:ind w:left="120"/>
        <w:rPr>
          <w:rFonts w:ascii="Times New Roman" w:hAnsi="Times New Roman" w:eastAsia="Times New Roman"/>
          <w:sz w:val="24"/>
        </w:rPr>
      </w:pPr>
      <w:r>
        <w:rPr>
          <w:rFonts w:ascii="Times New Roman" w:hAnsi="Times New Roman" w:eastAsia="Times New Roman"/>
          <w:sz w:val="24"/>
        </w:rPr>
        <w:t>Food and Agriculture Organization</w:t>
      </w:r>
    </w:p>
    <w:p>
      <w:pPr>
        <w:spacing w:line="276" w:lineRule="exact"/>
        <w:rPr>
          <w:rFonts w:ascii="Times New Roman" w:hAnsi="Times New Roman" w:eastAsia="Times New Roman"/>
        </w:rPr>
      </w:pPr>
    </w:p>
    <w:p>
      <w:pPr>
        <w:spacing w:line="0" w:lineRule="atLeast"/>
        <w:ind w:left="120"/>
        <w:rPr>
          <w:rFonts w:ascii="Times New Roman" w:hAnsi="Times New Roman" w:eastAsia="Times New Roman"/>
          <w:color w:val="292526"/>
          <w:sz w:val="24"/>
        </w:rPr>
      </w:pPr>
      <w:r>
        <w:rPr>
          <w:rFonts w:ascii="Times New Roman" w:hAnsi="Times New Roman" w:eastAsia="Times New Roman"/>
          <w:color w:val="292526"/>
          <w:sz w:val="24"/>
        </w:rPr>
        <w:t>Food and Drinks Administration</w:t>
      </w:r>
    </w:p>
    <w:p>
      <w:pPr>
        <w:spacing w:line="276" w:lineRule="exact"/>
        <w:rPr>
          <w:rFonts w:ascii="Times New Roman" w:hAnsi="Times New Roman" w:eastAsia="Times New Roman"/>
        </w:rPr>
      </w:pPr>
    </w:p>
    <w:p>
      <w:pPr>
        <w:spacing w:line="0" w:lineRule="atLeast"/>
        <w:ind w:left="140"/>
        <w:rPr>
          <w:rFonts w:ascii="Times New Roman" w:hAnsi="Times New Roman" w:eastAsia="Times New Roman"/>
          <w:sz w:val="24"/>
        </w:rPr>
      </w:pPr>
      <w:r>
        <w:rPr>
          <w:rFonts w:ascii="Times New Roman" w:hAnsi="Times New Roman" w:eastAsia="Times New Roman"/>
          <w:sz w:val="24"/>
        </w:rPr>
        <w:t>Gas Chromatography–Mass Spectrometry</w:t>
      </w:r>
    </w:p>
    <w:p>
      <w:pPr>
        <w:spacing w:line="276" w:lineRule="exact"/>
        <w:rPr>
          <w:rFonts w:ascii="Times New Roman" w:hAnsi="Times New Roman" w:eastAsia="Times New Roman"/>
        </w:rPr>
      </w:pPr>
    </w:p>
    <w:p>
      <w:pPr>
        <w:spacing w:line="0" w:lineRule="atLeast"/>
        <w:ind w:left="140"/>
        <w:rPr>
          <w:rFonts w:ascii="Times New Roman" w:hAnsi="Times New Roman" w:eastAsia="Times New Roman"/>
          <w:sz w:val="24"/>
        </w:rPr>
      </w:pPr>
      <w:r>
        <w:rPr>
          <w:rFonts w:ascii="Times New Roman" w:hAnsi="Times New Roman" w:eastAsia="Times New Roman"/>
          <w:sz w:val="24"/>
        </w:rPr>
        <w:t>High Density Lipoprotein Cholesterol</w:t>
      </w:r>
    </w:p>
    <w:p>
      <w:pPr>
        <w:spacing w:line="288" w:lineRule="exact"/>
        <w:rPr>
          <w:rFonts w:ascii="Times New Roman" w:hAnsi="Times New Roman" w:eastAsia="Times New Roman"/>
        </w:rPr>
      </w:pPr>
    </w:p>
    <w:p>
      <w:pPr>
        <w:spacing w:line="0" w:lineRule="atLeast"/>
        <w:ind w:left="140"/>
        <w:rPr>
          <w:rFonts w:ascii="Times New Roman" w:hAnsi="Times New Roman" w:eastAsia="Times New Roman"/>
          <w:sz w:val="23"/>
        </w:rPr>
      </w:pPr>
      <w:r>
        <w:rPr>
          <w:rFonts w:ascii="Times New Roman" w:hAnsi="Times New Roman" w:eastAsia="Times New Roman"/>
          <w:sz w:val="23"/>
        </w:rPr>
        <w:t>High Performance Liquid Chromatographic</w:t>
      </w:r>
    </w:p>
    <w:p>
      <w:pPr>
        <w:spacing w:line="276" w:lineRule="exact"/>
        <w:rPr>
          <w:rFonts w:ascii="Times New Roman" w:hAnsi="Times New Roman" w:eastAsia="Times New Roman"/>
        </w:rPr>
      </w:pPr>
    </w:p>
    <w:p>
      <w:pPr>
        <w:spacing w:line="0" w:lineRule="atLeast"/>
        <w:ind w:left="80"/>
        <w:rPr>
          <w:rFonts w:ascii="Times New Roman" w:hAnsi="Times New Roman" w:eastAsia="Times New Roman"/>
          <w:sz w:val="24"/>
        </w:rPr>
      </w:pPr>
      <w:r>
        <w:rPr>
          <w:rFonts w:ascii="Times New Roman" w:hAnsi="Times New Roman" w:eastAsia="Times New Roman"/>
          <w:i/>
          <w:sz w:val="24"/>
        </w:rPr>
        <w:t>N-</w:t>
      </w:r>
      <w:r>
        <w:rPr>
          <w:rFonts w:ascii="Times New Roman" w:hAnsi="Times New Roman" w:eastAsia="Times New Roman"/>
          <w:sz w:val="24"/>
        </w:rPr>
        <w:t>acetyl transferase 2</w:t>
      </w:r>
    </w:p>
    <w:p>
      <w:pPr>
        <w:spacing w:line="276" w:lineRule="exact"/>
        <w:rPr>
          <w:rFonts w:ascii="Times New Roman" w:hAnsi="Times New Roman" w:eastAsia="Times New Roman"/>
        </w:rPr>
      </w:pPr>
    </w:p>
    <w:p>
      <w:pPr>
        <w:spacing w:line="0" w:lineRule="atLeast"/>
        <w:ind w:left="100"/>
        <w:rPr>
          <w:rFonts w:ascii="Times New Roman" w:hAnsi="Times New Roman" w:eastAsia="Times New Roman"/>
          <w:sz w:val="24"/>
        </w:rPr>
      </w:pPr>
      <w:r>
        <w:rPr>
          <w:rFonts w:ascii="Times New Roman" w:hAnsi="Times New Roman" w:eastAsia="Times New Roman"/>
          <w:sz w:val="24"/>
        </w:rPr>
        <w:t>N-acetyl-beta-glucosamynidase</w:t>
      </w:r>
    </w:p>
    <w:p>
      <w:pPr>
        <w:spacing w:line="0" w:lineRule="atLeast"/>
        <w:ind w:left="100"/>
        <w:rPr>
          <w:rFonts w:ascii="Times New Roman" w:hAnsi="Times New Roman" w:eastAsia="Times New Roman"/>
          <w:sz w:val="24"/>
        </w:rPr>
        <w:sectPr>
          <w:type w:val="continuous"/>
          <w:pgSz w:w="12240" w:h="15840"/>
          <w:pgMar w:top="1435" w:right="1440" w:bottom="428" w:left="1440" w:header="0" w:footer="0" w:gutter="0"/>
          <w:cols w:equalWidth="0" w:num="2">
            <w:col w:w="3460" w:space="720"/>
            <w:col w:w="5180"/>
          </w:cols>
          <w:docGrid w:linePitch="360" w:charSpace="0"/>
        </w:sectPr>
      </w:pP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2"/>
        </w:rPr>
      </w:pPr>
      <w:r>
        <w:rPr>
          <w:rFonts w:ascii="Times New Roman" w:hAnsi="Times New Roman" w:eastAsia="Times New Roman"/>
          <w:sz w:val="22"/>
        </w:rPr>
        <w:t>NNS</w:t>
      </w:r>
    </w:p>
    <w:p>
      <w:pPr>
        <w:spacing w:line="276" w:lineRule="exact"/>
        <w:rPr>
          <w:rFonts w:ascii="Times New Roman" w:hAnsi="Times New Roman" w:eastAsia="Times New Roman"/>
        </w:rPr>
      </w:pPr>
      <w:r>
        <w:rPr>
          <w:rFonts w:ascii="Times New Roman" w:hAnsi="Times New Roman" w:eastAsia="Times New Roman"/>
          <w:sz w:val="22"/>
        </w:rPr>
        <w:br w:type="column"/>
      </w:r>
    </w:p>
    <w:p>
      <w:pPr>
        <w:spacing w:line="0" w:lineRule="atLeast"/>
        <w:rPr>
          <w:rFonts w:ascii="Times New Roman" w:hAnsi="Times New Roman" w:eastAsia="Times New Roman"/>
          <w:sz w:val="22"/>
        </w:rPr>
      </w:pPr>
      <w:r>
        <w:rPr>
          <w:rFonts w:ascii="Times New Roman" w:hAnsi="Times New Roman" w:eastAsia="Times New Roman"/>
          <w:sz w:val="22"/>
        </w:rPr>
        <w:t>National Nutrition Survey</w:t>
      </w:r>
    </w:p>
    <w:p>
      <w:pPr>
        <w:spacing w:line="0" w:lineRule="atLeast"/>
        <w:rPr>
          <w:rFonts w:ascii="Times New Roman" w:hAnsi="Times New Roman" w:eastAsia="Times New Roman"/>
          <w:sz w:val="22"/>
        </w:rPr>
        <w:sectPr>
          <w:type w:val="continuous"/>
          <w:pgSz w:w="12240" w:h="15840"/>
          <w:pgMar w:top="1435" w:right="1440" w:bottom="428" w:left="1440" w:header="0" w:footer="0" w:gutter="0"/>
          <w:cols w:equalWidth="0" w:num="2">
            <w:col w:w="3600" w:space="720"/>
            <w:col w:w="5040"/>
          </w:cols>
          <w:docGrid w:linePitch="360" w:charSpace="0"/>
        </w:sectPr>
      </w:pPr>
    </w:p>
    <w:p>
      <w:pPr>
        <w:spacing w:line="263"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RDA</w:t>
      </w:r>
    </w:p>
    <w:p>
      <w:pPr>
        <w:spacing w:line="251"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4"/>
        </w:rPr>
      </w:pPr>
      <w:r>
        <w:rPr>
          <w:rFonts w:ascii="Times New Roman" w:hAnsi="Times New Roman" w:eastAsia="Times New Roman"/>
          <w:sz w:val="24"/>
        </w:rPr>
        <w:t>Recommended Daily Allowance</w:t>
      </w:r>
    </w:p>
    <w:p>
      <w:pPr>
        <w:spacing w:line="0" w:lineRule="atLeast"/>
        <w:rPr>
          <w:rFonts w:ascii="Times New Roman" w:hAnsi="Times New Roman" w:eastAsia="Times New Roman"/>
          <w:sz w:val="24"/>
        </w:rPr>
        <w:sectPr>
          <w:type w:val="continuous"/>
          <w:pgSz w:w="12240" w:h="15840"/>
          <w:pgMar w:top="1435" w:right="1440" w:bottom="428" w:left="1440" w:header="0" w:footer="0" w:gutter="0"/>
          <w:cols w:equalWidth="0" w:num="2">
            <w:col w:w="3600" w:space="720"/>
            <w:col w:w="5040"/>
          </w:cols>
          <w:docGrid w:linePitch="360" w:charSpace="0"/>
        </w:sectPr>
      </w:pPr>
    </w:p>
    <w:p>
      <w:pPr>
        <w:spacing w:line="288"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RNA</w:t>
      </w:r>
    </w:p>
    <w:p>
      <w:pPr>
        <w:spacing w:line="288" w:lineRule="exact"/>
        <w:rPr>
          <w:rFonts w:ascii="Times New Roman" w:hAnsi="Times New Roman" w:eastAsia="Times New Roman"/>
        </w:rPr>
      </w:pPr>
      <w:r>
        <w:rPr>
          <w:rFonts w:ascii="Times New Roman" w:hAnsi="Times New Roman" w:eastAsia="Times New Roman"/>
          <w:sz w:val="23"/>
        </w:rPr>
        <w:br w:type="column"/>
      </w:r>
    </w:p>
    <w:p>
      <w:pPr>
        <w:spacing w:line="0" w:lineRule="atLeast"/>
        <w:ind w:right="3360"/>
        <w:jc w:val="center"/>
        <w:rPr>
          <w:rFonts w:ascii="Times New Roman" w:hAnsi="Times New Roman" w:eastAsia="Times New Roman"/>
          <w:sz w:val="23"/>
        </w:rPr>
      </w:pPr>
      <w:r>
        <w:rPr>
          <w:rFonts w:ascii="Times New Roman" w:hAnsi="Times New Roman" w:eastAsia="Times New Roman"/>
          <w:sz w:val="23"/>
        </w:rPr>
        <w:t>Ribonucleic Acid</w:t>
      </w:r>
    </w:p>
    <w:p>
      <w:pPr>
        <w:spacing w:line="0" w:lineRule="atLeast"/>
        <w:ind w:right="3360"/>
        <w:jc w:val="center"/>
        <w:rPr>
          <w:rFonts w:ascii="Times New Roman" w:hAnsi="Times New Roman" w:eastAsia="Times New Roman"/>
          <w:sz w:val="23"/>
        </w:rPr>
        <w:sectPr>
          <w:type w:val="continuous"/>
          <w:pgSz w:w="12240" w:h="15840"/>
          <w:pgMar w:top="1435" w:right="1440" w:bottom="428" w:left="1440" w:header="0" w:footer="0" w:gutter="0"/>
          <w:cols w:equalWidth="0" w:num="2">
            <w:col w:w="3600" w:space="720"/>
            <w:col w:w="5040"/>
          </w:cols>
          <w:docGrid w:linePitch="360" w:charSpace="0"/>
        </w:sectPr>
      </w:pPr>
    </w:p>
    <w:p>
      <w:pPr>
        <w:spacing w:line="288" w:lineRule="exact"/>
        <w:rPr>
          <w:rFonts w:ascii="Times New Roman" w:hAnsi="Times New Roman" w:eastAsia="Times New Roman"/>
        </w:rPr>
      </w:pPr>
    </w:p>
    <w:p>
      <w:pPr>
        <w:spacing w:line="0" w:lineRule="atLeast"/>
        <w:ind w:left="580"/>
        <w:rPr>
          <w:rFonts w:ascii="Times New Roman" w:hAnsi="Times New Roman" w:eastAsia="Times New Roman"/>
          <w:color w:val="292526"/>
          <w:sz w:val="23"/>
        </w:rPr>
      </w:pPr>
      <w:r>
        <w:rPr>
          <w:rFonts w:ascii="Times New Roman" w:hAnsi="Times New Roman" w:eastAsia="Times New Roman"/>
          <w:color w:val="292526"/>
          <w:sz w:val="23"/>
        </w:rPr>
        <w:t>SCF</w:t>
      </w:r>
    </w:p>
    <w:p>
      <w:pPr>
        <w:spacing w:line="288" w:lineRule="exact"/>
        <w:rPr>
          <w:rFonts w:ascii="Times New Roman" w:hAnsi="Times New Roman" w:eastAsia="Times New Roman"/>
        </w:rPr>
      </w:pPr>
      <w:r>
        <w:rPr>
          <w:rFonts w:ascii="Times New Roman" w:hAnsi="Times New Roman" w:eastAsia="Times New Roman"/>
          <w:color w:val="292526"/>
          <w:sz w:val="23"/>
        </w:rPr>
        <w:br w:type="column"/>
      </w:r>
    </w:p>
    <w:p>
      <w:pPr>
        <w:spacing w:line="0" w:lineRule="atLeast"/>
        <w:rPr>
          <w:rFonts w:ascii="Times New Roman" w:hAnsi="Times New Roman" w:eastAsia="Times New Roman"/>
          <w:color w:val="292526"/>
          <w:sz w:val="23"/>
        </w:rPr>
      </w:pPr>
      <w:r>
        <w:rPr>
          <w:rFonts w:ascii="Times New Roman" w:hAnsi="Times New Roman" w:eastAsia="Times New Roman"/>
          <w:color w:val="292526"/>
          <w:sz w:val="23"/>
        </w:rPr>
        <w:t>Scientific Committee for Food</w:t>
      </w:r>
    </w:p>
    <w:p>
      <w:pPr>
        <w:spacing w:line="0" w:lineRule="atLeast"/>
        <w:rPr>
          <w:rFonts w:ascii="Times New Roman" w:hAnsi="Times New Roman" w:eastAsia="Times New Roman"/>
          <w:color w:val="292526"/>
          <w:sz w:val="23"/>
        </w:rPr>
        <w:sectPr>
          <w:type w:val="continuous"/>
          <w:pgSz w:w="12240" w:h="15840"/>
          <w:pgMar w:top="1435" w:right="1440" w:bottom="428" w:left="1440" w:header="0" w:footer="0" w:gutter="0"/>
          <w:cols w:equalWidth="0" w:num="2">
            <w:col w:w="3580" w:space="720"/>
            <w:col w:w="5060"/>
          </w:cols>
          <w:docGrid w:linePitch="360" w:charSpace="0"/>
        </w:sectPr>
      </w:pPr>
    </w:p>
    <w:p>
      <w:pPr>
        <w:spacing w:line="288"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SSB</w:t>
      </w:r>
    </w:p>
    <w:p>
      <w:pPr>
        <w:spacing w:line="307"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1"/>
        </w:rPr>
      </w:pPr>
      <w:r>
        <w:rPr>
          <w:rFonts w:ascii="Times New Roman" w:hAnsi="Times New Roman" w:eastAsia="Times New Roman"/>
          <w:sz w:val="21"/>
        </w:rPr>
        <w:t>Sugar Sweetened Beverages</w:t>
      </w:r>
    </w:p>
    <w:p>
      <w:pPr>
        <w:spacing w:line="0" w:lineRule="atLeast"/>
        <w:rPr>
          <w:rFonts w:ascii="Times New Roman" w:hAnsi="Times New Roman" w:eastAsia="Times New Roman"/>
          <w:sz w:val="21"/>
        </w:rPr>
        <w:sectPr>
          <w:type w:val="continuous"/>
          <w:pgSz w:w="12240" w:h="15840"/>
          <w:pgMar w:top="1435" w:right="1440" w:bottom="428" w:left="1440" w:header="0" w:footer="0" w:gutter="0"/>
          <w:cols w:equalWidth="0" w:num="2">
            <w:col w:w="3640" w:space="720"/>
            <w:col w:w="5000"/>
          </w:cols>
          <w:docGrid w:linePitch="360" w:charSpace="0"/>
        </w:sectPr>
      </w:pPr>
    </w:p>
    <w:p>
      <w:pPr>
        <w:spacing w:line="276" w:lineRule="exact"/>
        <w:rPr>
          <w:rFonts w:ascii="Times New Roman" w:hAnsi="Times New Roman" w:eastAsia="Times New Roman"/>
        </w:rPr>
      </w:pPr>
    </w:p>
    <w:p>
      <w:pPr>
        <w:spacing w:line="0" w:lineRule="atLeast"/>
        <w:ind w:left="580"/>
        <w:rPr>
          <w:rFonts w:ascii="Times New Roman" w:hAnsi="Times New Roman" w:eastAsia="Times New Roman"/>
          <w:color w:val="292526"/>
          <w:sz w:val="24"/>
        </w:rPr>
      </w:pPr>
      <w:r>
        <w:rPr>
          <w:rFonts w:ascii="Times New Roman" w:hAnsi="Times New Roman" w:eastAsia="Times New Roman"/>
          <w:color w:val="292526"/>
          <w:sz w:val="24"/>
        </w:rPr>
        <w:t>USA</w:t>
      </w:r>
    </w:p>
    <w:p>
      <w:pPr>
        <w:spacing w:line="288" w:lineRule="exact"/>
        <w:rPr>
          <w:rFonts w:ascii="Times New Roman" w:hAnsi="Times New Roman" w:eastAsia="Times New Roman"/>
        </w:rPr>
      </w:pPr>
      <w:r>
        <w:rPr>
          <w:rFonts w:ascii="Times New Roman" w:hAnsi="Times New Roman" w:eastAsia="Times New Roman"/>
          <w:color w:val="292526"/>
          <w:sz w:val="24"/>
        </w:rPr>
        <w:br w:type="column"/>
      </w:r>
    </w:p>
    <w:p>
      <w:pPr>
        <w:spacing w:line="0" w:lineRule="atLeast"/>
        <w:rPr>
          <w:rFonts w:ascii="Times New Roman" w:hAnsi="Times New Roman" w:eastAsia="Times New Roman"/>
          <w:color w:val="292526"/>
          <w:sz w:val="23"/>
        </w:rPr>
      </w:pPr>
      <w:r>
        <w:rPr>
          <w:rFonts w:ascii="Times New Roman" w:hAnsi="Times New Roman" w:eastAsia="Times New Roman"/>
          <w:color w:val="292526"/>
          <w:sz w:val="23"/>
        </w:rPr>
        <w:t>United States of America</w:t>
      </w:r>
    </w:p>
    <w:p>
      <w:pPr>
        <w:spacing w:line="0" w:lineRule="atLeast"/>
        <w:rPr>
          <w:rFonts w:ascii="Times New Roman" w:hAnsi="Times New Roman" w:eastAsia="Times New Roman"/>
          <w:color w:val="292526"/>
          <w:sz w:val="23"/>
        </w:rPr>
        <w:sectPr>
          <w:type w:val="continuous"/>
          <w:pgSz w:w="12240" w:h="15840"/>
          <w:pgMar w:top="1435" w:right="1440" w:bottom="428" w:left="1440" w:header="0" w:footer="0" w:gutter="0"/>
          <w:cols w:equalWidth="0" w:num="2">
            <w:col w:w="3640" w:space="720"/>
            <w:col w:w="5000"/>
          </w:cols>
          <w:docGrid w:linePitch="360" w:charSpace="0"/>
        </w:sectPr>
      </w:pPr>
    </w:p>
    <w:p>
      <w:pPr>
        <w:spacing w:line="288"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UV</w:t>
      </w:r>
    </w:p>
    <w:p>
      <w:pPr>
        <w:spacing w:line="288"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3"/>
        </w:rPr>
      </w:pPr>
      <w:r>
        <w:rPr>
          <w:rFonts w:ascii="Times New Roman" w:hAnsi="Times New Roman" w:eastAsia="Times New Roman"/>
          <w:sz w:val="23"/>
        </w:rPr>
        <w:t>Ultraviolet Visible Spectroscopy</w:t>
      </w:r>
    </w:p>
    <w:p>
      <w:pPr>
        <w:spacing w:line="0" w:lineRule="atLeast"/>
        <w:rPr>
          <w:rFonts w:ascii="Times New Roman" w:hAnsi="Times New Roman" w:eastAsia="Times New Roman"/>
          <w:sz w:val="23"/>
        </w:rPr>
        <w:sectPr>
          <w:type w:val="continuous"/>
          <w:pgSz w:w="12240" w:h="15840"/>
          <w:pgMar w:top="1435" w:right="1440" w:bottom="428" w:left="1440" w:header="0" w:footer="0" w:gutter="0"/>
          <w:cols w:equalWidth="0" w:num="2">
            <w:col w:w="3640" w:space="720"/>
            <w:col w:w="5000"/>
          </w:cols>
          <w:docGrid w:linePitch="360" w:charSpace="0"/>
        </w:sectPr>
      </w:pPr>
    </w:p>
    <w:p>
      <w:pPr>
        <w:spacing w:line="288" w:lineRule="exact"/>
        <w:rPr>
          <w:rFonts w:ascii="Times New Roman" w:hAnsi="Times New Roman" w:eastAsia="Times New Roman"/>
        </w:rPr>
      </w:pPr>
    </w:p>
    <w:p>
      <w:pPr>
        <w:spacing w:line="0" w:lineRule="atLeast"/>
        <w:ind w:left="580"/>
        <w:rPr>
          <w:rFonts w:ascii="Times New Roman" w:hAnsi="Times New Roman" w:eastAsia="Times New Roman"/>
          <w:sz w:val="23"/>
        </w:rPr>
      </w:pPr>
      <w:r>
        <w:rPr>
          <w:rFonts w:ascii="Times New Roman" w:hAnsi="Times New Roman" w:eastAsia="Times New Roman"/>
          <w:sz w:val="23"/>
        </w:rPr>
        <w:t>WHO</w:t>
      </w:r>
    </w:p>
    <w:p>
      <w:pPr>
        <w:spacing w:line="288" w:lineRule="exact"/>
        <w:rPr>
          <w:rFonts w:ascii="Times New Roman" w:hAnsi="Times New Roman" w:eastAsia="Times New Roman"/>
        </w:rPr>
      </w:pPr>
      <w:r>
        <w:rPr>
          <w:rFonts w:ascii="Times New Roman" w:hAnsi="Times New Roman" w:eastAsia="Times New Roman"/>
          <w:sz w:val="23"/>
        </w:rPr>
        <w:br w:type="column"/>
      </w:r>
    </w:p>
    <w:p>
      <w:pPr>
        <w:spacing w:line="0" w:lineRule="atLeast"/>
        <w:rPr>
          <w:rFonts w:ascii="Times New Roman" w:hAnsi="Times New Roman" w:eastAsia="Times New Roman"/>
          <w:sz w:val="23"/>
        </w:rPr>
      </w:pPr>
      <w:r>
        <w:rPr>
          <w:rFonts w:ascii="Times New Roman" w:hAnsi="Times New Roman" w:eastAsia="Times New Roman"/>
          <w:sz w:val="23"/>
        </w:rPr>
        <w:t>World Health Organization</w:t>
      </w:r>
    </w:p>
    <w:p>
      <w:pPr>
        <w:spacing w:line="0" w:lineRule="atLeast"/>
        <w:rPr>
          <w:rFonts w:ascii="Times New Roman" w:hAnsi="Times New Roman" w:eastAsia="Times New Roman"/>
          <w:sz w:val="23"/>
        </w:rPr>
        <w:sectPr>
          <w:type w:val="continuous"/>
          <w:pgSz w:w="12240" w:h="15840"/>
          <w:pgMar w:top="1435" w:right="1440" w:bottom="428" w:left="1440" w:header="0" w:footer="0" w:gutter="0"/>
          <w:cols w:equalWidth="0" w:num="2">
            <w:col w:w="3620" w:space="720"/>
            <w:col w:w="5020"/>
          </w:cols>
          <w:docGrid w:linePitch="360" w:charSpace="0"/>
        </w:sectPr>
      </w:pP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XO</w:t>
      </w:r>
    </w:p>
    <w:p>
      <w:pPr>
        <w:spacing w:line="232" w:lineRule="exact"/>
        <w:rPr>
          <w:rFonts w:ascii="Times New Roman" w:hAnsi="Times New Roman" w:eastAsia="Times New Roman"/>
        </w:rPr>
      </w:pPr>
    </w:p>
    <w:p>
      <w:pPr>
        <w:spacing w:line="0" w:lineRule="atLeast"/>
        <w:ind w:left="4860"/>
        <w:rPr>
          <w:sz w:val="21"/>
        </w:rPr>
      </w:pPr>
      <w:r>
        <w:rPr>
          <w:sz w:val="21"/>
        </w:rPr>
        <w:t>xix</w:t>
      </w:r>
    </w:p>
    <w:p>
      <w:pPr>
        <w:spacing w:line="0" w:lineRule="atLeast"/>
        <w:ind w:left="4860"/>
        <w:rPr>
          <w:sz w:val="21"/>
        </w:rPr>
        <w:sectPr>
          <w:type w:val="continuous"/>
          <w:pgSz w:w="12240" w:h="15840"/>
          <w:pgMar w:top="1435" w:right="1440" w:bottom="428" w:left="1440" w:header="0" w:footer="0" w:gutter="0"/>
          <w:cols w:equalWidth="0" w:num="1">
            <w:col w:w="9360"/>
          </w:cols>
          <w:docGrid w:linePitch="360" w:charSpace="0"/>
        </w:sectPr>
      </w:pPr>
    </w:p>
    <w:p>
      <w:pPr>
        <w:spacing w:line="0" w:lineRule="atLeast"/>
        <w:ind w:left="3940"/>
        <w:rPr>
          <w:rFonts w:ascii="Times New Roman" w:hAnsi="Times New Roman" w:eastAsia="Times New Roman"/>
          <w:b/>
          <w:sz w:val="28"/>
        </w:rPr>
      </w:pPr>
      <w:bookmarkStart w:id="11" w:name="page20"/>
      <w:bookmarkEnd w:id="11"/>
      <w:r>
        <w:rPr>
          <w:rFonts w:ascii="Times New Roman" w:hAnsi="Times New Roman" w:eastAsia="Times New Roman"/>
          <w:b/>
          <w:sz w:val="28"/>
        </w:rPr>
        <w:t>CHAPTER ONE</w:t>
      </w:r>
    </w:p>
    <w:p>
      <w:pPr>
        <w:spacing w:line="319"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1.0</w:t>
      </w:r>
      <w:r>
        <w:rPr>
          <w:rFonts w:ascii="Times New Roman" w:hAnsi="Times New Roman" w:eastAsia="Times New Roman"/>
        </w:rPr>
        <w:tab/>
      </w:r>
      <w:r>
        <w:rPr>
          <w:rFonts w:ascii="Times New Roman" w:hAnsi="Times New Roman" w:eastAsia="Times New Roman"/>
          <w:b/>
          <w:sz w:val="24"/>
        </w:rPr>
        <w:t>INTRODUCTION</w:t>
      </w:r>
    </w:p>
    <w:p>
      <w:pPr>
        <w:spacing w:line="284"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Energy drinks refer to beverages that contain large doses of caffeine and other legal stimulants such as taurine, carbohydrates, glucuronolactone, inositol, niacin, panthenol, and β-complex vitamins which are considered as source of energy (Attila and Çakir, 2009). The consumption of readily available energy drinks has increased significantly with young adults forming the largest part of the consumers. History of energy drink dates back to 1987 when Red Bull was introduced in Austria. It became more popular in the 1990s following its introduction to the United States. Since then the sale of this drink has increased exponentially. In 2006, the energy drink market grew by 80% (Foran </w:t>
      </w:r>
      <w:r>
        <w:rPr>
          <w:rFonts w:ascii="Times New Roman" w:hAnsi="Times New Roman" w:eastAsia="Times New Roman"/>
          <w:i/>
          <w:sz w:val="24"/>
        </w:rPr>
        <w:t>et al.,</w:t>
      </w:r>
      <w:r>
        <w:rPr>
          <w:rFonts w:ascii="Times New Roman" w:hAnsi="Times New Roman" w:eastAsia="Times New Roman"/>
          <w:sz w:val="24"/>
        </w:rPr>
        <w:t xml:space="preserve"> 2011). This is because manufactures claim the drinks can boost energy levels as well as physical endurance, improve concentration and reaction speed (Van den Eynde </w:t>
      </w:r>
      <w:r>
        <w:rPr>
          <w:rFonts w:ascii="Times New Roman" w:hAnsi="Times New Roman" w:eastAsia="Times New Roman"/>
          <w:i/>
          <w:sz w:val="24"/>
        </w:rPr>
        <w:t>et al.,</w:t>
      </w:r>
      <w:r>
        <w:rPr>
          <w:rFonts w:ascii="Times New Roman" w:hAnsi="Times New Roman" w:eastAsia="Times New Roman"/>
          <w:sz w:val="24"/>
        </w:rPr>
        <w:t xml:space="preserve"> 2008).</w:t>
      </w:r>
    </w:p>
    <w:p>
      <w:pPr>
        <w:spacing w:line="200"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In recent years, a number of different energy drinks have been introduced in the Nigerian market to provide an energy boost or as dietary supplements. These drinks are marketed specifically to children and young adults. These products have been used for various reasons. A survey conducted among college students shows that 67% of students admitted using energy drinks to cope with insufficient sleep, 65% mentioned increasing energy and 54% use it for fun at parties; 50% for studying or completing a major course project, 45% used it while driving a car for a long period of time and 17% for treating hangover (Malinauskas </w:t>
      </w:r>
      <w:r>
        <w:rPr>
          <w:rFonts w:ascii="Times New Roman" w:hAnsi="Times New Roman" w:eastAsia="Times New Roman"/>
          <w:i/>
          <w:sz w:val="24"/>
        </w:rPr>
        <w:t>et al.,</w:t>
      </w:r>
      <w:r>
        <w:rPr>
          <w:rFonts w:ascii="Times New Roman" w:hAnsi="Times New Roman" w:eastAsia="Times New Roman"/>
          <w:sz w:val="24"/>
        </w:rPr>
        <w:t xml:space="preserve"> 2007). These products have also been used to reduce the depressor effect of alcohol or even to gain social status (Ferreira </w:t>
      </w:r>
      <w:r>
        <w:rPr>
          <w:rFonts w:ascii="Times New Roman" w:hAnsi="Times New Roman" w:eastAsia="Times New Roman"/>
          <w:i/>
          <w:sz w:val="24"/>
        </w:rPr>
        <w:t>et al.,</w:t>
      </w:r>
      <w:r>
        <w:rPr>
          <w:rFonts w:ascii="Times New Roman" w:hAnsi="Times New Roman" w:eastAsia="Times New Roman"/>
          <w:sz w:val="24"/>
        </w:rPr>
        <w:t xml:space="preserve"> 2004; Kaminer, 2010).</w:t>
      </w:r>
    </w:p>
    <w:p>
      <w:pPr>
        <w:spacing w:line="367" w:lineRule="exact"/>
        <w:rPr>
          <w:rFonts w:ascii="Times New Roman" w:hAnsi="Times New Roman" w:eastAsia="Times New Roman"/>
        </w:rPr>
      </w:pPr>
    </w:p>
    <w:p>
      <w:pPr>
        <w:spacing w:line="0" w:lineRule="atLeast"/>
        <w:ind w:left="4860"/>
        <w:rPr>
          <w:sz w:val="22"/>
        </w:rPr>
      </w:pPr>
      <w:r>
        <w:rPr>
          <w:sz w:val="22"/>
        </w:rPr>
        <w:t>20</w:t>
      </w:r>
    </w:p>
    <w:p>
      <w:pPr>
        <w:spacing w:line="0" w:lineRule="atLeast"/>
        <w:ind w:left="4860"/>
        <w:rPr>
          <w:sz w:val="22"/>
        </w:rPr>
        <w:sectPr>
          <w:pgSz w:w="12240" w:h="15840"/>
          <w:pgMar w:top="1437"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12" w:name="page21"/>
      <w:bookmarkEnd w:id="12"/>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Many energy drinks are promoted as being nutraceutical foods, boosting health, energy, or otherwise having sought-after benefits. There is some concern among health professionals that these beverages, and the drinking behaviours of the targeted consumers, may in fact have adverse health consequences. The most commonly reported adverse effects include insomnia, nervousness, headache, and tachycardia (Clauson </w:t>
      </w:r>
      <w:r>
        <w:rPr>
          <w:rFonts w:ascii="Times New Roman" w:hAnsi="Times New Roman" w:eastAsia="Times New Roman"/>
          <w:i/>
          <w:sz w:val="24"/>
        </w:rPr>
        <w:t>et al.,</w:t>
      </w:r>
      <w:r>
        <w:rPr>
          <w:rFonts w:ascii="Times New Roman" w:hAnsi="Times New Roman" w:eastAsia="Times New Roman"/>
          <w:sz w:val="24"/>
        </w:rPr>
        <w:t xml:space="preserve"> 2008). In a recent study, heavy consumption of energy drinks was attributed to new onset seizures in four patients (Iyadurai and Chung, 2007) and hospitalization of individuals with pre-existing mental illness (Chelben </w:t>
      </w:r>
      <w:r>
        <w:rPr>
          <w:rFonts w:ascii="Times New Roman" w:hAnsi="Times New Roman" w:eastAsia="Times New Roman"/>
          <w:i/>
          <w:sz w:val="24"/>
        </w:rPr>
        <w:t>et al.,</w:t>
      </w:r>
      <w:r>
        <w:rPr>
          <w:rFonts w:ascii="Times New Roman" w:hAnsi="Times New Roman" w:eastAsia="Times New Roman"/>
          <w:sz w:val="24"/>
        </w:rPr>
        <w:t xml:space="preserve"> 2008).</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1.1</w:t>
      </w:r>
      <w:r>
        <w:rPr>
          <w:rFonts w:ascii="Times New Roman" w:hAnsi="Times New Roman" w:eastAsia="Times New Roman"/>
        </w:rPr>
        <w:tab/>
      </w:r>
      <w:r>
        <w:rPr>
          <w:rFonts w:ascii="Times New Roman" w:hAnsi="Times New Roman" w:eastAsia="Times New Roman"/>
          <w:b/>
          <w:sz w:val="23"/>
        </w:rPr>
        <w:t>Energy Drinks</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Energy drinks first appeared in Europe and Asia in the 1960s in response to consumer demand for a dietary supplement that would result in increased energy (Reissig </w:t>
      </w:r>
      <w:r>
        <w:rPr>
          <w:rFonts w:ascii="Times New Roman" w:hAnsi="Times New Roman" w:eastAsia="Times New Roman"/>
          <w:i/>
          <w:sz w:val="24"/>
        </w:rPr>
        <w:t>et al.,</w:t>
      </w:r>
      <w:r>
        <w:rPr>
          <w:rFonts w:ascii="Times New Roman" w:hAnsi="Times New Roman" w:eastAsia="Times New Roman"/>
          <w:sz w:val="24"/>
        </w:rPr>
        <w:t xml:space="preserve"> 2008). In 1962, a Japanese company, Taisho Pharmaceuticals, launched Lipovitan D, one of the very first energy drinks, which is still dominating the Japanese market. Since the 1960s, the energy drink market has grown into a multibillion dollar business which has been reported as being the fastest growing segment in the beverage industry. Energy drinks have established a viable position in the beverage market as evidenced by their commonplace consumption in the morning, afternoon, and night, not only by the general consumer, but those of age 18 to 34 in particular (Lal, 2007).</w:t>
      </w:r>
    </w:p>
    <w:p>
      <w:pPr>
        <w:spacing w:line="200" w:lineRule="exact"/>
        <w:rPr>
          <w:rFonts w:ascii="Times New Roman" w:hAnsi="Times New Roman" w:eastAsia="Times New Roman"/>
        </w:rPr>
      </w:pPr>
    </w:p>
    <w:p>
      <w:pPr>
        <w:spacing w:line="375" w:lineRule="exact"/>
        <w:rPr>
          <w:rFonts w:ascii="Times New Roman" w:hAnsi="Times New Roman" w:eastAsia="Times New Roman"/>
        </w:rPr>
      </w:pPr>
    </w:p>
    <w:p>
      <w:pPr>
        <w:spacing w:line="465" w:lineRule="auto"/>
        <w:ind w:left="580"/>
        <w:jc w:val="both"/>
        <w:rPr>
          <w:rFonts w:ascii="Times New Roman" w:hAnsi="Times New Roman" w:eastAsia="Times New Roman"/>
          <w:sz w:val="24"/>
        </w:rPr>
      </w:pPr>
      <w:r>
        <w:rPr>
          <w:rFonts w:ascii="Times New Roman" w:hAnsi="Times New Roman" w:eastAsia="Times New Roman"/>
          <w:sz w:val="24"/>
        </w:rPr>
        <w:t>The popularity of energy drinks and the growth in their consumption among adolescents and young adults have brought worries regarding general health and well being of these consumers. Adolescents and young adults are often uninformed about the content of energy drink (Rath, 2012).</w:t>
      </w:r>
    </w:p>
    <w:p>
      <w:pPr>
        <w:spacing w:line="198" w:lineRule="auto"/>
        <w:ind w:left="4860"/>
        <w:rPr>
          <w:sz w:val="22"/>
        </w:rPr>
      </w:pPr>
      <w:r>
        <w:rPr>
          <w:sz w:val="22"/>
        </w:rPr>
        <w:t>21</w:t>
      </w:r>
    </w:p>
    <w:p>
      <w:pPr>
        <w:spacing w:line="198" w:lineRule="auto"/>
        <w:ind w:left="4860"/>
        <w:rPr>
          <w:sz w:val="22"/>
        </w:rPr>
        <w:sectPr>
          <w:pgSz w:w="12240" w:h="15840"/>
          <w:pgMar w:top="1440" w:right="1440" w:bottom="429"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4"/>
        </w:rPr>
      </w:pPr>
      <w:bookmarkStart w:id="13" w:name="page22"/>
      <w:bookmarkEnd w:id="13"/>
      <w:r>
        <w:rPr>
          <w:rFonts w:ascii="Times New Roman" w:hAnsi="Times New Roman" w:eastAsia="Times New Roman"/>
          <w:b/>
          <w:sz w:val="24"/>
        </w:rPr>
        <w:t>1.2</w:t>
      </w:r>
      <w:r>
        <w:rPr>
          <w:rFonts w:ascii="Times New Roman" w:hAnsi="Times New Roman" w:eastAsia="Times New Roman"/>
        </w:rPr>
        <w:tab/>
      </w:r>
      <w:r>
        <w:rPr>
          <w:rFonts w:ascii="Times New Roman" w:hAnsi="Times New Roman" w:eastAsia="Times New Roman"/>
          <w:b/>
          <w:sz w:val="24"/>
        </w:rPr>
        <w:t>Contents of Energy Drinks</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 xml:space="preserve">There are hundreds of energy drinks available in the market, many share very similar ingredient profiles. Most of these energy drinks consist mainly of caffeine, Taurine, Guarana, Ginseng, B vitamins, Ginko Biloba, L-carntine, sugars, Antioxidants, Glucuronolactone, Yerba Mate, Creatine, Acai Berry, Milk Thistle, L-theanine, Inositol and artificial sweetners (Babu </w:t>
      </w:r>
      <w:r>
        <w:rPr>
          <w:rFonts w:ascii="Times New Roman" w:hAnsi="Times New Roman" w:eastAsia="Times New Roman"/>
          <w:i/>
          <w:sz w:val="24"/>
        </w:rPr>
        <w:t>et al.,</w:t>
      </w:r>
      <w:r>
        <w:rPr>
          <w:rFonts w:ascii="Times New Roman" w:hAnsi="Times New Roman" w:eastAsia="Times New Roman"/>
          <w:sz w:val="24"/>
        </w:rPr>
        <w:t xml:space="preserve"> 2008).</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1.2.1</w:t>
      </w:r>
      <w:r>
        <w:rPr>
          <w:rFonts w:ascii="Times New Roman" w:hAnsi="Times New Roman" w:eastAsia="Times New Roman"/>
        </w:rPr>
        <w:tab/>
      </w:r>
      <w:r>
        <w:rPr>
          <w:rFonts w:ascii="Times New Roman" w:hAnsi="Times New Roman" w:eastAsia="Times New Roman"/>
          <w:b/>
          <w:sz w:val="23"/>
        </w:rPr>
        <w:t>Caffeine</w:t>
      </w:r>
    </w:p>
    <w:p>
      <w:pPr>
        <w:spacing w:line="284" w:lineRule="exact"/>
        <w:rPr>
          <w:rFonts w:ascii="Times New Roman" w:hAnsi="Times New Roman" w:eastAsia="Times New Roman"/>
        </w:rPr>
      </w:pPr>
    </w:p>
    <w:p>
      <w:pPr>
        <w:spacing w:line="476" w:lineRule="auto"/>
        <w:ind w:left="580"/>
        <w:jc w:val="both"/>
        <w:rPr>
          <w:rFonts w:ascii="Times New Roman" w:hAnsi="Times New Roman" w:eastAsia="Times New Roman"/>
          <w:color w:val="292526"/>
          <w:sz w:val="24"/>
        </w:rPr>
      </w:pPr>
      <w:r>
        <w:rPr>
          <w:rFonts w:ascii="Times New Roman" w:hAnsi="Times New Roman" w:eastAsia="Times New Roman"/>
          <w:sz w:val="24"/>
        </w:rPr>
        <w:t xml:space="preserve">Caffeine is probably the most frequently ingested pharmacologically active substance in the world. </w:t>
      </w:r>
      <w:r>
        <w:rPr>
          <w:rFonts w:ascii="Times New Roman" w:hAnsi="Times New Roman" w:eastAsia="Times New Roman"/>
          <w:color w:val="292526"/>
          <w:sz w:val="24"/>
        </w:rPr>
        <w:t>It is one of the main ingredients of stimulant drinks and it is also present in tea,</w:t>
      </w:r>
      <w:r>
        <w:rPr>
          <w:rFonts w:ascii="Times New Roman" w:hAnsi="Times New Roman" w:eastAsia="Times New Roman"/>
          <w:sz w:val="24"/>
        </w:rPr>
        <w:t xml:space="preserve"> </w:t>
      </w:r>
      <w:r>
        <w:rPr>
          <w:rFonts w:ascii="Times New Roman" w:hAnsi="Times New Roman" w:eastAsia="Times New Roman"/>
          <w:color w:val="292526"/>
          <w:sz w:val="24"/>
        </w:rPr>
        <w:t xml:space="preserve">coffee and other beverages and foods. </w:t>
      </w:r>
      <w:r>
        <w:rPr>
          <w:rFonts w:ascii="Times New Roman" w:hAnsi="Times New Roman" w:eastAsia="Times New Roman"/>
          <w:color w:val="000000"/>
          <w:sz w:val="24"/>
        </w:rPr>
        <w:t>Caffeine is extracted from the raw fruit of over sixty</w:t>
      </w:r>
      <w:r>
        <w:rPr>
          <w:rFonts w:ascii="Times New Roman" w:hAnsi="Times New Roman" w:eastAsia="Times New Roman"/>
          <w:color w:val="292526"/>
          <w:sz w:val="24"/>
        </w:rPr>
        <w:t xml:space="preserve"> </w:t>
      </w:r>
      <w:r>
        <w:rPr>
          <w:rFonts w:ascii="Times New Roman" w:hAnsi="Times New Roman" w:eastAsia="Times New Roman"/>
          <w:color w:val="000000"/>
          <w:sz w:val="24"/>
        </w:rPr>
        <w:t xml:space="preserve">species of coffee plants (coffea Arabica), all part of the methylxanthine family. </w:t>
      </w:r>
      <w:r>
        <w:rPr>
          <w:rFonts w:ascii="Times New Roman" w:hAnsi="Times New Roman" w:eastAsia="Times New Roman"/>
          <w:color w:val="292526"/>
          <w:sz w:val="24"/>
        </w:rPr>
        <w:t>The</w:t>
      </w:r>
      <w:r>
        <w:rPr>
          <w:rFonts w:ascii="Times New Roman" w:hAnsi="Times New Roman" w:eastAsia="Times New Roman"/>
          <w:color w:val="000000"/>
          <w:sz w:val="24"/>
        </w:rPr>
        <w:t xml:space="preserve"> </w:t>
      </w:r>
      <w:r>
        <w:rPr>
          <w:rFonts w:ascii="Times New Roman" w:hAnsi="Times New Roman" w:eastAsia="Times New Roman"/>
          <w:color w:val="292526"/>
          <w:sz w:val="24"/>
        </w:rPr>
        <w:t xml:space="preserve">dimethylxanthine derivatives, theophylline and theobromine, are also found in a variety of plants. </w:t>
      </w:r>
      <w:r>
        <w:rPr>
          <w:rFonts w:ascii="Times New Roman" w:hAnsi="Times New Roman" w:eastAsia="Times New Roman"/>
          <w:color w:val="000000"/>
          <w:sz w:val="24"/>
        </w:rPr>
        <w:t>It is also extracted from tea, kola nuts, and cocoa.</w:t>
      </w:r>
      <w:r>
        <w:rPr>
          <w:rFonts w:ascii="Times New Roman" w:hAnsi="Times New Roman" w:eastAsia="Times New Roman"/>
          <w:color w:val="292526"/>
          <w:sz w:val="24"/>
        </w:rPr>
        <w:t xml:space="preserve"> The average total intake of caffeine in the Republic of Ireland and the UK is estimated to be 214 and 278 mg per person per day, respectively (FSPB, 2010). Data from the consumption survey, based on weekly intake, indicates that among stimulant drink consumers, the average daily caffeine intake from stimulant drinks alone would be approximately 35 mg, rising to about 90 mg among the highest consumers (FSPB, 2010). This does not appear excessive. However, when the consumption of stimulant drinks in a single session was investigated, the average caffeine consumed was approximately 240 mg (3 cans), rising to about 640 mg (8 cans) among the highest consumers (FSPB, 2010). Such large intake levels among the highest consumers are a cause of concern, particularly in relation to the known potential acute health effects of caffeine such as tachycardia, increases in blood pressure and dehydration,</w:t>
      </w:r>
    </w:p>
    <w:p>
      <w:pPr>
        <w:spacing w:line="204" w:lineRule="auto"/>
        <w:ind w:left="4860"/>
        <w:rPr>
          <w:sz w:val="22"/>
        </w:rPr>
      </w:pPr>
      <w:r>
        <w:rPr>
          <w:sz w:val="22"/>
        </w:rPr>
        <w:t>22</w:t>
      </w:r>
    </w:p>
    <w:p>
      <w:pPr>
        <w:spacing w:line="204" w:lineRule="auto"/>
        <w:ind w:left="4860"/>
        <w:rPr>
          <w:sz w:val="22"/>
        </w:rPr>
        <w:sectPr>
          <w:pgSz w:w="12240" w:h="15840"/>
          <w:pgMar w:top="1435"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14" w:name="page23"/>
      <w:bookmarkEnd w:id="14"/>
    </w:p>
    <w:p>
      <w:pPr>
        <w:spacing w:line="469" w:lineRule="auto"/>
        <w:ind w:left="580"/>
        <w:jc w:val="both"/>
        <w:rPr>
          <w:rFonts w:ascii="Times New Roman" w:hAnsi="Times New Roman" w:eastAsia="Times New Roman"/>
          <w:color w:val="292526"/>
          <w:sz w:val="24"/>
        </w:rPr>
      </w:pPr>
      <w:r>
        <w:rPr>
          <w:rFonts w:ascii="Times New Roman" w:hAnsi="Times New Roman" w:eastAsia="Times New Roman"/>
          <w:color w:val="292526"/>
          <w:sz w:val="24"/>
        </w:rPr>
        <w:t>as well as behavioural and cognitive effects. The health effects of chronic or habitual caffeine consumption remain uncertain.</w:t>
      </w:r>
    </w:p>
    <w:p>
      <w:pPr>
        <w:spacing w:line="200" w:lineRule="exact"/>
        <w:rPr>
          <w:rFonts w:ascii="Times New Roman" w:hAnsi="Times New Roman" w:eastAsia="Times New Roman"/>
        </w:rPr>
      </w:pPr>
    </w:p>
    <w:p>
      <w:pPr>
        <w:spacing w:line="371"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color w:val="292526"/>
          <w:sz w:val="23"/>
        </w:rPr>
      </w:pPr>
      <w:r>
        <w:rPr>
          <w:rFonts w:ascii="Times New Roman" w:hAnsi="Times New Roman" w:eastAsia="Times New Roman"/>
          <w:b/>
          <w:color w:val="292526"/>
          <w:sz w:val="24"/>
        </w:rPr>
        <w:t>1.2.2</w:t>
      </w:r>
      <w:r>
        <w:rPr>
          <w:rFonts w:ascii="Times New Roman" w:hAnsi="Times New Roman" w:eastAsia="Times New Roman"/>
        </w:rPr>
        <w:tab/>
      </w:r>
      <w:r>
        <w:rPr>
          <w:rFonts w:ascii="Times New Roman" w:hAnsi="Times New Roman" w:eastAsia="Times New Roman"/>
          <w:b/>
          <w:color w:val="292526"/>
          <w:sz w:val="23"/>
        </w:rPr>
        <w:t>Taurine</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color w:val="292526"/>
          <w:sz w:val="24"/>
        </w:rPr>
      </w:pPr>
      <w:r>
        <w:rPr>
          <w:rFonts w:ascii="Times New Roman" w:hAnsi="Times New Roman" w:eastAsia="Times New Roman"/>
          <w:sz w:val="24"/>
        </w:rPr>
        <w:t xml:space="preserve">Taurine (2-aminoethyl sulfonic acid) is a sulfur containing amino acid that is the most abundant amino acid found naturally in our bodies, primarily in the retina and skeletal and cardiac muscle tissue (Timbrell </w:t>
      </w:r>
      <w:r>
        <w:rPr>
          <w:rFonts w:ascii="Times New Roman" w:hAnsi="Times New Roman" w:eastAsia="Times New Roman"/>
          <w:i/>
          <w:sz w:val="24"/>
        </w:rPr>
        <w:t>et al.,</w:t>
      </w:r>
      <w:r>
        <w:rPr>
          <w:rFonts w:ascii="Times New Roman" w:hAnsi="Times New Roman" w:eastAsia="Times New Roman"/>
          <w:sz w:val="24"/>
        </w:rPr>
        <w:t xml:space="preserve"> 1995; Imagawa </w:t>
      </w:r>
      <w:r>
        <w:rPr>
          <w:rFonts w:ascii="Times New Roman" w:hAnsi="Times New Roman" w:eastAsia="Times New Roman"/>
          <w:i/>
          <w:sz w:val="24"/>
        </w:rPr>
        <w:t>et al.,</w:t>
      </w:r>
      <w:r>
        <w:rPr>
          <w:rFonts w:ascii="Times New Roman" w:hAnsi="Times New Roman" w:eastAsia="Times New Roman"/>
          <w:sz w:val="24"/>
        </w:rPr>
        <w:t xml:space="preserve"> 2009). Taurine is derived from the metabolism of methionine and cysteine (Huxtable, 1992; Stipanuk, 2004). It is also present in common food items such as meat and fish. </w:t>
      </w:r>
      <w:r>
        <w:rPr>
          <w:rFonts w:ascii="Times New Roman" w:hAnsi="Times New Roman" w:eastAsia="Times New Roman"/>
          <w:color w:val="292526"/>
          <w:sz w:val="24"/>
        </w:rPr>
        <w:t>The data on stimulant drink intake</w:t>
      </w:r>
      <w:r>
        <w:rPr>
          <w:rFonts w:ascii="Times New Roman" w:hAnsi="Times New Roman" w:eastAsia="Times New Roman"/>
          <w:sz w:val="24"/>
        </w:rPr>
        <w:t xml:space="preserve"> </w:t>
      </w:r>
      <w:r>
        <w:rPr>
          <w:rFonts w:ascii="Times New Roman" w:hAnsi="Times New Roman" w:eastAsia="Times New Roman"/>
          <w:color w:val="292526"/>
          <w:sz w:val="24"/>
        </w:rPr>
        <w:t>among stimulant drink consumers indicate that average daily taurine intake from stimulant drinks was approximately 0.4 g, increasing to about 1 g among the highest consumers (FSPB, 2010). The most taurine consumed from stimulant drinks in a single session was averaged at approximately 3 g, rising to about 8 g by the highest consumers (FSPB, 2010). Stimulant drink intake at the maximum level of intake provides taurine far in excess of that from other foods or beverages in the diet. Data available indicate no evidence of adverse effects of taurine at such intakes and in a recent report the EU Scientific Committee for Food (SCF) was unable to conclude that the ‗</w:t>
      </w:r>
      <w:r>
        <w:rPr>
          <w:rFonts w:ascii="Times New Roman" w:hAnsi="Times New Roman" w:eastAsia="Times New Roman"/>
          <w:i/>
          <w:color w:val="292526"/>
          <w:sz w:val="24"/>
        </w:rPr>
        <w:t>safety-in-use</w:t>
      </w:r>
      <w:r>
        <w:rPr>
          <w:rFonts w:ascii="Times New Roman" w:hAnsi="Times New Roman" w:eastAsia="Times New Roman"/>
          <w:color w:val="292526"/>
          <w:sz w:val="24"/>
        </w:rPr>
        <w:t>‘ of taurine in the concentration range reported for stimulant drinks has been adequately established (EU SCF, 1983).</w:t>
      </w: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color w:val="292526"/>
          <w:sz w:val="23"/>
        </w:rPr>
      </w:pPr>
      <w:r>
        <w:rPr>
          <w:rFonts w:ascii="Times New Roman" w:hAnsi="Times New Roman" w:eastAsia="Times New Roman"/>
          <w:b/>
          <w:color w:val="292526"/>
          <w:sz w:val="24"/>
        </w:rPr>
        <w:t>1.2.3</w:t>
      </w:r>
      <w:r>
        <w:rPr>
          <w:rFonts w:ascii="Times New Roman" w:hAnsi="Times New Roman" w:eastAsia="Times New Roman"/>
        </w:rPr>
        <w:tab/>
      </w:r>
      <w:r>
        <w:rPr>
          <w:rFonts w:ascii="Times New Roman" w:hAnsi="Times New Roman" w:eastAsia="Times New Roman"/>
          <w:b/>
          <w:color w:val="292526"/>
          <w:sz w:val="23"/>
        </w:rPr>
        <w:t>Guarana</w:t>
      </w:r>
    </w:p>
    <w:p>
      <w:pPr>
        <w:spacing w:line="284" w:lineRule="exact"/>
        <w:rPr>
          <w:rFonts w:ascii="Times New Roman" w:hAnsi="Times New Roman" w:eastAsia="Times New Roman"/>
        </w:rPr>
      </w:pPr>
    </w:p>
    <w:p>
      <w:pPr>
        <w:spacing w:line="465" w:lineRule="auto"/>
        <w:ind w:left="580"/>
        <w:jc w:val="both"/>
        <w:rPr>
          <w:rFonts w:ascii="Times New Roman" w:hAnsi="Times New Roman" w:eastAsia="Times New Roman"/>
          <w:color w:val="292526"/>
          <w:sz w:val="24"/>
        </w:rPr>
      </w:pPr>
      <w:r>
        <w:rPr>
          <w:rFonts w:ascii="Times New Roman" w:hAnsi="Times New Roman" w:eastAsia="Times New Roman"/>
          <w:color w:val="292526"/>
          <w:sz w:val="24"/>
        </w:rPr>
        <w:t>Guarana (</w:t>
      </w:r>
      <w:r>
        <w:rPr>
          <w:rFonts w:ascii="Times New Roman" w:hAnsi="Times New Roman" w:eastAsia="Times New Roman"/>
          <w:i/>
          <w:color w:val="292526"/>
          <w:sz w:val="24"/>
        </w:rPr>
        <w:t>Paullinia cupana</w:t>
      </w:r>
      <w:r>
        <w:rPr>
          <w:rFonts w:ascii="Times New Roman" w:hAnsi="Times New Roman" w:eastAsia="Times New Roman"/>
          <w:color w:val="292526"/>
          <w:sz w:val="24"/>
        </w:rPr>
        <w:t>) is a native South American plant containing guaranine, a substance chemically similar to caffeine with comparable stimulant effects. Guarana is often added to stimulant drinks, either in combination with caffeine or on its own. The stimulant effect of guarana is related to its caffeine content; one gram of guarana contains</w:t>
      </w:r>
    </w:p>
    <w:p>
      <w:pPr>
        <w:spacing w:line="198" w:lineRule="auto"/>
        <w:ind w:left="4860"/>
        <w:rPr>
          <w:sz w:val="22"/>
        </w:rPr>
      </w:pPr>
      <w:r>
        <w:rPr>
          <w:sz w:val="22"/>
        </w:rPr>
        <w:t>23</w:t>
      </w:r>
    </w:p>
    <w:p>
      <w:pPr>
        <w:spacing w:line="198"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15" w:name="page24"/>
      <w:bookmarkEnd w:id="15"/>
    </w:p>
    <w:p>
      <w:pPr>
        <w:spacing w:line="478" w:lineRule="auto"/>
        <w:ind w:left="580"/>
        <w:jc w:val="both"/>
        <w:rPr>
          <w:rFonts w:ascii="Times New Roman" w:hAnsi="Times New Roman" w:eastAsia="Times New Roman"/>
          <w:color w:val="292526"/>
          <w:sz w:val="24"/>
        </w:rPr>
      </w:pPr>
      <w:r>
        <w:rPr>
          <w:rFonts w:ascii="Times New Roman" w:hAnsi="Times New Roman" w:eastAsia="Times New Roman"/>
          <w:color w:val="292526"/>
          <w:sz w:val="24"/>
        </w:rPr>
        <w:t>as much caffeine (40 mg) as a medium strength cup of coffee. The precise source and nature of the stimulant activity of guarana is not well understood. However, it has been reported that guarana exerts a more prolonged effect than an equivalent amount of caffeine. The Food and Drinks Administration (FDA) in the USA currently prohibits the use of guarana in food and drinks while awaiting further clarification on its safety (USFDA, 2011).</w:t>
      </w:r>
    </w:p>
    <w:p>
      <w:pPr>
        <w:spacing w:line="200" w:lineRule="exact"/>
        <w:rPr>
          <w:rFonts w:ascii="Times New Roman" w:hAnsi="Times New Roman" w:eastAsia="Times New Roman"/>
        </w:rPr>
      </w:pPr>
    </w:p>
    <w:p>
      <w:pPr>
        <w:spacing w:line="360"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color w:val="292526"/>
          <w:sz w:val="23"/>
        </w:rPr>
      </w:pPr>
      <w:r>
        <w:rPr>
          <w:rFonts w:ascii="Times New Roman" w:hAnsi="Times New Roman" w:eastAsia="Times New Roman"/>
          <w:b/>
          <w:color w:val="292526"/>
          <w:sz w:val="24"/>
        </w:rPr>
        <w:t>1.2.4</w:t>
      </w:r>
      <w:r>
        <w:rPr>
          <w:rFonts w:ascii="Times New Roman" w:hAnsi="Times New Roman" w:eastAsia="Times New Roman"/>
        </w:rPr>
        <w:tab/>
      </w:r>
      <w:r>
        <w:rPr>
          <w:rFonts w:ascii="Times New Roman" w:hAnsi="Times New Roman" w:eastAsia="Times New Roman"/>
          <w:b/>
          <w:color w:val="292526"/>
          <w:sz w:val="23"/>
        </w:rPr>
        <w:t>Glucuronolactone</w:t>
      </w:r>
    </w:p>
    <w:p>
      <w:pPr>
        <w:spacing w:line="284" w:lineRule="exact"/>
        <w:rPr>
          <w:rFonts w:ascii="Times New Roman" w:hAnsi="Times New Roman" w:eastAsia="Times New Roman"/>
        </w:rPr>
      </w:pPr>
    </w:p>
    <w:p>
      <w:pPr>
        <w:spacing w:line="479" w:lineRule="auto"/>
        <w:ind w:left="580"/>
        <w:jc w:val="both"/>
        <w:rPr>
          <w:rFonts w:ascii="Times New Roman" w:hAnsi="Times New Roman" w:eastAsia="Times New Roman"/>
          <w:color w:val="292526"/>
          <w:sz w:val="24"/>
        </w:rPr>
      </w:pPr>
      <w:r>
        <w:rPr>
          <w:rFonts w:ascii="Times New Roman" w:hAnsi="Times New Roman" w:eastAsia="Times New Roman"/>
          <w:sz w:val="24"/>
        </w:rPr>
        <w:t xml:space="preserve">This is a naturally occurring substance produced in small amounts within the body. Supplementation with d-glucarates, including glucuronolactone, may favor the body‘s natural defense mechanism for eliminating carcinogens and tumor promoters and their effects (Zołtaszek </w:t>
      </w:r>
      <w:r>
        <w:rPr>
          <w:rFonts w:ascii="Times New Roman" w:hAnsi="Times New Roman" w:eastAsia="Times New Roman"/>
          <w:i/>
          <w:sz w:val="24"/>
        </w:rPr>
        <w:t>et al.,</w:t>
      </w:r>
      <w:r>
        <w:rPr>
          <w:rFonts w:ascii="Times New Roman" w:hAnsi="Times New Roman" w:eastAsia="Times New Roman"/>
          <w:sz w:val="24"/>
        </w:rPr>
        <w:t xml:space="preserve"> 2008). </w:t>
      </w:r>
      <w:r>
        <w:rPr>
          <w:rFonts w:ascii="Times New Roman" w:hAnsi="Times New Roman" w:eastAsia="Times New Roman"/>
          <w:color w:val="292526"/>
          <w:sz w:val="24"/>
        </w:rPr>
        <w:t>The data from the consumption survey indicate that</w:t>
      </w:r>
      <w:r>
        <w:rPr>
          <w:rFonts w:ascii="Times New Roman" w:hAnsi="Times New Roman" w:eastAsia="Times New Roman"/>
          <w:sz w:val="24"/>
        </w:rPr>
        <w:t xml:space="preserve"> </w:t>
      </w:r>
      <w:r>
        <w:rPr>
          <w:rFonts w:ascii="Times New Roman" w:hAnsi="Times New Roman" w:eastAsia="Times New Roman"/>
          <w:color w:val="292526"/>
          <w:sz w:val="24"/>
        </w:rPr>
        <w:t>average daily glucuronolactone intake from stimulant drinks was approximately 0.25 g, rising to about 0.7 g among the highest consumers (FSPB, 2010). The most glucuronolactone consumed from stimulant drinks in a single session was averaged at approximately 1.8 g, rising to about 4.8 g among the highest consumers (FSPB, 2010). These maximum levels of intake provide more glucuronolactone than would otherwise be achieved through other foods or beverages in the diet. There is very little information available for risk assessment of glucuronolactone at such intakes. There is no indication from the available data that there is any risk to health from consumption of high amounts of glucuronolactone, although these data are limited.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8" w:lineRule="exact"/>
        <w:rPr>
          <w:rFonts w:ascii="Times New Roman" w:hAnsi="Times New Roman" w:eastAsia="Times New Roman"/>
        </w:rPr>
      </w:pPr>
    </w:p>
    <w:p>
      <w:pPr>
        <w:spacing w:line="0" w:lineRule="atLeast"/>
        <w:ind w:left="4860"/>
        <w:rPr>
          <w:sz w:val="22"/>
        </w:rPr>
      </w:pPr>
      <w:r>
        <w:rPr>
          <w:sz w:val="22"/>
        </w:rPr>
        <w:t>24</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3"/>
        </w:rPr>
      </w:pPr>
      <w:bookmarkStart w:id="16" w:name="page25"/>
      <w:bookmarkEnd w:id="16"/>
      <w:r>
        <w:rPr>
          <w:rFonts w:ascii="Times New Roman" w:hAnsi="Times New Roman" w:eastAsia="Times New Roman"/>
          <w:b/>
          <w:sz w:val="24"/>
        </w:rPr>
        <w:t>1.2.5</w:t>
      </w:r>
      <w:r>
        <w:rPr>
          <w:rFonts w:ascii="Times New Roman" w:hAnsi="Times New Roman" w:eastAsia="Times New Roman"/>
        </w:rPr>
        <w:tab/>
      </w:r>
      <w:r>
        <w:rPr>
          <w:rFonts w:ascii="Times New Roman" w:hAnsi="Times New Roman" w:eastAsia="Times New Roman"/>
          <w:b/>
          <w:sz w:val="23"/>
        </w:rPr>
        <w:t>Ginseng</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Ginseng is a herb that has been used for over 2000 years by people in East Asian countries including China, Japan, and Korea as a remedy for various diseases and for promoting longevity (Lee </w:t>
      </w:r>
      <w:r>
        <w:rPr>
          <w:rFonts w:ascii="Times New Roman" w:hAnsi="Times New Roman" w:eastAsia="Times New Roman"/>
          <w:i/>
          <w:sz w:val="24"/>
        </w:rPr>
        <w:t>et al.,</w:t>
      </w:r>
      <w:r>
        <w:rPr>
          <w:rFonts w:ascii="Times New Roman" w:hAnsi="Times New Roman" w:eastAsia="Times New Roman"/>
          <w:sz w:val="24"/>
        </w:rPr>
        <w:t xml:space="preserve"> 2005; Nam </w:t>
      </w:r>
      <w:r>
        <w:rPr>
          <w:rFonts w:ascii="Times New Roman" w:hAnsi="Times New Roman" w:eastAsia="Times New Roman"/>
          <w:i/>
          <w:sz w:val="24"/>
        </w:rPr>
        <w:t>et al.,</w:t>
      </w:r>
      <w:r>
        <w:rPr>
          <w:rFonts w:ascii="Times New Roman" w:hAnsi="Times New Roman" w:eastAsia="Times New Roman"/>
          <w:sz w:val="24"/>
        </w:rPr>
        <w:t xml:space="preserve"> 2005). </w:t>
      </w:r>
      <w:r>
        <w:rPr>
          <w:rFonts w:ascii="Times New Roman" w:hAnsi="Times New Roman" w:eastAsia="Times New Roman"/>
          <w:i/>
          <w:sz w:val="24"/>
        </w:rPr>
        <w:t>Panax ginseng</w:t>
      </w:r>
      <w:r>
        <w:rPr>
          <w:rFonts w:ascii="Times New Roman" w:hAnsi="Times New Roman" w:eastAsia="Times New Roman"/>
          <w:sz w:val="24"/>
        </w:rPr>
        <w:t xml:space="preserve"> is the primary commercial species and is often referred to as Korean or Asian ginseng. Siberian ginseng (</w:t>
      </w:r>
      <w:r>
        <w:rPr>
          <w:rFonts w:ascii="Times New Roman" w:hAnsi="Times New Roman" w:eastAsia="Times New Roman"/>
          <w:i/>
          <w:sz w:val="24"/>
        </w:rPr>
        <w:t>Eleutherococcus senticosus</w:t>
      </w:r>
      <w:r>
        <w:rPr>
          <w:rFonts w:ascii="Times New Roman" w:hAnsi="Times New Roman" w:eastAsia="Times New Roman"/>
          <w:sz w:val="24"/>
        </w:rPr>
        <w:t xml:space="preserve">) is not truly a ginseng since it contains eleutherosides as its active constituent and no ginsenosides. </w:t>
      </w:r>
      <w:r>
        <w:rPr>
          <w:rFonts w:ascii="Times New Roman" w:hAnsi="Times New Roman" w:eastAsia="Times New Roman"/>
          <w:i/>
          <w:sz w:val="24"/>
        </w:rPr>
        <w:t>P. ginseng</w:t>
      </w:r>
      <w:r>
        <w:rPr>
          <w:rFonts w:ascii="Times New Roman" w:hAnsi="Times New Roman" w:eastAsia="Times New Roman"/>
          <w:sz w:val="24"/>
        </w:rPr>
        <w:t xml:space="preserve"> is a small, shade loving perennial shrub that reaches about 60cm in height and belongs to the plant family Araliacae. The entire ginseng plant has been used for medicinal purposes; however, the root is the most prominent and dominates the commercial sales. Ginseng has been incorporated into a variety of energy drinks although little medical literature supports these uses. Adverse effects associated with ginseng use tend to be mild. However more serious complications have been reported, including diarrhoea, vaginal bleeding, severe headache, and Stevens-Johnson syndrome (Enerst, 2002; Dega </w:t>
      </w:r>
      <w:r>
        <w:rPr>
          <w:rFonts w:ascii="Times New Roman" w:hAnsi="Times New Roman" w:eastAsia="Times New Roman"/>
          <w:i/>
          <w:sz w:val="24"/>
        </w:rPr>
        <w:t>et al.,</w:t>
      </w:r>
      <w:r>
        <w:rPr>
          <w:rFonts w:ascii="Times New Roman" w:hAnsi="Times New Roman" w:eastAsia="Times New Roman"/>
          <w:sz w:val="24"/>
        </w:rPr>
        <w:t xml:space="preserve"> 1996). Many of these effects may be attributed to contaminants. Agranulocytosis in 4 patients taking ginseng had been linked to unreported phenylbutazone and aminopyrine contained in the preparation (Ries </w:t>
      </w:r>
      <w:r>
        <w:rPr>
          <w:rFonts w:ascii="Times New Roman" w:hAnsi="Times New Roman" w:eastAsia="Times New Roman"/>
          <w:i/>
          <w:sz w:val="24"/>
        </w:rPr>
        <w:t>et al.,</w:t>
      </w:r>
      <w:r>
        <w:rPr>
          <w:rFonts w:ascii="Times New Roman" w:hAnsi="Times New Roman" w:eastAsia="Times New Roman"/>
          <w:sz w:val="24"/>
        </w:rPr>
        <w:t xml:space="preserve"> 1975). A ginseng abuse syndrome, characterized by morning diarrhoea, hypertension, rashes, insomnia, and irritability had been reported (Siegel, 1979). Little is known regarding the effects of ginseng in children and adolescents (Braganza and Larkin, 2007).</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1.2.6</w:t>
      </w:r>
      <w:r>
        <w:rPr>
          <w:rFonts w:ascii="Times New Roman" w:hAnsi="Times New Roman" w:eastAsia="Times New Roman"/>
        </w:rPr>
        <w:tab/>
      </w:r>
      <w:r>
        <w:rPr>
          <w:rFonts w:ascii="Times New Roman" w:hAnsi="Times New Roman" w:eastAsia="Times New Roman"/>
          <w:b/>
          <w:sz w:val="23"/>
        </w:rPr>
        <w:t>Vitamins</w:t>
      </w:r>
    </w:p>
    <w:p>
      <w:pPr>
        <w:spacing w:line="283" w:lineRule="exact"/>
        <w:rPr>
          <w:rFonts w:ascii="Times New Roman" w:hAnsi="Times New Roman" w:eastAsia="Times New Roman"/>
        </w:rPr>
      </w:pPr>
    </w:p>
    <w:p>
      <w:pPr>
        <w:spacing w:line="460" w:lineRule="auto"/>
        <w:ind w:left="580"/>
        <w:jc w:val="both"/>
        <w:rPr>
          <w:rFonts w:ascii="Times New Roman" w:hAnsi="Times New Roman" w:eastAsia="Times New Roman"/>
          <w:sz w:val="24"/>
        </w:rPr>
      </w:pPr>
      <w:r>
        <w:rPr>
          <w:rFonts w:ascii="Times New Roman" w:hAnsi="Times New Roman" w:eastAsia="Times New Roman"/>
          <w:sz w:val="24"/>
        </w:rPr>
        <w:t>B vitamins are a group of 8 individual water-soluble vitamins, usually referred to as the B complex when grouped together, and all play essential roles in cellular processes. B vitamins are incorporated into many of the mainstream energy drinks. A typical can of 250</w:t>
      </w:r>
    </w:p>
    <w:p>
      <w:pPr>
        <w:spacing w:line="198" w:lineRule="auto"/>
        <w:ind w:left="4860"/>
        <w:rPr>
          <w:sz w:val="22"/>
        </w:rPr>
      </w:pPr>
      <w:r>
        <w:rPr>
          <w:sz w:val="22"/>
        </w:rPr>
        <w:t>25</w:t>
      </w:r>
    </w:p>
    <w:p>
      <w:pPr>
        <w:spacing w:line="198" w:lineRule="auto"/>
        <w:ind w:left="4860"/>
        <w:rPr>
          <w:sz w:val="22"/>
        </w:rPr>
        <w:sectPr>
          <w:pgSz w:w="12240" w:h="15840"/>
          <w:pgMar w:top="1435"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17" w:name="page26"/>
      <w:bookmarkEnd w:id="17"/>
    </w:p>
    <w:p>
      <w:pPr>
        <w:spacing w:line="479" w:lineRule="auto"/>
        <w:ind w:left="580"/>
        <w:jc w:val="both"/>
        <w:rPr>
          <w:rFonts w:ascii="Times New Roman" w:hAnsi="Times New Roman" w:eastAsia="Times New Roman"/>
          <w:sz w:val="24"/>
        </w:rPr>
      </w:pPr>
      <w:r>
        <w:rPr>
          <w:rFonts w:ascii="Times New Roman" w:hAnsi="Times New Roman" w:eastAsia="Times New Roman"/>
          <w:sz w:val="24"/>
        </w:rPr>
        <w:t>ml may contain 360% of the recommended daily allowance (RDA) of B6, 120% of B12, and 120% of B3 (niacin). The container size varies among brands and it may hold multiple servings. The addition of excess amounts of B vitamins is also observed in the more extreme energy drinks like 5-Hour Energy which contains 8333% of the RDA for vitamin B12 and 2000% of the RDA for B6. It is claimed that the consumption of these large amounts of B vitamins increases mental alertness and focus, as well as improves mood. The average person, however, consumes the RDA of B vitamins from a typical diet since B vitamins are found in a variety of foods including bananas, lentils, potatoes, tuna, and turkey. Vitamins B2 (riboflavin), B3 (niacin), B6 (pyridoxine, pyridoxal, pyridoxamine), and B12 are the most common of the B vitamins that are incorporated into energy drink formulations (Wardlaw and Smith, 2009).</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Vitamin B2 is a coenzyme in the metabolism of carbohydrates. Vitamin B3 plays a major role as a coenzyme in energy metabolism, fat synthesis, and fat breakdown (Wardlaw and Smith, 2009). Vitamin B6 is a group of 3 structurally similar compounds that all can be converted into the vitamin B6 coenzyme which aids in the utilization of carbohydrates, fats, and proteins (Wardlaw and Smith, 2009). Vitamin B12 assists in folate metabolism and in nerve function (Wardlaw and Smith, 2009). Since all of the B vitamins are water soluble, once the RDA has been met, the excess vitamins are excreted from the body via urine. Although the consumption of a large amount of B vitamins does not possess any adverse health effects, the logic behind the extreme amounts of B vitamins in these beverages is not well rationalized (Wardlaw and Smith, 2009).</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13" w:lineRule="exact"/>
        <w:rPr>
          <w:rFonts w:ascii="Times New Roman" w:hAnsi="Times New Roman" w:eastAsia="Times New Roman"/>
        </w:rPr>
      </w:pPr>
    </w:p>
    <w:p>
      <w:pPr>
        <w:spacing w:line="0" w:lineRule="atLeast"/>
        <w:ind w:left="4860"/>
        <w:rPr>
          <w:sz w:val="22"/>
        </w:rPr>
      </w:pPr>
      <w:r>
        <w:rPr>
          <w:sz w:val="22"/>
        </w:rPr>
        <w:t>26</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4"/>
        </w:rPr>
      </w:pPr>
      <w:bookmarkStart w:id="18" w:name="page27"/>
      <w:bookmarkEnd w:id="18"/>
      <w:r>
        <w:rPr>
          <w:rFonts w:ascii="Times New Roman" w:hAnsi="Times New Roman" w:eastAsia="Times New Roman"/>
          <w:b/>
          <w:sz w:val="24"/>
        </w:rPr>
        <w:t>1.2.7</w:t>
      </w:r>
      <w:r>
        <w:rPr>
          <w:rFonts w:ascii="Times New Roman" w:hAnsi="Times New Roman" w:eastAsia="Times New Roman"/>
          <w:b/>
          <w:sz w:val="24"/>
        </w:rPr>
        <w:tab/>
      </w:r>
      <w:r>
        <w:rPr>
          <w:rFonts w:ascii="Times New Roman" w:hAnsi="Times New Roman" w:eastAsia="Times New Roman"/>
          <w:b/>
          <w:sz w:val="24"/>
        </w:rPr>
        <w:t>Sugar</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Sugar is one of the most common as well as most dangerous additives on the market today. It‘s sweet taste and short-term positive effects lead health experts to consider the possibility of sugar addiction. Natural sugars, such as those found in fruits and dairy products, provide an easily digestible form of good-for-you energy. The synthetic copycats like refined sugar, sucrose, fructose and glucose do far more harm than good (Nash, 1992).</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83" w:lineRule="auto"/>
        <w:ind w:left="580"/>
        <w:rPr>
          <w:rFonts w:ascii="Times New Roman" w:hAnsi="Times New Roman" w:eastAsia="Times New Roman"/>
          <w:sz w:val="24"/>
        </w:rPr>
      </w:pPr>
      <w:r>
        <w:rPr>
          <w:rFonts w:ascii="Times New Roman" w:hAnsi="Times New Roman" w:eastAsia="Times New Roman"/>
          <w:sz w:val="24"/>
        </w:rPr>
        <w:t>More than 32 g of extra sugar a day can cause a myriad of health problems (Bauer</w:t>
      </w:r>
      <w:r>
        <w:rPr>
          <w:rFonts w:ascii="Arial" w:hAnsi="Arial" w:eastAsia="Arial"/>
        </w:rPr>
        <w:t>,</w:t>
      </w:r>
      <w:r>
        <w:rPr>
          <w:rFonts w:ascii="Times New Roman" w:hAnsi="Times New Roman" w:eastAsia="Times New Roman"/>
          <w:sz w:val="24"/>
        </w:rPr>
        <w:t xml:space="preserve"> 2011) such as raised cholesterol levels, suppressed immune system, hyperactivity, anxiety, difficulty concentrating, crankiness, decreased emotional stability, a raised level of neurotransmitters, hypoglycemia, increased blood pressure, interference with protein absorption, and impaired DNA structure (Appleton, 2011). Just one serving of Red Bull contains 27 g of sugar (Red Bull Energy drink USA), and the average cup of coffee contains 32 g (Starbecks coffee company) (Nash, 1992). </w:t>
      </w:r>
    </w:p>
    <w:p>
      <w:pPr>
        <w:spacing w:line="480" w:lineRule="auto"/>
        <w:ind w:firstLine="580"/>
        <w:jc w:val="both"/>
        <w:rPr>
          <w:rFonts w:ascii="Times New Roman" w:hAnsi="Times New Roman" w:cs="Times New Roman"/>
          <w:b/>
          <w:sz w:val="24"/>
          <w:szCs w:val="24"/>
        </w:rPr>
      </w:pPr>
      <w:r>
        <w:rPr>
          <w:rFonts w:ascii="Times New Roman" w:hAnsi="Times New Roman" w:cs="Times New Roman"/>
          <w:b/>
          <w:sz w:val="24"/>
          <w:szCs w:val="24"/>
        </w:rPr>
        <w:t>1.3</w:t>
      </w:r>
      <w:r>
        <w:rPr>
          <w:rFonts w:ascii="Times New Roman" w:hAnsi="Times New Roman" w:cs="Times New Roman"/>
          <w:b/>
          <w:sz w:val="24"/>
          <w:szCs w:val="24"/>
        </w:rPr>
        <w:tab/>
      </w:r>
      <w:r>
        <w:rPr>
          <w:rFonts w:ascii="Times New Roman" w:hAnsi="Times New Roman" w:cs="Times New Roman"/>
          <w:b/>
          <w:sz w:val="24"/>
          <w:szCs w:val="24"/>
        </w:rPr>
        <w:t>Statement of the Problem</w:t>
      </w:r>
    </w:p>
    <w:p>
      <w:pPr>
        <w:spacing w:line="480" w:lineRule="auto"/>
        <w:ind w:left="630"/>
        <w:jc w:val="both"/>
        <w:rPr>
          <w:rFonts w:ascii="Times New Roman" w:hAnsi="Times New Roman" w:cs="Times New Roman"/>
          <w:sz w:val="24"/>
          <w:szCs w:val="24"/>
        </w:rPr>
      </w:pPr>
      <w:r>
        <w:rPr>
          <w:rFonts w:ascii="Times New Roman" w:hAnsi="Times New Roman" w:cs="Times New Roman"/>
          <w:sz w:val="24"/>
          <w:szCs w:val="24"/>
        </w:rPr>
        <w:t>Energy drink, any beverage that contains high levels of a stimulant ingredient, usually caffeine, as well as sugar and often supplements, such as vitamins or carnitine, and that is promoted as a product capable of enhancing mental alertness and physical performance.</w:t>
      </w:r>
    </w:p>
    <w:p>
      <w:pPr>
        <w:spacing w:line="480" w:lineRule="auto"/>
        <w:ind w:left="630"/>
        <w:jc w:val="both"/>
        <w:rPr>
          <w:rFonts w:ascii="Times New Roman" w:hAnsi="Times New Roman" w:cs="Times New Roman"/>
          <w:sz w:val="24"/>
          <w:szCs w:val="24"/>
        </w:rPr>
      </w:pPr>
      <w:r>
        <w:rPr>
          <w:rFonts w:ascii="Times New Roman" w:hAnsi="Times New Roman" w:cs="Times New Roman"/>
          <w:sz w:val="24"/>
          <w:szCs w:val="24"/>
        </w:rPr>
        <w:t>Energy drinks are distinguished from sports drinks, which are used to replace water and electrolytes during or after physical activity, and from coffee and tea, which are brewed, contain fewer ingredients, and may be decaffeinated. Energy drinks also differ from soft drinks, which either do not contain caffeine or contain relatively small amounts of caffeine. Although some energy drinks are considered beverages, others, namely those containing food additives (e.g., taurine or other amino acids), may be marketed as dietary supplements. Examples of energy drinks include Red Bull, Monster, Rockstar, NOS, and Amp.</w:t>
      </w:r>
    </w:p>
    <w:p>
      <w:pPr>
        <w:spacing w:line="480" w:lineRule="auto"/>
        <w:ind w:left="630"/>
        <w:jc w:val="both"/>
        <w:rPr>
          <w:rFonts w:ascii="Times New Roman" w:hAnsi="Times New Roman" w:eastAsia="Times New Roman" w:cs="Times New Roman"/>
          <w:sz w:val="24"/>
          <w:szCs w:val="24"/>
        </w:rPr>
      </w:pPr>
      <w:r>
        <w:rPr>
          <w:rFonts w:ascii="Times New Roman" w:hAnsi="Times New Roman" w:cs="Times New Roman"/>
          <w:sz w:val="24"/>
          <w:szCs w:val="24"/>
        </w:rPr>
        <w:t xml:space="preserve">The manufacturers of energy drinks claim that their products boost energy levels. Those claims generally have been based on proprietary formulas, in which the stimulant effects of a drink were said to be derived from the specific concoction of ingredients. Research has indicated, however, that the stimulant effects of energy drinks are due primarily to caffeine. Other ingredients, such as taurine and vitamins B6 and B12, could potentially exert biological effects but have not been known to increase energy levels; the effects of some ingredients (e.g., glucuronolactone) are unknown. Levels of vitamins and certain other additives in energy drinks often far exceed recommended daily intakes. </w:t>
      </w:r>
      <w:r>
        <w:rPr>
          <w:rFonts w:ascii="Times New Roman" w:hAnsi="Times New Roman" w:eastAsia="Times New Roman" w:cs="Times New Roman"/>
          <w:sz w:val="24"/>
          <w:szCs w:val="24"/>
        </w:rPr>
        <w:t>This research work examined and compares the physicochemical properties and some chemical constituents of selected energy drinks.</w:t>
      </w: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1.4</w:t>
      </w:r>
      <w:r>
        <w:rPr>
          <w:rFonts w:ascii="Times New Roman" w:hAnsi="Times New Roman" w:eastAsia="Times New Roman"/>
        </w:rPr>
        <w:tab/>
      </w:r>
      <w:r>
        <w:rPr>
          <w:rFonts w:ascii="Times New Roman" w:hAnsi="Times New Roman" w:eastAsia="Times New Roman"/>
          <w:b/>
          <w:sz w:val="23"/>
        </w:rPr>
        <w:t>Justification</w:t>
      </w:r>
    </w:p>
    <w:p>
      <w:pPr>
        <w:spacing w:line="283" w:lineRule="exact"/>
        <w:rPr>
          <w:rFonts w:ascii="Times New Roman" w:hAnsi="Times New Roman" w:eastAsia="Times New Roman"/>
        </w:rPr>
      </w:pPr>
    </w:p>
    <w:p>
      <w:pPr>
        <w:spacing w:line="472" w:lineRule="auto"/>
        <w:ind w:left="580"/>
        <w:jc w:val="both"/>
        <w:rPr>
          <w:rFonts w:ascii="Times New Roman" w:hAnsi="Times New Roman" w:eastAsia="Times New Roman"/>
          <w:sz w:val="24"/>
        </w:rPr>
      </w:pPr>
      <w:r>
        <w:rPr>
          <w:rFonts w:ascii="Times New Roman" w:hAnsi="Times New Roman" w:eastAsia="Times New Roman"/>
          <w:sz w:val="24"/>
        </w:rPr>
        <w:t>Energy drinks have established an enviable position in the beverage market as evidenced by their commonplace consumption. There are a number of scientific reports on the adverse consequences of excessive consumption of these drinks. Many of these products do not provide the complete chemical composition, and the caffeine content and other ingredients present are unknown to the consumer. Hence there is need to quantify the major content of these energy drinks and compare with those of accepted standards. Also, energy drinks occur mostly in liquid and powdered forms. There has been little or no research on the powdered products as more attention has been given to those in liquids.</w:t>
      </w:r>
    </w:p>
    <w:p>
      <w:pPr>
        <w:spacing w:line="203" w:lineRule="auto"/>
        <w:ind w:left="4860"/>
        <w:rPr>
          <w:sz w:val="22"/>
        </w:rPr>
        <w:sectPr>
          <w:pgSz w:w="12240" w:h="15840"/>
          <w:pgMar w:top="1435"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19" w:name="page28"/>
      <w:bookmarkEnd w:id="19"/>
    </w:p>
    <w:p>
      <w:pPr>
        <w:spacing w:line="476" w:lineRule="auto"/>
        <w:ind w:left="580"/>
        <w:jc w:val="both"/>
        <w:rPr>
          <w:rFonts w:ascii="Times New Roman" w:hAnsi="Times New Roman" w:eastAsia="Times New Roman"/>
          <w:sz w:val="24"/>
        </w:rPr>
      </w:pPr>
      <w:r>
        <w:rPr>
          <w:rFonts w:ascii="Times New Roman" w:hAnsi="Times New Roman" w:eastAsia="Times New Roman"/>
          <w:sz w:val="24"/>
        </w:rPr>
        <w:t>These powdered products are usually dissolved in water by consumers before intake. It is therefore imperative to determine the caffeine, aspartame and other energizers of the powdered products and compared them with those of the liquid products. It will also be necessary to determine some other physicochemical properties of the energy drinks.</w:t>
      </w: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1.5</w:t>
      </w:r>
      <w:r>
        <w:rPr>
          <w:rFonts w:ascii="Times New Roman" w:hAnsi="Times New Roman" w:eastAsia="Times New Roman"/>
        </w:rPr>
        <w:tab/>
      </w:r>
      <w:r>
        <w:rPr>
          <w:rFonts w:ascii="Times New Roman" w:hAnsi="Times New Roman" w:eastAsia="Times New Roman"/>
          <w:b/>
          <w:sz w:val="23"/>
        </w:rPr>
        <w:t>Aim and Objectives</w:t>
      </w:r>
    </w:p>
    <w:p>
      <w:pPr>
        <w:spacing w:line="283"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The aim of this work is to carry out comparative study on the physicochemical properties and some chemical constituents of selected energy drinks. This will be achieved through:</w:t>
      </w:r>
    </w:p>
    <w:p>
      <w:pPr>
        <w:spacing w:line="14" w:lineRule="exact"/>
        <w:rPr>
          <w:rFonts w:ascii="Times New Roman" w:hAnsi="Times New Roman" w:eastAsia="Times New Roman"/>
        </w:rPr>
      </w:pPr>
    </w:p>
    <w:p>
      <w:pPr>
        <w:numPr>
          <w:ilvl w:val="0"/>
          <w:numId w:val="1"/>
        </w:numPr>
        <w:tabs>
          <w:tab w:val="left" w:pos="1340"/>
        </w:tabs>
        <w:spacing w:line="0" w:lineRule="atLeast"/>
        <w:ind w:left="1340" w:hanging="360"/>
        <w:rPr>
          <w:rFonts w:ascii="Times New Roman" w:hAnsi="Times New Roman" w:eastAsia="Times New Roman"/>
          <w:sz w:val="24"/>
        </w:rPr>
      </w:pPr>
      <w:r>
        <w:rPr>
          <w:rFonts w:ascii="Times New Roman" w:hAnsi="Times New Roman" w:eastAsia="Times New Roman"/>
          <w:sz w:val="24"/>
        </w:rPr>
        <w:t>determination of the caffeine and aspartame concentrations of the energy drinks;</w:t>
      </w:r>
    </w:p>
    <w:p>
      <w:pPr>
        <w:spacing w:line="276" w:lineRule="exact"/>
        <w:rPr>
          <w:rFonts w:ascii="Times New Roman" w:hAnsi="Times New Roman" w:eastAsia="Times New Roman"/>
          <w:sz w:val="24"/>
        </w:rPr>
      </w:pPr>
    </w:p>
    <w:p>
      <w:pPr>
        <w:numPr>
          <w:ilvl w:val="0"/>
          <w:numId w:val="1"/>
        </w:numPr>
        <w:tabs>
          <w:tab w:val="left" w:pos="1340"/>
        </w:tabs>
        <w:spacing w:line="0" w:lineRule="atLeast"/>
        <w:ind w:left="1340" w:hanging="360"/>
        <w:rPr>
          <w:rFonts w:ascii="Times New Roman" w:hAnsi="Times New Roman" w:eastAsia="Times New Roman"/>
          <w:color w:val="292526"/>
          <w:sz w:val="24"/>
        </w:rPr>
      </w:pPr>
      <w:r>
        <w:rPr>
          <w:rFonts w:ascii="Times New Roman" w:hAnsi="Times New Roman" w:eastAsia="Times New Roman"/>
          <w:color w:val="292526"/>
          <w:sz w:val="24"/>
        </w:rPr>
        <w:t>determination of the carbohydrate (sugar) contents;</w:t>
      </w:r>
    </w:p>
    <w:p>
      <w:pPr>
        <w:spacing w:line="276" w:lineRule="exact"/>
        <w:rPr>
          <w:rFonts w:ascii="Times New Roman" w:hAnsi="Times New Roman" w:eastAsia="Times New Roman"/>
          <w:color w:val="292526"/>
          <w:sz w:val="24"/>
        </w:rPr>
      </w:pPr>
    </w:p>
    <w:p>
      <w:pPr>
        <w:numPr>
          <w:ilvl w:val="0"/>
          <w:numId w:val="1"/>
        </w:numPr>
        <w:tabs>
          <w:tab w:val="left" w:pos="1340"/>
        </w:tabs>
        <w:spacing w:line="0" w:lineRule="atLeast"/>
        <w:ind w:left="1340" w:hanging="360"/>
        <w:rPr>
          <w:rFonts w:ascii="Times New Roman" w:hAnsi="Times New Roman" w:eastAsia="Times New Roman"/>
          <w:sz w:val="24"/>
        </w:rPr>
      </w:pPr>
      <w:r>
        <w:rPr>
          <w:rFonts w:ascii="Times New Roman" w:hAnsi="Times New Roman" w:eastAsia="Times New Roman"/>
          <w:sz w:val="24"/>
        </w:rPr>
        <w:t>determine the physicochemical properties of energy drinks;</w:t>
      </w:r>
    </w:p>
    <w:p>
      <w:pPr>
        <w:spacing w:line="276" w:lineRule="exact"/>
        <w:rPr>
          <w:rFonts w:ascii="Times New Roman" w:hAnsi="Times New Roman" w:eastAsia="Times New Roman"/>
          <w:sz w:val="24"/>
        </w:rPr>
      </w:pPr>
    </w:p>
    <w:p>
      <w:pPr>
        <w:numPr>
          <w:ilvl w:val="0"/>
          <w:numId w:val="1"/>
        </w:numPr>
        <w:tabs>
          <w:tab w:val="left" w:pos="1340"/>
        </w:tabs>
        <w:spacing w:line="0" w:lineRule="atLeast"/>
        <w:ind w:left="1340" w:hanging="360"/>
        <w:rPr>
          <w:rFonts w:ascii="Times New Roman" w:hAnsi="Times New Roman" w:eastAsia="Times New Roman"/>
          <w:color w:val="292526"/>
          <w:sz w:val="24"/>
        </w:rPr>
      </w:pPr>
      <w:r>
        <w:rPr>
          <w:rFonts w:ascii="Times New Roman" w:hAnsi="Times New Roman" w:eastAsia="Times New Roman"/>
          <w:color w:val="292526"/>
          <w:sz w:val="24"/>
        </w:rPr>
        <w:t>determination of the level of heavy metals (Cu, Zn, Pb, Cd, Mn, Fe) in them;</w:t>
      </w:r>
    </w:p>
    <w:p>
      <w:pPr>
        <w:spacing w:line="276" w:lineRule="exact"/>
        <w:rPr>
          <w:rFonts w:ascii="Times New Roman" w:hAnsi="Times New Roman" w:eastAsia="Times New Roman"/>
          <w:color w:val="292526"/>
          <w:sz w:val="24"/>
        </w:rPr>
      </w:pPr>
    </w:p>
    <w:p>
      <w:pPr>
        <w:numPr>
          <w:ilvl w:val="0"/>
          <w:numId w:val="1"/>
        </w:numPr>
        <w:tabs>
          <w:tab w:val="left" w:pos="1340"/>
        </w:tabs>
        <w:spacing w:line="0" w:lineRule="atLeast"/>
        <w:ind w:left="1340" w:hanging="360"/>
        <w:rPr>
          <w:rFonts w:ascii="Times New Roman" w:hAnsi="Times New Roman" w:eastAsia="Times New Roman"/>
          <w:color w:val="292526"/>
          <w:sz w:val="24"/>
        </w:rPr>
      </w:pPr>
      <w:r>
        <w:rPr>
          <w:rFonts w:ascii="Times New Roman" w:hAnsi="Times New Roman" w:eastAsia="Times New Roman"/>
          <w:color w:val="292526"/>
          <w:sz w:val="24"/>
        </w:rPr>
        <w:t>determination of micronutrients (K, Ca,) present in them;</w:t>
      </w:r>
    </w:p>
    <w:p>
      <w:pPr>
        <w:spacing w:line="288" w:lineRule="exact"/>
        <w:rPr>
          <w:rFonts w:ascii="Times New Roman" w:hAnsi="Times New Roman" w:eastAsia="Times New Roman"/>
          <w:color w:val="292526"/>
          <w:sz w:val="24"/>
        </w:rPr>
      </w:pPr>
    </w:p>
    <w:p>
      <w:pPr>
        <w:numPr>
          <w:ilvl w:val="0"/>
          <w:numId w:val="1"/>
        </w:numPr>
        <w:tabs>
          <w:tab w:val="left" w:pos="1340"/>
        </w:tabs>
        <w:spacing w:line="469" w:lineRule="auto"/>
        <w:ind w:left="1340" w:hanging="360"/>
        <w:rPr>
          <w:rFonts w:ascii="Times New Roman" w:hAnsi="Times New Roman" w:eastAsia="Times New Roman"/>
          <w:color w:val="292526"/>
          <w:sz w:val="24"/>
        </w:rPr>
      </w:pPr>
      <w:r>
        <w:rPr>
          <w:rFonts w:ascii="Times New Roman" w:hAnsi="Times New Roman" w:eastAsia="Times New Roman"/>
          <w:color w:val="292526"/>
          <w:sz w:val="24"/>
        </w:rPr>
        <w:t>using Statistical Analysis to analyse and compare between the powdered and liquid forms of energy drinks;</w:t>
      </w:r>
    </w:p>
    <w:p>
      <w:pPr>
        <w:spacing w:line="13" w:lineRule="exact"/>
        <w:rPr>
          <w:rFonts w:ascii="Times New Roman" w:hAnsi="Times New Roman" w:eastAsia="Times New Roman"/>
          <w:color w:val="292526"/>
          <w:sz w:val="24"/>
        </w:rPr>
      </w:pPr>
    </w:p>
    <w:p>
      <w:pPr>
        <w:numPr>
          <w:ilvl w:val="0"/>
          <w:numId w:val="1"/>
        </w:numPr>
        <w:tabs>
          <w:tab w:val="left" w:pos="1340"/>
        </w:tabs>
        <w:spacing w:line="0" w:lineRule="atLeast"/>
        <w:ind w:left="1340" w:hanging="360"/>
        <w:rPr>
          <w:rFonts w:ascii="Times New Roman" w:hAnsi="Times New Roman" w:eastAsia="Times New Roman"/>
          <w:color w:val="292526"/>
          <w:sz w:val="24"/>
        </w:rPr>
      </w:pPr>
      <w:r>
        <w:rPr>
          <w:rFonts w:ascii="Times New Roman" w:hAnsi="Times New Roman" w:eastAsia="Times New Roman"/>
          <w:color w:val="292526"/>
          <w:sz w:val="24"/>
        </w:rPr>
        <w:t>comparing the obtained results with set standards by regulatory bodies.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90" w:lineRule="exact"/>
        <w:rPr>
          <w:rFonts w:ascii="Times New Roman" w:hAnsi="Times New Roman" w:eastAsia="Times New Roman"/>
        </w:rPr>
      </w:pPr>
    </w:p>
    <w:p>
      <w:pPr>
        <w:spacing w:line="0" w:lineRule="atLeast"/>
        <w:ind w:left="4860"/>
        <w:rPr>
          <w:sz w:val="22"/>
        </w:rPr>
      </w:pPr>
      <w:r>
        <w:rPr>
          <w:sz w:val="22"/>
        </w:rPr>
        <w:t>28</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0" w:lineRule="atLeast"/>
        <w:ind w:left="3460"/>
        <w:rPr>
          <w:rFonts w:ascii="Times New Roman" w:hAnsi="Times New Roman" w:eastAsia="Times New Roman"/>
          <w:b/>
          <w:sz w:val="28"/>
        </w:rPr>
      </w:pPr>
      <w:bookmarkStart w:id="20" w:name="page29"/>
      <w:bookmarkEnd w:id="20"/>
      <w:r>
        <w:rPr>
          <w:rFonts w:ascii="Times New Roman" w:hAnsi="Times New Roman" w:eastAsia="Times New Roman"/>
          <w:b/>
          <w:sz w:val="28"/>
        </w:rPr>
        <w:t>CHAPTER TWO</w:t>
      </w:r>
    </w:p>
    <w:p>
      <w:pPr>
        <w:spacing w:line="321"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7"/>
        </w:rPr>
      </w:pPr>
      <w:r>
        <w:rPr>
          <w:rFonts w:ascii="Times New Roman" w:hAnsi="Times New Roman" w:eastAsia="Times New Roman"/>
          <w:b/>
          <w:sz w:val="28"/>
        </w:rPr>
        <w:t>2.0</w:t>
      </w:r>
      <w:r>
        <w:rPr>
          <w:rFonts w:ascii="Times New Roman" w:hAnsi="Times New Roman" w:eastAsia="Times New Roman"/>
        </w:rPr>
        <w:tab/>
      </w:r>
      <w:r>
        <w:rPr>
          <w:rFonts w:ascii="Times New Roman" w:hAnsi="Times New Roman" w:eastAsia="Times New Roman"/>
          <w:b/>
          <w:sz w:val="27"/>
        </w:rPr>
        <w:t>LITERATURE REVIEW</w:t>
      </w:r>
    </w:p>
    <w:p>
      <w:pPr>
        <w:spacing w:line="319"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2.1</w:t>
      </w:r>
      <w:r>
        <w:rPr>
          <w:rFonts w:ascii="Times New Roman" w:hAnsi="Times New Roman" w:eastAsia="Times New Roman"/>
        </w:rPr>
        <w:tab/>
      </w:r>
      <w:r>
        <w:rPr>
          <w:rFonts w:ascii="Times New Roman" w:hAnsi="Times New Roman" w:eastAsia="Times New Roman"/>
          <w:b/>
          <w:sz w:val="23"/>
        </w:rPr>
        <w:t>Review Work on Caffeine</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term ―energy drinks‖ refers to beverages that contain caffeine in combination with other ingredients such as taurine, guarana, and B vitamins, and that claims to provide its consumers with extra energy. There is limited evidence that consumption of energy drinks can significantly improve physical and mental performance (Scholey and Kennedy, 2004), driving ability when tired (Reyner and Horne, 2002), and decrease mental fatigue during long periods of concentration (Kennedy and Scholey, 2004). Unfortunately, the body of literature is limited and it is not known whether these improvements are due to the caffeine, other herbal ingredients, or as a result of the combination of the ingredients found in a beverage (Scholey and Kennedy, 2004).</w:t>
      </w:r>
    </w:p>
    <w:p>
      <w:pPr>
        <w:spacing w:line="200"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The caffeine content of a single serving of energy drink (8 to 12 fl oz) can range from 72 to 150 mg; however, many bottles contain 2-3 servings, raising the caffeine content to as high as 294 mg per bottle. In comparison, the caffeine content, per serving (8 fl oz.), of brewed coffee, tea, and cola beverages ranges between 134-240 mg, 48-175 mg, and 22-46 mg respectively (Nawrot </w:t>
      </w:r>
      <w:r>
        <w:rPr>
          <w:rFonts w:ascii="Times New Roman" w:hAnsi="Times New Roman" w:eastAsia="Times New Roman"/>
          <w:i/>
          <w:sz w:val="24"/>
        </w:rPr>
        <w:t>et al.,</w:t>
      </w:r>
      <w:r>
        <w:rPr>
          <w:rFonts w:ascii="Times New Roman" w:hAnsi="Times New Roman" w:eastAsia="Times New Roman"/>
          <w:sz w:val="24"/>
        </w:rPr>
        <w:t xml:space="preserve"> 2003). A recent literature review determined that consumption of up to 400 mg caffeine daily by healthy adults is not associated with adverse effects (Nawrot </w:t>
      </w:r>
      <w:r>
        <w:rPr>
          <w:rFonts w:ascii="Times New Roman" w:hAnsi="Times New Roman" w:eastAsia="Times New Roman"/>
          <w:i/>
          <w:sz w:val="24"/>
        </w:rPr>
        <w:t>et al.,</w:t>
      </w:r>
      <w:r>
        <w:rPr>
          <w:rFonts w:ascii="Times New Roman" w:hAnsi="Times New Roman" w:eastAsia="Times New Roman"/>
          <w:sz w:val="24"/>
        </w:rPr>
        <w:t xml:space="preserve"> 2003). However, groups that are at risk, such as women of reproductive age and children, should limit their daily consumption of caffeine to a maximum of 300 mg for the former and 2.5 mg/kg body weight for the latter; (Nawrot </w:t>
      </w:r>
      <w:r>
        <w:rPr>
          <w:rFonts w:ascii="Times New Roman" w:hAnsi="Times New Roman" w:eastAsia="Times New Roman"/>
          <w:i/>
          <w:sz w:val="24"/>
        </w:rPr>
        <w:t>et al.,</w:t>
      </w:r>
      <w:r>
        <w:rPr>
          <w:rFonts w:ascii="Times New Roman" w:hAnsi="Times New Roman" w:eastAsia="Times New Roman"/>
          <w:sz w:val="24"/>
        </w:rPr>
        <w:t xml:space="preserve"> 2003) thus they may need to avoid consuming energy beverages with a higher caffeine content. A recent survey</w:t>
      </w:r>
    </w:p>
    <w:p>
      <w:pPr>
        <w:spacing w:line="279" w:lineRule="exact"/>
        <w:rPr>
          <w:rFonts w:ascii="Times New Roman" w:hAnsi="Times New Roman" w:eastAsia="Times New Roman"/>
        </w:rPr>
      </w:pPr>
    </w:p>
    <w:p>
      <w:pPr>
        <w:spacing w:line="0" w:lineRule="atLeast"/>
        <w:ind w:left="4860"/>
        <w:rPr>
          <w:sz w:val="22"/>
        </w:rPr>
      </w:pPr>
      <w:r>
        <w:rPr>
          <w:sz w:val="22"/>
        </w:rPr>
        <w:t>29</w:t>
      </w:r>
    </w:p>
    <w:p>
      <w:pPr>
        <w:spacing w:line="0" w:lineRule="atLeast"/>
        <w:ind w:left="4860"/>
        <w:rPr>
          <w:sz w:val="22"/>
        </w:rPr>
        <w:sectPr>
          <w:pgSz w:w="12240" w:h="15840"/>
          <w:pgMar w:top="1437"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21" w:name="page30"/>
      <w:bookmarkEnd w:id="21"/>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of 78 youth (11-18 years) found that 42.3 percent of participants consumed energy drinks (O'Dea, 2003). However, the effects of ingredients found in energy drinks on children and an adolescent has raised concern. In adolescents, caffeine consumption has been associated with an increase in blood pressure (Savoca </w:t>
      </w:r>
      <w:r>
        <w:rPr>
          <w:rFonts w:ascii="Times New Roman" w:hAnsi="Times New Roman" w:eastAsia="Times New Roman"/>
          <w:i/>
          <w:sz w:val="24"/>
        </w:rPr>
        <w:t>et al.</w:t>
      </w:r>
      <w:r>
        <w:rPr>
          <w:rFonts w:ascii="Times New Roman" w:hAnsi="Times New Roman" w:eastAsia="Times New Roman"/>
          <w:sz w:val="24"/>
        </w:rPr>
        <w:t>, 2004). Based on the limited data regarding safety, it is not recommended that children or adolescents consume energy drinks.</w:t>
      </w: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2.2</w:t>
      </w:r>
      <w:r>
        <w:rPr>
          <w:rFonts w:ascii="Times New Roman" w:hAnsi="Times New Roman" w:eastAsia="Times New Roman"/>
        </w:rPr>
        <w:tab/>
      </w:r>
      <w:r>
        <w:rPr>
          <w:rFonts w:ascii="Times New Roman" w:hAnsi="Times New Roman" w:eastAsia="Times New Roman"/>
          <w:b/>
          <w:sz w:val="23"/>
        </w:rPr>
        <w:t>Caffeine</w:t>
      </w:r>
    </w:p>
    <w:p>
      <w:pPr>
        <w:spacing w:line="284"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Caffeine (1,3,7-trimethylxanthine), theophylline (3,7- dimethylxanthine), and theobromine (1,3-dimethylxanthine) are in the family of alkaloid. Caffeine is an odourless, white solid that has the form of needles or powder. It has a bitter taste and a molar mass of 194.19 g/mol. It is slightly soluble in water due to its moderate polarity. It is a natural central nervous system stimulant, having the effects of reducing drowsiness and recovering alertness. Since it is widely consumed by humans, caffeine is considered the most frequently used psychoactive substance in the world (Lovett, 2005).</w:t>
      </w:r>
    </w:p>
    <w:p>
      <w:pPr>
        <w:spacing w:line="472" w:lineRule="auto"/>
        <w:ind w:left="580"/>
        <w:jc w:val="both"/>
        <w:rPr>
          <w:rFonts w:ascii="Times New Roman" w:hAnsi="Times New Roman" w:eastAsia="Times New Roman"/>
          <w:sz w:val="24"/>
        </w:rPr>
      </w:pPr>
      <w:r>
        <w:rPr>
          <w:rFonts w:ascii="Times New Roman" w:hAnsi="Times New Roman" w:eastAsia="Times New Roman"/>
          <w:sz w:val="24"/>
        </w:rPr>
        <w:t xml:space="preserve">The majority of energy drinks contain caffeine as an active ingredient due to its stimulatory effect on the central nervous system (Pennay </w:t>
      </w:r>
      <w:r>
        <w:rPr>
          <w:rFonts w:ascii="Times New Roman" w:hAnsi="Times New Roman" w:eastAsia="Times New Roman"/>
          <w:i/>
          <w:sz w:val="24"/>
        </w:rPr>
        <w:t>et al.,</w:t>
      </w:r>
      <w:r>
        <w:rPr>
          <w:rFonts w:ascii="Times New Roman" w:hAnsi="Times New Roman" w:eastAsia="Times New Roman"/>
          <w:sz w:val="24"/>
        </w:rPr>
        <w:t xml:space="preserve"> 2011). The main mechanism of action of caffeine, in concentrations typically achieved after the consumption of a caffeinated beverage, is to act as an adenosine receptor blocker in the brain (Dunwiddie and Mansino, 2001; Pettenuzzo </w:t>
      </w:r>
      <w:r>
        <w:rPr>
          <w:rFonts w:ascii="Times New Roman" w:hAnsi="Times New Roman" w:eastAsia="Times New Roman"/>
          <w:i/>
          <w:sz w:val="24"/>
        </w:rPr>
        <w:t>et al.,</w:t>
      </w:r>
      <w:r>
        <w:rPr>
          <w:rFonts w:ascii="Times New Roman" w:hAnsi="Times New Roman" w:eastAsia="Times New Roman"/>
          <w:sz w:val="24"/>
        </w:rPr>
        <w:t xml:space="preserve"> 2008). Caffeine has a similar chemical structure to that of adenosine allowing it to attach to the adenosine receptors. The blockage of adenosine to the neurons causes the sleep promoting effects of adenosine to stop, resulting in the neurons speeding up instead of slowing down (Ferre, 2008).</w:t>
      </w:r>
    </w:p>
    <w:p>
      <w:pPr>
        <w:spacing w:line="203" w:lineRule="auto"/>
        <w:ind w:left="4860"/>
        <w:rPr>
          <w:sz w:val="22"/>
        </w:rPr>
      </w:pPr>
      <w:r>
        <w:rPr>
          <w:sz w:val="22"/>
        </w:rPr>
        <w:t>30</w:t>
      </w:r>
    </w:p>
    <w:p>
      <w:pPr>
        <w:spacing w:line="203" w:lineRule="auto"/>
        <w:ind w:left="4860"/>
        <w:rPr>
          <w:sz w:val="22"/>
        </w:rPr>
        <w:sectPr>
          <w:pgSz w:w="12240" w:h="15840"/>
          <w:pgMar w:top="1440" w:right="1440" w:bottom="429" w:left="1440" w:header="0" w:footer="0" w:gutter="0"/>
          <w:cols w:equalWidth="0" w:num="1">
            <w:col w:w="9360"/>
          </w:cols>
          <w:docGrid w:linePitch="360" w:charSpace="0"/>
        </w:sectPr>
      </w:pPr>
    </w:p>
    <w:p>
      <w:pPr>
        <w:spacing w:line="200" w:lineRule="exact"/>
        <w:rPr>
          <w:rFonts w:ascii="Times New Roman" w:hAnsi="Times New Roman" w:eastAsia="Times New Roman"/>
        </w:rPr>
      </w:pPr>
      <w:bookmarkStart w:id="22" w:name="page31"/>
      <w:bookmarkEnd w:id="22"/>
      <w:r>
        <w:rPr>
          <w:sz w:val="22"/>
        </w:rPr>
        <w:pict>
          <v:shape id="_x0000_s1026" o:spid="_x0000_s1026" o:spt="75" type="#_x0000_t75" style="position:absolute;left:0pt;margin-left:102.3pt;margin-top:99.6pt;height:204pt;width:439.2pt;mso-position-horizontal-relative:page;mso-position-vertical-relative:page;z-index:-251657216;mso-width-relative:page;mso-height-relative:page;" filled="f" o:preferrelative="t" stroked="f" coordsize="21600,21600">
            <v:path/>
            <v:fill on="f" focussize="0,0"/>
            <v:stroke on="f" joinstyle="miter"/>
            <v:imagedata r:id="rId4" chromakey="#FFFFFF" o:title=""/>
            <o:lock v:ext="edit" aspectratio="t"/>
          </v:shap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02" w:lineRule="exact"/>
        <w:rPr>
          <w:rFonts w:ascii="Times New Roman" w:hAnsi="Times New Roman" w:eastAsia="Times New Roman"/>
        </w:rPr>
      </w:pPr>
    </w:p>
    <w:p>
      <w:pPr>
        <w:tabs>
          <w:tab w:val="left" w:pos="2000"/>
        </w:tabs>
        <w:spacing w:line="0" w:lineRule="atLeast"/>
        <w:ind w:left="580"/>
        <w:rPr>
          <w:rFonts w:ascii="Times New Roman" w:hAnsi="Times New Roman" w:eastAsia="Times New Roman"/>
          <w:b/>
          <w:sz w:val="23"/>
        </w:rPr>
      </w:pPr>
      <w:r>
        <w:rPr>
          <w:rFonts w:ascii="Times New Roman" w:hAnsi="Times New Roman" w:eastAsia="Times New Roman"/>
          <w:b/>
          <w:sz w:val="24"/>
        </w:rPr>
        <w:t>Figure 2.1:</w:t>
      </w:r>
      <w:r>
        <w:rPr>
          <w:rFonts w:ascii="Times New Roman" w:hAnsi="Times New Roman" w:eastAsia="Times New Roman"/>
        </w:rPr>
        <w:tab/>
      </w:r>
      <w:r>
        <w:rPr>
          <w:rFonts w:ascii="Times New Roman" w:hAnsi="Times New Roman" w:eastAsia="Times New Roman"/>
          <w:b/>
          <w:sz w:val="23"/>
        </w:rPr>
        <w:t>Chemical structure of caffeine and adenosine (Spiller, 1998)</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8"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2.2.1</w:t>
      </w:r>
      <w:r>
        <w:rPr>
          <w:rFonts w:ascii="Times New Roman" w:hAnsi="Times New Roman" w:eastAsia="Times New Roman"/>
        </w:rPr>
        <w:tab/>
      </w:r>
      <w:r>
        <w:rPr>
          <w:rFonts w:ascii="Times New Roman" w:hAnsi="Times New Roman" w:eastAsia="Times New Roman"/>
          <w:b/>
          <w:sz w:val="23"/>
        </w:rPr>
        <w:t>Metabolism of caffeine</w:t>
      </w:r>
    </w:p>
    <w:p>
      <w:pPr>
        <w:spacing w:line="283" w:lineRule="exact"/>
        <w:rPr>
          <w:rFonts w:ascii="Times New Roman" w:hAnsi="Times New Roman" w:eastAsia="Times New Roman"/>
        </w:rPr>
      </w:pPr>
    </w:p>
    <w:p>
      <w:pPr>
        <w:spacing w:line="466" w:lineRule="auto"/>
        <w:ind w:left="580"/>
        <w:jc w:val="both"/>
        <w:rPr>
          <w:rFonts w:ascii="Times New Roman" w:hAnsi="Times New Roman" w:eastAsia="Times New Roman"/>
          <w:sz w:val="24"/>
        </w:rPr>
      </w:pPr>
      <w:r>
        <w:rPr>
          <w:rFonts w:ascii="Times New Roman" w:hAnsi="Times New Roman" w:eastAsia="Times New Roman"/>
          <w:sz w:val="24"/>
        </w:rPr>
        <w:t>The main mechanism of caffeine at in take is to exert most of its biological effects through the antagonism of the A</w:t>
      </w:r>
      <w:r>
        <w:rPr>
          <w:rFonts w:ascii="Times New Roman" w:hAnsi="Times New Roman" w:eastAsia="Times New Roman"/>
          <w:sz w:val="31"/>
          <w:vertAlign w:val="subscript"/>
        </w:rPr>
        <w:t>1</w:t>
      </w:r>
      <w:r>
        <w:rPr>
          <w:rFonts w:ascii="Times New Roman" w:hAnsi="Times New Roman" w:eastAsia="Times New Roman"/>
          <w:sz w:val="24"/>
        </w:rPr>
        <w:t xml:space="preserve"> and A</w:t>
      </w:r>
      <w:r>
        <w:rPr>
          <w:rFonts w:ascii="Times New Roman" w:hAnsi="Times New Roman" w:eastAsia="Times New Roman"/>
          <w:sz w:val="31"/>
          <w:vertAlign w:val="subscript"/>
        </w:rPr>
        <w:t>2A</w:t>
      </w:r>
      <w:r>
        <w:rPr>
          <w:rFonts w:ascii="Times New Roman" w:hAnsi="Times New Roman" w:eastAsia="Times New Roman"/>
          <w:sz w:val="24"/>
        </w:rPr>
        <w:t xml:space="preserve"> subtypes of the adenosine receptor (James, 2004). Adenosine (Figure 2.1) is an endogenous neuromodulator with mostly inhibitory effects, and adenosine antagonism by caffeine results in effects that are generally stimulatory. Some physiological effects associated with caffeine administration include central nervous system stimulation, acute elevation of blood pressure, increased metabolic rate, and dieresis (Carrillo and Benitez, 2000). Caffeine is rapidly and almost completely absorbed in the stomach and small intestine and distributed to all tissues, including the brain. Caffeine metabolism occurs primarily in the liver, where the activity of the cytochrome P450 isoform CYP1A2 accounts for almost 95% of the primary metabolism of caffeine. CYP1A2-catalyzed 3-demethylation of caffeine results in the formation of 1,7-dimethylxanthine (paraxanthine) (Figure 2.2). Paraxanthine may be demethylated by</w:t>
      </w:r>
    </w:p>
    <w:p>
      <w:pPr>
        <w:spacing w:line="227" w:lineRule="auto"/>
        <w:ind w:left="4860"/>
        <w:rPr>
          <w:sz w:val="22"/>
        </w:rPr>
      </w:pPr>
      <w:r>
        <w:rPr>
          <w:sz w:val="22"/>
        </w:rPr>
        <w:t>31</w:t>
      </w:r>
    </w:p>
    <w:p>
      <w:pPr>
        <w:spacing w:line="227"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23" w:name="page32"/>
      <w:bookmarkEnd w:id="23"/>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CYP1A2 to form 1-methylxanthine, which may be oxidized to 1-methyluric acid by xanthine oxidase. Paraxanthine may also be hydroxylated by CYP2A6 to form 1,7-dimethyluric acid, or acetylated by </w:t>
      </w:r>
      <w:r>
        <w:rPr>
          <w:rFonts w:ascii="Times New Roman" w:hAnsi="Times New Roman" w:eastAsia="Times New Roman"/>
          <w:i/>
          <w:sz w:val="24"/>
        </w:rPr>
        <w:t>N</w:t>
      </w:r>
      <w:r>
        <w:rPr>
          <w:rFonts w:ascii="Times New Roman" w:hAnsi="Times New Roman" w:eastAsia="Times New Roman"/>
          <w:sz w:val="24"/>
        </w:rPr>
        <w:t xml:space="preserve">-acetyltransferase 2 (NAT2) to form 5-acetylamino-6-formylamino-3-methyluracil, an unstable compound that may be deformylated nonenzymatically to form 5-acetylamino-6-amino-3-methyluracil (figure 2.2) (Crews </w:t>
      </w:r>
      <w:r>
        <w:rPr>
          <w:rFonts w:ascii="Times New Roman" w:hAnsi="Times New Roman" w:eastAsia="Times New Roman"/>
          <w:i/>
          <w:sz w:val="24"/>
        </w:rPr>
        <w:t>et</w:t>
      </w:r>
      <w:r>
        <w:rPr>
          <w:rFonts w:ascii="Times New Roman" w:hAnsi="Times New Roman" w:eastAsia="Times New Roman"/>
          <w:sz w:val="24"/>
        </w:rPr>
        <w:t xml:space="preserve"> </w:t>
      </w:r>
      <w:r>
        <w:rPr>
          <w:rFonts w:ascii="Times New Roman" w:hAnsi="Times New Roman" w:eastAsia="Times New Roman"/>
          <w:i/>
          <w:sz w:val="24"/>
        </w:rPr>
        <w:t>al.</w:t>
      </w:r>
      <w:r>
        <w:rPr>
          <w:rFonts w:ascii="Times New Roman" w:hAnsi="Times New Roman" w:eastAsia="Times New Roman"/>
          <w:sz w:val="24"/>
        </w:rPr>
        <w:t>, 2001; Krul and Hageman, 1998).</w:t>
      </w:r>
    </w:p>
    <w:p>
      <w:pPr>
        <w:spacing w:line="20" w:lineRule="exact"/>
        <w:rPr>
          <w:rFonts w:ascii="Times New Roman" w:hAnsi="Times New Roman" w:eastAsia="Times New Roman"/>
        </w:rPr>
      </w:pPr>
      <w:r>
        <w:rPr>
          <w:rFonts w:ascii="Times New Roman" w:hAnsi="Times New Roman" w:eastAsia="Times New Roman"/>
          <w:sz w:val="24"/>
        </w:rPr>
        <w:pict>
          <v:shape id="_x0000_s1027" o:spid="_x0000_s1027" o:spt="75" type="#_x0000_t75" style="position:absolute;left:0pt;margin-left:30.3pt;margin-top:28.15pt;height:363.75pt;width:439.2pt;z-index:-251657216;mso-width-relative:page;mso-height-relative:page;" filled="f" o:preferrelative="t" stroked="f" coordsize="21600,21600">
            <v:path/>
            <v:fill on="f" focussize="0,0"/>
            <v:stroke on="f" joinstyle="miter"/>
            <v:imagedata r:id="rId5" o:title=""/>
            <o:lock v:ext="edit" aspectratio="t"/>
          </v:shap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92" w:lineRule="exact"/>
        <w:rPr>
          <w:rFonts w:ascii="Times New Roman" w:hAnsi="Times New Roman" w:eastAsia="Times New Roman"/>
        </w:rPr>
      </w:pPr>
    </w:p>
    <w:p>
      <w:pPr>
        <w:tabs>
          <w:tab w:val="left" w:pos="2000"/>
        </w:tabs>
        <w:spacing w:line="0" w:lineRule="atLeast"/>
        <w:ind w:left="580"/>
        <w:rPr>
          <w:rFonts w:ascii="Times New Roman" w:hAnsi="Times New Roman" w:eastAsia="Times New Roman"/>
          <w:b/>
          <w:sz w:val="23"/>
        </w:rPr>
      </w:pPr>
      <w:r>
        <w:rPr>
          <w:rFonts w:ascii="Times New Roman" w:hAnsi="Times New Roman" w:eastAsia="Times New Roman"/>
          <w:b/>
          <w:sz w:val="24"/>
        </w:rPr>
        <w:t>Figure 2.2:</w:t>
      </w:r>
      <w:r>
        <w:rPr>
          <w:rFonts w:ascii="Times New Roman" w:hAnsi="Times New Roman" w:eastAsia="Times New Roman"/>
        </w:rPr>
        <w:tab/>
      </w:r>
      <w:r>
        <w:rPr>
          <w:rFonts w:ascii="Times New Roman" w:hAnsi="Times New Roman" w:eastAsia="Times New Roman"/>
          <w:b/>
          <w:sz w:val="23"/>
        </w:rPr>
        <w:t>Major pathways in caffeine metabolism</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50" w:lineRule="exact"/>
        <w:rPr>
          <w:rFonts w:ascii="Times New Roman" w:hAnsi="Times New Roman" w:eastAsia="Times New Roman"/>
        </w:rPr>
      </w:pPr>
    </w:p>
    <w:p>
      <w:pPr>
        <w:spacing w:line="0" w:lineRule="atLeast"/>
        <w:ind w:left="4860"/>
        <w:rPr>
          <w:sz w:val="22"/>
        </w:rPr>
      </w:pPr>
      <w:r>
        <w:rPr>
          <w:sz w:val="22"/>
        </w:rPr>
        <w:t>32</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4"/>
        </w:rPr>
      </w:pPr>
      <w:bookmarkStart w:id="24" w:name="page33"/>
      <w:bookmarkEnd w:id="24"/>
      <w:r>
        <w:rPr>
          <w:rFonts w:ascii="Times New Roman" w:hAnsi="Times New Roman" w:eastAsia="Times New Roman"/>
          <w:b/>
          <w:sz w:val="24"/>
        </w:rPr>
        <w:t>2.2.2</w:t>
      </w:r>
      <w:r>
        <w:rPr>
          <w:rFonts w:ascii="Times New Roman" w:hAnsi="Times New Roman" w:eastAsia="Times New Roman"/>
          <w:b/>
          <w:sz w:val="24"/>
        </w:rPr>
        <w:tab/>
      </w:r>
      <w:r>
        <w:rPr>
          <w:rFonts w:ascii="Times New Roman" w:hAnsi="Times New Roman" w:eastAsia="Times New Roman"/>
          <w:b/>
          <w:sz w:val="24"/>
        </w:rPr>
        <w:t>Caffeine and health</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Caffeine has been widely studied in a variety of areas regarding human health and performance and it is evident that caffeine consumption can increase energy utilization (Smith and Rogers, 2002). Many studies also confirm its ability to enhance mood and alertness (Kaplan </w:t>
      </w:r>
      <w:r>
        <w:rPr>
          <w:rFonts w:ascii="Times New Roman" w:hAnsi="Times New Roman" w:eastAsia="Times New Roman"/>
          <w:i/>
          <w:sz w:val="24"/>
        </w:rPr>
        <w:t>et al.,</w:t>
      </w:r>
      <w:r>
        <w:rPr>
          <w:rFonts w:ascii="Times New Roman" w:hAnsi="Times New Roman" w:eastAsia="Times New Roman"/>
          <w:sz w:val="24"/>
        </w:rPr>
        <w:t xml:space="preserve"> 1997; Smith and Rogers, 2002; Lorist and Tops, 2003), exercise performance (Graham, 2001; Doherty and Smith, 2004), the speed at which information is processed, awareness, attention, and reaction time (Cysneiros </w:t>
      </w:r>
      <w:r>
        <w:rPr>
          <w:rFonts w:ascii="Times New Roman" w:hAnsi="Times New Roman" w:eastAsia="Times New Roman"/>
          <w:i/>
          <w:sz w:val="24"/>
        </w:rPr>
        <w:t>et al.,</w:t>
      </w:r>
      <w:r>
        <w:rPr>
          <w:rFonts w:ascii="Times New Roman" w:hAnsi="Times New Roman" w:eastAsia="Times New Roman"/>
          <w:sz w:val="24"/>
        </w:rPr>
        <w:t xml:space="preserve"> 2007). Caffeine has also been shown to reduce some of the negative side effects associated with sleep loss. Some studies suggest that caffeine can contribute to improved alertness and performance at doses of 75 to 150 mg after acute sleep loss and doses of 200 to 600 mg after a night or more without sleep (Bonnet </w:t>
      </w:r>
      <w:r>
        <w:rPr>
          <w:rFonts w:ascii="Times New Roman" w:hAnsi="Times New Roman" w:eastAsia="Times New Roman"/>
          <w:i/>
          <w:sz w:val="24"/>
        </w:rPr>
        <w:t>et al.,</w:t>
      </w:r>
      <w:r>
        <w:rPr>
          <w:rFonts w:ascii="Times New Roman" w:hAnsi="Times New Roman" w:eastAsia="Times New Roman"/>
          <w:sz w:val="24"/>
        </w:rPr>
        <w:t xml:space="preserve"> 2005).</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spacing w:line="475" w:lineRule="auto"/>
        <w:ind w:left="580"/>
        <w:jc w:val="both"/>
        <w:rPr>
          <w:rFonts w:ascii="Times New Roman" w:hAnsi="Times New Roman" w:eastAsia="Times New Roman"/>
          <w:sz w:val="24"/>
        </w:rPr>
      </w:pPr>
      <w:r>
        <w:rPr>
          <w:rFonts w:ascii="Times New Roman" w:hAnsi="Times New Roman" w:eastAsia="Times New Roman"/>
          <w:sz w:val="24"/>
        </w:rPr>
        <w:t xml:space="preserve">Caffeine also has a stimulatory effect on thermo genesis (Acheson </w:t>
      </w:r>
      <w:r>
        <w:rPr>
          <w:rFonts w:ascii="Times New Roman" w:hAnsi="Times New Roman" w:eastAsia="Times New Roman"/>
          <w:i/>
          <w:sz w:val="24"/>
        </w:rPr>
        <w:t>et al.,</w:t>
      </w:r>
      <w:r>
        <w:rPr>
          <w:rFonts w:ascii="Times New Roman" w:hAnsi="Times New Roman" w:eastAsia="Times New Roman"/>
          <w:sz w:val="24"/>
        </w:rPr>
        <w:t xml:space="preserve"> 1980; Dulloo </w:t>
      </w:r>
      <w:r>
        <w:rPr>
          <w:rFonts w:ascii="Times New Roman" w:hAnsi="Times New Roman" w:eastAsia="Times New Roman"/>
          <w:i/>
          <w:sz w:val="24"/>
        </w:rPr>
        <w:t>et</w:t>
      </w:r>
      <w:r>
        <w:rPr>
          <w:rFonts w:ascii="Times New Roman" w:hAnsi="Times New Roman" w:eastAsia="Times New Roman"/>
          <w:sz w:val="24"/>
        </w:rPr>
        <w:t xml:space="preserve"> </w:t>
      </w:r>
      <w:r>
        <w:rPr>
          <w:rFonts w:ascii="Times New Roman" w:hAnsi="Times New Roman" w:eastAsia="Times New Roman"/>
          <w:i/>
          <w:sz w:val="24"/>
        </w:rPr>
        <w:t xml:space="preserve">al., </w:t>
      </w:r>
      <w:r>
        <w:rPr>
          <w:rFonts w:ascii="Times New Roman" w:hAnsi="Times New Roman" w:eastAsia="Times New Roman"/>
          <w:sz w:val="24"/>
        </w:rPr>
        <w:t>1989; Astrup</w:t>
      </w:r>
      <w:r>
        <w:rPr>
          <w:rFonts w:ascii="Times New Roman" w:hAnsi="Times New Roman" w:eastAsia="Times New Roman"/>
          <w:i/>
          <w:sz w:val="24"/>
        </w:rPr>
        <w:t xml:space="preserve"> et al., </w:t>
      </w:r>
      <w:r>
        <w:rPr>
          <w:rFonts w:ascii="Times New Roman" w:hAnsi="Times New Roman" w:eastAsia="Times New Roman"/>
          <w:sz w:val="24"/>
        </w:rPr>
        <w:t>1990; Bracco</w:t>
      </w:r>
      <w:r>
        <w:rPr>
          <w:rFonts w:ascii="Times New Roman" w:hAnsi="Times New Roman" w:eastAsia="Times New Roman"/>
          <w:i/>
          <w:sz w:val="24"/>
        </w:rPr>
        <w:t xml:space="preserve"> et al., </w:t>
      </w:r>
      <w:r>
        <w:rPr>
          <w:rFonts w:ascii="Times New Roman" w:hAnsi="Times New Roman" w:eastAsia="Times New Roman"/>
          <w:sz w:val="24"/>
        </w:rPr>
        <w:t>1995). In addition, caffeine consumption has</w:t>
      </w:r>
      <w:r>
        <w:rPr>
          <w:rFonts w:ascii="Times New Roman" w:hAnsi="Times New Roman" w:eastAsia="Times New Roman"/>
          <w:i/>
          <w:sz w:val="24"/>
        </w:rPr>
        <w:t xml:space="preserve"> </w:t>
      </w:r>
      <w:r>
        <w:rPr>
          <w:rFonts w:ascii="Times New Roman" w:hAnsi="Times New Roman" w:eastAsia="Times New Roman"/>
          <w:sz w:val="24"/>
        </w:rPr>
        <w:t xml:space="preserve">also been linked to reduced food intake (Tremblay </w:t>
      </w:r>
      <w:r>
        <w:rPr>
          <w:rFonts w:ascii="Times New Roman" w:hAnsi="Times New Roman" w:eastAsia="Times New Roman"/>
          <w:i/>
          <w:sz w:val="24"/>
        </w:rPr>
        <w:t>et al.,</w:t>
      </w:r>
      <w:r>
        <w:rPr>
          <w:rFonts w:ascii="Times New Roman" w:hAnsi="Times New Roman" w:eastAsia="Times New Roman"/>
          <w:sz w:val="24"/>
        </w:rPr>
        <w:t xml:space="preserve"> 1988; Lima </w:t>
      </w:r>
      <w:r>
        <w:rPr>
          <w:rFonts w:ascii="Times New Roman" w:hAnsi="Times New Roman" w:eastAsia="Times New Roman"/>
          <w:i/>
          <w:sz w:val="24"/>
        </w:rPr>
        <w:t>et al.,</w:t>
      </w:r>
      <w:r>
        <w:rPr>
          <w:rFonts w:ascii="Times New Roman" w:hAnsi="Times New Roman" w:eastAsia="Times New Roman"/>
          <w:sz w:val="24"/>
        </w:rPr>
        <w:t xml:space="preserve"> 2005) and to promote lipolysis in both animals and humans (Hasegawa and Mori 2000; Zheng </w:t>
      </w:r>
      <w:r>
        <w:rPr>
          <w:rFonts w:ascii="Times New Roman" w:hAnsi="Times New Roman" w:eastAsia="Times New Roman"/>
          <w:i/>
          <w:sz w:val="24"/>
        </w:rPr>
        <w:t>et al.,</w:t>
      </w:r>
      <w:r>
        <w:rPr>
          <w:rFonts w:ascii="Times New Roman" w:hAnsi="Times New Roman" w:eastAsia="Times New Roman"/>
          <w:sz w:val="24"/>
        </w:rPr>
        <w:t xml:space="preserve"> 2004; Lopez-Garcia </w:t>
      </w:r>
      <w:r>
        <w:rPr>
          <w:rFonts w:ascii="Times New Roman" w:hAnsi="Times New Roman" w:eastAsia="Times New Roman"/>
          <w:i/>
          <w:sz w:val="24"/>
        </w:rPr>
        <w:t>et al.,</w:t>
      </w:r>
      <w:r>
        <w:rPr>
          <w:rFonts w:ascii="Times New Roman" w:hAnsi="Times New Roman" w:eastAsia="Times New Roman"/>
          <w:sz w:val="24"/>
        </w:rPr>
        <w:t xml:space="preserve"> 2006). Caffeine also has a diuretic effect regardless of its consumption as energy drink, tea, or coffee (Riesenhuber </w:t>
      </w:r>
      <w:r>
        <w:rPr>
          <w:rFonts w:ascii="Times New Roman" w:hAnsi="Times New Roman" w:eastAsia="Times New Roman"/>
          <w:i/>
          <w:sz w:val="24"/>
        </w:rPr>
        <w:t>et al.,</w:t>
      </w:r>
      <w:r>
        <w:rPr>
          <w:rFonts w:ascii="Times New Roman" w:hAnsi="Times New Roman" w:eastAsia="Times New Roman"/>
          <w:sz w:val="24"/>
        </w:rPr>
        <w:t xml:space="preserve"> 2006). The cardiovascular effects of caffeine have also been studied and suggest that caffeine likely has an effect on hemodynamic parameters (Karatzis </w:t>
      </w:r>
      <w:r>
        <w:rPr>
          <w:rFonts w:ascii="Times New Roman" w:hAnsi="Times New Roman" w:eastAsia="Times New Roman"/>
          <w:i/>
          <w:sz w:val="24"/>
        </w:rPr>
        <w:t>et al.,</w:t>
      </w:r>
      <w:r>
        <w:rPr>
          <w:rFonts w:ascii="Times New Roman" w:hAnsi="Times New Roman" w:eastAsia="Times New Roman"/>
          <w:sz w:val="24"/>
        </w:rPr>
        <w:t xml:space="preserve"> 2005; Hartley </w:t>
      </w:r>
      <w:r>
        <w:rPr>
          <w:rFonts w:ascii="Times New Roman" w:hAnsi="Times New Roman" w:eastAsia="Times New Roman"/>
          <w:i/>
          <w:sz w:val="24"/>
        </w:rPr>
        <w:t>et al.,</w:t>
      </w:r>
      <w:r>
        <w:rPr>
          <w:rFonts w:ascii="Times New Roman" w:hAnsi="Times New Roman" w:eastAsia="Times New Roman"/>
          <w:sz w:val="24"/>
        </w:rPr>
        <w:t xml:space="preserve"> 2004; Hodgson </w:t>
      </w:r>
      <w:r>
        <w:rPr>
          <w:rFonts w:ascii="Times New Roman" w:hAnsi="Times New Roman" w:eastAsia="Times New Roman"/>
          <w:i/>
          <w:sz w:val="24"/>
        </w:rPr>
        <w:t>et al.,</w:t>
      </w:r>
      <w:r>
        <w:rPr>
          <w:rFonts w:ascii="Times New Roman" w:hAnsi="Times New Roman" w:eastAsia="Times New Roman"/>
          <w:sz w:val="24"/>
        </w:rPr>
        <w:t xml:space="preserve"> 2005). A review regarding caffeine consumption concluded that among the healthy adult population, a moderate daily caffeine intake of ≤400 mg (equivalent to 6 mg/kg/d for a 65 kg person) was not associated with any adverse effects (Nawrot </w:t>
      </w:r>
      <w:r>
        <w:rPr>
          <w:rFonts w:ascii="Times New Roman" w:hAnsi="Times New Roman" w:eastAsia="Times New Roman"/>
          <w:i/>
          <w:sz w:val="24"/>
        </w:rPr>
        <w:t>et al.,</w:t>
      </w:r>
      <w:r>
        <w:rPr>
          <w:rFonts w:ascii="Times New Roman" w:hAnsi="Times New Roman" w:eastAsia="Times New Roman"/>
          <w:sz w:val="24"/>
        </w:rPr>
        <w:t xml:space="preserve"> 2003). Nonetheless, caution should be exercised in regard to the amount of caffeine consumed per day.</w:t>
      </w:r>
    </w:p>
    <w:p>
      <w:pPr>
        <w:spacing w:line="200" w:lineRule="auto"/>
        <w:ind w:left="4860"/>
        <w:rPr>
          <w:sz w:val="22"/>
        </w:rPr>
      </w:pPr>
      <w:r>
        <w:rPr>
          <w:sz w:val="22"/>
        </w:rPr>
        <w:t>33</w:t>
      </w:r>
    </w:p>
    <w:p>
      <w:pPr>
        <w:spacing w:line="200" w:lineRule="auto"/>
        <w:ind w:left="4860"/>
        <w:rPr>
          <w:sz w:val="22"/>
        </w:rPr>
        <w:sectPr>
          <w:pgSz w:w="12240" w:h="15840"/>
          <w:pgMar w:top="1435" w:right="1440" w:bottom="429"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3"/>
        </w:rPr>
      </w:pPr>
      <w:bookmarkStart w:id="25" w:name="page34"/>
      <w:bookmarkEnd w:id="25"/>
      <w:r>
        <w:rPr>
          <w:rFonts w:ascii="Times New Roman" w:hAnsi="Times New Roman" w:eastAsia="Times New Roman"/>
          <w:b/>
          <w:sz w:val="24"/>
        </w:rPr>
        <w:t>2.2.3</w:t>
      </w:r>
      <w:r>
        <w:rPr>
          <w:rFonts w:ascii="Times New Roman" w:hAnsi="Times New Roman" w:eastAsia="Times New Roman"/>
        </w:rPr>
        <w:tab/>
      </w:r>
      <w:r>
        <w:rPr>
          <w:rFonts w:ascii="Times New Roman" w:hAnsi="Times New Roman" w:eastAsia="Times New Roman"/>
          <w:b/>
          <w:sz w:val="23"/>
        </w:rPr>
        <w:t>Research works on caffeine</w:t>
      </w:r>
    </w:p>
    <w:p>
      <w:pPr>
        <w:spacing w:line="283" w:lineRule="exact"/>
        <w:rPr>
          <w:rFonts w:ascii="Times New Roman" w:hAnsi="Times New Roman" w:eastAsia="Times New Roman"/>
        </w:rPr>
      </w:pPr>
    </w:p>
    <w:p>
      <w:pPr>
        <w:spacing w:line="463" w:lineRule="auto"/>
        <w:ind w:left="580"/>
        <w:jc w:val="both"/>
        <w:rPr>
          <w:rFonts w:ascii="Times New Roman" w:hAnsi="Times New Roman" w:eastAsia="Times New Roman"/>
          <w:sz w:val="24"/>
        </w:rPr>
      </w:pPr>
      <w:r>
        <w:rPr>
          <w:rFonts w:ascii="Times New Roman" w:hAnsi="Times New Roman" w:eastAsia="Times New Roman"/>
          <w:sz w:val="24"/>
        </w:rPr>
        <w:t xml:space="preserve">The determination of concentration of caffeine in foods drinks and pharmaceuticals using different methods of analysis have been reported widely in literature. A quantitative determination of caffeine and alcohol in energy drinks have been reported by Ayala </w:t>
      </w:r>
      <w:r>
        <w:rPr>
          <w:rFonts w:ascii="Times New Roman" w:hAnsi="Times New Roman" w:eastAsia="Times New Roman"/>
          <w:i/>
          <w:sz w:val="24"/>
        </w:rPr>
        <w:t>et al.,</w:t>
      </w:r>
      <w:r>
        <w:rPr>
          <w:rFonts w:ascii="Times New Roman" w:hAnsi="Times New Roman" w:eastAsia="Times New Roman"/>
          <w:sz w:val="24"/>
        </w:rPr>
        <w:t xml:space="preserve"> (2009). Quantitative analysis of caffeine was performed by gas chromatography–mass spectrometry (GC–MS) using an Agilent 5975 MSD. Linear regression analysis of calibrators in the range 0–10 mg/L yielded an </w:t>
      </w:r>
      <w:r>
        <w:rPr>
          <w:rFonts w:ascii="Times New Roman" w:hAnsi="Times New Roman" w:eastAsia="Times New Roman"/>
          <w:i/>
          <w:sz w:val="24"/>
        </w:rPr>
        <w:t>R</w:t>
      </w:r>
      <w:r>
        <w:rPr>
          <w:rFonts w:ascii="Times New Roman" w:hAnsi="Times New Roman" w:eastAsia="Times New Roman"/>
          <w:sz w:val="31"/>
          <w:vertAlign w:val="superscript"/>
        </w:rPr>
        <w:t>2</w:t>
      </w:r>
      <w:r>
        <w:rPr>
          <w:rFonts w:ascii="Times New Roman" w:hAnsi="Times New Roman" w:eastAsia="Times New Roman"/>
          <w:sz w:val="24"/>
        </w:rPr>
        <w:t xml:space="preserve"> value of 1.000 and the control sample fortified with 1.0 mg/L caffeine produced a calculated concentration of 1.02 mg/L (102%). Quantitative caffeine determinations in diluted samples yielded concentrations ranging from 2.74 to 5.31 mg/L. These correspond with caffeine doses of 65–126 mg per 8-oz serving.</w:t>
      </w:r>
    </w:p>
    <w:p>
      <w:pPr>
        <w:spacing w:line="200" w:lineRule="exact"/>
        <w:rPr>
          <w:rFonts w:ascii="Times New Roman" w:hAnsi="Times New Roman" w:eastAsia="Times New Roman"/>
        </w:rPr>
      </w:pPr>
    </w:p>
    <w:p>
      <w:pPr>
        <w:spacing w:line="395"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Rachel </w:t>
      </w:r>
      <w:r>
        <w:rPr>
          <w:rFonts w:ascii="Times New Roman" w:hAnsi="Times New Roman" w:eastAsia="Times New Roman"/>
          <w:i/>
          <w:sz w:val="24"/>
        </w:rPr>
        <w:t>et al.,</w:t>
      </w:r>
      <w:r>
        <w:rPr>
          <w:rFonts w:ascii="Times New Roman" w:hAnsi="Times New Roman" w:eastAsia="Times New Roman"/>
          <w:sz w:val="24"/>
        </w:rPr>
        <w:t xml:space="preserve"> (2006) reported the determination of caffeine contents of energy drinks, carbonated sodas and other beverages by gas chromatography with nitrogen-phosphorus detection. Caffeine was isolated from the beverages by liquid-liquid extraction, and the final extracts were subjected to gas chromatographic analysis utilizing nitrogen-phosphorus detection. Quantization of caffeine was based on a calibration curve prepared in a concentration range 25 – 250 mg/L for the caffeinated samples and 10 – 100 mg/L for the decaffeinated samples, with the limit of quantization arbitrarily set at the concentration of the lowest standard. The caffeine concentration of the caffeinated energy drinks ranged from none detected (i.e., zero (0) to 141.1 mg/serving. The caffeine content of carbonated sodas ranged from none detected (i.e., zero (0) to 48.2 mg/serving while other beverages ranged from ˂2.7 to 105.7 mg/serving.</w:t>
      </w:r>
    </w:p>
    <w:p>
      <w:pPr>
        <w:spacing w:line="200" w:lineRule="exact"/>
        <w:rPr>
          <w:rFonts w:ascii="Times New Roman" w:hAnsi="Times New Roman" w:eastAsia="Times New Roman"/>
        </w:rPr>
      </w:pPr>
    </w:p>
    <w:p>
      <w:pPr>
        <w:spacing w:line="251" w:lineRule="exact"/>
        <w:rPr>
          <w:rFonts w:ascii="Times New Roman" w:hAnsi="Times New Roman" w:eastAsia="Times New Roman"/>
        </w:rPr>
      </w:pPr>
    </w:p>
    <w:p>
      <w:pPr>
        <w:spacing w:line="0" w:lineRule="atLeast"/>
        <w:ind w:left="4860"/>
        <w:rPr>
          <w:sz w:val="22"/>
        </w:rPr>
      </w:pPr>
      <w:r>
        <w:rPr>
          <w:sz w:val="22"/>
        </w:rPr>
        <w:t>34</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26" w:name="page35"/>
      <w:bookmarkEnd w:id="26"/>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A Simple High Performance Liquid Chromatographic (HPLC) method validated for determination of the content levels caffeine in beverages was reported by Mei </w:t>
      </w:r>
      <w:r>
        <w:rPr>
          <w:rFonts w:ascii="Times New Roman" w:hAnsi="Times New Roman" w:eastAsia="Times New Roman"/>
          <w:i/>
          <w:sz w:val="24"/>
        </w:rPr>
        <w:t>et al.,</w:t>
      </w:r>
      <w:r>
        <w:rPr>
          <w:rFonts w:ascii="Times New Roman" w:hAnsi="Times New Roman" w:eastAsia="Times New Roman"/>
          <w:sz w:val="24"/>
        </w:rPr>
        <w:t xml:space="preserve"> (2012). Shim-pack VP-ODS column was used with methanol: water (30:70) % (v/v) eluent. The detector wavelength was set at 270 nm. Linearity of the method was check from 10-100 ppm and the correlation coefficient was 0.9999. The method detection limit was 0.023 ppm and the precision was 1.25% at 40 ppm caffeine concentration. The spiked recoveries for caffeine were 99%, 105%, 99.2%, 102% and 102% in Pepsi Cola, Coca Cola, Red Bull, Gazaltain black tea and Coffee samples respectively. The caffeine contents in tea samples ranged from 440 ppm to 473 ppm with average concentration of 458.6 ppm. The caffeine concentrations in energy drinks samples ranged from 170.6 ppm to 324 ppm with average concentration of 255.6 ppm. The coffee sample contains 252.4 ppm. The carbonated soft drinks showed caffeine content in the range of 32.4 ppm to 133.3 ppm with average concentration of 96 ppm.</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2.3</w:t>
      </w:r>
      <w:r>
        <w:rPr>
          <w:rFonts w:ascii="Times New Roman" w:hAnsi="Times New Roman" w:eastAsia="Times New Roman"/>
        </w:rPr>
        <w:tab/>
      </w:r>
      <w:r>
        <w:rPr>
          <w:rFonts w:ascii="Times New Roman" w:hAnsi="Times New Roman" w:eastAsia="Times New Roman"/>
          <w:b/>
          <w:sz w:val="23"/>
        </w:rPr>
        <w:t>Aspartame</w:t>
      </w:r>
    </w:p>
    <w:p>
      <w:pPr>
        <w:spacing w:line="283" w:lineRule="exact"/>
        <w:rPr>
          <w:rFonts w:ascii="Times New Roman" w:hAnsi="Times New Roman" w:eastAsia="Times New Roman"/>
        </w:rPr>
      </w:pPr>
    </w:p>
    <w:p>
      <w:pPr>
        <w:spacing w:line="458" w:lineRule="auto"/>
        <w:ind w:left="580"/>
        <w:jc w:val="both"/>
        <w:rPr>
          <w:rFonts w:ascii="Times New Roman" w:hAnsi="Times New Roman" w:eastAsia="Times New Roman"/>
          <w:sz w:val="24"/>
        </w:rPr>
      </w:pPr>
      <w:r>
        <w:rPr>
          <w:rFonts w:ascii="Times New Roman" w:hAnsi="Times New Roman" w:eastAsia="Times New Roman"/>
          <w:sz w:val="24"/>
        </w:rPr>
        <w:t>Aspartame is a white crystalline powder having no odour, but is intensely sweet. It is approximately 200 times sweeter than sucrose, the accepted standard for sweetness. It is a synthetic non nutritive sweetener (a methyl ester of a dipeptide) composed of aspartic acid and phenylalanine. It has a molecular formula of C</w:t>
      </w:r>
      <w:r>
        <w:rPr>
          <w:rFonts w:ascii="Times New Roman" w:hAnsi="Times New Roman" w:eastAsia="Times New Roman"/>
          <w:sz w:val="31"/>
          <w:vertAlign w:val="subscript"/>
        </w:rPr>
        <w:t>14</w:t>
      </w:r>
      <w:r>
        <w:rPr>
          <w:rFonts w:ascii="Times New Roman" w:hAnsi="Times New Roman" w:eastAsia="Times New Roman"/>
          <w:sz w:val="24"/>
        </w:rPr>
        <w:t>H</w:t>
      </w:r>
      <w:r>
        <w:rPr>
          <w:rFonts w:ascii="Times New Roman" w:hAnsi="Times New Roman" w:eastAsia="Times New Roman"/>
          <w:sz w:val="31"/>
          <w:vertAlign w:val="subscript"/>
        </w:rPr>
        <w:t>18</w:t>
      </w:r>
      <w:r>
        <w:rPr>
          <w:rFonts w:ascii="Times New Roman" w:hAnsi="Times New Roman" w:eastAsia="Times New Roman"/>
          <w:sz w:val="24"/>
        </w:rPr>
        <w:t>N</w:t>
      </w:r>
      <w:r>
        <w:rPr>
          <w:rFonts w:ascii="Times New Roman" w:hAnsi="Times New Roman" w:eastAsia="Times New Roman"/>
          <w:sz w:val="31"/>
          <w:vertAlign w:val="subscript"/>
        </w:rPr>
        <w:t>2</w:t>
      </w:r>
      <w:r>
        <w:rPr>
          <w:rFonts w:ascii="Times New Roman" w:hAnsi="Times New Roman" w:eastAsia="Times New Roman"/>
          <w:sz w:val="24"/>
        </w:rPr>
        <w:t>O</w:t>
      </w:r>
      <w:r>
        <w:rPr>
          <w:rFonts w:ascii="Times New Roman" w:hAnsi="Times New Roman" w:eastAsia="Times New Roman"/>
          <w:sz w:val="31"/>
          <w:vertAlign w:val="subscript"/>
        </w:rPr>
        <w:t>5</w:t>
      </w:r>
      <w:r>
        <w:rPr>
          <w:rFonts w:ascii="Times New Roman" w:hAnsi="Times New Roman" w:eastAsia="Times New Roman"/>
          <w:sz w:val="24"/>
        </w:rPr>
        <w:t xml:space="preserve"> and a molecular weight of 294.31 g/mol. The chemical name for aspartame is (</w:t>
      </w:r>
      <w:r>
        <w:rPr>
          <w:rFonts w:ascii="Times New Roman" w:hAnsi="Times New Roman" w:eastAsia="Times New Roman"/>
          <w:i/>
          <w:sz w:val="24"/>
        </w:rPr>
        <w:t>S</w:t>
      </w:r>
      <w:r>
        <w:rPr>
          <w:rFonts w:ascii="Times New Roman" w:hAnsi="Times New Roman" w:eastAsia="Times New Roman"/>
          <w:sz w:val="24"/>
        </w:rPr>
        <w:t>)-3-amino-</w:t>
      </w:r>
      <w:r>
        <w:rPr>
          <w:rFonts w:ascii="Times New Roman" w:hAnsi="Times New Roman" w:eastAsia="Times New Roman"/>
          <w:i/>
          <w:sz w:val="24"/>
        </w:rPr>
        <w:t>N</w:t>
      </w:r>
      <w:r>
        <w:rPr>
          <w:rFonts w:ascii="Times New Roman" w:hAnsi="Times New Roman" w:eastAsia="Times New Roman"/>
          <w:sz w:val="24"/>
        </w:rPr>
        <w:t>-[(</w:t>
      </w:r>
      <w:r>
        <w:rPr>
          <w:rFonts w:ascii="Times New Roman" w:hAnsi="Times New Roman" w:eastAsia="Times New Roman"/>
          <w:i/>
          <w:sz w:val="24"/>
        </w:rPr>
        <w:t>S</w:t>
      </w:r>
      <w:r>
        <w:rPr>
          <w:rFonts w:ascii="Times New Roman" w:hAnsi="Times New Roman" w:eastAsia="Times New Roman"/>
          <w:sz w:val="24"/>
        </w:rPr>
        <w:t>)-1-methoxycarbonyl-2-phenylethyl] succinamic acid. It has been reported that at pH 7 and room temperature, aspartame is soluble in water of approximately 10 g/L (Homler, 1984). Aspartame is soluble in ethanol of 0.37% and is insoluble in oil. Aspartame has two melting points, melting initially at 190°C, solidifying and re-melting at 246-247°C. A</w:t>
      </w:r>
    </w:p>
    <w:p>
      <w:pPr>
        <w:spacing w:line="204" w:lineRule="auto"/>
        <w:ind w:left="4860"/>
        <w:rPr>
          <w:sz w:val="22"/>
        </w:rPr>
      </w:pPr>
      <w:r>
        <w:rPr>
          <w:sz w:val="22"/>
        </w:rPr>
        <w:t>35</w:t>
      </w:r>
    </w:p>
    <w:p>
      <w:pPr>
        <w:spacing w:line="204"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27" w:name="page36"/>
      <w:bookmarkEnd w:id="27"/>
    </w:p>
    <w:p>
      <w:pPr>
        <w:spacing w:line="478" w:lineRule="auto"/>
        <w:ind w:left="580"/>
        <w:jc w:val="both"/>
        <w:rPr>
          <w:rFonts w:ascii="Times New Roman" w:hAnsi="Times New Roman" w:eastAsia="Times New Roman"/>
          <w:sz w:val="24"/>
        </w:rPr>
      </w:pPr>
      <w:r>
        <w:rPr>
          <w:rFonts w:ascii="Times New Roman" w:hAnsi="Times New Roman" w:eastAsia="Times New Roman"/>
          <w:sz w:val="24"/>
        </w:rPr>
        <w:t>possible explanation for this behaviour is that the intra-molecular reaction of the primary amine with the methylester takes place at the initial melting point to generate 5-benzyl-3, 6-dioxo-2-piperazine acetic acid (DKP) and methanol (Prankerd, 2002). There are two forms of aspartame, an alpha and a beta form. Only the alpha form is sweet. Although aspartame yields the same caloric intake as sugar on a weight to weight basis (i.e., 4 kcal/g), it can be added at almost 200 times lower levels and achieve the same sweetness, thereby providing a far lower net caloric intake. This attribute has resulted in the use of aspartame as a low calorie or non nutritive sweetener in foods and beverages worldwide.</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2.3.1</w:t>
      </w:r>
      <w:r>
        <w:rPr>
          <w:rFonts w:ascii="Times New Roman" w:hAnsi="Times New Roman" w:eastAsia="Times New Roman"/>
        </w:rPr>
        <w:tab/>
      </w:r>
      <w:r>
        <w:rPr>
          <w:rFonts w:ascii="Times New Roman" w:hAnsi="Times New Roman" w:eastAsia="Times New Roman"/>
          <w:b/>
          <w:sz w:val="23"/>
        </w:rPr>
        <w:t>Chemistry of aspartame</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The intestinal absorption and metabolism of aspartame have been intensively studied, in rodents, pigs, primates and humans. Several excellent reviews have been published (Stegink, 1987; Butchko </w:t>
      </w:r>
      <w:r>
        <w:rPr>
          <w:rFonts w:ascii="Times New Roman" w:hAnsi="Times New Roman" w:eastAsia="Times New Roman"/>
          <w:i/>
          <w:sz w:val="24"/>
        </w:rPr>
        <w:t>et al.,</w:t>
      </w:r>
      <w:r>
        <w:rPr>
          <w:rFonts w:ascii="Times New Roman" w:hAnsi="Times New Roman" w:eastAsia="Times New Roman"/>
          <w:sz w:val="24"/>
        </w:rPr>
        <w:t xml:space="preserve"> 2001). In all species examined, aspartame is metabolized in the gastrointestinal tract by esterases and peptidases into three components: the two constituent amino acids, aspartic acid and phenylalanine, and methanol. Aspartame may be completely hydrolyzed to these three components in the gastrointestinal lumen and absorbed into the general circulation, or may be hydrolyzed to methanol and aspartylphenylalanine dipeptide. In this case, the dipeptide is absorbed into the gastrointestinal mucosa cells and then cleaved into amino acids (Stegink, 1987).</w:t>
      </w:r>
    </w:p>
    <w:p>
      <w:pPr>
        <w:spacing w:line="200" w:lineRule="exact"/>
        <w:rPr>
          <w:rFonts w:ascii="Times New Roman" w:hAnsi="Times New Roman" w:eastAsia="Times New Roman"/>
        </w:rPr>
      </w:pPr>
    </w:p>
    <w:p>
      <w:pPr>
        <w:spacing w:line="375" w:lineRule="exact"/>
        <w:rPr>
          <w:rFonts w:ascii="Times New Roman" w:hAnsi="Times New Roman" w:eastAsia="Times New Roman"/>
        </w:rPr>
      </w:pPr>
    </w:p>
    <w:p>
      <w:pPr>
        <w:spacing w:line="465" w:lineRule="auto"/>
        <w:ind w:left="580"/>
        <w:jc w:val="both"/>
        <w:rPr>
          <w:rFonts w:ascii="Times New Roman" w:hAnsi="Times New Roman" w:eastAsia="Times New Roman"/>
          <w:sz w:val="24"/>
        </w:rPr>
      </w:pPr>
      <w:r>
        <w:rPr>
          <w:rFonts w:ascii="Times New Roman" w:hAnsi="Times New Roman" w:eastAsia="Times New Roman"/>
          <w:sz w:val="24"/>
        </w:rPr>
        <w:t>Aspartame can also be absorbed into the mucosal cells prior to hydrolysis, and be cleaved within the cell, to its three components, which then enter circulation (Matthews, 1984). The available evidence indicates that aspartame does not enter the circulation prior to hydrolysis. Metabolism of the three cleaved components of aspartame has been shown to</w:t>
      </w:r>
    </w:p>
    <w:p>
      <w:pPr>
        <w:spacing w:line="198" w:lineRule="auto"/>
        <w:ind w:left="4860"/>
        <w:rPr>
          <w:sz w:val="22"/>
        </w:rPr>
      </w:pPr>
      <w:r>
        <w:rPr>
          <w:sz w:val="22"/>
        </w:rPr>
        <w:t>36</w:t>
      </w:r>
    </w:p>
    <w:p>
      <w:pPr>
        <w:spacing w:line="198"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28" w:name="page37"/>
      <w:bookmarkEnd w:id="28"/>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be identical to the metabolism of the components given individually (Stegink, 1987). Consequently, studies in which aspartame is administered parenterally are not representative of oral administration, which is how aspartame is always consumed by humans. The metabolism of the sweetener provides approximately 4 kcal/g of energy (Gougeon </w:t>
      </w:r>
      <w:r>
        <w:rPr>
          <w:rFonts w:ascii="Times New Roman" w:hAnsi="Times New Roman" w:eastAsia="Times New Roman"/>
          <w:i/>
          <w:sz w:val="24"/>
        </w:rPr>
        <w:t>et al.,</w:t>
      </w:r>
      <w:r>
        <w:rPr>
          <w:rFonts w:ascii="Times New Roman" w:hAnsi="Times New Roman" w:eastAsia="Times New Roman"/>
          <w:sz w:val="24"/>
        </w:rPr>
        <w:t xml:space="preserve"> 2004). The contribution of energy to the diet overall, however, is negligible as the high intensity sweetening power of aspartame (approximately 200 sweeter than sucrose by weight) means that little is needed to be added to foods to achieve sweetness.</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2.3.2</w:t>
      </w:r>
      <w:r>
        <w:rPr>
          <w:rFonts w:ascii="Times New Roman" w:hAnsi="Times New Roman" w:eastAsia="Times New Roman"/>
        </w:rPr>
        <w:tab/>
      </w:r>
      <w:r>
        <w:rPr>
          <w:rFonts w:ascii="Times New Roman" w:hAnsi="Times New Roman" w:eastAsia="Times New Roman"/>
          <w:b/>
          <w:sz w:val="23"/>
        </w:rPr>
        <w:t>Biochemical data</w:t>
      </w:r>
    </w:p>
    <w:p>
      <w:pPr>
        <w:spacing w:line="283" w:lineRule="exact"/>
        <w:rPr>
          <w:rFonts w:ascii="Times New Roman" w:hAnsi="Times New Roman" w:eastAsia="Times New Roman"/>
        </w:rPr>
      </w:pPr>
    </w:p>
    <w:p>
      <w:pPr>
        <w:spacing w:line="476" w:lineRule="auto"/>
        <w:ind w:left="580" w:firstLine="58"/>
        <w:jc w:val="both"/>
        <w:rPr>
          <w:rFonts w:ascii="Times New Roman" w:hAnsi="Times New Roman" w:eastAsia="Times New Roman"/>
          <w:sz w:val="24"/>
        </w:rPr>
      </w:pPr>
      <w:r>
        <w:rPr>
          <w:rFonts w:ascii="Times New Roman" w:hAnsi="Times New Roman" w:eastAsia="Times New Roman"/>
          <w:sz w:val="24"/>
        </w:rPr>
        <w:t xml:space="preserve">The use of aspartame by diabetic individuals is increasing. It is widely used in the weight loss regime, and approximately 200 million people consume aspartame worldwide (Shapiro, 1988). Aspartame has a biological effect even at the recommended daily dose (Gombos </w:t>
      </w:r>
      <w:r>
        <w:rPr>
          <w:rFonts w:ascii="Times New Roman" w:hAnsi="Times New Roman" w:eastAsia="Times New Roman"/>
          <w:i/>
          <w:sz w:val="24"/>
        </w:rPr>
        <w:t>et al.,</w:t>
      </w:r>
      <w:r>
        <w:rPr>
          <w:rFonts w:ascii="Times New Roman" w:hAnsi="Times New Roman" w:eastAsia="Times New Roman"/>
          <w:sz w:val="24"/>
        </w:rPr>
        <w:t xml:space="preserve"> 2007). Approximately 50% of the aspartame molecule is phenylalanine, 40% is aspartic acid and 10% is methanol (Newsome, 1986). Aspartic acid is a metabolite of aspartame that is an excitatory amino acid and is normally found in high levels in the brain. These levels are controlled by the blood–brain barrier, which protects the brain from large fluctuations in plasma aspartate (Maher and Wurtman, 1987). Phenylalanine is an amino acid essential to the production of monoamines in the brain and is found in nearly all protein foods (Fernstrom </w:t>
      </w:r>
      <w:r>
        <w:rPr>
          <w:rFonts w:ascii="Times New Roman" w:hAnsi="Times New Roman" w:eastAsia="Times New Roman"/>
          <w:i/>
          <w:sz w:val="24"/>
        </w:rPr>
        <w:t>et al.,</w:t>
      </w:r>
      <w:r>
        <w:rPr>
          <w:rFonts w:ascii="Times New Roman" w:hAnsi="Times New Roman" w:eastAsia="Times New Roman"/>
          <w:sz w:val="24"/>
        </w:rPr>
        <w:t xml:space="preserve"> 1983). On the other hand, due to the high levels of phenylalanine in blood, consumption of aspartame may cause brain damage (Haschemeyer and Haschemeyer, 1973). Certain brain amino acid levels have been shown to be increased after aspartame consumption (Dailey </w:t>
      </w:r>
      <w:r>
        <w:rPr>
          <w:rFonts w:ascii="Times New Roman" w:hAnsi="Times New Roman" w:eastAsia="Times New Roman"/>
          <w:i/>
          <w:sz w:val="24"/>
        </w:rPr>
        <w:t>et al.,</w:t>
      </w:r>
      <w:r>
        <w:rPr>
          <w:rFonts w:ascii="Times New Roman" w:hAnsi="Times New Roman" w:eastAsia="Times New Roman"/>
          <w:sz w:val="24"/>
        </w:rPr>
        <w:t xml:space="preserve"> 1991; Diomede </w:t>
      </w:r>
      <w:r>
        <w:rPr>
          <w:rFonts w:ascii="Times New Roman" w:hAnsi="Times New Roman" w:eastAsia="Times New Roman"/>
          <w:i/>
          <w:sz w:val="24"/>
        </w:rPr>
        <w:t>et al.,</w:t>
      </w:r>
      <w:r>
        <w:rPr>
          <w:rFonts w:ascii="Times New Roman" w:hAnsi="Times New Roman" w:eastAsia="Times New Roman"/>
          <w:sz w:val="24"/>
        </w:rPr>
        <w:t xml:space="preserve"> 1991; Yokogoshi </w:t>
      </w:r>
      <w:r>
        <w:rPr>
          <w:rFonts w:ascii="Times New Roman" w:hAnsi="Times New Roman" w:eastAsia="Times New Roman"/>
          <w:i/>
          <w:sz w:val="24"/>
        </w:rPr>
        <w:t>et al.,</w:t>
      </w:r>
      <w:r>
        <w:rPr>
          <w:rFonts w:ascii="Times New Roman" w:hAnsi="Times New Roman" w:eastAsia="Times New Roman"/>
          <w:sz w:val="24"/>
        </w:rPr>
        <w:t xml:space="preserve"> 1984). Although methanol is released during aspartame digestion, it only accounts for 10%</w:t>
      </w:r>
    </w:p>
    <w:p>
      <w:pPr>
        <w:spacing w:line="196" w:lineRule="auto"/>
        <w:ind w:left="4860"/>
        <w:rPr>
          <w:sz w:val="22"/>
        </w:rPr>
      </w:pPr>
      <w:r>
        <w:rPr>
          <w:sz w:val="22"/>
        </w:rPr>
        <w:t>37</w:t>
      </w:r>
    </w:p>
    <w:p>
      <w:pPr>
        <w:spacing w:line="196"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29" w:name="page38"/>
      <w:bookmarkEnd w:id="29"/>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of the aspartame molecule (Stegink </w:t>
      </w:r>
      <w:r>
        <w:rPr>
          <w:rFonts w:ascii="Times New Roman" w:hAnsi="Times New Roman" w:eastAsia="Times New Roman"/>
          <w:i/>
          <w:sz w:val="24"/>
        </w:rPr>
        <w:t>et al.,</w:t>
      </w:r>
      <w:r>
        <w:rPr>
          <w:rFonts w:ascii="Times New Roman" w:hAnsi="Times New Roman" w:eastAsia="Times New Roman"/>
          <w:sz w:val="24"/>
        </w:rPr>
        <w:t xml:space="preserve"> 1983), and among the metabolites, methanol is a toxicant that causes systemic toxicity (Kruse, 1992). Various neurochemical effects due to aspartame consumption have been reported (Coulombe and Sharma, 1986; Pan-Hou </w:t>
      </w:r>
      <w:r>
        <w:rPr>
          <w:rFonts w:ascii="Times New Roman" w:hAnsi="Times New Roman" w:eastAsia="Times New Roman"/>
          <w:i/>
          <w:sz w:val="24"/>
        </w:rPr>
        <w:t>et al.,</w:t>
      </w:r>
      <w:r>
        <w:rPr>
          <w:rFonts w:ascii="Times New Roman" w:hAnsi="Times New Roman" w:eastAsia="Times New Roman"/>
          <w:sz w:val="24"/>
        </w:rPr>
        <w:t xml:space="preserve"> 1990; Goerss </w:t>
      </w:r>
      <w:r>
        <w:rPr>
          <w:rFonts w:ascii="Times New Roman" w:hAnsi="Times New Roman" w:eastAsia="Times New Roman"/>
          <w:i/>
          <w:sz w:val="24"/>
        </w:rPr>
        <w:t>et al.,</w:t>
      </w:r>
      <w:r>
        <w:rPr>
          <w:rFonts w:ascii="Times New Roman" w:hAnsi="Times New Roman" w:eastAsia="Times New Roman"/>
          <w:sz w:val="24"/>
        </w:rPr>
        <w:t xml:space="preserve"> 2000). Their adverse neurological effects include headache (Johns, 1988), insomnia and seizures after ingestion of aspartame, which are also accompanied by the alterations in regional concentrations of catecholamine (Coulombe and Sharma, 1986). Previous finding have shown that aspartate may lead to neurotoxicity through sustained contact with the receptors, such as glutamate producing an excitotoxic effect (Olney </w:t>
      </w:r>
      <w:r>
        <w:rPr>
          <w:rFonts w:ascii="Times New Roman" w:hAnsi="Times New Roman" w:eastAsia="Times New Roman"/>
          <w:i/>
          <w:sz w:val="24"/>
        </w:rPr>
        <w:t>et al.,</w:t>
      </w:r>
      <w:r>
        <w:rPr>
          <w:rFonts w:ascii="Times New Roman" w:hAnsi="Times New Roman" w:eastAsia="Times New Roman"/>
          <w:sz w:val="24"/>
        </w:rPr>
        <w:t xml:space="preserve"> 1980). Large doses of both aspartame as well as these individual metabolites have been tested in humans and other animals, with controversial reports. It has been reported that not only the metabolites of methanol, but methanol per se as well, is toxic to the brain (Jeganathan and Namasivayam, 1998).</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6" w:lineRule="exact"/>
        <w:rPr>
          <w:rFonts w:ascii="Times New Roman" w:hAnsi="Times New Roman" w:eastAsia="Times New Roman"/>
        </w:rPr>
      </w:pPr>
    </w:p>
    <w:p>
      <w:pPr>
        <w:spacing w:line="0" w:lineRule="atLeast"/>
        <w:ind w:left="4860"/>
        <w:rPr>
          <w:sz w:val="22"/>
        </w:rPr>
      </w:pPr>
      <w:r>
        <w:rPr>
          <w:sz w:val="22"/>
        </w:rPr>
        <w:t>38</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200" w:lineRule="exact"/>
        <w:rPr>
          <w:rFonts w:ascii="Times New Roman" w:hAnsi="Times New Roman" w:eastAsia="Times New Roman"/>
        </w:rPr>
      </w:pPr>
      <w:bookmarkStart w:id="30" w:name="page39"/>
      <w:bookmarkEnd w:id="30"/>
      <w:r>
        <w:rPr>
          <w:sz w:val="22"/>
        </w:rPr>
        <w:pict>
          <v:shape id="_x0000_s1028" o:spid="_x0000_s1028" o:spt="75" type="#_x0000_t75" style="position:absolute;left:0pt;margin-left:102.3pt;margin-top:72pt;height:563.7pt;width:439.5pt;mso-position-horizontal-relative:page;mso-position-vertical-relative:page;z-index:-251657216;mso-width-relative:page;mso-height-relative:page;" filled="f" o:preferrelative="t" stroked="f" coordsize="21600,21600">
            <v:path/>
            <v:fill on="f" focussize="0,0"/>
            <v:stroke on="f" joinstyle="miter"/>
            <v:imagedata r:id="rId6" chromakey="#FFFFFF" o:title=""/>
            <o:lock v:ext="edit" aspectratio="t"/>
          </v:shap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02" w:lineRule="exact"/>
        <w:rPr>
          <w:rFonts w:ascii="Times New Roman" w:hAnsi="Times New Roman" w:eastAsia="Times New Roman"/>
        </w:rPr>
      </w:pPr>
    </w:p>
    <w:p>
      <w:pPr>
        <w:spacing w:line="235" w:lineRule="auto"/>
        <w:ind w:left="580" w:right="760"/>
        <w:rPr>
          <w:rFonts w:ascii="Times New Roman" w:hAnsi="Times New Roman" w:eastAsia="Times New Roman"/>
          <w:b/>
          <w:sz w:val="24"/>
        </w:rPr>
      </w:pPr>
      <w:r>
        <w:rPr>
          <w:rFonts w:ascii="Times New Roman" w:hAnsi="Times New Roman" w:eastAsia="Times New Roman"/>
          <w:b/>
          <w:sz w:val="24"/>
        </w:rPr>
        <w:t xml:space="preserve">Figure 2.3: Metabolism of aspartame (Oppermann </w:t>
      </w:r>
      <w:r>
        <w:rPr>
          <w:rFonts w:ascii="Times New Roman" w:hAnsi="Times New Roman" w:eastAsia="Times New Roman"/>
          <w:b/>
          <w:i/>
          <w:sz w:val="24"/>
        </w:rPr>
        <w:t>et al.,</w:t>
      </w:r>
      <w:r>
        <w:rPr>
          <w:rFonts w:ascii="Times New Roman" w:hAnsi="Times New Roman" w:eastAsia="Times New Roman"/>
          <w:b/>
          <w:sz w:val="24"/>
        </w:rPr>
        <w:t xml:space="preserve"> 1973; Ranney and Oppermann, 1979)</w:t>
      </w:r>
    </w:p>
    <w:p>
      <w:pPr>
        <w:spacing w:line="200" w:lineRule="exact"/>
        <w:rPr>
          <w:rFonts w:ascii="Times New Roman" w:hAnsi="Times New Roman" w:eastAsia="Times New Roman"/>
        </w:rPr>
      </w:pPr>
    </w:p>
    <w:p>
      <w:pPr>
        <w:spacing w:line="296" w:lineRule="exact"/>
        <w:rPr>
          <w:rFonts w:ascii="Times New Roman" w:hAnsi="Times New Roman" w:eastAsia="Times New Roman"/>
        </w:rPr>
      </w:pPr>
    </w:p>
    <w:p>
      <w:pPr>
        <w:spacing w:line="0" w:lineRule="atLeast"/>
        <w:ind w:left="4860"/>
        <w:rPr>
          <w:sz w:val="22"/>
        </w:rPr>
      </w:pPr>
      <w:r>
        <w:rPr>
          <w:sz w:val="22"/>
        </w:rPr>
        <w:t>39</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3"/>
        </w:rPr>
      </w:pPr>
      <w:bookmarkStart w:id="31" w:name="page40"/>
      <w:bookmarkEnd w:id="31"/>
      <w:r>
        <w:rPr>
          <w:rFonts w:ascii="Times New Roman" w:hAnsi="Times New Roman" w:eastAsia="Times New Roman"/>
          <w:b/>
          <w:sz w:val="24"/>
        </w:rPr>
        <w:t>2.4</w:t>
      </w:r>
      <w:r>
        <w:rPr>
          <w:rFonts w:ascii="Times New Roman" w:hAnsi="Times New Roman" w:eastAsia="Times New Roman"/>
        </w:rPr>
        <w:tab/>
      </w:r>
      <w:r>
        <w:rPr>
          <w:rFonts w:ascii="Times New Roman" w:hAnsi="Times New Roman" w:eastAsia="Times New Roman"/>
          <w:b/>
          <w:sz w:val="23"/>
        </w:rPr>
        <w:t>Heavy Metals</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Heavy metals are potential environmental contaminants with the capability of causing human health problems if present to excess in the food we eat. Environmental pollution is the main cause of heavy metal contamination in the food chain. Emissions of heavy metals to the environment occur </w:t>
      </w:r>
      <w:r>
        <w:rPr>
          <w:rFonts w:ascii="Times New Roman" w:hAnsi="Times New Roman" w:eastAsia="Times New Roman"/>
          <w:i/>
          <w:sz w:val="24"/>
        </w:rPr>
        <w:t>via</w:t>
      </w:r>
      <w:r>
        <w:rPr>
          <w:rFonts w:ascii="Times New Roman" w:hAnsi="Times New Roman" w:eastAsia="Times New Roman"/>
          <w:sz w:val="24"/>
        </w:rPr>
        <w:t xml:space="preserve"> a wide range of processes and pathways, including to the air (</w:t>
      </w:r>
      <w:r>
        <w:rPr>
          <w:rFonts w:ascii="Times New Roman" w:hAnsi="Times New Roman" w:eastAsia="Times New Roman"/>
          <w:i/>
          <w:sz w:val="24"/>
        </w:rPr>
        <w:t>e.g.</w:t>
      </w:r>
      <w:r>
        <w:rPr>
          <w:rFonts w:ascii="Times New Roman" w:hAnsi="Times New Roman" w:eastAsia="Times New Roman"/>
          <w:sz w:val="24"/>
        </w:rPr>
        <w:t xml:space="preserve"> during combustion, extraction and processing), to surface waters (</w:t>
      </w:r>
      <w:r>
        <w:rPr>
          <w:rFonts w:ascii="Times New Roman" w:hAnsi="Times New Roman" w:eastAsia="Times New Roman"/>
          <w:i/>
          <w:sz w:val="24"/>
        </w:rPr>
        <w:t>via</w:t>
      </w:r>
      <w:r>
        <w:rPr>
          <w:rFonts w:ascii="Times New Roman" w:hAnsi="Times New Roman" w:eastAsia="Times New Roman"/>
          <w:sz w:val="24"/>
        </w:rPr>
        <w:t xml:space="preserve"> runoff and releases from storage and transport) and to the soil (and hence into ground waters and crops). Atmospheric emissions tend to be of greatest concern in terms of human health, both because of the quantities involved and the widespread dispersion and potential for exposure that often ensues. People may be exposed to potentially harmful chemical, physical and biological agents in air, food, water or soil. However, exposure does not result only from the presence of a harmful agent in the environment but also by exposure to contact. There must be contact between the agent and the outer boundary of the human body, such as the airways, the skin or the mouth. As a result of the soil, atmosphere, underground and surface water pollution, our foods and beverages are getting contaminated with heavy metals (Krejpcio </w:t>
      </w:r>
      <w:r>
        <w:rPr>
          <w:rFonts w:ascii="Times New Roman" w:hAnsi="Times New Roman" w:eastAsia="Times New Roman"/>
          <w:i/>
          <w:sz w:val="24"/>
        </w:rPr>
        <w:t>et al</w:t>
      </w:r>
      <w:r>
        <w:rPr>
          <w:rFonts w:ascii="Times New Roman" w:hAnsi="Times New Roman" w:eastAsia="Times New Roman"/>
          <w:sz w:val="24"/>
        </w:rPr>
        <w:t>. 2005).</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Heavy metals are given special attention throughout the world due to their effects even at very low concentrations (Das, 1990). The main threats to human health from heavy metals are associated with exposure to lead, cadmium, mercury and arsenic. These metals have been extensively studied and their effects on human health regularly reviewed by international bodies such as the World Health Organization (WHO).</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6" w:lineRule="exact"/>
        <w:rPr>
          <w:rFonts w:ascii="Times New Roman" w:hAnsi="Times New Roman" w:eastAsia="Times New Roman"/>
        </w:rPr>
      </w:pPr>
    </w:p>
    <w:p>
      <w:pPr>
        <w:spacing w:line="0" w:lineRule="atLeast"/>
        <w:ind w:left="4860"/>
        <w:rPr>
          <w:sz w:val="22"/>
        </w:rPr>
      </w:pPr>
      <w:r>
        <w:rPr>
          <w:sz w:val="22"/>
        </w:rPr>
        <w:t>40</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32" w:name="page41"/>
      <w:bookmarkEnd w:id="32"/>
    </w:p>
    <w:p>
      <w:pPr>
        <w:spacing w:line="477" w:lineRule="auto"/>
        <w:ind w:left="580"/>
        <w:jc w:val="both"/>
        <w:rPr>
          <w:rFonts w:ascii="Times New Roman" w:hAnsi="Times New Roman" w:eastAsia="Times New Roman"/>
          <w:sz w:val="24"/>
        </w:rPr>
      </w:pPr>
      <w:r>
        <w:rPr>
          <w:rFonts w:ascii="Times New Roman" w:hAnsi="Times New Roman" w:eastAsia="Times New Roman"/>
          <w:sz w:val="24"/>
        </w:rPr>
        <w:t xml:space="preserve">Several cases of human disease, disorders, malfunction and malformation of organs due to metal toxicity have been reported (Jarup </w:t>
      </w:r>
      <w:r>
        <w:rPr>
          <w:rFonts w:ascii="Times New Roman" w:hAnsi="Times New Roman" w:eastAsia="Times New Roman"/>
          <w:i/>
          <w:sz w:val="24"/>
        </w:rPr>
        <w:t>et al.,</w:t>
      </w:r>
      <w:r>
        <w:rPr>
          <w:rFonts w:ascii="Times New Roman" w:hAnsi="Times New Roman" w:eastAsia="Times New Roman"/>
          <w:sz w:val="24"/>
        </w:rPr>
        <w:t xml:space="preserve"> 1998). Heavy metal composition of food is of interest because of their essential or toxic nature. For example, iron, zinc, copper, chromium, cobalt, and manganese are essential, while lead, cadmium, nickel, and mercury are toxic at certain levels (Onianwa </w:t>
      </w:r>
      <w:r>
        <w:rPr>
          <w:rFonts w:ascii="Times New Roman" w:hAnsi="Times New Roman" w:eastAsia="Times New Roman"/>
          <w:i/>
          <w:sz w:val="24"/>
        </w:rPr>
        <w:t>et al.,</w:t>
      </w:r>
      <w:r>
        <w:rPr>
          <w:rFonts w:ascii="Times New Roman" w:hAnsi="Times New Roman" w:eastAsia="Times New Roman"/>
          <w:sz w:val="24"/>
        </w:rPr>
        <w:t xml:space="preserve"> 1999).</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2.4.1</w:t>
      </w:r>
      <w:r>
        <w:rPr>
          <w:rFonts w:ascii="Times New Roman" w:hAnsi="Times New Roman" w:eastAsia="Times New Roman"/>
        </w:rPr>
        <w:tab/>
      </w:r>
      <w:r>
        <w:rPr>
          <w:rFonts w:ascii="Times New Roman" w:hAnsi="Times New Roman" w:eastAsia="Times New Roman"/>
          <w:b/>
          <w:sz w:val="23"/>
        </w:rPr>
        <w:t>Lead</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Lead is a potentially harmful metal that have aroused considerable concern (Cabrera </w:t>
      </w:r>
      <w:r>
        <w:rPr>
          <w:rFonts w:ascii="Times New Roman" w:hAnsi="Times New Roman" w:eastAsia="Times New Roman"/>
          <w:i/>
          <w:sz w:val="24"/>
        </w:rPr>
        <w:t>et al</w:t>
      </w:r>
      <w:r>
        <w:rPr>
          <w:rFonts w:ascii="Times New Roman" w:hAnsi="Times New Roman" w:eastAsia="Times New Roman"/>
          <w:sz w:val="24"/>
        </w:rPr>
        <w:t>. 1995). Lead affects humans and animals of all ages, however, the effects of lead are most serious in young children. The symptoms of acute lead poisoning are headache, irritability, abdominal pain and various symptoms related to the nervous system. Lead encephalopathy is characterized by sleeplessness and restlessness. Children may be affected by behavioural disturbances, learning and concentration difficulties. Acute exposure to lead is known to cause proximal renal tubular damage (WHO, 1995). Long-term lead exposure was positively correlated with duration of exposure to lead from automobile exhaust, blood lead and nail lead which resulted to kidney damage and urinary excreation of N-acetyl-beta-glucosamynidase (</w:t>
      </w:r>
      <w:r>
        <w:rPr>
          <w:rFonts w:ascii="Times New Roman" w:hAnsi="Times New Roman" w:eastAsia="Times New Roman"/>
          <w:i/>
          <w:sz w:val="24"/>
        </w:rPr>
        <w:t>NAG</w:t>
      </w:r>
      <w:r>
        <w:rPr>
          <w:rFonts w:ascii="Times New Roman" w:hAnsi="Times New Roman" w:eastAsia="Times New Roman"/>
          <w:sz w:val="24"/>
        </w:rPr>
        <w:t xml:space="preserve">) (Mortada </w:t>
      </w:r>
      <w:r>
        <w:rPr>
          <w:rFonts w:ascii="Times New Roman" w:hAnsi="Times New Roman" w:eastAsia="Times New Roman"/>
          <w:i/>
          <w:sz w:val="24"/>
        </w:rPr>
        <w:t>et al.,</w:t>
      </w:r>
      <w:r>
        <w:rPr>
          <w:rFonts w:ascii="Times New Roman" w:hAnsi="Times New Roman" w:eastAsia="Times New Roman"/>
          <w:sz w:val="24"/>
        </w:rPr>
        <w:t xml:space="preserve"> 2001).</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2.4.2</w:t>
      </w:r>
      <w:r>
        <w:rPr>
          <w:rFonts w:ascii="Times New Roman" w:hAnsi="Times New Roman" w:eastAsia="Times New Roman"/>
        </w:rPr>
        <w:tab/>
      </w:r>
      <w:r>
        <w:rPr>
          <w:rFonts w:ascii="Times New Roman" w:hAnsi="Times New Roman" w:eastAsia="Times New Roman"/>
          <w:b/>
          <w:sz w:val="23"/>
        </w:rPr>
        <w:t>Cadmium</w:t>
      </w:r>
    </w:p>
    <w:p>
      <w:pPr>
        <w:spacing w:line="283" w:lineRule="exact"/>
        <w:rPr>
          <w:rFonts w:ascii="Times New Roman" w:hAnsi="Times New Roman" w:eastAsia="Times New Roman"/>
        </w:rPr>
      </w:pPr>
    </w:p>
    <w:p>
      <w:pPr>
        <w:spacing w:line="468" w:lineRule="auto"/>
        <w:ind w:left="580"/>
        <w:jc w:val="both"/>
        <w:rPr>
          <w:rFonts w:ascii="Times New Roman" w:hAnsi="Times New Roman" w:eastAsia="Times New Roman"/>
          <w:sz w:val="24"/>
        </w:rPr>
      </w:pPr>
      <w:r>
        <w:rPr>
          <w:rFonts w:ascii="Times New Roman" w:hAnsi="Times New Roman" w:eastAsia="Times New Roman"/>
          <w:sz w:val="24"/>
        </w:rPr>
        <w:t xml:space="preserve">Cadmium is a toxic and carcinogenic element (Krejpcio </w:t>
      </w:r>
      <w:r>
        <w:rPr>
          <w:rFonts w:ascii="Times New Roman" w:hAnsi="Times New Roman" w:eastAsia="Times New Roman"/>
          <w:i/>
          <w:sz w:val="24"/>
        </w:rPr>
        <w:t>et al</w:t>
      </w:r>
      <w:r>
        <w:rPr>
          <w:rFonts w:ascii="Times New Roman" w:hAnsi="Times New Roman" w:eastAsia="Times New Roman"/>
          <w:sz w:val="24"/>
        </w:rPr>
        <w:t xml:space="preserve">., 2005; Rubio </w:t>
      </w:r>
      <w:r>
        <w:rPr>
          <w:rFonts w:ascii="Times New Roman" w:hAnsi="Times New Roman" w:eastAsia="Times New Roman"/>
          <w:i/>
          <w:sz w:val="24"/>
        </w:rPr>
        <w:t>et al</w:t>
      </w:r>
      <w:r>
        <w:rPr>
          <w:rFonts w:ascii="Times New Roman" w:hAnsi="Times New Roman" w:eastAsia="Times New Roman"/>
          <w:sz w:val="24"/>
        </w:rPr>
        <w:t xml:space="preserve">., 2006). Because of their high toxicity, arsenic, lead and cadmium need to be quantified in food and beverages (Barbaste </w:t>
      </w:r>
      <w:r>
        <w:rPr>
          <w:rFonts w:ascii="Times New Roman" w:hAnsi="Times New Roman" w:eastAsia="Times New Roman"/>
          <w:i/>
          <w:sz w:val="24"/>
        </w:rPr>
        <w:t>et al</w:t>
      </w:r>
      <w:r>
        <w:rPr>
          <w:rFonts w:ascii="Times New Roman" w:hAnsi="Times New Roman" w:eastAsia="Times New Roman"/>
          <w:sz w:val="24"/>
        </w:rPr>
        <w:t>., 2003). Cadmium intake in relatively high amounts can be detrimental to human health. Over a long period of intake, cadmium may accumulate in the kidney and liver and, because of its long biological half life, may lead to kidney damage</w:t>
      </w:r>
    </w:p>
    <w:p>
      <w:pPr>
        <w:spacing w:line="199" w:lineRule="auto"/>
        <w:ind w:left="4860"/>
        <w:rPr>
          <w:sz w:val="22"/>
        </w:rPr>
      </w:pPr>
      <w:r>
        <w:rPr>
          <w:sz w:val="22"/>
        </w:rPr>
        <w:t>41</w:t>
      </w:r>
    </w:p>
    <w:p>
      <w:pPr>
        <w:spacing w:line="199" w:lineRule="auto"/>
        <w:ind w:left="486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33" w:name="page42"/>
      <w:bookmarkEnd w:id="33"/>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(Maduabuchi </w:t>
      </w:r>
      <w:r>
        <w:rPr>
          <w:rFonts w:ascii="Times New Roman" w:hAnsi="Times New Roman" w:eastAsia="Times New Roman"/>
          <w:i/>
          <w:sz w:val="24"/>
        </w:rPr>
        <w:t>et al</w:t>
      </w:r>
      <w:r>
        <w:rPr>
          <w:rFonts w:ascii="Times New Roman" w:hAnsi="Times New Roman" w:eastAsia="Times New Roman"/>
          <w:sz w:val="24"/>
        </w:rPr>
        <w:t xml:space="preserve">., 2006). Inhalation of cadmium fumes or particles can be life threatening, and although acute pulmonary effects and deaths are uncommon, sporadic cases still occur (Seidal </w:t>
      </w:r>
      <w:r>
        <w:rPr>
          <w:rFonts w:ascii="Times New Roman" w:hAnsi="Times New Roman" w:eastAsia="Times New Roman"/>
          <w:i/>
          <w:sz w:val="24"/>
        </w:rPr>
        <w:t>et al.,</w:t>
      </w:r>
      <w:r>
        <w:rPr>
          <w:rFonts w:ascii="Times New Roman" w:hAnsi="Times New Roman" w:eastAsia="Times New Roman"/>
          <w:sz w:val="24"/>
        </w:rPr>
        <w:t xml:space="preserve"> 1993; Barbee and Prince</w:t>
      </w:r>
      <w:r>
        <w:rPr>
          <w:rFonts w:ascii="Times New Roman" w:hAnsi="Times New Roman" w:eastAsia="Times New Roman"/>
          <w:i/>
          <w:sz w:val="24"/>
        </w:rPr>
        <w:t>,</w:t>
      </w:r>
      <w:r>
        <w:rPr>
          <w:rFonts w:ascii="Times New Roman" w:hAnsi="Times New Roman" w:eastAsia="Times New Roman"/>
          <w:sz w:val="24"/>
        </w:rPr>
        <w:t xml:space="preserve"> 1999). Long-term high cadmium exposure may cause skeletal damage, first reported from Japan, where the itai-itai (ouch-ouch) disease (a combination of osteomalacia and osteoporosis) was discovered in the 1950s. The exposure was caused by cadmium-contaminated water used for irrigation of local rice fields. A few studies outside Japan have reported similar findings (Jarup </w:t>
      </w:r>
      <w:r>
        <w:rPr>
          <w:rFonts w:ascii="Times New Roman" w:hAnsi="Times New Roman" w:eastAsia="Times New Roman"/>
          <w:i/>
          <w:sz w:val="24"/>
        </w:rPr>
        <w:t>et al.,</w:t>
      </w:r>
      <w:r>
        <w:rPr>
          <w:rFonts w:ascii="Times New Roman" w:hAnsi="Times New Roman" w:eastAsia="Times New Roman"/>
          <w:sz w:val="24"/>
        </w:rPr>
        <w:t xml:space="preserve"> 1998).</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2.4.3</w:t>
      </w:r>
      <w:r>
        <w:rPr>
          <w:rFonts w:ascii="Times New Roman" w:hAnsi="Times New Roman" w:eastAsia="Times New Roman"/>
          <w:b/>
          <w:sz w:val="24"/>
        </w:rPr>
        <w:tab/>
      </w:r>
      <w:r>
        <w:rPr>
          <w:rFonts w:ascii="Times New Roman" w:hAnsi="Times New Roman" w:eastAsia="Times New Roman"/>
          <w:b/>
          <w:sz w:val="24"/>
        </w:rPr>
        <w:t>Copper</w:t>
      </w:r>
    </w:p>
    <w:p>
      <w:pPr>
        <w:spacing w:line="283"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 xml:space="preserve">Copper is one of the essential trace elements. The deficiency of this element is manifested by impaired haematopoesis, bone metabolism, disorders of the digestive, cardiovascular, and nervous systems. The acute exposure to copper containing dust is manifested by metal fume fever (Křižek </w:t>
      </w:r>
      <w:r>
        <w:rPr>
          <w:rFonts w:ascii="Times New Roman" w:hAnsi="Times New Roman" w:eastAsia="Times New Roman"/>
          <w:i/>
          <w:sz w:val="24"/>
        </w:rPr>
        <w:t>et al</w:t>
      </w:r>
      <w:r>
        <w:rPr>
          <w:rFonts w:ascii="Times New Roman" w:hAnsi="Times New Roman" w:eastAsia="Times New Roman"/>
          <w:sz w:val="24"/>
        </w:rPr>
        <w:t xml:space="preserve">. 1997). In humans copper is necessary for the development of connective tissue, nerve coverings, and bone. Copper also participates in both Fe and energy metabolism. Copper acts as a reductant in the enzymes superoxide dismutase, cytochrome oxidase, lysil oxidase, dopamine hydroxylase, and several other oxidases that reduce molecular oxygen. It is transported in the organism by the protein ceruloplasmin. There is about 80 mg of copper in the adult body (highest concentrations in liver and brain) and median intake of copper ranges between 1.0 and 1.6 mg/day in adults (US data). Good sources of dietary copper are liver and other organ meats, oysters, nuts, seeds, dark chocolate, and whole grains. Copper deficiency in humans is rare, but when it occurs leads to normocytic, hypochromic anemia, leucopenia and neuropenia, and inclusive osteoporosis in children (Kanumakala </w:t>
      </w:r>
      <w:r>
        <w:rPr>
          <w:rFonts w:ascii="Times New Roman" w:hAnsi="Times New Roman" w:eastAsia="Times New Roman"/>
          <w:i/>
          <w:sz w:val="24"/>
        </w:rPr>
        <w:t>et al.,</w:t>
      </w:r>
      <w:r>
        <w:rPr>
          <w:rFonts w:ascii="Times New Roman" w:hAnsi="Times New Roman" w:eastAsia="Times New Roman"/>
          <w:sz w:val="24"/>
        </w:rPr>
        <w:t xml:space="preserve"> 2002). Excessive dietary zinc can cause</w:t>
      </w:r>
    </w:p>
    <w:p>
      <w:pPr>
        <w:spacing w:line="196" w:lineRule="auto"/>
        <w:ind w:left="4860"/>
        <w:rPr>
          <w:sz w:val="22"/>
        </w:rPr>
      </w:pPr>
      <w:r>
        <w:rPr>
          <w:sz w:val="22"/>
        </w:rPr>
        <w:t>42</w:t>
      </w:r>
    </w:p>
    <w:p>
      <w:pPr>
        <w:spacing w:line="196"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34" w:name="page43"/>
      <w:bookmarkEnd w:id="34"/>
    </w:p>
    <w:p>
      <w:pPr>
        <w:spacing w:line="474" w:lineRule="auto"/>
        <w:ind w:left="580"/>
        <w:jc w:val="both"/>
        <w:rPr>
          <w:rFonts w:ascii="Times New Roman" w:hAnsi="Times New Roman" w:eastAsia="Times New Roman"/>
          <w:sz w:val="24"/>
        </w:rPr>
      </w:pPr>
      <w:r>
        <w:rPr>
          <w:rFonts w:ascii="Times New Roman" w:hAnsi="Times New Roman" w:eastAsia="Times New Roman"/>
          <w:sz w:val="24"/>
        </w:rPr>
        <w:t>copper deficiency. Chronic copper toxicity is rare in humans, and mostly associated with liver damage. Acute copper intoxication leads to gastrointestinal effects characterized by abdominal pain, cramps, nausea, diarrhea, and vomiting.</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2.4.4</w:t>
      </w:r>
      <w:r>
        <w:rPr>
          <w:rFonts w:ascii="Times New Roman" w:hAnsi="Times New Roman" w:eastAsia="Times New Roman"/>
        </w:rPr>
        <w:tab/>
      </w:r>
      <w:r>
        <w:rPr>
          <w:rFonts w:ascii="Times New Roman" w:hAnsi="Times New Roman" w:eastAsia="Times New Roman"/>
          <w:b/>
          <w:sz w:val="23"/>
        </w:rPr>
        <w:t>Zinc</w:t>
      </w:r>
    </w:p>
    <w:p>
      <w:pPr>
        <w:spacing w:line="284"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Zinc is involved in the activity of about 100 enzymes, e.g. RNA polymerase, carbonic anhydrase, copper–zinc superoxide dismutase, angiotensin I converting enzyme. Also it is present in Zn-fingers associated with DNA. Zinc is mainly transported by ceruloplasmin. There is 2–3 g of zinc present in the human body (second to iron in body content) and about 1 mg/L in plasma. Zinc deficiency is common in underdeveloped countries and is mainly associated with malnutrition, affecting the immune system, alcoholism, and malabsorption, causes dwarfism, hypogonadism, dermatitis, wound healing, the senses of taste and smell, and impairing DNA synthesis (Onianwa </w:t>
      </w:r>
      <w:r>
        <w:rPr>
          <w:rFonts w:ascii="Times New Roman" w:hAnsi="Times New Roman" w:eastAsia="Times New Roman"/>
          <w:i/>
          <w:sz w:val="24"/>
        </w:rPr>
        <w:t>et al</w:t>
      </w:r>
      <w:r>
        <w:rPr>
          <w:rFonts w:ascii="Times New Roman" w:hAnsi="Times New Roman" w:eastAsia="Times New Roman"/>
          <w:sz w:val="24"/>
        </w:rPr>
        <w:t xml:space="preserve">., 2001). Zinc seems to support normal growth and development in pregnancy, childhood, and adolescence. It is found in red meat and poultry, beans, nuts, seafood (oysters are extremely rich in zinc), whole grains, fortified breakfast cereals, and dairy products. Its toxicity due to excessive intake has been seen in both acute and chronic forms. Intakes of 150–450 mg of zinc per day have been associated with low copper status, altered Fe function, reduced immune function, reduced levels of HDL (Hamilton </w:t>
      </w:r>
      <w:r>
        <w:rPr>
          <w:rFonts w:ascii="Times New Roman" w:hAnsi="Times New Roman" w:eastAsia="Times New Roman"/>
          <w:i/>
          <w:sz w:val="24"/>
        </w:rPr>
        <w:t>et al.,</w:t>
      </w:r>
      <w:r>
        <w:rPr>
          <w:rFonts w:ascii="Times New Roman" w:hAnsi="Times New Roman" w:eastAsia="Times New Roman"/>
          <w:sz w:val="24"/>
        </w:rPr>
        <w:t xml:space="preserve"> 2000).</w:t>
      </w: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2.4.5</w:t>
      </w:r>
      <w:r>
        <w:rPr>
          <w:rFonts w:ascii="Times New Roman" w:hAnsi="Times New Roman" w:eastAsia="Times New Roman"/>
          <w:b/>
          <w:sz w:val="24"/>
        </w:rPr>
        <w:tab/>
      </w:r>
      <w:r>
        <w:rPr>
          <w:rFonts w:ascii="Times New Roman" w:hAnsi="Times New Roman" w:eastAsia="Times New Roman"/>
          <w:b/>
          <w:sz w:val="24"/>
        </w:rPr>
        <w:t>Manganese</w:t>
      </w:r>
    </w:p>
    <w:p>
      <w:pPr>
        <w:spacing w:line="283" w:lineRule="exact"/>
        <w:rPr>
          <w:rFonts w:ascii="Times New Roman" w:hAnsi="Times New Roman" w:eastAsia="Times New Roman"/>
        </w:rPr>
      </w:pPr>
    </w:p>
    <w:p>
      <w:pPr>
        <w:spacing w:line="460" w:lineRule="auto"/>
        <w:ind w:left="580"/>
        <w:jc w:val="both"/>
        <w:rPr>
          <w:rFonts w:ascii="Times New Roman" w:hAnsi="Times New Roman" w:eastAsia="Times New Roman"/>
          <w:sz w:val="24"/>
        </w:rPr>
      </w:pPr>
      <w:r>
        <w:rPr>
          <w:rFonts w:ascii="Times New Roman" w:hAnsi="Times New Roman" w:eastAsia="Times New Roman"/>
          <w:sz w:val="24"/>
        </w:rPr>
        <w:t>Manganese is associated with bone development, and with amino acid, lipid, and carbohydrate metabolism. Manganese is found in different enzymes, e.g. mitochondrial mangaese superoxide dismutase, glutamine synthetase, arginase, and activates several</w:t>
      </w:r>
    </w:p>
    <w:p>
      <w:pPr>
        <w:spacing w:line="198" w:lineRule="auto"/>
        <w:ind w:left="4860"/>
        <w:rPr>
          <w:sz w:val="22"/>
        </w:rPr>
      </w:pPr>
      <w:r>
        <w:rPr>
          <w:sz w:val="22"/>
        </w:rPr>
        <w:t>43</w:t>
      </w:r>
    </w:p>
    <w:p>
      <w:pPr>
        <w:spacing w:line="198"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35" w:name="page44"/>
      <w:bookmarkEnd w:id="35"/>
    </w:p>
    <w:p>
      <w:pPr>
        <w:spacing w:line="476" w:lineRule="auto"/>
        <w:ind w:left="580"/>
        <w:jc w:val="both"/>
        <w:rPr>
          <w:rFonts w:ascii="Times New Roman" w:hAnsi="Times New Roman" w:eastAsia="Times New Roman"/>
          <w:sz w:val="24"/>
        </w:rPr>
      </w:pPr>
      <w:r>
        <w:rPr>
          <w:rFonts w:ascii="Times New Roman" w:hAnsi="Times New Roman" w:eastAsia="Times New Roman"/>
          <w:sz w:val="24"/>
        </w:rPr>
        <w:t xml:space="preserve">hydrolases, transferases and carboxylases. It is transported in the body by transferrin and by macroglobulins and albumin (Davis and Greger, 1992; Rabin </w:t>
      </w:r>
      <w:r>
        <w:rPr>
          <w:rFonts w:ascii="Times New Roman" w:hAnsi="Times New Roman" w:eastAsia="Times New Roman"/>
          <w:i/>
          <w:sz w:val="24"/>
        </w:rPr>
        <w:t>et al.,</w:t>
      </w:r>
      <w:r>
        <w:rPr>
          <w:rFonts w:ascii="Times New Roman" w:hAnsi="Times New Roman" w:eastAsia="Times New Roman"/>
          <w:sz w:val="24"/>
        </w:rPr>
        <w:t xml:space="preserve"> 1993). Sources of dietary manganese include grain, rice, tea, and nuts. Manganese is toxic in excess; in brain it can cause a Parkinson-type syndrome (Aschner, 2000).</w:t>
      </w: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2.4.6</w:t>
      </w:r>
      <w:r>
        <w:rPr>
          <w:rFonts w:ascii="Times New Roman" w:hAnsi="Times New Roman" w:eastAsia="Times New Roman"/>
        </w:rPr>
        <w:tab/>
      </w:r>
      <w:r>
        <w:rPr>
          <w:rFonts w:ascii="Times New Roman" w:hAnsi="Times New Roman" w:eastAsia="Times New Roman"/>
          <w:b/>
          <w:sz w:val="23"/>
        </w:rPr>
        <w:t>Iron</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Iron is in four classes of proteins: Iron-heme proteins (e.g. hemoglobin (2/3 body iron), myoglobin, catalase, cytochromes); iron–sulfur enzymes (e.g. aconitase, fumarate reductase); proteins for iron storage and transport (transferrin, lactoferrin, ferritin, hemosiderin), and other iron-containing or iron-activated enzymes (e.g. NADH dehydrogenase, succinate dehydrogenase, alcohol dehydrogenase, cyclooxygenases). Total iron intake ranges from 14.4 to 20.2 mg/day (Chanarin, 1999). Serum iron is about 1.3 mg/L, mostly bound to transferring. Iron content in an adult man is about 4 g, decreasing to about 3 g in menstruating women. Fe deficiency causes anemia. Sources of heme iron (15% of consumption) are hemoglobin and myoglobin from animals. Sources of non-heme iron are cereals, seeds of leguminous plants, fruits, vegetables, and dairy products. One of the most serious forms of iron overload is acute iron poisoning. Chronic iron intoxication occurs frequently associated to genetic and metabolic diseases, repeated blood transfusions, or excessive intake (Fraga and Oteiza, 2002).</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2.4.7</w:t>
      </w:r>
      <w:r>
        <w:rPr>
          <w:rFonts w:ascii="Times New Roman" w:hAnsi="Times New Roman" w:eastAsia="Times New Roman"/>
        </w:rPr>
        <w:tab/>
      </w:r>
      <w:r>
        <w:rPr>
          <w:rFonts w:ascii="Times New Roman" w:hAnsi="Times New Roman" w:eastAsia="Times New Roman"/>
          <w:b/>
          <w:sz w:val="23"/>
        </w:rPr>
        <w:t>Calcium</w:t>
      </w:r>
    </w:p>
    <w:p>
      <w:pPr>
        <w:spacing w:line="283" w:lineRule="exact"/>
        <w:rPr>
          <w:rFonts w:ascii="Times New Roman" w:hAnsi="Times New Roman" w:eastAsia="Times New Roman"/>
        </w:rPr>
      </w:pPr>
    </w:p>
    <w:p>
      <w:pPr>
        <w:spacing w:line="460" w:lineRule="auto"/>
        <w:ind w:left="580"/>
        <w:jc w:val="both"/>
        <w:rPr>
          <w:rFonts w:ascii="Times New Roman" w:hAnsi="Times New Roman" w:eastAsia="Times New Roman"/>
          <w:sz w:val="24"/>
        </w:rPr>
      </w:pPr>
      <w:r>
        <w:rPr>
          <w:rFonts w:ascii="Times New Roman" w:hAnsi="Times New Roman" w:eastAsia="Times New Roman"/>
          <w:sz w:val="24"/>
        </w:rPr>
        <w:t>Calcium is an essential nutrient that is sparse in many diets. Calcium is vital to the structure of bones and teeth, contraction of muscles, enzymes activity, regulation of heart beat, release of neurotransmitters and clothing of blood. Calcium supplementation has been</w:t>
      </w:r>
    </w:p>
    <w:p>
      <w:pPr>
        <w:spacing w:line="198" w:lineRule="auto"/>
        <w:ind w:left="4860"/>
        <w:rPr>
          <w:sz w:val="22"/>
        </w:rPr>
      </w:pPr>
      <w:r>
        <w:rPr>
          <w:sz w:val="22"/>
        </w:rPr>
        <w:t>44</w:t>
      </w:r>
    </w:p>
    <w:p>
      <w:pPr>
        <w:spacing w:line="198"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36" w:name="page45"/>
      <w:bookmarkEnd w:id="36"/>
    </w:p>
    <w:p>
      <w:pPr>
        <w:spacing w:line="478" w:lineRule="auto"/>
        <w:ind w:left="580"/>
        <w:jc w:val="both"/>
        <w:rPr>
          <w:rFonts w:ascii="Times New Roman" w:hAnsi="Times New Roman" w:eastAsia="Times New Roman"/>
          <w:sz w:val="24"/>
        </w:rPr>
      </w:pPr>
      <w:r>
        <w:rPr>
          <w:rFonts w:ascii="Times New Roman" w:hAnsi="Times New Roman" w:eastAsia="Times New Roman"/>
          <w:sz w:val="24"/>
        </w:rPr>
        <w:t>shown to help reduce bone loss in post-menopausal women and give significant protection against hip fractures (Reid, 1995; Devine, 1999). As with all nutrients, bioavailability is the key to calcium effectiveness. Research has pointed to calcium supplementation as a means of relieving high blood pressure (Meese, 1987; Sowers, 1989; Takagi, 1991). Recent studies have also indicated that calcium supplementation can help improve mood, concentration and behavior in premenstrual women, and it has also been found to be beneficial in the reduction of water retention (Penland and Johnson, 1993; Thys-Jacos, 1989).</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2.4.8</w:t>
      </w:r>
      <w:r>
        <w:rPr>
          <w:rFonts w:ascii="Times New Roman" w:hAnsi="Times New Roman" w:eastAsia="Times New Roman"/>
        </w:rPr>
        <w:tab/>
      </w:r>
      <w:r>
        <w:rPr>
          <w:rFonts w:ascii="Times New Roman" w:hAnsi="Times New Roman" w:eastAsia="Times New Roman"/>
          <w:b/>
          <w:sz w:val="23"/>
        </w:rPr>
        <w:t>Potassium</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Potassium is an essential element that functions in the maintenance of electrolytes and osmosis balance. It works to offset the excessive negative charges of organic constituents within the cells. As a component in the production of ATP, potassium also plays a role in the excitability of the nerves and muscles. Potassium is beneficial for the prevention and treatment of hypertension, and cardiovascular diseases as well as supporting the muscles, kidney, adrenals and nerve functions. Many studies have shown that supplementing with potassium can help lower blood pressure. This appears to be particularly relevant to the over-sixty age group (Fotherby and Potter, 1992). There is ample research to suggest that potassium supplementation compare favourably to blood pressure reducing drugs and without the negative side effect (Khaw and Barret-Connor, 1984). A potassium-rich diet can be highly beneficial to those suffering from diabetes. Supplementing of food state potassium leads to improve insulin sensitivity, responsiveness and secretion (Norbiato </w:t>
      </w:r>
      <w:r>
        <w:rPr>
          <w:rFonts w:ascii="Times New Roman" w:hAnsi="Times New Roman" w:eastAsia="Times New Roman"/>
          <w:i/>
          <w:sz w:val="24"/>
        </w:rPr>
        <w:t>et</w:t>
      </w:r>
      <w:r>
        <w:rPr>
          <w:rFonts w:ascii="Times New Roman" w:hAnsi="Times New Roman" w:eastAsia="Times New Roman"/>
          <w:sz w:val="24"/>
        </w:rPr>
        <w:t xml:space="preserve"> </w:t>
      </w:r>
      <w:r>
        <w:rPr>
          <w:rFonts w:ascii="Times New Roman" w:hAnsi="Times New Roman" w:eastAsia="Times New Roman"/>
          <w:i/>
          <w:sz w:val="24"/>
        </w:rPr>
        <w:t xml:space="preserve">al., </w:t>
      </w:r>
      <w:r>
        <w:rPr>
          <w:rFonts w:ascii="Times New Roman" w:hAnsi="Times New Roman" w:eastAsia="Times New Roman"/>
          <w:sz w:val="24"/>
        </w:rPr>
        <w:t>1984). It also reduces the risk of heart disease, atherosclerosis and cancer.</w:t>
      </w:r>
    </w:p>
    <w:p>
      <w:pPr>
        <w:spacing w:line="200" w:lineRule="exact"/>
        <w:rPr>
          <w:rFonts w:ascii="Times New Roman" w:hAnsi="Times New Roman" w:eastAsia="Times New Roman"/>
        </w:rPr>
      </w:pPr>
    </w:p>
    <w:p>
      <w:pPr>
        <w:spacing w:line="254" w:lineRule="exact"/>
        <w:rPr>
          <w:rFonts w:ascii="Times New Roman" w:hAnsi="Times New Roman" w:eastAsia="Times New Roman"/>
        </w:rPr>
      </w:pPr>
    </w:p>
    <w:p>
      <w:pPr>
        <w:spacing w:line="0" w:lineRule="atLeast"/>
        <w:ind w:left="4860"/>
        <w:rPr>
          <w:sz w:val="22"/>
        </w:rPr>
      </w:pPr>
      <w:r>
        <w:rPr>
          <w:sz w:val="22"/>
        </w:rPr>
        <w:t>45</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3"/>
        </w:rPr>
      </w:pPr>
      <w:bookmarkStart w:id="37" w:name="page46"/>
      <w:bookmarkEnd w:id="37"/>
      <w:r>
        <w:rPr>
          <w:rFonts w:ascii="Times New Roman" w:hAnsi="Times New Roman" w:eastAsia="Times New Roman"/>
          <w:b/>
          <w:sz w:val="24"/>
        </w:rPr>
        <w:t>2.5</w:t>
      </w:r>
      <w:r>
        <w:rPr>
          <w:rFonts w:ascii="Times New Roman" w:hAnsi="Times New Roman" w:eastAsia="Times New Roman"/>
        </w:rPr>
        <w:tab/>
      </w:r>
      <w:r>
        <w:rPr>
          <w:rFonts w:ascii="Times New Roman" w:hAnsi="Times New Roman" w:eastAsia="Times New Roman"/>
          <w:b/>
          <w:sz w:val="23"/>
        </w:rPr>
        <w:t>Carbohydrates</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Carbohydrates can be subdivided into several categories based on the number of sugar units present. A monosaccharide consists of one sugar unit such as glucose or fructose. A disaccharide (e.g., sucrose, lactose, and maltose) consists of two sugar units. Oligosaccharide</w:t>
      </w:r>
      <w:r>
        <w:rPr>
          <w:rFonts w:ascii="Times New Roman" w:hAnsi="Times New Roman" w:eastAsia="Times New Roman"/>
          <w:i/>
          <w:sz w:val="24"/>
        </w:rPr>
        <w:t>s</w:t>
      </w:r>
      <w:r>
        <w:rPr>
          <w:rFonts w:ascii="Times New Roman" w:hAnsi="Times New Roman" w:eastAsia="Times New Roman"/>
          <w:sz w:val="24"/>
        </w:rPr>
        <w:t>, containing 3 to 10 sugar units, are often breakdown products of polysaccharides</w:t>
      </w:r>
      <w:r>
        <w:rPr>
          <w:rFonts w:ascii="Times New Roman" w:hAnsi="Times New Roman" w:eastAsia="Times New Roman"/>
          <w:i/>
          <w:sz w:val="24"/>
        </w:rPr>
        <w:t>,</w:t>
      </w:r>
      <w:r>
        <w:rPr>
          <w:rFonts w:ascii="Times New Roman" w:hAnsi="Times New Roman" w:eastAsia="Times New Roman"/>
          <w:sz w:val="24"/>
        </w:rPr>
        <w:t xml:space="preserve"> which contain more than 10 sugar units. Oligosaccharides such as raffinose and stachyose are found in small amounts in legumes. Examples of polysaccharides include starch and glycogen, which are the storage forms of carbohydrates in plants and animals, respectively. Finally, sugar alcohols, such as sorbitol and mannitol, are alcohol forms of glucose and fructose, respectively. The classification of carbohydrates according to their chemical structure is given in appendix A.</w:t>
      </w:r>
    </w:p>
    <w:p>
      <w:pPr>
        <w:spacing w:line="200" w:lineRule="exact"/>
        <w:rPr>
          <w:rFonts w:ascii="Times New Roman" w:hAnsi="Times New Roman" w:eastAsia="Times New Roman"/>
        </w:rPr>
      </w:pPr>
    </w:p>
    <w:p>
      <w:pPr>
        <w:spacing w:line="359"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2.5.1</w:t>
      </w:r>
      <w:r>
        <w:rPr>
          <w:rFonts w:ascii="Times New Roman" w:hAnsi="Times New Roman" w:eastAsia="Times New Roman"/>
          <w:b/>
          <w:sz w:val="24"/>
        </w:rPr>
        <w:tab/>
      </w:r>
      <w:r>
        <w:rPr>
          <w:rFonts w:ascii="Times New Roman" w:hAnsi="Times New Roman" w:eastAsia="Times New Roman"/>
          <w:b/>
          <w:sz w:val="24"/>
        </w:rPr>
        <w:t>Sugar</w:t>
      </w:r>
    </w:p>
    <w:p>
      <w:pPr>
        <w:spacing w:line="28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 xml:space="preserve">The term ―sugars‖ is traditionally used to describe mono- and disaccharides (FAO/WHO, 1998). Sugars are used as sweeteners to improve the palatability of foods and beverages and for food preservation (FAO/WHO, 1998). In addition, sugars are used to confer certain functional attributes to foods such as viscosity, texture, body, and browning capacity. The monosaccharides include glucose, galactose, and fructose, while the disaccharides include sucrose, lactose, maltose, and trehalose. Some commonly used sweeteners contain trisaccharides and higher saccharides. Corn syrups contain large amounts of these saccharides; for example, only 33 percent or less of the carbohydrates in some corn syrups are mono- and disaccharides; the remaining 67 percent or more are trisaccharides and higher saccharides (Glinsmann </w:t>
      </w:r>
      <w:r>
        <w:rPr>
          <w:rFonts w:ascii="Times New Roman" w:hAnsi="Times New Roman" w:eastAsia="Times New Roman"/>
          <w:i/>
          <w:sz w:val="24"/>
        </w:rPr>
        <w:t>et al.,</w:t>
      </w:r>
      <w:r>
        <w:rPr>
          <w:rFonts w:ascii="Times New Roman" w:hAnsi="Times New Roman" w:eastAsia="Times New Roman"/>
          <w:sz w:val="24"/>
        </w:rPr>
        <w:t xml:space="preserve"> 1986). This may lead to an underestimation of the intake of sugars if the trisaccharides and higher saccharides are not included in an analysis.</w:t>
      </w:r>
    </w:p>
    <w:p>
      <w:pPr>
        <w:spacing w:line="206" w:lineRule="auto"/>
        <w:ind w:left="4860"/>
        <w:rPr>
          <w:sz w:val="22"/>
        </w:rPr>
      </w:pPr>
      <w:r>
        <w:rPr>
          <w:sz w:val="22"/>
        </w:rPr>
        <w:t>46</w:t>
      </w:r>
    </w:p>
    <w:p>
      <w:pPr>
        <w:spacing w:line="206" w:lineRule="auto"/>
        <w:ind w:left="4860"/>
        <w:rPr>
          <w:sz w:val="22"/>
        </w:rPr>
        <w:sectPr>
          <w:pgSz w:w="12240" w:h="15840"/>
          <w:pgMar w:top="1435" w:right="1440" w:bottom="429"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3"/>
        </w:rPr>
      </w:pPr>
      <w:bookmarkStart w:id="38" w:name="page47"/>
      <w:bookmarkEnd w:id="38"/>
      <w:r>
        <w:rPr>
          <w:rFonts w:ascii="Times New Roman" w:hAnsi="Times New Roman" w:eastAsia="Times New Roman"/>
          <w:b/>
          <w:sz w:val="24"/>
        </w:rPr>
        <w:t>2.5.2</w:t>
      </w:r>
      <w:r>
        <w:rPr>
          <w:rFonts w:ascii="Times New Roman" w:hAnsi="Times New Roman" w:eastAsia="Times New Roman"/>
        </w:rPr>
        <w:tab/>
      </w:r>
      <w:r>
        <w:rPr>
          <w:rFonts w:ascii="Times New Roman" w:hAnsi="Times New Roman" w:eastAsia="Times New Roman"/>
          <w:b/>
          <w:sz w:val="23"/>
        </w:rPr>
        <w:t>Added sugars</w:t>
      </w:r>
    </w:p>
    <w:p>
      <w:pPr>
        <w:spacing w:line="283" w:lineRule="exact"/>
        <w:rPr>
          <w:rFonts w:ascii="Times New Roman" w:hAnsi="Times New Roman" w:eastAsia="Times New Roman"/>
        </w:rPr>
      </w:pPr>
    </w:p>
    <w:p>
      <w:pPr>
        <w:spacing w:line="478" w:lineRule="auto"/>
        <w:ind w:left="580" w:right="560"/>
        <w:jc w:val="both"/>
        <w:rPr>
          <w:rFonts w:ascii="Times New Roman" w:hAnsi="Times New Roman" w:eastAsia="Times New Roman"/>
          <w:sz w:val="24"/>
        </w:rPr>
      </w:pPr>
      <w:r>
        <w:rPr>
          <w:rFonts w:ascii="Times New Roman" w:hAnsi="Times New Roman" w:eastAsia="Times New Roman"/>
          <w:sz w:val="24"/>
        </w:rPr>
        <w:t>Added sugars are defined as sugars and syrups that are added to foods during processing or preparation. Major sources of added sugars include soft and energy drinks, cakes, cookies, pies, fruitages, fruit punch, dairy desserts, and candy (USDA/HHS, 2000). Specifically, added sugars include white sugar, brown sugar, raw sugar, corn syrup, corn-syrup solids, high-fructose corn syrup, malt syrup, maple syrup, pancake syrup, fructose sweetener, liquid fructose, honey, molasses, anhydrous dextrose, and crystal dextrose. Added sugars do not include naturally occurring sugars such as lactose in milk or fructose in fruits.</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2.5.3</w:t>
      </w:r>
      <w:r>
        <w:rPr>
          <w:rFonts w:ascii="Times New Roman" w:hAnsi="Times New Roman" w:eastAsia="Times New Roman"/>
        </w:rPr>
        <w:tab/>
      </w:r>
      <w:r>
        <w:rPr>
          <w:rFonts w:ascii="Times New Roman" w:hAnsi="Times New Roman" w:eastAsia="Times New Roman"/>
          <w:b/>
          <w:sz w:val="23"/>
        </w:rPr>
        <w:t>Sugar-sweetened beverage</w:t>
      </w:r>
    </w:p>
    <w:p>
      <w:pPr>
        <w:spacing w:line="28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Sugar-sweetened beverages (SSBs) include all sodas, fruit drinks, sport drinks, energy drinks, low-calorie drinks and other beverages that contain added caloric sweeteners, such as sweetened tea, rice drinks, bean beverages, sugar cane beverages, and non-alcoholic wines/malt beverages.</w:t>
      </w:r>
    </w:p>
    <w:p>
      <w:pPr>
        <w:spacing w:line="200" w:lineRule="exact"/>
        <w:rPr>
          <w:rFonts w:ascii="Times New Roman" w:hAnsi="Times New Roman" w:eastAsia="Times New Roman"/>
        </w:rPr>
      </w:pPr>
    </w:p>
    <w:p>
      <w:pPr>
        <w:spacing w:line="374"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 xml:space="preserve">Over nearly the past 30 years, U.S. children and adolescents have dramatically increased their consumption of sugar-sweetened beverages (SSBs), which have become the main source of added sugar for many adults and youth,( Brownwell </w:t>
      </w:r>
      <w:r>
        <w:rPr>
          <w:rFonts w:ascii="Times New Roman" w:hAnsi="Times New Roman" w:eastAsia="Times New Roman"/>
          <w:i/>
          <w:sz w:val="24"/>
        </w:rPr>
        <w:t>et al.,</w:t>
      </w:r>
      <w:r>
        <w:rPr>
          <w:rFonts w:ascii="Times New Roman" w:hAnsi="Times New Roman" w:eastAsia="Times New Roman"/>
          <w:sz w:val="24"/>
        </w:rPr>
        <w:t xml:space="preserve"> 2009; Brownwell and Frieden, 2009; Craig, 2010; Johnson </w:t>
      </w:r>
      <w:r>
        <w:rPr>
          <w:rFonts w:ascii="Times New Roman" w:hAnsi="Times New Roman" w:eastAsia="Times New Roman"/>
          <w:i/>
          <w:sz w:val="24"/>
        </w:rPr>
        <w:t>et al.,</w:t>
      </w:r>
      <w:r>
        <w:rPr>
          <w:rFonts w:ascii="Times New Roman" w:hAnsi="Times New Roman" w:eastAsia="Times New Roman"/>
          <w:sz w:val="24"/>
        </w:rPr>
        <w:t xml:space="preserve"> 2009) with energy drinks, soft drinks, and fruit juices receiving the most attention.</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65" w:lineRule="auto"/>
        <w:ind w:left="580" w:right="560"/>
        <w:jc w:val="both"/>
        <w:rPr>
          <w:rFonts w:ascii="Times New Roman" w:hAnsi="Times New Roman" w:eastAsia="Times New Roman"/>
          <w:sz w:val="24"/>
        </w:rPr>
      </w:pPr>
      <w:r>
        <w:rPr>
          <w:rFonts w:ascii="Times New Roman" w:hAnsi="Times New Roman" w:eastAsia="Times New Roman"/>
          <w:sz w:val="24"/>
        </w:rPr>
        <w:t xml:space="preserve">The Australian National Nutrition Survey (NNS) revealed a substantial increase in the consumption of SSB over the past four decades, rising from 47 liters per person in 1969 to 119.9 liters per person in 1999 (Gill </w:t>
      </w:r>
      <w:r>
        <w:rPr>
          <w:rFonts w:ascii="Times New Roman" w:hAnsi="Times New Roman" w:eastAsia="Times New Roman"/>
          <w:i/>
          <w:sz w:val="24"/>
        </w:rPr>
        <w:t>et al.,</w:t>
      </w:r>
      <w:r>
        <w:rPr>
          <w:rFonts w:ascii="Times New Roman" w:hAnsi="Times New Roman" w:eastAsia="Times New Roman"/>
          <w:sz w:val="24"/>
        </w:rPr>
        <w:t xml:space="preserve"> 2006; Levy and Tapsell, 2007). This change represents the largest increase of added sugar in diet and subsequently contributes to</w:t>
      </w:r>
    </w:p>
    <w:p>
      <w:pPr>
        <w:spacing w:line="198" w:lineRule="auto"/>
        <w:ind w:right="-19"/>
        <w:jc w:val="center"/>
        <w:rPr>
          <w:sz w:val="22"/>
        </w:rPr>
      </w:pPr>
      <w:r>
        <w:rPr>
          <w:sz w:val="22"/>
        </w:rPr>
        <w:t>47</w:t>
      </w:r>
    </w:p>
    <w:p>
      <w:pPr>
        <w:spacing w:line="198" w:lineRule="auto"/>
        <w:ind w:right="-19"/>
        <w:jc w:val="center"/>
        <w:rPr>
          <w:sz w:val="22"/>
        </w:rPr>
        <w:sectPr>
          <w:pgSz w:w="12240" w:h="15840"/>
          <w:pgMar w:top="1435" w:right="880" w:bottom="429" w:left="1440" w:header="0" w:footer="0" w:gutter="0"/>
          <w:cols w:equalWidth="0" w:num="1">
            <w:col w:w="9920"/>
          </w:cols>
          <w:docGrid w:linePitch="360" w:charSpace="0"/>
        </w:sectPr>
      </w:pPr>
    </w:p>
    <w:p>
      <w:pPr>
        <w:spacing w:line="3" w:lineRule="exact"/>
        <w:rPr>
          <w:rFonts w:ascii="Times New Roman" w:hAnsi="Times New Roman" w:eastAsia="Times New Roman"/>
        </w:rPr>
      </w:pPr>
      <w:bookmarkStart w:id="39" w:name="page48"/>
      <w:bookmarkEnd w:id="39"/>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excessive energy intake. In Australia, sucrose is the main sweetener added to beverages including SSB, and is also the largest contributor to their energy contents (Crowe </w:t>
      </w:r>
      <w:r>
        <w:rPr>
          <w:rFonts w:ascii="Times New Roman" w:hAnsi="Times New Roman" w:eastAsia="Times New Roman"/>
          <w:i/>
          <w:sz w:val="24"/>
        </w:rPr>
        <w:t>et al.,</w:t>
      </w:r>
      <w:r>
        <w:rPr>
          <w:rFonts w:ascii="Times New Roman" w:hAnsi="Times New Roman" w:eastAsia="Times New Roman"/>
          <w:sz w:val="24"/>
        </w:rPr>
        <w:t xml:space="preserve"> 2004), whereas high fructose corn syrup is the main sources of sweetener I such beverages in the U.S (Hawkes, 2010). One standard serve (375mL) of a typical SSB contains 42g of sugar (630KJ) (Ludwig </w:t>
      </w:r>
      <w:r>
        <w:rPr>
          <w:rFonts w:ascii="Times New Roman" w:hAnsi="Times New Roman" w:eastAsia="Times New Roman"/>
          <w:i/>
          <w:sz w:val="24"/>
        </w:rPr>
        <w:t>et al.,</w:t>
      </w:r>
      <w:r>
        <w:rPr>
          <w:rFonts w:ascii="Times New Roman" w:hAnsi="Times New Roman" w:eastAsia="Times New Roman"/>
          <w:sz w:val="24"/>
        </w:rPr>
        <w:t xml:space="preserve"> 2004). Subsequently, regular SSB consumers drinking one serve of SSB daily will have energy intake up to 10% greater than non SSB consumers (Krachler </w:t>
      </w:r>
      <w:r>
        <w:rPr>
          <w:rFonts w:ascii="Times New Roman" w:hAnsi="Times New Roman" w:eastAsia="Times New Roman"/>
          <w:i/>
          <w:sz w:val="24"/>
        </w:rPr>
        <w:t>et al.,</w:t>
      </w:r>
      <w:r>
        <w:rPr>
          <w:rFonts w:ascii="Times New Roman" w:hAnsi="Times New Roman" w:eastAsia="Times New Roman"/>
          <w:sz w:val="24"/>
        </w:rPr>
        <w:t xml:space="preserve"> 2006; Ludwig </w:t>
      </w:r>
      <w:r>
        <w:rPr>
          <w:rFonts w:ascii="Times New Roman" w:hAnsi="Times New Roman" w:eastAsia="Times New Roman"/>
          <w:i/>
          <w:sz w:val="24"/>
        </w:rPr>
        <w:t>et al.,</w:t>
      </w:r>
      <w:r>
        <w:rPr>
          <w:rFonts w:ascii="Times New Roman" w:hAnsi="Times New Roman" w:eastAsia="Times New Roman"/>
          <w:sz w:val="24"/>
        </w:rPr>
        <w:t xml:space="preserve"> 2001; Striegel-Moore </w:t>
      </w:r>
      <w:r>
        <w:rPr>
          <w:rFonts w:ascii="Times New Roman" w:hAnsi="Times New Roman" w:eastAsia="Times New Roman"/>
          <w:i/>
          <w:sz w:val="24"/>
        </w:rPr>
        <w:t>et al.,</w:t>
      </w:r>
      <w:r>
        <w:rPr>
          <w:rFonts w:ascii="Times New Roman" w:hAnsi="Times New Roman" w:eastAsia="Times New Roman"/>
          <w:sz w:val="24"/>
        </w:rPr>
        <w:t xml:space="preserve"> 2006).</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56" w:lineRule="auto"/>
        <w:ind w:left="580"/>
        <w:jc w:val="both"/>
        <w:rPr>
          <w:rFonts w:ascii="Times New Roman" w:hAnsi="Times New Roman" w:eastAsia="Times New Roman"/>
          <w:sz w:val="24"/>
        </w:rPr>
      </w:pPr>
      <w:r>
        <w:rPr>
          <w:rFonts w:ascii="Times New Roman" w:hAnsi="Times New Roman" w:eastAsia="Times New Roman"/>
          <w:sz w:val="24"/>
        </w:rPr>
        <w:t xml:space="preserve">A similar uptrend in SSB consumption has been observed in the U.S, where more than 75% of SSB sold are caffeinated (Jacobson, 2005). By 2000, production of SSB per annum in the U.S had increased to nearly 225 Litre per person (representing 33% of added sugar in the American diet) (Murray </w:t>
      </w:r>
      <w:r>
        <w:rPr>
          <w:rFonts w:ascii="Times New Roman" w:hAnsi="Times New Roman" w:eastAsia="Times New Roman"/>
          <w:i/>
          <w:sz w:val="24"/>
        </w:rPr>
        <w:t>et al.,</w:t>
      </w:r>
      <w:r>
        <w:rPr>
          <w:rFonts w:ascii="Times New Roman" w:hAnsi="Times New Roman" w:eastAsia="Times New Roman"/>
          <w:sz w:val="24"/>
        </w:rPr>
        <w:t xml:space="preserve"> 2005), compared with only 34 litre per person per annum in the mid 20</w:t>
      </w:r>
      <w:r>
        <w:rPr>
          <w:rFonts w:ascii="Times New Roman" w:hAnsi="Times New Roman" w:eastAsia="Times New Roman"/>
          <w:sz w:val="31"/>
          <w:vertAlign w:val="superscript"/>
        </w:rPr>
        <w:t>th</w:t>
      </w:r>
      <w:r>
        <w:rPr>
          <w:rFonts w:ascii="Times New Roman" w:hAnsi="Times New Roman" w:eastAsia="Times New Roman"/>
          <w:sz w:val="24"/>
        </w:rPr>
        <w:t xml:space="preserve"> century (Jocobson, 2005). Mean annunal consumption of SSB is estimated to be 1.2 drinks per adult per day and as many as two drinks per child per day, adding 800kJ or 1,470kJ to the diet respectively (Nestle, 2005).</w:t>
      </w:r>
    </w:p>
    <w:p>
      <w:pPr>
        <w:spacing w:line="200" w:lineRule="exact"/>
        <w:rPr>
          <w:rFonts w:ascii="Times New Roman" w:hAnsi="Times New Roman" w:eastAsia="Times New Roman"/>
        </w:rPr>
      </w:pPr>
    </w:p>
    <w:p>
      <w:pPr>
        <w:spacing w:line="38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2.5.4</w:t>
      </w:r>
      <w:r>
        <w:rPr>
          <w:rFonts w:ascii="Times New Roman" w:hAnsi="Times New Roman" w:eastAsia="Times New Roman"/>
        </w:rPr>
        <w:tab/>
      </w:r>
      <w:r>
        <w:rPr>
          <w:rFonts w:ascii="Times New Roman" w:hAnsi="Times New Roman" w:eastAsia="Times New Roman"/>
          <w:b/>
          <w:sz w:val="23"/>
        </w:rPr>
        <w:t>Sugar-sweetened beverages and health risks</w:t>
      </w:r>
    </w:p>
    <w:p>
      <w:pPr>
        <w:spacing w:line="284" w:lineRule="exact"/>
        <w:rPr>
          <w:rFonts w:ascii="Times New Roman" w:hAnsi="Times New Roman" w:eastAsia="Times New Roman"/>
        </w:rPr>
      </w:pPr>
    </w:p>
    <w:p>
      <w:pPr>
        <w:spacing w:line="471" w:lineRule="auto"/>
        <w:ind w:left="580"/>
        <w:jc w:val="both"/>
        <w:rPr>
          <w:rFonts w:ascii="Times New Roman" w:hAnsi="Times New Roman" w:eastAsia="Times New Roman"/>
          <w:i/>
          <w:sz w:val="24"/>
        </w:rPr>
      </w:pPr>
      <w:r>
        <w:rPr>
          <w:rFonts w:ascii="Times New Roman" w:hAnsi="Times New Roman" w:eastAsia="Times New Roman"/>
          <w:sz w:val="24"/>
        </w:rPr>
        <w:t xml:space="preserve">SSB are classified as a high glycemic index food, a group of food characterized by high sugar, white flour or artificial sweetener contents (Brand-Miller </w:t>
      </w:r>
      <w:r>
        <w:rPr>
          <w:rFonts w:ascii="Times New Roman" w:hAnsi="Times New Roman" w:eastAsia="Times New Roman"/>
          <w:i/>
          <w:sz w:val="24"/>
        </w:rPr>
        <w:t>et al.,</w:t>
      </w:r>
      <w:r>
        <w:rPr>
          <w:rFonts w:ascii="Times New Roman" w:hAnsi="Times New Roman" w:eastAsia="Times New Roman"/>
          <w:sz w:val="24"/>
        </w:rPr>
        <w:t xml:space="preserve"> 2002). High Glycemic index foods rapidly increase blood sugar, heart rate and blood pressure, and induce fatigue and lethargy after consumption (Brand-Miller </w:t>
      </w:r>
      <w:r>
        <w:rPr>
          <w:rFonts w:ascii="Times New Roman" w:hAnsi="Times New Roman" w:eastAsia="Times New Roman"/>
          <w:i/>
          <w:sz w:val="24"/>
        </w:rPr>
        <w:t>et al.,</w:t>
      </w:r>
      <w:r>
        <w:rPr>
          <w:rFonts w:ascii="Times New Roman" w:hAnsi="Times New Roman" w:eastAsia="Times New Roman"/>
          <w:sz w:val="24"/>
        </w:rPr>
        <w:t xml:space="preserve"> 2002). Those who consume SSB are more likely to gain weight than non consumers (Krachler </w:t>
      </w:r>
      <w:r>
        <w:rPr>
          <w:rFonts w:ascii="Times New Roman" w:hAnsi="Times New Roman" w:eastAsia="Times New Roman"/>
          <w:i/>
          <w:sz w:val="24"/>
        </w:rPr>
        <w:t>et al.,</w:t>
      </w:r>
      <w:r>
        <w:rPr>
          <w:rFonts w:ascii="Times New Roman" w:hAnsi="Times New Roman" w:eastAsia="Times New Roman"/>
          <w:sz w:val="24"/>
        </w:rPr>
        <w:t xml:space="preserve"> 2006; Ludwig </w:t>
      </w:r>
      <w:r>
        <w:rPr>
          <w:rFonts w:ascii="Times New Roman" w:hAnsi="Times New Roman" w:eastAsia="Times New Roman"/>
          <w:i/>
          <w:sz w:val="24"/>
        </w:rPr>
        <w:t>et al.,</w:t>
      </w:r>
      <w:r>
        <w:rPr>
          <w:rFonts w:ascii="Times New Roman" w:hAnsi="Times New Roman" w:eastAsia="Times New Roman"/>
          <w:sz w:val="24"/>
        </w:rPr>
        <w:t xml:space="preserve"> 2001; Malik </w:t>
      </w:r>
      <w:r>
        <w:rPr>
          <w:rFonts w:ascii="Times New Roman" w:hAnsi="Times New Roman" w:eastAsia="Times New Roman"/>
          <w:i/>
          <w:sz w:val="24"/>
        </w:rPr>
        <w:t>et al.,</w:t>
      </w:r>
      <w:r>
        <w:rPr>
          <w:rFonts w:ascii="Times New Roman" w:hAnsi="Times New Roman" w:eastAsia="Times New Roman"/>
          <w:sz w:val="24"/>
        </w:rPr>
        <w:t xml:space="preserve"> 2006; Striegel-Moore </w:t>
      </w:r>
      <w:r>
        <w:rPr>
          <w:rFonts w:ascii="Times New Roman" w:hAnsi="Times New Roman" w:eastAsia="Times New Roman"/>
          <w:i/>
          <w:sz w:val="24"/>
        </w:rPr>
        <w:t>et al.,</w:t>
      </w:r>
      <w:r>
        <w:rPr>
          <w:rFonts w:ascii="Times New Roman" w:hAnsi="Times New Roman" w:eastAsia="Times New Roman"/>
          <w:sz w:val="24"/>
        </w:rPr>
        <w:t xml:space="preserve"> 2006). SSB has been shown to be a factor in the development of over weight (Berkey </w:t>
      </w:r>
      <w:r>
        <w:rPr>
          <w:rFonts w:ascii="Times New Roman" w:hAnsi="Times New Roman" w:eastAsia="Times New Roman"/>
          <w:i/>
          <w:sz w:val="24"/>
        </w:rPr>
        <w:t>et al.,</w:t>
      </w:r>
      <w:r>
        <w:rPr>
          <w:rFonts w:ascii="Times New Roman" w:hAnsi="Times New Roman" w:eastAsia="Times New Roman"/>
          <w:sz w:val="24"/>
        </w:rPr>
        <w:t xml:space="preserve"> 2004: Vartanian </w:t>
      </w:r>
      <w:r>
        <w:rPr>
          <w:rFonts w:ascii="Times New Roman" w:hAnsi="Times New Roman" w:eastAsia="Times New Roman"/>
          <w:i/>
          <w:sz w:val="24"/>
        </w:rPr>
        <w:t>et al.,</w:t>
      </w:r>
    </w:p>
    <w:p>
      <w:pPr>
        <w:spacing w:line="202" w:lineRule="auto"/>
        <w:ind w:left="4860"/>
        <w:rPr>
          <w:sz w:val="22"/>
        </w:rPr>
      </w:pPr>
      <w:r>
        <w:rPr>
          <w:sz w:val="22"/>
        </w:rPr>
        <w:t>48</w:t>
      </w:r>
    </w:p>
    <w:p>
      <w:pPr>
        <w:spacing w:line="202"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0" w:name="page49"/>
      <w:bookmarkEnd w:id="40"/>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2007), dental caries (Rangan </w:t>
      </w:r>
      <w:r>
        <w:rPr>
          <w:rFonts w:ascii="Times New Roman" w:hAnsi="Times New Roman" w:eastAsia="Times New Roman"/>
          <w:i/>
          <w:sz w:val="24"/>
        </w:rPr>
        <w:t>et al.,</w:t>
      </w:r>
      <w:r>
        <w:rPr>
          <w:rFonts w:ascii="Times New Roman" w:hAnsi="Times New Roman" w:eastAsia="Times New Roman"/>
          <w:sz w:val="24"/>
        </w:rPr>
        <w:t xml:space="preserve"> 2008) and obesity (Ebbeling </w:t>
      </w:r>
      <w:r>
        <w:rPr>
          <w:rFonts w:ascii="Times New Roman" w:hAnsi="Times New Roman" w:eastAsia="Times New Roman"/>
          <w:i/>
          <w:sz w:val="24"/>
        </w:rPr>
        <w:t>et al.,</w:t>
      </w:r>
      <w:r>
        <w:rPr>
          <w:rFonts w:ascii="Times New Roman" w:hAnsi="Times New Roman" w:eastAsia="Times New Roman"/>
          <w:sz w:val="24"/>
        </w:rPr>
        <w:t xml:space="preserve"> 2006; Vartanian </w:t>
      </w:r>
      <w:r>
        <w:rPr>
          <w:rFonts w:ascii="Times New Roman" w:hAnsi="Times New Roman" w:eastAsia="Times New Roman"/>
          <w:i/>
          <w:sz w:val="24"/>
        </w:rPr>
        <w:t>et</w:t>
      </w:r>
      <w:r>
        <w:rPr>
          <w:rFonts w:ascii="Times New Roman" w:hAnsi="Times New Roman" w:eastAsia="Times New Roman"/>
          <w:sz w:val="24"/>
        </w:rPr>
        <w:t xml:space="preserve"> </w:t>
      </w:r>
      <w:r>
        <w:rPr>
          <w:rFonts w:ascii="Times New Roman" w:hAnsi="Times New Roman" w:eastAsia="Times New Roman"/>
          <w:i/>
          <w:sz w:val="24"/>
        </w:rPr>
        <w:t xml:space="preserve">al., </w:t>
      </w:r>
      <w:r>
        <w:rPr>
          <w:rFonts w:ascii="Times New Roman" w:hAnsi="Times New Roman" w:eastAsia="Times New Roman"/>
          <w:sz w:val="24"/>
        </w:rPr>
        <w:t>2007) in children and adolescents. By affecting energy balance and thus body weight,</w:t>
      </w:r>
      <w:r>
        <w:rPr>
          <w:rFonts w:ascii="Times New Roman" w:hAnsi="Times New Roman" w:eastAsia="Times New Roman"/>
          <w:i/>
          <w:sz w:val="24"/>
        </w:rPr>
        <w:t xml:space="preserve"> </w:t>
      </w:r>
      <w:r>
        <w:rPr>
          <w:rFonts w:ascii="Times New Roman" w:hAnsi="Times New Roman" w:eastAsia="Times New Roman"/>
          <w:sz w:val="24"/>
        </w:rPr>
        <w:t xml:space="preserve">SSB consumption increases risk of obesity related diseases such as type 2 diabetes (Schulze </w:t>
      </w:r>
      <w:r>
        <w:rPr>
          <w:rFonts w:ascii="Times New Roman" w:hAnsi="Times New Roman" w:eastAsia="Times New Roman"/>
          <w:i/>
          <w:sz w:val="24"/>
        </w:rPr>
        <w:t>et al.,</w:t>
      </w:r>
      <w:r>
        <w:rPr>
          <w:rFonts w:ascii="Times New Roman" w:hAnsi="Times New Roman" w:eastAsia="Times New Roman"/>
          <w:sz w:val="24"/>
        </w:rPr>
        <w:t xml:space="preserve"> 2004), bone fractures, tooth decay (Shenkin </w:t>
      </w:r>
      <w:r>
        <w:rPr>
          <w:rFonts w:ascii="Times New Roman" w:hAnsi="Times New Roman" w:eastAsia="Times New Roman"/>
          <w:i/>
          <w:sz w:val="24"/>
        </w:rPr>
        <w:t>et al.,</w:t>
      </w:r>
      <w:r>
        <w:rPr>
          <w:rFonts w:ascii="Times New Roman" w:hAnsi="Times New Roman" w:eastAsia="Times New Roman"/>
          <w:sz w:val="24"/>
        </w:rPr>
        <w:t xml:space="preserve"> 2003), pancreatic cancer (Schernhammer </w:t>
      </w:r>
      <w:r>
        <w:rPr>
          <w:rFonts w:ascii="Times New Roman" w:hAnsi="Times New Roman" w:eastAsia="Times New Roman"/>
          <w:i/>
          <w:sz w:val="24"/>
        </w:rPr>
        <w:t>et al.,</w:t>
      </w:r>
      <w:r>
        <w:rPr>
          <w:rFonts w:ascii="Times New Roman" w:hAnsi="Times New Roman" w:eastAsia="Times New Roman"/>
          <w:sz w:val="24"/>
        </w:rPr>
        <w:t xml:space="preserve"> 2005), gastro esophageal reflux (Jensdoltir </w:t>
      </w:r>
      <w:r>
        <w:rPr>
          <w:rFonts w:ascii="Times New Roman" w:hAnsi="Times New Roman" w:eastAsia="Times New Roman"/>
          <w:i/>
          <w:sz w:val="24"/>
        </w:rPr>
        <w:t>et al.,</w:t>
      </w:r>
      <w:r>
        <w:rPr>
          <w:rFonts w:ascii="Times New Roman" w:hAnsi="Times New Roman" w:eastAsia="Times New Roman"/>
          <w:sz w:val="24"/>
        </w:rPr>
        <w:t xml:space="preserve"> 2004), cardiovascular diseases (Astrup </w:t>
      </w:r>
      <w:r>
        <w:rPr>
          <w:rFonts w:ascii="Times New Roman" w:hAnsi="Times New Roman" w:eastAsia="Times New Roman"/>
          <w:i/>
          <w:sz w:val="24"/>
        </w:rPr>
        <w:t>et al.,</w:t>
      </w:r>
      <w:r>
        <w:rPr>
          <w:rFonts w:ascii="Times New Roman" w:hAnsi="Times New Roman" w:eastAsia="Times New Roman"/>
          <w:sz w:val="24"/>
        </w:rPr>
        <w:t xml:space="preserve"> 2008), Metabolic syndrome (Dhingra </w:t>
      </w:r>
      <w:r>
        <w:rPr>
          <w:rFonts w:ascii="Times New Roman" w:hAnsi="Times New Roman" w:eastAsia="Times New Roman"/>
          <w:i/>
          <w:sz w:val="24"/>
        </w:rPr>
        <w:t>et al.,</w:t>
      </w:r>
      <w:r>
        <w:rPr>
          <w:rFonts w:ascii="Times New Roman" w:hAnsi="Times New Roman" w:eastAsia="Times New Roman"/>
          <w:sz w:val="24"/>
        </w:rPr>
        <w:t xml:space="preserve"> 2007) and hypocalcaemia (Vartanian </w:t>
      </w:r>
      <w:r>
        <w:rPr>
          <w:rFonts w:ascii="Times New Roman" w:hAnsi="Times New Roman" w:eastAsia="Times New Roman"/>
          <w:i/>
          <w:sz w:val="24"/>
        </w:rPr>
        <w:t>et al.,</w:t>
      </w:r>
      <w:r>
        <w:rPr>
          <w:rFonts w:ascii="Times New Roman" w:hAnsi="Times New Roman" w:eastAsia="Times New Roman"/>
          <w:sz w:val="24"/>
        </w:rPr>
        <w:t xml:space="preserve"> 2007). The consumption of added sugar, soft drinks, energy drinks and sweetened fruit soups or stewed fruit was positively associated with the risk of pancreatic cancer (Larsson </w:t>
      </w:r>
      <w:r>
        <w:rPr>
          <w:rFonts w:ascii="Times New Roman" w:hAnsi="Times New Roman" w:eastAsia="Times New Roman"/>
          <w:i/>
          <w:sz w:val="24"/>
        </w:rPr>
        <w:t>et al.,</w:t>
      </w:r>
      <w:r>
        <w:rPr>
          <w:rFonts w:ascii="Times New Roman" w:hAnsi="Times New Roman" w:eastAsia="Times New Roman"/>
          <w:sz w:val="24"/>
        </w:rPr>
        <w:t xml:space="preserve"> 2006; Genkinger </w:t>
      </w:r>
      <w:r>
        <w:rPr>
          <w:rFonts w:ascii="Times New Roman" w:hAnsi="Times New Roman" w:eastAsia="Times New Roman"/>
          <w:i/>
          <w:sz w:val="24"/>
        </w:rPr>
        <w:t>et al.,</w:t>
      </w:r>
      <w:r>
        <w:rPr>
          <w:rFonts w:ascii="Times New Roman" w:hAnsi="Times New Roman" w:eastAsia="Times New Roman"/>
          <w:sz w:val="24"/>
        </w:rPr>
        <w:t xml:space="preserve"> 2012) and also associated with increased risk of symptomatic prostate cancer (Drake </w:t>
      </w:r>
      <w:r>
        <w:rPr>
          <w:rFonts w:ascii="Times New Roman" w:hAnsi="Times New Roman" w:eastAsia="Times New Roman"/>
          <w:i/>
          <w:sz w:val="24"/>
        </w:rPr>
        <w:t>et al.,</w:t>
      </w:r>
      <w:r>
        <w:rPr>
          <w:rFonts w:ascii="Times New Roman" w:hAnsi="Times New Roman" w:eastAsia="Times New Roman"/>
          <w:sz w:val="24"/>
        </w:rPr>
        <w:t xml:space="preserve"> 2012). Choi </w:t>
      </w:r>
      <w:r>
        <w:rPr>
          <w:rFonts w:ascii="Times New Roman" w:hAnsi="Times New Roman" w:eastAsia="Times New Roman"/>
          <w:i/>
          <w:sz w:val="24"/>
        </w:rPr>
        <w:t>et al.,</w:t>
      </w:r>
      <w:r>
        <w:rPr>
          <w:rFonts w:ascii="Times New Roman" w:hAnsi="Times New Roman" w:eastAsia="Times New Roman"/>
          <w:sz w:val="24"/>
        </w:rPr>
        <w:t xml:space="preserve"> (2010) revealed that the consumption of fructose-rich beverages, such as SSBs, is associated with an increased risk of gout in women. The consumption of SSBs and fructose was strongly associated with an increased risk of gout in men (Choi and Curhan, 2008). SSB consumption is associated with increased serum uric acid levels, and frequency of hyperuricemia, the precursor of gout (Choi </w:t>
      </w:r>
      <w:r>
        <w:rPr>
          <w:rFonts w:ascii="Times New Roman" w:hAnsi="Times New Roman" w:eastAsia="Times New Roman"/>
          <w:i/>
          <w:sz w:val="24"/>
        </w:rPr>
        <w:t>et al.,</w:t>
      </w:r>
      <w:r>
        <w:rPr>
          <w:rFonts w:ascii="Times New Roman" w:hAnsi="Times New Roman" w:eastAsia="Times New Roman"/>
          <w:sz w:val="24"/>
        </w:rPr>
        <w:t xml:space="preserve"> 2008).</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2.6</w:t>
      </w:r>
      <w:r>
        <w:rPr>
          <w:rFonts w:ascii="Times New Roman" w:hAnsi="Times New Roman" w:eastAsia="Times New Roman"/>
        </w:rPr>
        <w:tab/>
      </w:r>
      <w:r>
        <w:rPr>
          <w:rFonts w:ascii="Times New Roman" w:hAnsi="Times New Roman" w:eastAsia="Times New Roman"/>
          <w:b/>
          <w:sz w:val="23"/>
        </w:rPr>
        <w:t>Review Works on Beverages</w:t>
      </w:r>
    </w:p>
    <w:p>
      <w:pPr>
        <w:spacing w:line="284" w:lineRule="exact"/>
        <w:rPr>
          <w:rFonts w:ascii="Times New Roman" w:hAnsi="Times New Roman" w:eastAsia="Times New Roman"/>
        </w:rPr>
      </w:pPr>
    </w:p>
    <w:p>
      <w:pPr>
        <w:spacing w:line="471" w:lineRule="auto"/>
        <w:ind w:left="580"/>
        <w:jc w:val="both"/>
        <w:rPr>
          <w:rFonts w:ascii="Times New Roman" w:hAnsi="Times New Roman" w:eastAsia="Times New Roman"/>
          <w:sz w:val="24"/>
        </w:rPr>
      </w:pPr>
      <w:r>
        <w:rPr>
          <w:rFonts w:ascii="Times New Roman" w:hAnsi="Times New Roman" w:eastAsia="Times New Roman"/>
          <w:sz w:val="24"/>
        </w:rPr>
        <w:t>Heavy metal concentration of 20 samples of different artificial fruits juices in Iraqi markets were reported by Al-Mayaly, (2013). The results indicated that all the studied samples (100%) exceeded the local and international permissible values of Cadmium and copper, while 60% of them exceeded the acceptable values of Nickel. Also, it was found that 15% of the studied samples were with high concentrations of lead which exceeded the Iraqi standard and about 35% of them exceeded the limits values of WHO. Zinc concentrations were still with the acceptable range for all the samples.</w:t>
      </w:r>
    </w:p>
    <w:p>
      <w:pPr>
        <w:spacing w:line="202" w:lineRule="auto"/>
        <w:ind w:left="4860"/>
        <w:rPr>
          <w:sz w:val="22"/>
        </w:rPr>
      </w:pPr>
      <w:r>
        <w:rPr>
          <w:sz w:val="22"/>
        </w:rPr>
        <w:t>49</w:t>
      </w:r>
    </w:p>
    <w:p>
      <w:pPr>
        <w:spacing w:line="202"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1" w:name="page50"/>
      <w:bookmarkEnd w:id="41"/>
    </w:p>
    <w:p>
      <w:pPr>
        <w:spacing w:line="479" w:lineRule="auto"/>
        <w:ind w:left="580"/>
        <w:jc w:val="both"/>
        <w:rPr>
          <w:rFonts w:ascii="Times New Roman" w:hAnsi="Times New Roman" w:eastAsia="Times New Roman"/>
          <w:sz w:val="24"/>
        </w:rPr>
      </w:pPr>
      <w:r>
        <w:rPr>
          <w:rFonts w:ascii="Times New Roman" w:hAnsi="Times New Roman" w:eastAsia="Times New Roman"/>
          <w:sz w:val="24"/>
        </w:rPr>
        <w:t>Obuzor and Ajaezi (2010) analyzed five popular commercial brands of malt drinks (Maltina, Malta Guinness, Amstel Malt, Hi-Malt and Grand Malt) produced in Nigeria for pH, conductivity, turbidity, total dissolved solids, total soluble solids, level of bitterness, reducing sugar, vitamins A and C and minerals. Malt drinks were found to be acidic with pH range of 4.4 - 4.6. Maltina had the highest conductivity of 2.93 µS/cm and a TDS of 1480 mg. Bitterness level ranged from 11 - 13 Bu (Grand Malt) and 15 - 17 Bu (Amstel Malta). The reducing sugar content was found to be high and it ranged from 693.45 - 923.37 mg/dl. Vitamin A content of the drinks were in the range of 40.99 (Grand Malt) – 49.51 mg (Malta Guinness) and Vitamin C ranged from 5.69 (Grand Malt) - 9.97 (Maltina); these values were adequate, meeting Dietary Reference Intakes (DRIs). The content of iron, zinc, cadmium, calcium, copper, chromium, manganese, nickel and lead was negligible, while the content of calcium and sodium was low.</w:t>
      </w:r>
    </w:p>
    <w:p>
      <w:pPr>
        <w:spacing w:line="200" w:lineRule="exact"/>
        <w:rPr>
          <w:rFonts w:ascii="Times New Roman" w:hAnsi="Times New Roman" w:eastAsia="Times New Roman"/>
        </w:rPr>
      </w:pPr>
    </w:p>
    <w:p>
      <w:pPr>
        <w:spacing w:line="368"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Maduabuichi </w:t>
      </w:r>
      <w:r>
        <w:rPr>
          <w:rFonts w:ascii="Times New Roman" w:hAnsi="Times New Roman" w:eastAsia="Times New Roman"/>
          <w:i/>
          <w:sz w:val="24"/>
        </w:rPr>
        <w:t>et al.,</w:t>
      </w:r>
      <w:r>
        <w:rPr>
          <w:rFonts w:ascii="Times New Roman" w:hAnsi="Times New Roman" w:eastAsia="Times New Roman"/>
          <w:sz w:val="24"/>
        </w:rPr>
        <w:t xml:space="preserve"> (2008) analyzed iron, manganese and nickel using atomic Absorption Spectroscopy (AAS) in 50 beverages sold in Nigeria. The results showed that iron levels ranged from 0.020-2.460 mg/L for canned, and 0.020-2.090 mg/L for non-canned beverages. In 95.24% of the canned beverages, iron level exceeded the maximum contaminated limit (MCL) of 0.30 mg/L, while 75.86% of non-canned beverages had iron levels exceeding the MCL. Manganese levels ranged from 0.001-0.730 mg/L for canned beverages, and 0.001-0.209 mg/L for non-canned beverages. 42.86% of the canned beverages exceeded MCL of 0.05 mg/L while 51.72% of non-canned beverages had manganese levels exceeding the MCL. Nickel levels ranged from 0.013-0.993 mg/L for canned and 0.009-0.938 mg/L for non-canned beverages. 80.95% of the canned beverages</w:t>
      </w:r>
    </w:p>
    <w:p>
      <w:pPr>
        <w:spacing w:line="200" w:lineRule="exact"/>
        <w:rPr>
          <w:rFonts w:ascii="Times New Roman" w:hAnsi="Times New Roman" w:eastAsia="Times New Roman"/>
        </w:rPr>
      </w:pPr>
    </w:p>
    <w:p>
      <w:pPr>
        <w:spacing w:line="261" w:lineRule="exact"/>
        <w:rPr>
          <w:rFonts w:ascii="Times New Roman" w:hAnsi="Times New Roman" w:eastAsia="Times New Roman"/>
        </w:rPr>
      </w:pPr>
    </w:p>
    <w:p>
      <w:pPr>
        <w:spacing w:line="0" w:lineRule="atLeast"/>
        <w:ind w:left="4860"/>
        <w:rPr>
          <w:sz w:val="22"/>
        </w:rPr>
      </w:pPr>
      <w:r>
        <w:rPr>
          <w:sz w:val="22"/>
        </w:rPr>
        <w:t>50</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2" w:name="page51"/>
      <w:bookmarkEnd w:id="42"/>
    </w:p>
    <w:p>
      <w:pPr>
        <w:spacing w:line="469" w:lineRule="auto"/>
        <w:ind w:left="580"/>
        <w:rPr>
          <w:rFonts w:ascii="Times New Roman" w:hAnsi="Times New Roman" w:eastAsia="Times New Roman"/>
          <w:sz w:val="24"/>
        </w:rPr>
      </w:pPr>
      <w:r>
        <w:rPr>
          <w:rFonts w:ascii="Times New Roman" w:hAnsi="Times New Roman" w:eastAsia="Times New Roman"/>
          <w:sz w:val="24"/>
        </w:rPr>
        <w:t>exceeded the MCL of 0.005 mg/L while 72.41% of non-canned beverages exceeded the MCL.</w:t>
      </w:r>
    </w:p>
    <w:p>
      <w:pPr>
        <w:spacing w:line="200" w:lineRule="exact"/>
        <w:rPr>
          <w:rFonts w:ascii="Times New Roman" w:hAnsi="Times New Roman" w:eastAsia="Times New Roman"/>
        </w:rPr>
      </w:pPr>
    </w:p>
    <w:p>
      <w:pPr>
        <w:spacing w:line="378" w:lineRule="exact"/>
        <w:rPr>
          <w:rFonts w:ascii="Times New Roman" w:hAnsi="Times New Roman" w:eastAsia="Times New Roman"/>
        </w:rPr>
      </w:pPr>
    </w:p>
    <w:p>
      <w:pPr>
        <w:spacing w:line="478" w:lineRule="auto"/>
        <w:ind w:left="580"/>
        <w:rPr>
          <w:rFonts w:ascii="Times New Roman" w:hAnsi="Times New Roman" w:eastAsia="Times New Roman"/>
          <w:sz w:val="24"/>
        </w:rPr>
      </w:pPr>
      <w:r>
        <w:rPr>
          <w:rFonts w:ascii="Times New Roman" w:hAnsi="Times New Roman" w:eastAsia="Times New Roman"/>
          <w:sz w:val="24"/>
        </w:rPr>
        <w:t xml:space="preserve">Bengol </w:t>
      </w:r>
      <w:r>
        <w:rPr>
          <w:rFonts w:ascii="Times New Roman" w:hAnsi="Times New Roman" w:eastAsia="Times New Roman"/>
          <w:i/>
          <w:sz w:val="24"/>
        </w:rPr>
        <w:t>et al., (</w:t>
      </w:r>
      <w:r>
        <w:rPr>
          <w:rFonts w:ascii="Times New Roman" w:hAnsi="Times New Roman" w:eastAsia="Times New Roman"/>
          <w:sz w:val="24"/>
        </w:rPr>
        <w:t>2010) determined qualitatively the heavy metal concentration in 104 canned soft drinks collected from several regions in Turkey using ICP-OES (Inductively Coupled Plasma-Optical Emission Spectrometry) method. The mean levels (± SE) of arsenic, copper, zinc, cadmium, and lead were found to be 0.037 ± 0.002 mg/kg, 0.070 ± 0.009 mg/kg, 0.143 ± 0.012 mg/kg, 0.005 ± 0.0003 mg/kg, and 0.029 ± 0.002 mg/kg, respectively, in soft drinks. The data revealed that arsenic, copper, zinc, cadmium, and lead mean levels found in all soft drinks, collected from several regions in Turkey, were within the Turkish Food Codex (TFC) values.</w:t>
      </w:r>
    </w:p>
    <w:p>
      <w:pPr>
        <w:spacing w:line="200" w:lineRule="exact"/>
        <w:rPr>
          <w:rFonts w:ascii="Times New Roman" w:hAnsi="Times New Roman" w:eastAsia="Times New Roman"/>
        </w:rPr>
      </w:pPr>
    </w:p>
    <w:p>
      <w:pPr>
        <w:spacing w:line="281"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A rapid and simple UV spectrophotometric procedure applied for the determination of the content levels of some food additives in 29 different beverage samples commercially available in Riyadh local markets was reported by Alghamdi </w:t>
      </w:r>
      <w:r>
        <w:rPr>
          <w:rFonts w:ascii="Times New Roman" w:hAnsi="Times New Roman" w:eastAsia="Times New Roman"/>
          <w:i/>
          <w:sz w:val="24"/>
        </w:rPr>
        <w:t>et al.,</w:t>
      </w:r>
      <w:r>
        <w:rPr>
          <w:rFonts w:ascii="Times New Roman" w:hAnsi="Times New Roman" w:eastAsia="Times New Roman"/>
          <w:sz w:val="24"/>
        </w:rPr>
        <w:t xml:space="preserve"> (2005). The analytical measurements were undertaken primarily to assess the compliance of content levels of the investigated food additives and their daily intake doses with the permissible levels. The results obtained from the study indicated that the average quantity levels of aspartame, caffeine and sodium benzoate in the analyzed beverages were 246.7 ppm, 18.99 ppm and 16.14 ppm, respectively. In addition, the concentrations of these food additives were converted into the daily intake doses based on beverages consumption. It was estimated that the mean daily intakes of aspartame, caffeine and sodium benzoate by the adult population of Riyadh city through the consumption of the analyzed beverages were 92.5</w:t>
      </w:r>
    </w:p>
    <w:p>
      <w:pPr>
        <w:spacing w:line="200" w:lineRule="exact"/>
        <w:rPr>
          <w:rFonts w:ascii="Times New Roman" w:hAnsi="Times New Roman" w:eastAsia="Times New Roman"/>
        </w:rPr>
      </w:pPr>
    </w:p>
    <w:p>
      <w:pPr>
        <w:spacing w:line="342" w:lineRule="exact"/>
        <w:rPr>
          <w:rFonts w:ascii="Times New Roman" w:hAnsi="Times New Roman" w:eastAsia="Times New Roman"/>
        </w:rPr>
      </w:pPr>
    </w:p>
    <w:p>
      <w:pPr>
        <w:spacing w:line="0" w:lineRule="atLeast"/>
        <w:ind w:left="4860"/>
        <w:rPr>
          <w:sz w:val="22"/>
        </w:rPr>
      </w:pPr>
      <w:r>
        <w:rPr>
          <w:sz w:val="22"/>
        </w:rPr>
        <w:t>51</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3" w:name="page52"/>
      <w:bookmarkEnd w:id="43"/>
    </w:p>
    <w:p>
      <w:pPr>
        <w:spacing w:line="469" w:lineRule="auto"/>
        <w:ind w:left="580"/>
        <w:jc w:val="both"/>
        <w:rPr>
          <w:rFonts w:ascii="Times New Roman" w:hAnsi="Times New Roman" w:eastAsia="Times New Roman"/>
          <w:sz w:val="24"/>
        </w:rPr>
      </w:pPr>
      <w:r>
        <w:rPr>
          <w:rFonts w:ascii="Times New Roman" w:hAnsi="Times New Roman" w:eastAsia="Times New Roman"/>
          <w:sz w:val="24"/>
        </w:rPr>
        <w:t>mg, 6.3 mg and 6.46 mg, respectively. None of the analyzed beverage samples was found to violate the current legal limits practiced in the Saudi food regulations.</w:t>
      </w:r>
    </w:p>
    <w:p>
      <w:pPr>
        <w:spacing w:line="200" w:lineRule="exact"/>
        <w:rPr>
          <w:rFonts w:ascii="Times New Roman" w:hAnsi="Times New Roman" w:eastAsia="Times New Roman"/>
        </w:rPr>
      </w:pPr>
    </w:p>
    <w:p>
      <w:pPr>
        <w:spacing w:line="378" w:lineRule="exact"/>
        <w:rPr>
          <w:rFonts w:ascii="Times New Roman" w:hAnsi="Times New Roman" w:eastAsia="Times New Roman"/>
        </w:rPr>
      </w:pPr>
    </w:p>
    <w:p>
      <w:pPr>
        <w:spacing w:line="459" w:lineRule="auto"/>
        <w:ind w:left="580"/>
        <w:jc w:val="both"/>
        <w:rPr>
          <w:rFonts w:ascii="Times New Roman" w:hAnsi="Times New Roman" w:eastAsia="Times New Roman"/>
          <w:sz w:val="24"/>
        </w:rPr>
      </w:pPr>
      <w:r>
        <w:rPr>
          <w:rFonts w:ascii="Times New Roman" w:hAnsi="Times New Roman" w:eastAsia="Times New Roman"/>
          <w:sz w:val="24"/>
        </w:rPr>
        <w:t xml:space="preserve">Mohammed </w:t>
      </w:r>
      <w:r>
        <w:rPr>
          <w:rFonts w:ascii="Times New Roman" w:hAnsi="Times New Roman" w:eastAsia="Times New Roman"/>
          <w:i/>
          <w:sz w:val="24"/>
        </w:rPr>
        <w:t>et al.,</w:t>
      </w:r>
      <w:r>
        <w:rPr>
          <w:rFonts w:ascii="Times New Roman" w:hAnsi="Times New Roman" w:eastAsia="Times New Roman"/>
          <w:sz w:val="24"/>
        </w:rPr>
        <w:t xml:space="preserve"> (2012) analyzed ten brands of beverages (soft and energy drinks) consumed in Basrah governorate/Iraq, for its pH, trace minerals and caffeine contents. Results showed that the pH of the beverages ranged from 2.75-3.66. Iron and Calcium were found in all beverages, Cadmium was found in (Boom Boom, Pit bull, Kalaschnikow and Barbican). Lead was found only in O</w:t>
      </w:r>
      <w:r>
        <w:rPr>
          <w:rFonts w:ascii="Times New Roman" w:hAnsi="Times New Roman" w:eastAsia="Times New Roman"/>
          <w:sz w:val="31"/>
          <w:vertAlign w:val="subscript"/>
        </w:rPr>
        <w:t>2</w:t>
      </w:r>
      <w:r>
        <w:rPr>
          <w:rFonts w:ascii="Times New Roman" w:hAnsi="Times New Roman" w:eastAsia="Times New Roman"/>
          <w:sz w:val="24"/>
        </w:rPr>
        <w:t>, Power horse, Kalaschnikow and Riviere. Manganese was found in Boom Boom, Wild Tiger, Pit bull and Riviere. Caffeine was found in all beverages except Riviere and Barbican, the highest level of caffeine was in Kalaschnikow (103.13 mg/100 ml) when compared with the other beverages.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03" w:lineRule="exact"/>
        <w:rPr>
          <w:rFonts w:ascii="Times New Roman" w:hAnsi="Times New Roman" w:eastAsia="Times New Roman"/>
        </w:rPr>
      </w:pPr>
    </w:p>
    <w:p>
      <w:pPr>
        <w:spacing w:line="0" w:lineRule="atLeast"/>
        <w:ind w:left="4860"/>
        <w:rPr>
          <w:sz w:val="22"/>
        </w:rPr>
      </w:pPr>
      <w:r>
        <w:rPr>
          <w:sz w:val="22"/>
        </w:rPr>
        <w:t>52</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0" w:lineRule="atLeast"/>
        <w:ind w:left="3760"/>
        <w:rPr>
          <w:rFonts w:ascii="Times New Roman" w:hAnsi="Times New Roman" w:eastAsia="Times New Roman"/>
          <w:b/>
          <w:sz w:val="28"/>
        </w:rPr>
      </w:pPr>
      <w:bookmarkStart w:id="44" w:name="page53"/>
      <w:bookmarkEnd w:id="44"/>
      <w:r>
        <w:rPr>
          <w:rFonts w:ascii="Times New Roman" w:hAnsi="Times New Roman" w:eastAsia="Times New Roman"/>
          <w:b/>
          <w:sz w:val="28"/>
        </w:rPr>
        <w:t>CHAPTER THREE</w:t>
      </w:r>
    </w:p>
    <w:p>
      <w:pPr>
        <w:spacing w:line="319"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3.0</w:t>
      </w:r>
      <w:r>
        <w:rPr>
          <w:rFonts w:ascii="Times New Roman" w:hAnsi="Times New Roman" w:eastAsia="Times New Roman"/>
        </w:rPr>
        <w:tab/>
      </w:r>
      <w:r>
        <w:rPr>
          <w:rFonts w:ascii="Times New Roman" w:hAnsi="Times New Roman" w:eastAsia="Times New Roman"/>
          <w:b/>
          <w:sz w:val="23"/>
        </w:rPr>
        <w:t>MATERIALS AND METHODS</w:t>
      </w:r>
    </w:p>
    <w:p>
      <w:pPr>
        <w:spacing w:line="277"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3.1</w:t>
      </w:r>
      <w:r>
        <w:rPr>
          <w:rFonts w:ascii="Times New Roman" w:hAnsi="Times New Roman" w:eastAsia="Times New Roman"/>
        </w:rPr>
        <w:tab/>
      </w:r>
      <w:r>
        <w:rPr>
          <w:rFonts w:ascii="Times New Roman" w:hAnsi="Times New Roman" w:eastAsia="Times New Roman"/>
          <w:b/>
          <w:sz w:val="23"/>
        </w:rPr>
        <w:t>Materials</w:t>
      </w:r>
    </w:p>
    <w:p>
      <w:pPr>
        <w:spacing w:line="27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3.1.1</w:t>
      </w:r>
      <w:r>
        <w:rPr>
          <w:rFonts w:ascii="Times New Roman" w:hAnsi="Times New Roman" w:eastAsia="Times New Roman"/>
        </w:rPr>
        <w:tab/>
      </w:r>
      <w:r>
        <w:rPr>
          <w:rFonts w:ascii="Times New Roman" w:hAnsi="Times New Roman" w:eastAsia="Times New Roman"/>
          <w:b/>
          <w:sz w:val="23"/>
        </w:rPr>
        <w:t>Chemicals and reagents</w:t>
      </w:r>
    </w:p>
    <w:p>
      <w:pPr>
        <w:spacing w:line="271"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Methanol (HPLC grade)</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Acetonitrile (HPLC grade)</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Buffer tablets (pH 4.00) – (Reagent grade) (pH Range 3.98 – 4.02)</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Buffer tablets (pH 7.00) – (Reagent grade) (pH Range 6.95 – 7.04)</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Caffeine (Reagent grade) – HPLC/STD/012</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Aspartame (Reagent grade) – HPLC/STD/009</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6 </w:t>
      </w:r>
      <w:r>
        <w:rPr>
          <w:rFonts w:ascii="Times New Roman" w:hAnsi="Times New Roman" w:eastAsia="Times New Roman"/>
          <w:i/>
          <w:sz w:val="24"/>
        </w:rPr>
        <w:t>M</w:t>
      </w:r>
      <w:r>
        <w:rPr>
          <w:rFonts w:ascii="Times New Roman" w:hAnsi="Times New Roman" w:eastAsia="Times New Roman"/>
          <w:sz w:val="24"/>
        </w:rPr>
        <w:t xml:space="preserve"> HCl (50 ml in 100 ml of water)</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2.5 </w:t>
      </w:r>
      <w:r>
        <w:rPr>
          <w:rFonts w:ascii="Times New Roman" w:hAnsi="Times New Roman" w:eastAsia="Times New Roman"/>
          <w:i/>
          <w:sz w:val="24"/>
        </w:rPr>
        <w:t>M</w:t>
      </w:r>
      <w:r>
        <w:rPr>
          <w:rFonts w:ascii="Times New Roman" w:hAnsi="Times New Roman" w:eastAsia="Times New Roman"/>
          <w:sz w:val="24"/>
        </w:rPr>
        <w:t xml:space="preserve"> NaOH (100 g in 1000 ml of water)</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Aqua regia</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0.050 </w:t>
      </w:r>
      <w:r>
        <w:rPr>
          <w:rFonts w:ascii="Times New Roman" w:hAnsi="Times New Roman" w:eastAsia="Times New Roman"/>
          <w:i/>
          <w:sz w:val="24"/>
        </w:rPr>
        <w:t>M</w:t>
      </w:r>
      <w:r>
        <w:rPr>
          <w:rFonts w:ascii="Times New Roman" w:hAnsi="Times New Roman" w:eastAsia="Times New Roman"/>
          <w:sz w:val="24"/>
        </w:rPr>
        <w:t xml:space="preserve"> 3, 5-dinitrosalicylic acid</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Sucrose stock solution solution</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3.1.2</w:t>
      </w:r>
      <w:r>
        <w:rPr>
          <w:rFonts w:ascii="Times New Roman" w:hAnsi="Times New Roman" w:eastAsia="Times New Roman"/>
        </w:rPr>
        <w:tab/>
      </w:r>
      <w:r>
        <w:rPr>
          <w:rFonts w:ascii="Times New Roman" w:hAnsi="Times New Roman" w:eastAsia="Times New Roman"/>
          <w:b/>
          <w:sz w:val="23"/>
        </w:rPr>
        <w:t>Preparation of stock solution</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3.1.2.1 Preparation of standard solution for AAS</w:t>
      </w:r>
    </w:p>
    <w:p>
      <w:pPr>
        <w:spacing w:line="283" w:lineRule="exact"/>
        <w:rPr>
          <w:rFonts w:ascii="Times New Roman" w:hAnsi="Times New Roman" w:eastAsia="Times New Roman"/>
        </w:rPr>
      </w:pPr>
    </w:p>
    <w:p>
      <w:pPr>
        <w:spacing w:line="457" w:lineRule="auto"/>
        <w:ind w:left="580"/>
        <w:jc w:val="both"/>
        <w:rPr>
          <w:rFonts w:ascii="Times New Roman" w:hAnsi="Times New Roman" w:eastAsia="Times New Roman"/>
          <w:sz w:val="24"/>
        </w:rPr>
      </w:pPr>
      <w:r>
        <w:rPr>
          <w:rFonts w:ascii="Times New Roman" w:hAnsi="Times New Roman" w:eastAsia="Times New Roman"/>
          <w:sz w:val="24"/>
        </w:rPr>
        <w:t>A stock solution of each of the element was prepared by dissolving an appropriate amount (1.000 g/ 1000 ml) for Cu, Zn, Pb, Mn, P, and Fe, and (2.542 g/ 1000 ml), (2.497 g/ 1000 ml), (1.907 g/ 1000 ml) for NaCl, KCl, CaCl respectively to get a concentration of 1000 ppm. Five standard solutions covering the range 0-10 µg/ml in 100 ml volumetric flasks were prepared for each of the element. This was used to prepare standard calibration curve for each element.</w:t>
      </w:r>
    </w:p>
    <w:p>
      <w:pPr>
        <w:spacing w:line="197" w:lineRule="auto"/>
        <w:ind w:left="4860"/>
        <w:rPr>
          <w:sz w:val="22"/>
        </w:rPr>
      </w:pPr>
      <w:r>
        <w:rPr>
          <w:sz w:val="22"/>
        </w:rPr>
        <w:t>53</w:t>
      </w:r>
    </w:p>
    <w:p>
      <w:pPr>
        <w:spacing w:line="197" w:lineRule="auto"/>
        <w:ind w:left="4860"/>
        <w:rPr>
          <w:sz w:val="22"/>
        </w:rPr>
        <w:sectPr>
          <w:pgSz w:w="12240" w:h="15840"/>
          <w:pgMar w:top="1437" w:right="1440" w:bottom="429" w:left="1440" w:header="0" w:footer="0" w:gutter="0"/>
          <w:cols w:equalWidth="0" w:num="1">
            <w:col w:w="9360"/>
          </w:cols>
          <w:docGrid w:linePitch="360" w:charSpace="0"/>
        </w:sectPr>
      </w:pPr>
    </w:p>
    <w:p>
      <w:pPr>
        <w:spacing w:line="0" w:lineRule="atLeast"/>
        <w:ind w:left="580"/>
        <w:rPr>
          <w:rFonts w:ascii="Times New Roman" w:hAnsi="Times New Roman" w:eastAsia="Times New Roman"/>
          <w:b/>
          <w:sz w:val="24"/>
        </w:rPr>
      </w:pPr>
      <w:bookmarkStart w:id="45" w:name="page54"/>
      <w:bookmarkEnd w:id="45"/>
      <w:r>
        <w:rPr>
          <w:rFonts w:ascii="Times New Roman" w:hAnsi="Times New Roman" w:eastAsia="Times New Roman"/>
          <w:b/>
          <w:sz w:val="24"/>
        </w:rPr>
        <w:t>3.1.2.2 Preparation of standard solution for HPLC</w:t>
      </w:r>
    </w:p>
    <w:p>
      <w:pPr>
        <w:spacing w:line="283" w:lineRule="exact"/>
        <w:rPr>
          <w:rFonts w:ascii="Times New Roman" w:hAnsi="Times New Roman" w:eastAsia="Times New Roman"/>
        </w:rPr>
      </w:pPr>
    </w:p>
    <w:p>
      <w:pPr>
        <w:spacing w:line="449" w:lineRule="auto"/>
        <w:ind w:left="580"/>
        <w:jc w:val="both"/>
        <w:rPr>
          <w:rFonts w:ascii="Times New Roman" w:hAnsi="Times New Roman" w:eastAsia="Times New Roman"/>
          <w:sz w:val="24"/>
        </w:rPr>
      </w:pPr>
      <w:r>
        <w:rPr>
          <w:rFonts w:ascii="Times New Roman" w:hAnsi="Times New Roman" w:eastAsia="Times New Roman"/>
          <w:sz w:val="24"/>
        </w:rPr>
        <w:t>Caffeine and aspartame stock solutions were prepared by dissolving 10.0 mg of caffeine and 18.0 mg of aspartame standard into a 25 ml volumetric flask each of distilled water to give a concentration of 0.4 g/dm</w:t>
      </w:r>
      <w:r>
        <w:rPr>
          <w:rFonts w:ascii="Times New Roman" w:hAnsi="Times New Roman" w:eastAsia="Times New Roman"/>
          <w:sz w:val="31"/>
          <w:vertAlign w:val="superscript"/>
        </w:rPr>
        <w:t>3</w:t>
      </w:r>
      <w:r>
        <w:rPr>
          <w:rFonts w:ascii="Times New Roman" w:hAnsi="Times New Roman" w:eastAsia="Times New Roman"/>
          <w:sz w:val="24"/>
        </w:rPr>
        <w:t xml:space="preserve"> and 0.72 g/dm</w:t>
      </w:r>
      <w:r>
        <w:rPr>
          <w:rFonts w:ascii="Times New Roman" w:hAnsi="Times New Roman" w:eastAsia="Times New Roman"/>
          <w:sz w:val="31"/>
          <w:vertAlign w:val="superscript"/>
        </w:rPr>
        <w:t>3</w:t>
      </w:r>
      <w:r>
        <w:rPr>
          <w:rFonts w:ascii="Times New Roman" w:hAnsi="Times New Roman" w:eastAsia="Times New Roman"/>
          <w:sz w:val="24"/>
        </w:rPr>
        <w:t xml:space="preserve"> of caffeine and aspartame respectively. From each individual stock standard, 4 ml was pipetted into 25 ml volumetric flask and make up to mark with distilled water. Intermediate standard (1 ml, 2 ml, 3 ml, 4 ml, 5 ml) respectively was pipetted into 10 ml volumetric flask and made up to mark with distilled water and named (1</w:t>
      </w:r>
      <w:r>
        <w:rPr>
          <w:rFonts w:ascii="Times New Roman" w:hAnsi="Times New Roman" w:eastAsia="Times New Roman"/>
          <w:sz w:val="31"/>
          <w:vertAlign w:val="superscript"/>
        </w:rPr>
        <w:t>st</w:t>
      </w:r>
      <w:r>
        <w:rPr>
          <w:rFonts w:ascii="Times New Roman" w:hAnsi="Times New Roman" w:eastAsia="Times New Roman"/>
          <w:sz w:val="24"/>
        </w:rPr>
        <w:t xml:space="preserve"> , 2</w:t>
      </w:r>
      <w:r>
        <w:rPr>
          <w:rFonts w:ascii="Times New Roman" w:hAnsi="Times New Roman" w:eastAsia="Times New Roman"/>
          <w:sz w:val="31"/>
          <w:vertAlign w:val="superscript"/>
        </w:rPr>
        <w:t>nd</w:t>
      </w:r>
      <w:r>
        <w:rPr>
          <w:rFonts w:ascii="Times New Roman" w:hAnsi="Times New Roman" w:eastAsia="Times New Roman"/>
          <w:sz w:val="24"/>
        </w:rPr>
        <w:t xml:space="preserve"> , 3</w:t>
      </w:r>
      <w:r>
        <w:rPr>
          <w:rFonts w:ascii="Times New Roman" w:hAnsi="Times New Roman" w:eastAsia="Times New Roman"/>
          <w:sz w:val="31"/>
          <w:vertAlign w:val="superscript"/>
        </w:rPr>
        <w:t>rd</w:t>
      </w:r>
      <w:r>
        <w:rPr>
          <w:rFonts w:ascii="Times New Roman" w:hAnsi="Times New Roman" w:eastAsia="Times New Roman"/>
          <w:sz w:val="24"/>
        </w:rPr>
        <w:t xml:space="preserve"> , 4</w:t>
      </w:r>
      <w:r>
        <w:rPr>
          <w:rFonts w:ascii="Times New Roman" w:hAnsi="Times New Roman" w:eastAsia="Times New Roman"/>
          <w:sz w:val="31"/>
          <w:vertAlign w:val="superscript"/>
        </w:rPr>
        <w:t>th</w:t>
      </w:r>
      <w:r>
        <w:rPr>
          <w:rFonts w:ascii="Times New Roman" w:hAnsi="Times New Roman" w:eastAsia="Times New Roman"/>
          <w:sz w:val="24"/>
        </w:rPr>
        <w:t xml:space="preserve"> , 5</w:t>
      </w:r>
      <w:r>
        <w:rPr>
          <w:rFonts w:ascii="Times New Roman" w:hAnsi="Times New Roman" w:eastAsia="Times New Roman"/>
          <w:sz w:val="31"/>
          <w:vertAlign w:val="superscript"/>
        </w:rPr>
        <w:t>th</w:t>
      </w:r>
      <w:r>
        <w:rPr>
          <w:rFonts w:ascii="Times New Roman" w:hAnsi="Times New Roman" w:eastAsia="Times New Roman"/>
          <w:sz w:val="24"/>
        </w:rPr>
        <w:t xml:space="preserve"> levels respectively). All levels were filtered with whatman filter paper into a beaker or centrifuge bottle. The filtrate were transferred into the auto sampler vials and cork and injected into HPLC in triplicate. The absorbance for the standard solutions were recorded and used to plot a standard calibration curve.</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2"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3.1.2.3 Preparation of standard solution for UV</w:t>
      </w:r>
    </w:p>
    <w:p>
      <w:pPr>
        <w:spacing w:line="283" w:lineRule="exact"/>
        <w:rPr>
          <w:rFonts w:ascii="Times New Roman" w:hAnsi="Times New Roman" w:eastAsia="Times New Roman"/>
        </w:rPr>
      </w:pPr>
    </w:p>
    <w:p>
      <w:pPr>
        <w:spacing w:line="462" w:lineRule="auto"/>
        <w:ind w:left="580"/>
        <w:jc w:val="both"/>
        <w:rPr>
          <w:rFonts w:ascii="Times New Roman" w:hAnsi="Times New Roman" w:eastAsia="Times New Roman"/>
          <w:sz w:val="24"/>
        </w:rPr>
      </w:pPr>
      <w:r>
        <w:rPr>
          <w:rFonts w:ascii="Times New Roman" w:hAnsi="Times New Roman" w:eastAsia="Times New Roman"/>
          <w:sz w:val="24"/>
        </w:rPr>
        <w:t>Sucrose stock solution was prepared by dissolving 1 g of sucrose in 100 ml volumetric flask of distilled water to give a concentration of 10 g/dm</w:t>
      </w:r>
      <w:r>
        <w:rPr>
          <w:rFonts w:ascii="Times New Roman" w:hAnsi="Times New Roman" w:eastAsia="Times New Roman"/>
          <w:sz w:val="31"/>
          <w:vertAlign w:val="superscript"/>
        </w:rPr>
        <w:t>3</w:t>
      </w:r>
      <w:r>
        <w:rPr>
          <w:rFonts w:ascii="Times New Roman" w:hAnsi="Times New Roman" w:eastAsia="Times New Roman"/>
          <w:sz w:val="24"/>
        </w:rPr>
        <w:t xml:space="preserve">. Sucrose standard solutions were prepared by suitable dilution of the stock solution. Stock solution of 20 ml was pipetted into a clean 100 ml volumetric flask. Distilled water was added to a point about 1 cm below the calibration mark. A Pasteur pipette was carefully used to add water until the bottom of the meniscus is exactly on the line. The flask was covered with Parafilm and shake well to mix. In a similar fashion, 40:100, 60:100, and 80:100 dilutions were prepared. Each sucrose standard (2 ml) was pipetted into a large test tube; also 2 ml of distilled water was pipetted into a test tube for the blank solution. Two millilitres of 6 </w:t>
      </w:r>
      <w:r>
        <w:rPr>
          <w:rFonts w:ascii="Times New Roman" w:hAnsi="Times New Roman" w:eastAsia="Times New Roman"/>
          <w:i/>
          <w:sz w:val="24"/>
        </w:rPr>
        <w:t>M</w:t>
      </w:r>
      <w:r>
        <w:rPr>
          <w:rFonts w:ascii="Times New Roman" w:hAnsi="Times New Roman" w:eastAsia="Times New Roman"/>
          <w:sz w:val="24"/>
        </w:rPr>
        <w:t xml:space="preserve"> </w:t>
      </w:r>
      <w:r>
        <w:rPr>
          <w:rFonts w:ascii="Times New Roman" w:hAnsi="Times New Roman" w:eastAsia="Times New Roman"/>
          <w:i/>
          <w:sz w:val="24"/>
        </w:rPr>
        <w:t xml:space="preserve">HCl </w:t>
      </w:r>
      <w:r>
        <w:rPr>
          <w:rFonts w:ascii="Times New Roman" w:hAnsi="Times New Roman" w:eastAsia="Times New Roman"/>
          <w:sz w:val="24"/>
        </w:rPr>
        <w:t>was pipetted into each test tube and place in a boiling water bath for 10 minutes. The</w:t>
      </w:r>
      <w:r>
        <w:rPr>
          <w:rFonts w:ascii="Times New Roman" w:hAnsi="Times New Roman" w:eastAsia="Times New Roman"/>
          <w:i/>
          <w:sz w:val="24"/>
        </w:rPr>
        <w:t xml:space="preserve"> </w:t>
      </w:r>
      <w:r>
        <w:rPr>
          <w:rFonts w:ascii="Times New Roman" w:hAnsi="Times New Roman" w:eastAsia="Times New Roman"/>
          <w:sz w:val="24"/>
        </w:rPr>
        <w:t xml:space="preserve">test tubes were removed and 8 ml of 2.5 </w:t>
      </w:r>
      <w:r>
        <w:rPr>
          <w:rFonts w:ascii="Times New Roman" w:hAnsi="Times New Roman" w:eastAsia="Times New Roman"/>
          <w:i/>
          <w:sz w:val="24"/>
        </w:rPr>
        <w:t>M NaOH</w:t>
      </w:r>
      <w:r>
        <w:rPr>
          <w:rFonts w:ascii="Times New Roman" w:hAnsi="Times New Roman" w:eastAsia="Times New Roman"/>
          <w:sz w:val="24"/>
        </w:rPr>
        <w:t xml:space="preserve"> was carefully pipetted into each, then</w:t>
      </w:r>
    </w:p>
    <w:p>
      <w:pPr>
        <w:spacing w:line="203" w:lineRule="auto"/>
        <w:ind w:left="4860"/>
        <w:rPr>
          <w:sz w:val="22"/>
        </w:rPr>
      </w:pPr>
      <w:r>
        <w:rPr>
          <w:sz w:val="22"/>
        </w:rPr>
        <w:t>54</w:t>
      </w:r>
    </w:p>
    <w:p>
      <w:pPr>
        <w:spacing w:line="203" w:lineRule="auto"/>
        <w:ind w:left="4860"/>
        <w:rPr>
          <w:sz w:val="22"/>
        </w:rPr>
        <w:sectPr>
          <w:pgSz w:w="12240" w:h="15840"/>
          <w:pgMar w:top="1435"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6" w:name="page55"/>
      <w:bookmarkEnd w:id="46"/>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2.00 ml of 0.050 </w:t>
      </w:r>
      <w:r>
        <w:rPr>
          <w:rFonts w:ascii="Times New Roman" w:hAnsi="Times New Roman" w:eastAsia="Times New Roman"/>
          <w:i/>
          <w:sz w:val="24"/>
        </w:rPr>
        <w:t>M</w:t>
      </w:r>
      <w:r>
        <w:rPr>
          <w:rFonts w:ascii="Times New Roman" w:hAnsi="Times New Roman" w:eastAsia="Times New Roman"/>
          <w:sz w:val="24"/>
        </w:rPr>
        <w:t xml:space="preserve"> 3, 5-dinitrosalicylic acid (DNSA) into each. As soon as the DNSA was added, it was shaken to mix the solution thoroughly, and the tubes were placed in a boiling water bath for 5 minutes. Each tube was made to remain in the boiling water for the same amount of time. After removal from the boiling-water bath at the proper time, the test tubes were quickly placed in an ice-water bath for 10 minutes. The blank and prepared standard solutions were poured into a clean, dry cuvette and placed in a spectrometer and the absorbance readings were taken. The absorbance for the standard solutions were recorded and used to plot a standard calibration curve.</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3.1.3</w:t>
      </w:r>
      <w:r>
        <w:rPr>
          <w:rFonts w:ascii="Times New Roman" w:hAnsi="Times New Roman" w:eastAsia="Times New Roman"/>
          <w:b/>
          <w:sz w:val="24"/>
        </w:rPr>
        <w:tab/>
      </w:r>
      <w:r>
        <w:rPr>
          <w:rFonts w:ascii="Times New Roman" w:hAnsi="Times New Roman" w:eastAsia="Times New Roman"/>
          <w:b/>
          <w:sz w:val="24"/>
        </w:rPr>
        <w:t>Apparatus and equipment</w:t>
      </w:r>
    </w:p>
    <w:p>
      <w:pPr>
        <w:spacing w:line="271"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Spectronic 20 spectrophotometer and cuvettes</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Digital pH meter (JENWAY 3505)</w:t>
      </w:r>
    </w:p>
    <w:p>
      <w:pPr>
        <w:spacing w:line="288" w:lineRule="exact"/>
        <w:rPr>
          <w:rFonts w:ascii="Times New Roman" w:hAnsi="Times New Roman" w:eastAsia="Times New Roman"/>
        </w:rPr>
      </w:pPr>
    </w:p>
    <w:p>
      <w:pPr>
        <w:spacing w:line="474" w:lineRule="auto"/>
        <w:ind w:left="580" w:right="3760"/>
        <w:jc w:val="both"/>
        <w:rPr>
          <w:rFonts w:ascii="Times New Roman" w:hAnsi="Times New Roman" w:eastAsia="Times New Roman"/>
          <w:sz w:val="24"/>
        </w:rPr>
      </w:pPr>
      <w:r>
        <w:rPr>
          <w:rFonts w:ascii="Times New Roman" w:hAnsi="Times New Roman" w:eastAsia="Times New Roman"/>
          <w:sz w:val="24"/>
        </w:rPr>
        <w:t>Digital TDS/conductivity meter (HACH) Sension 5 Digital turbidity meter (HACH DR/890 Colorimeter pH meter (Orion 320)</w:t>
      </w:r>
    </w:p>
    <w:p>
      <w:pPr>
        <w:spacing w:line="9"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Hitachi Auto Sampler HPLC L-2200</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Hitachi pump L-2130</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Hitachi UV-VIS detector L-2400</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Column Oven L-2300</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Dell monitor and laser Jet O1006 Printer</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Chromatographic analysis was carried out isocratically using the following:</w:t>
      </w:r>
    </w:p>
    <w:p>
      <w:pPr>
        <w:spacing w:line="276" w:lineRule="exact"/>
        <w:rPr>
          <w:rFonts w:ascii="Times New Roman" w:hAnsi="Times New Roman" w:eastAsia="Times New Roman"/>
        </w:rPr>
      </w:pPr>
    </w:p>
    <w:p>
      <w:pPr>
        <w:tabs>
          <w:tab w:val="left" w:pos="2000"/>
        </w:tabs>
        <w:spacing w:line="0" w:lineRule="atLeast"/>
        <w:ind w:left="580"/>
        <w:rPr>
          <w:rFonts w:ascii="Times New Roman" w:hAnsi="Times New Roman" w:eastAsia="Times New Roman"/>
          <w:sz w:val="24"/>
        </w:rPr>
      </w:pPr>
      <w:r>
        <w:rPr>
          <w:rFonts w:ascii="Times New Roman" w:hAnsi="Times New Roman" w:eastAsia="Times New Roman"/>
          <w:sz w:val="24"/>
        </w:rPr>
        <w:t>Wavelength:</w:t>
      </w:r>
      <w:r>
        <w:rPr>
          <w:rFonts w:ascii="Times New Roman" w:hAnsi="Times New Roman" w:eastAsia="Times New Roman"/>
          <w:sz w:val="24"/>
        </w:rPr>
        <w:tab/>
      </w:r>
      <w:r>
        <w:rPr>
          <w:rFonts w:ascii="Times New Roman" w:hAnsi="Times New Roman" w:eastAsia="Times New Roman"/>
          <w:sz w:val="24"/>
        </w:rPr>
        <w:t>214nm</w:t>
      </w:r>
    </w:p>
    <w:p>
      <w:pPr>
        <w:spacing w:line="276" w:lineRule="exact"/>
        <w:rPr>
          <w:rFonts w:ascii="Times New Roman" w:hAnsi="Times New Roman" w:eastAsia="Times New Roman"/>
        </w:rPr>
      </w:pPr>
    </w:p>
    <w:p>
      <w:pPr>
        <w:tabs>
          <w:tab w:val="left" w:pos="2000"/>
        </w:tabs>
        <w:spacing w:line="0" w:lineRule="atLeast"/>
        <w:ind w:left="580"/>
        <w:rPr>
          <w:rFonts w:ascii="Times New Roman" w:hAnsi="Times New Roman" w:eastAsia="Times New Roman"/>
          <w:sz w:val="24"/>
        </w:rPr>
      </w:pPr>
      <w:r>
        <w:rPr>
          <w:rFonts w:ascii="Times New Roman" w:hAnsi="Times New Roman" w:eastAsia="Times New Roman"/>
          <w:sz w:val="24"/>
        </w:rPr>
        <w:t>Column:</w:t>
      </w:r>
      <w:r>
        <w:rPr>
          <w:rFonts w:ascii="Times New Roman" w:hAnsi="Times New Roman" w:eastAsia="Times New Roman"/>
        </w:rPr>
        <w:tab/>
      </w:r>
      <w:r>
        <w:rPr>
          <w:rFonts w:ascii="Times New Roman" w:hAnsi="Times New Roman" w:eastAsia="Times New Roman"/>
          <w:sz w:val="24"/>
        </w:rPr>
        <w:t>Waters Spherisorb C18, 5µm ODS2, 4.6 x 250 mm</w:t>
      </w:r>
    </w:p>
    <w:p>
      <w:pPr>
        <w:spacing w:line="277" w:lineRule="exact"/>
        <w:rPr>
          <w:rFonts w:ascii="Times New Roman" w:hAnsi="Times New Roman" w:eastAsia="Times New Roman"/>
        </w:rPr>
      </w:pPr>
    </w:p>
    <w:p>
      <w:pPr>
        <w:tabs>
          <w:tab w:val="left" w:pos="2000"/>
        </w:tabs>
        <w:spacing w:line="0" w:lineRule="atLeast"/>
        <w:ind w:left="580"/>
        <w:rPr>
          <w:rFonts w:ascii="Times New Roman" w:hAnsi="Times New Roman" w:eastAsia="Times New Roman"/>
          <w:sz w:val="23"/>
        </w:rPr>
      </w:pPr>
      <w:r>
        <w:rPr>
          <w:rFonts w:ascii="Times New Roman" w:hAnsi="Times New Roman" w:eastAsia="Times New Roman"/>
          <w:sz w:val="24"/>
        </w:rPr>
        <w:t>Flow rate:</w:t>
      </w:r>
      <w:r>
        <w:rPr>
          <w:rFonts w:ascii="Times New Roman" w:hAnsi="Times New Roman" w:eastAsia="Times New Roman"/>
        </w:rPr>
        <w:tab/>
      </w:r>
      <w:r>
        <w:rPr>
          <w:rFonts w:ascii="Times New Roman" w:hAnsi="Times New Roman" w:eastAsia="Times New Roman"/>
          <w:sz w:val="23"/>
        </w:rPr>
        <w:t>1.0 ml/minute</w:t>
      </w:r>
    </w:p>
    <w:p>
      <w:pPr>
        <w:spacing w:line="172" w:lineRule="exact"/>
        <w:rPr>
          <w:rFonts w:ascii="Times New Roman" w:hAnsi="Times New Roman" w:eastAsia="Times New Roman"/>
        </w:rPr>
      </w:pPr>
    </w:p>
    <w:p>
      <w:pPr>
        <w:spacing w:line="0" w:lineRule="atLeast"/>
        <w:ind w:left="4860"/>
        <w:rPr>
          <w:sz w:val="22"/>
        </w:rPr>
      </w:pPr>
      <w:r>
        <w:rPr>
          <w:sz w:val="22"/>
        </w:rPr>
        <w:t>55</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0" w:lineRule="atLeast"/>
        <w:ind w:left="580"/>
        <w:rPr>
          <w:rFonts w:ascii="Times New Roman" w:hAnsi="Times New Roman" w:eastAsia="Times New Roman"/>
          <w:sz w:val="24"/>
        </w:rPr>
      </w:pPr>
      <w:bookmarkStart w:id="47" w:name="page56"/>
      <w:bookmarkEnd w:id="47"/>
      <w:r>
        <w:rPr>
          <w:rFonts w:ascii="Times New Roman" w:hAnsi="Times New Roman" w:eastAsia="Times New Roman"/>
          <w:sz w:val="24"/>
        </w:rPr>
        <w:t>Mobile phase: 125 ml methanol, 225 ml Acetonitile in 650 ml buffer</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Pyrex digestion flasks</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Sonnicator/vortex mixer</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Pasteur pipettes and bulbs</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Mohr pipettes and bulbs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3.1.4</w:t>
      </w:r>
      <w:r>
        <w:rPr>
          <w:rFonts w:ascii="Times New Roman" w:hAnsi="Times New Roman" w:eastAsia="Times New Roman"/>
        </w:rPr>
        <w:tab/>
      </w:r>
      <w:r>
        <w:rPr>
          <w:rFonts w:ascii="Times New Roman" w:hAnsi="Times New Roman" w:eastAsia="Times New Roman"/>
          <w:b/>
          <w:sz w:val="23"/>
        </w:rPr>
        <w:t>Sample collection</w:t>
      </w:r>
    </w:p>
    <w:p>
      <w:pPr>
        <w:spacing w:line="283"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Fourteen (14) brands of energy drinks samples, three (3) powdered and eleven (11) liquids were randomly purchased from the market and analyzed. The samples were refrigerated prior to analysis. The samples were labeled SO, HC, LB, EV, PH, XL, JW, WD, KM, RB, PA, EJ, AL, BU respectively.</w:t>
      </w: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3.1.5</w:t>
      </w:r>
      <w:r>
        <w:rPr>
          <w:rFonts w:ascii="Times New Roman" w:hAnsi="Times New Roman" w:eastAsia="Times New Roman"/>
        </w:rPr>
        <w:tab/>
      </w:r>
      <w:r>
        <w:rPr>
          <w:rFonts w:ascii="Times New Roman" w:hAnsi="Times New Roman" w:eastAsia="Times New Roman"/>
          <w:b/>
          <w:sz w:val="23"/>
        </w:rPr>
        <w:t>Sample preparation</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3.1.5.1 Sample preparation for AAS</w:t>
      </w:r>
    </w:p>
    <w:p>
      <w:pPr>
        <w:spacing w:line="284"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The energy drink samples were shaken before opening. Liquid samples (30 ml) and powdered samples (1.0 g) were measured into a clean 250 ml dry Pyrex digestion flask. Concentrated aqua regia (25 ml) was added. The digestion flask was heated gently until frothing subsided. The samples were then heated to dryness, dissolved in 30 ml distilled water and filtered with filter paper. The solution was made up to volume in a 100 ml flask.</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3.1.5.2 Sample preparation for HPLC</w:t>
      </w:r>
    </w:p>
    <w:p>
      <w:pPr>
        <w:spacing w:line="283"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The energy drink samples were shaken before opening. Liquid samples (2 ml) and powdered samples (2.0 g) were measured into 10 ml volumetric flask. Deionised water of</w:t>
      </w:r>
    </w:p>
    <w:p>
      <w:pPr>
        <w:spacing w:line="200" w:lineRule="exact"/>
        <w:rPr>
          <w:rFonts w:ascii="Times New Roman" w:hAnsi="Times New Roman" w:eastAsia="Times New Roman"/>
        </w:rPr>
      </w:pPr>
    </w:p>
    <w:p>
      <w:pPr>
        <w:spacing w:line="262" w:lineRule="exact"/>
        <w:rPr>
          <w:rFonts w:ascii="Times New Roman" w:hAnsi="Times New Roman" w:eastAsia="Times New Roman"/>
        </w:rPr>
      </w:pPr>
    </w:p>
    <w:p>
      <w:pPr>
        <w:spacing w:line="0" w:lineRule="atLeast"/>
        <w:ind w:left="4860"/>
        <w:rPr>
          <w:sz w:val="22"/>
        </w:rPr>
      </w:pPr>
      <w:r>
        <w:rPr>
          <w:sz w:val="22"/>
        </w:rPr>
        <w:t>56</w:t>
      </w:r>
    </w:p>
    <w:p>
      <w:pPr>
        <w:spacing w:line="0" w:lineRule="atLeast"/>
        <w:ind w:left="4860"/>
        <w:rPr>
          <w:sz w:val="22"/>
        </w:rPr>
        <w:sectPr>
          <w:pgSz w:w="12240" w:h="15840"/>
          <w:pgMar w:top="143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8" w:name="page57"/>
      <w:bookmarkEnd w:id="48"/>
    </w:p>
    <w:p>
      <w:pPr>
        <w:spacing w:line="469" w:lineRule="auto"/>
        <w:ind w:left="580"/>
        <w:jc w:val="both"/>
        <w:rPr>
          <w:rFonts w:ascii="Times New Roman" w:hAnsi="Times New Roman" w:eastAsia="Times New Roman"/>
          <w:sz w:val="24"/>
        </w:rPr>
      </w:pPr>
      <w:r>
        <w:rPr>
          <w:rFonts w:ascii="Times New Roman" w:hAnsi="Times New Roman" w:eastAsia="Times New Roman"/>
          <w:sz w:val="24"/>
        </w:rPr>
        <w:t>5 ml was added and shaken for 5 minutes using vortex mixer/sonnicator. They were made up to mark with deionised water and filtered with whatman filter paper.</w:t>
      </w:r>
    </w:p>
    <w:p>
      <w:pPr>
        <w:spacing w:line="200" w:lineRule="exact"/>
        <w:rPr>
          <w:rFonts w:ascii="Times New Roman" w:hAnsi="Times New Roman" w:eastAsia="Times New Roman"/>
        </w:rPr>
      </w:pPr>
    </w:p>
    <w:p>
      <w:pPr>
        <w:spacing w:line="371"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3.1.5.3 Sample preparation for UV</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Each of the energy drinks (2 ml) was pipetted into a clean 100 ml volumetric flask. Distilled water was added to a point about 1 cm below the calibration mark. A Pasteur pipette was carefully used to add water until the bottom of the meniscus is exactly on the line. Aliquots (2 ml) of each of the diluted energy drink samples were treated in the same manner as the standards. The determination was carried out in triplicate for each dilution.</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3.2</w:t>
      </w:r>
      <w:r>
        <w:rPr>
          <w:rFonts w:ascii="Times New Roman" w:hAnsi="Times New Roman" w:eastAsia="Times New Roman"/>
        </w:rPr>
        <w:tab/>
      </w:r>
      <w:r>
        <w:rPr>
          <w:rFonts w:ascii="Times New Roman" w:hAnsi="Times New Roman" w:eastAsia="Times New Roman"/>
          <w:b/>
          <w:sz w:val="23"/>
        </w:rPr>
        <w:t>Analysis of Physicochemical Parameters</w:t>
      </w:r>
    </w:p>
    <w:p>
      <w:pPr>
        <w:spacing w:line="27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3.2.1</w:t>
      </w:r>
      <w:r>
        <w:rPr>
          <w:rFonts w:ascii="Times New Roman" w:hAnsi="Times New Roman" w:eastAsia="Times New Roman"/>
          <w:b/>
          <w:sz w:val="24"/>
        </w:rPr>
        <w:tab/>
      </w:r>
      <w:r>
        <w:rPr>
          <w:rFonts w:ascii="Times New Roman" w:hAnsi="Times New Roman" w:eastAsia="Times New Roman"/>
          <w:b/>
          <w:sz w:val="24"/>
        </w:rPr>
        <w:t>Determination of pH</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pH was determined using a digital pH meter (JENWAY 3505). The probe was rinsed thoroughly with distilled water before use on sample</w:t>
      </w:r>
      <w:r>
        <w:rPr>
          <w:rFonts w:ascii="Arial" w:hAnsi="Arial" w:eastAsia="Arial"/>
          <w:sz w:val="18"/>
        </w:rPr>
        <w:t>.</w:t>
      </w:r>
      <w:r>
        <w:rPr>
          <w:rFonts w:ascii="Times New Roman" w:hAnsi="Times New Roman" w:eastAsia="Times New Roman"/>
          <w:sz w:val="24"/>
        </w:rPr>
        <w:t xml:space="preserve"> Each of the powdered energy drink sample (1 g) was measured into 100 ml volumetric flask. Distilled water (50 ml) was added and shaken for 5 minutes using vortex mixer/sonnicator and made up to mark. For each energy drink samples (liquid and dissolved powder), 50 ml was placed in a beaker, the probe of the pH meter was inserted and the pH values were recorded.</w:t>
      </w:r>
    </w:p>
    <w:p>
      <w:pPr>
        <w:spacing w:line="200" w:lineRule="exact"/>
        <w:rPr>
          <w:rFonts w:ascii="Times New Roman" w:hAnsi="Times New Roman" w:eastAsia="Times New Roman"/>
        </w:rPr>
      </w:pPr>
    </w:p>
    <w:p>
      <w:pPr>
        <w:spacing w:line="360"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3.2.2</w:t>
      </w:r>
      <w:r>
        <w:rPr>
          <w:rFonts w:ascii="Times New Roman" w:hAnsi="Times New Roman" w:eastAsia="Times New Roman"/>
        </w:rPr>
        <w:tab/>
      </w:r>
      <w:r>
        <w:rPr>
          <w:rFonts w:ascii="Times New Roman" w:hAnsi="Times New Roman" w:eastAsia="Times New Roman"/>
          <w:b/>
          <w:sz w:val="23"/>
        </w:rPr>
        <w:t>Determination of conductivity</w:t>
      </w:r>
    </w:p>
    <w:p>
      <w:pPr>
        <w:spacing w:line="284" w:lineRule="exact"/>
        <w:rPr>
          <w:rFonts w:ascii="Times New Roman" w:hAnsi="Times New Roman" w:eastAsia="Times New Roman"/>
        </w:rPr>
      </w:pPr>
    </w:p>
    <w:p>
      <w:pPr>
        <w:spacing w:line="465" w:lineRule="auto"/>
        <w:ind w:left="580"/>
        <w:jc w:val="both"/>
        <w:rPr>
          <w:rFonts w:ascii="Times New Roman" w:hAnsi="Times New Roman" w:eastAsia="Times New Roman"/>
          <w:sz w:val="24"/>
        </w:rPr>
      </w:pPr>
      <w:r>
        <w:rPr>
          <w:rFonts w:ascii="Times New Roman" w:hAnsi="Times New Roman" w:eastAsia="Times New Roman"/>
          <w:sz w:val="24"/>
        </w:rPr>
        <w:t>The electrical conductivity measurement was determined using a digital TDS/conductivity meter (HACH) Sension 5. The probe was rinsed thoroughly with distilled water before use on sample</w:t>
      </w:r>
      <w:r>
        <w:rPr>
          <w:rFonts w:ascii="Arial" w:hAnsi="Arial" w:eastAsia="Arial"/>
          <w:sz w:val="18"/>
        </w:rPr>
        <w:t>.</w:t>
      </w:r>
      <w:r>
        <w:rPr>
          <w:rFonts w:ascii="Times New Roman" w:hAnsi="Times New Roman" w:eastAsia="Times New Roman"/>
          <w:sz w:val="24"/>
        </w:rPr>
        <w:t xml:space="preserve"> Each of the powdered energy drink sample (1 g) was measured into 100 ml volumetric flask. Distilled water of 50 ml was added and shaken for 5 minutes using vortex</w:t>
      </w:r>
    </w:p>
    <w:p>
      <w:pPr>
        <w:spacing w:line="198" w:lineRule="auto"/>
        <w:ind w:left="4860"/>
        <w:rPr>
          <w:sz w:val="22"/>
        </w:rPr>
      </w:pPr>
      <w:r>
        <w:rPr>
          <w:sz w:val="22"/>
        </w:rPr>
        <w:t>57</w:t>
      </w:r>
    </w:p>
    <w:p>
      <w:pPr>
        <w:spacing w:line="198" w:lineRule="auto"/>
        <w:ind w:left="4860"/>
        <w:rPr>
          <w:sz w:val="22"/>
        </w:rPr>
        <w:sectPr>
          <w:pgSz w:w="12240" w:h="15840"/>
          <w:pgMar w:top="1440" w:right="1440" w:bottom="429"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49" w:name="page58"/>
      <w:bookmarkEnd w:id="49"/>
    </w:p>
    <w:p>
      <w:pPr>
        <w:spacing w:line="474" w:lineRule="auto"/>
        <w:ind w:left="580"/>
        <w:jc w:val="both"/>
        <w:rPr>
          <w:rFonts w:ascii="Times New Roman" w:hAnsi="Times New Roman" w:eastAsia="Times New Roman"/>
          <w:sz w:val="24"/>
        </w:rPr>
      </w:pPr>
      <w:r>
        <w:rPr>
          <w:rFonts w:ascii="Times New Roman" w:hAnsi="Times New Roman" w:eastAsia="Times New Roman"/>
          <w:sz w:val="24"/>
        </w:rPr>
        <w:t>mixer/sonnicator and made up to mark. Each energy drink samples (liquid and dissolved powder) (50 ml) was placed in a beaker, the probe of the TDS/conductivity meter was inserted and the conductivity values were recorded. .</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3.2.3</w:t>
      </w:r>
      <w:r>
        <w:rPr>
          <w:rFonts w:ascii="Times New Roman" w:hAnsi="Times New Roman" w:eastAsia="Times New Roman"/>
          <w:b/>
          <w:sz w:val="24"/>
        </w:rPr>
        <w:tab/>
      </w:r>
      <w:r>
        <w:rPr>
          <w:rFonts w:ascii="Times New Roman" w:hAnsi="Times New Roman" w:eastAsia="Times New Roman"/>
          <w:b/>
          <w:sz w:val="24"/>
        </w:rPr>
        <w:t>Determination of turbidity</w:t>
      </w:r>
    </w:p>
    <w:p>
      <w:pPr>
        <w:spacing w:line="284"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turbidity measurement was determined using a digital turbidity meter (HACH DR/890 Colorimeter. The probe was rinsed thoroughly with distilled water before use on sample</w:t>
      </w:r>
      <w:r>
        <w:rPr>
          <w:rFonts w:ascii="Arial" w:hAnsi="Arial" w:eastAsia="Arial"/>
          <w:sz w:val="18"/>
        </w:rPr>
        <w:t>.</w:t>
      </w:r>
      <w:r>
        <w:rPr>
          <w:rFonts w:ascii="Times New Roman" w:hAnsi="Times New Roman" w:eastAsia="Times New Roman"/>
          <w:sz w:val="24"/>
        </w:rPr>
        <w:t xml:space="preserve"> Each of the powdered energy drink sample (1 g) was measured into 100 ml volumetric flask. Distilled water of 50 ml was added and shaken for 5 minutes using vortex mixer/sonnicator and made up to mark. For each energy drink samples (liquid and dissolved powder), 50 ml was placed in a beaker, the probe of the digital turbidity meter was inserted and the turbidity values were recorded.</w:t>
      </w:r>
    </w:p>
    <w:p>
      <w:pPr>
        <w:spacing w:line="200" w:lineRule="exact"/>
        <w:rPr>
          <w:rFonts w:ascii="Times New Roman" w:hAnsi="Times New Roman" w:eastAsia="Times New Roman"/>
        </w:rPr>
      </w:pPr>
    </w:p>
    <w:p>
      <w:pPr>
        <w:spacing w:line="362"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3.2.4</w:t>
      </w:r>
      <w:r>
        <w:rPr>
          <w:rFonts w:ascii="Times New Roman" w:hAnsi="Times New Roman" w:eastAsia="Times New Roman"/>
        </w:rPr>
        <w:tab/>
      </w:r>
      <w:r>
        <w:rPr>
          <w:rFonts w:ascii="Times New Roman" w:hAnsi="Times New Roman" w:eastAsia="Times New Roman"/>
          <w:b/>
          <w:sz w:val="23"/>
        </w:rPr>
        <w:t>Total dissolved solid</w:t>
      </w:r>
    </w:p>
    <w:p>
      <w:pPr>
        <w:spacing w:line="284"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total dissolved solids measurement was determined using a digital TDS/conductivity meter (HACH) Sension 5. The probe was rinsed thoroughly with distilled water before use on sample</w:t>
      </w:r>
      <w:r>
        <w:rPr>
          <w:rFonts w:ascii="Arial" w:hAnsi="Arial" w:eastAsia="Arial"/>
          <w:sz w:val="18"/>
        </w:rPr>
        <w:t>.</w:t>
      </w:r>
      <w:r>
        <w:rPr>
          <w:rFonts w:ascii="Times New Roman" w:hAnsi="Times New Roman" w:eastAsia="Times New Roman"/>
          <w:sz w:val="24"/>
        </w:rPr>
        <w:t xml:space="preserve"> Each of the powdered energy drink sample (1 g) was measured into 100 ml volumetric flask. Distilled water of 50 ml was added and shaken for 5 minutes using vortex mixer/sonnicator and made up to mark. For each energy drink samples (liquid and dissolved powder), 50 ml was placed in a beaker, the probe of the TDS/conductivity meter was inserted and the TDS values were recorded.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8" w:lineRule="exact"/>
        <w:rPr>
          <w:rFonts w:ascii="Times New Roman" w:hAnsi="Times New Roman" w:eastAsia="Times New Roman"/>
        </w:rPr>
      </w:pPr>
    </w:p>
    <w:p>
      <w:pPr>
        <w:spacing w:line="0" w:lineRule="atLeast"/>
        <w:ind w:left="4860"/>
        <w:rPr>
          <w:sz w:val="22"/>
        </w:rPr>
      </w:pPr>
      <w:r>
        <w:rPr>
          <w:sz w:val="22"/>
        </w:rPr>
        <w:t>58</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280"/>
        </w:tabs>
        <w:spacing w:line="0" w:lineRule="atLeast"/>
        <w:ind w:left="580"/>
        <w:rPr>
          <w:rFonts w:ascii="Times New Roman" w:hAnsi="Times New Roman" w:eastAsia="Times New Roman"/>
          <w:b/>
          <w:sz w:val="23"/>
        </w:rPr>
      </w:pPr>
      <w:bookmarkStart w:id="50" w:name="page59"/>
      <w:bookmarkEnd w:id="50"/>
      <w:r>
        <w:rPr>
          <w:rFonts w:ascii="Times New Roman" w:hAnsi="Times New Roman" w:eastAsia="Times New Roman"/>
          <w:b/>
          <w:sz w:val="24"/>
        </w:rPr>
        <w:t>3.3</w:t>
      </w:r>
      <w:r>
        <w:rPr>
          <w:rFonts w:ascii="Times New Roman" w:hAnsi="Times New Roman" w:eastAsia="Times New Roman"/>
        </w:rPr>
        <w:tab/>
      </w:r>
      <w:r>
        <w:rPr>
          <w:rFonts w:ascii="Times New Roman" w:hAnsi="Times New Roman" w:eastAsia="Times New Roman"/>
          <w:b/>
          <w:sz w:val="23"/>
        </w:rPr>
        <w:t>Elemental Analysis</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An atomic absorption spectrophotometer was used for the determination of the Cu, Zn, Pb, Mn, Ca, P, Cd, and Fe while a flame emission spectroscopy was used to determine K. The instruments were calibrated and standardized using standard solutions. After making sure the instrument is properly calibrated and results of standard are in confidence limit, concentration of metals in each sample were measured individually.</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4"/>
        </w:rPr>
      </w:pPr>
      <w:r>
        <w:rPr>
          <w:rFonts w:ascii="Times New Roman" w:hAnsi="Times New Roman" w:eastAsia="Times New Roman"/>
          <w:b/>
          <w:sz w:val="24"/>
        </w:rPr>
        <w:t>3.4</w:t>
      </w:r>
      <w:r>
        <w:rPr>
          <w:rFonts w:ascii="Times New Roman" w:hAnsi="Times New Roman" w:eastAsia="Times New Roman"/>
        </w:rPr>
        <w:tab/>
      </w:r>
      <w:r>
        <w:rPr>
          <w:rFonts w:ascii="Times New Roman" w:hAnsi="Times New Roman" w:eastAsia="Times New Roman"/>
          <w:b/>
          <w:sz w:val="24"/>
        </w:rPr>
        <w:t>Determination of Carbohydrate (Sugar)</w:t>
      </w:r>
    </w:p>
    <w:p>
      <w:pPr>
        <w:spacing w:line="284" w:lineRule="exact"/>
        <w:rPr>
          <w:rFonts w:ascii="Times New Roman" w:hAnsi="Times New Roman" w:eastAsia="Times New Roman"/>
        </w:rPr>
      </w:pPr>
    </w:p>
    <w:p>
      <w:pPr>
        <w:spacing w:line="477" w:lineRule="auto"/>
        <w:ind w:left="580" w:firstLine="58"/>
        <w:jc w:val="both"/>
        <w:rPr>
          <w:rFonts w:ascii="Times New Roman" w:hAnsi="Times New Roman" w:eastAsia="Times New Roman"/>
          <w:sz w:val="24"/>
        </w:rPr>
      </w:pPr>
      <w:r>
        <w:rPr>
          <w:rFonts w:ascii="Times New Roman" w:hAnsi="Times New Roman" w:eastAsia="Times New Roman"/>
          <w:sz w:val="24"/>
        </w:rPr>
        <w:t>The amount of sugar (carbohydrates) in energy drinks was determined by spectrophotometric (colorimetric) method as described by Miller, (1959). The method is based upon the colour which forms when sugars reduce 3,5-dinitrosalicylic acid (DNSA) to 3-amino-5-nitrosalicylic acid. The concentration of the coloured product formed by the reaction of glucose and DNSA was measured and the Beer-Lambert law was used to determine the concentration of sugar.</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tabs>
          <w:tab w:val="left" w:pos="1040"/>
        </w:tabs>
        <w:spacing w:line="0" w:lineRule="atLeast"/>
        <w:ind w:left="580"/>
        <w:rPr>
          <w:rFonts w:ascii="Times New Roman" w:hAnsi="Times New Roman" w:eastAsia="Times New Roman"/>
          <w:b/>
          <w:sz w:val="23"/>
        </w:rPr>
      </w:pPr>
      <w:r>
        <w:rPr>
          <w:rFonts w:ascii="Times New Roman" w:hAnsi="Times New Roman" w:eastAsia="Times New Roman"/>
          <w:b/>
          <w:sz w:val="24"/>
        </w:rPr>
        <w:t>3.5</w:t>
      </w:r>
      <w:r>
        <w:rPr>
          <w:rFonts w:ascii="Times New Roman" w:hAnsi="Times New Roman" w:eastAsia="Times New Roman"/>
        </w:rPr>
        <w:tab/>
      </w:r>
      <w:r>
        <w:rPr>
          <w:rFonts w:ascii="Times New Roman" w:hAnsi="Times New Roman" w:eastAsia="Times New Roman"/>
          <w:b/>
          <w:sz w:val="23"/>
        </w:rPr>
        <w:t>Determination of Caffeine and Aspartame</w:t>
      </w:r>
    </w:p>
    <w:p>
      <w:pPr>
        <w:spacing w:line="28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Caffeine and aspartame in energy drinks were determined using high performance liquid chromatography as described by National Agency for Food and Drug Administration Control (NAFDAC).</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3.5.1</w:t>
      </w:r>
      <w:r>
        <w:rPr>
          <w:rFonts w:ascii="Times New Roman" w:hAnsi="Times New Roman" w:eastAsia="Times New Roman"/>
        </w:rPr>
        <w:tab/>
      </w:r>
      <w:r>
        <w:rPr>
          <w:rFonts w:ascii="Times New Roman" w:hAnsi="Times New Roman" w:eastAsia="Times New Roman"/>
          <w:b/>
          <w:sz w:val="23"/>
        </w:rPr>
        <w:t>Preparation of pH 4.0 and pH 7.0 buffer solution</w:t>
      </w:r>
    </w:p>
    <w:p>
      <w:pPr>
        <w:spacing w:line="283"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One buffer tablet each respectively was put into a 100 ml volumetric flask respectively</w:t>
      </w:r>
      <w:r>
        <w:rPr>
          <w:rFonts w:ascii="Times New Roman" w:hAnsi="Times New Roman" w:eastAsia="Times New Roman"/>
          <w:b/>
          <w:sz w:val="24"/>
        </w:rPr>
        <w:t>.</w:t>
      </w:r>
      <w:r>
        <w:rPr>
          <w:rFonts w:ascii="Times New Roman" w:hAnsi="Times New Roman" w:eastAsia="Times New Roman"/>
          <w:sz w:val="24"/>
        </w:rPr>
        <w:t xml:space="preserve"> Distilled water of 20 ml was added to each of the flask and shaken until it dissolves</w:t>
      </w:r>
      <w:r>
        <w:rPr>
          <w:rFonts w:ascii="Times New Roman" w:hAnsi="Times New Roman" w:eastAsia="Times New Roman"/>
          <w:b/>
          <w:sz w:val="24"/>
        </w:rPr>
        <w:t>.</w:t>
      </w:r>
      <w:r>
        <w:rPr>
          <w:rFonts w:ascii="Times New Roman" w:hAnsi="Times New Roman" w:eastAsia="Times New Roman"/>
          <w:sz w:val="24"/>
        </w:rPr>
        <w:t xml:space="preserve"> Each</w:t>
      </w:r>
    </w:p>
    <w:p>
      <w:pPr>
        <w:spacing w:line="200" w:lineRule="exact"/>
        <w:rPr>
          <w:rFonts w:ascii="Times New Roman" w:hAnsi="Times New Roman" w:eastAsia="Times New Roman"/>
        </w:rPr>
      </w:pPr>
    </w:p>
    <w:p>
      <w:pPr>
        <w:spacing w:line="262" w:lineRule="exact"/>
        <w:rPr>
          <w:rFonts w:ascii="Times New Roman" w:hAnsi="Times New Roman" w:eastAsia="Times New Roman"/>
        </w:rPr>
      </w:pPr>
    </w:p>
    <w:p>
      <w:pPr>
        <w:spacing w:line="0" w:lineRule="atLeast"/>
        <w:ind w:left="4860"/>
        <w:rPr>
          <w:sz w:val="22"/>
        </w:rPr>
      </w:pPr>
      <w:r>
        <w:rPr>
          <w:sz w:val="22"/>
        </w:rPr>
        <w:t>59</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51" w:name="page60"/>
      <w:bookmarkEnd w:id="51"/>
    </w:p>
    <w:p>
      <w:pPr>
        <w:spacing w:line="469" w:lineRule="auto"/>
        <w:ind w:left="580"/>
        <w:jc w:val="both"/>
        <w:rPr>
          <w:rFonts w:ascii="Times New Roman" w:hAnsi="Times New Roman" w:eastAsia="Times New Roman"/>
          <w:sz w:val="24"/>
        </w:rPr>
      </w:pPr>
      <w:r>
        <w:rPr>
          <w:rFonts w:ascii="Times New Roman" w:hAnsi="Times New Roman" w:eastAsia="Times New Roman"/>
          <w:sz w:val="24"/>
        </w:rPr>
        <w:t>of the flasks was made up to mark with distilled water. Conc. sulphuric acid was used for adjusting the pH of mobile phase.</w:t>
      </w:r>
    </w:p>
    <w:p>
      <w:pPr>
        <w:spacing w:line="200" w:lineRule="exact"/>
        <w:rPr>
          <w:rFonts w:ascii="Times New Roman" w:hAnsi="Times New Roman" w:eastAsia="Times New Roman"/>
        </w:rPr>
      </w:pPr>
    </w:p>
    <w:p>
      <w:pPr>
        <w:spacing w:line="371"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3.5.4</w:t>
      </w:r>
      <w:r>
        <w:rPr>
          <w:rFonts w:ascii="Times New Roman" w:hAnsi="Times New Roman" w:eastAsia="Times New Roman"/>
        </w:rPr>
        <w:tab/>
      </w:r>
      <w:r>
        <w:rPr>
          <w:rFonts w:ascii="Times New Roman" w:hAnsi="Times New Roman" w:eastAsia="Times New Roman"/>
          <w:b/>
          <w:sz w:val="23"/>
        </w:rPr>
        <w:t>Buffer preparation</w:t>
      </w:r>
    </w:p>
    <w:p>
      <w:pPr>
        <w:spacing w:line="28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Approximately 2.382 g potassium dehydrate orthophosphate (monobasic) (HPLC grade) was weighed into a 1000 ml volumetric flask. 750 ml of distilled water was added and shaken until it dissolves. The flask was made up with distilled water.</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3.5.5</w:t>
      </w:r>
      <w:r>
        <w:rPr>
          <w:rFonts w:ascii="Times New Roman" w:hAnsi="Times New Roman" w:eastAsia="Times New Roman"/>
        </w:rPr>
        <w:tab/>
      </w:r>
      <w:r>
        <w:rPr>
          <w:rFonts w:ascii="Times New Roman" w:hAnsi="Times New Roman" w:eastAsia="Times New Roman"/>
          <w:b/>
          <w:sz w:val="23"/>
        </w:rPr>
        <w:t>Mobile phase preparation</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In a class A 250 ml measuring cylinder, 125 ml methanol (HPLC grade) was measured and poured into a 1000 ml class A volumetric flask. Into another class A 250 ml measuring cylinder, 225 ml acetonitrile was measured and poured into the same 1000 ml volumetric flask. The 1000 ml volumetric flask was made up to mark with potassium dehydrate orthophosphate buffer solution. The mobile phase was then transferred into instrument solvent reservoir bottle and sonnicated for 30 minutes. The pH of the mobile phase was adjusted to 4.0 with conc. Sulphuric acid after mixture.</w:t>
      </w:r>
    </w:p>
    <w:p>
      <w:pPr>
        <w:spacing w:line="200" w:lineRule="exact"/>
        <w:rPr>
          <w:rFonts w:ascii="Times New Roman" w:hAnsi="Times New Roman" w:eastAsia="Times New Roman"/>
        </w:rPr>
      </w:pPr>
    </w:p>
    <w:p>
      <w:pPr>
        <w:spacing w:line="362" w:lineRule="exact"/>
        <w:rPr>
          <w:rFonts w:ascii="Times New Roman" w:hAnsi="Times New Roman" w:eastAsia="Times New Roman"/>
        </w:rPr>
      </w:pPr>
    </w:p>
    <w:p>
      <w:pPr>
        <w:tabs>
          <w:tab w:val="left" w:pos="1180"/>
        </w:tabs>
        <w:spacing w:line="0" w:lineRule="atLeast"/>
        <w:ind w:left="580"/>
        <w:rPr>
          <w:rFonts w:ascii="Times New Roman" w:hAnsi="Times New Roman" w:eastAsia="Times New Roman"/>
          <w:b/>
          <w:sz w:val="23"/>
        </w:rPr>
      </w:pPr>
      <w:r>
        <w:rPr>
          <w:rFonts w:ascii="Times New Roman" w:hAnsi="Times New Roman" w:eastAsia="Times New Roman"/>
          <w:b/>
          <w:sz w:val="24"/>
        </w:rPr>
        <w:t>3.6</w:t>
      </w:r>
      <w:r>
        <w:rPr>
          <w:rFonts w:ascii="Times New Roman" w:hAnsi="Times New Roman" w:eastAsia="Times New Roman"/>
        </w:rPr>
        <w:tab/>
      </w:r>
      <w:r>
        <w:rPr>
          <w:rFonts w:ascii="Times New Roman" w:hAnsi="Times New Roman" w:eastAsia="Times New Roman"/>
          <w:b/>
          <w:sz w:val="23"/>
        </w:rPr>
        <w:t>Statistical Analysis</w:t>
      </w:r>
    </w:p>
    <w:p>
      <w:pPr>
        <w:spacing w:line="283" w:lineRule="exact"/>
        <w:rPr>
          <w:rFonts w:ascii="Times New Roman" w:hAnsi="Times New Roman" w:eastAsia="Times New Roman"/>
        </w:rPr>
      </w:pPr>
    </w:p>
    <w:p>
      <w:pPr>
        <w:spacing w:line="506" w:lineRule="auto"/>
        <w:ind w:left="580"/>
        <w:jc w:val="both"/>
        <w:rPr>
          <w:rFonts w:ascii="Times New Roman" w:hAnsi="Times New Roman" w:eastAsia="Times New Roman"/>
          <w:sz w:val="24"/>
        </w:rPr>
      </w:pPr>
      <w:r>
        <w:rPr>
          <w:rFonts w:ascii="Times New Roman" w:hAnsi="Times New Roman" w:eastAsia="Times New Roman"/>
          <w:sz w:val="24"/>
        </w:rPr>
        <w:t xml:space="preserve">All results were analyzed statistically using one-way analysis of variance (ANOVA) with Duncan post hoc test and a paired sample T-test was used to compare the liquid and powdered forms of energy drinks. Differences were considered significant for </w:t>
      </w:r>
      <w:r>
        <w:rPr>
          <w:rFonts w:ascii="Times New Roman" w:hAnsi="Times New Roman" w:eastAsia="Times New Roman"/>
          <w:i/>
          <w:sz w:val="24"/>
        </w:rPr>
        <w:t>p</w:t>
      </w:r>
      <w:r>
        <w:rPr>
          <w:rFonts w:ascii="Times New Roman" w:hAnsi="Times New Roman" w:eastAsia="Times New Roman"/>
          <w:sz w:val="24"/>
        </w:rPr>
        <w:t xml:space="preserve"> &lt; 0.05.</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51" w:lineRule="exact"/>
        <w:rPr>
          <w:rFonts w:ascii="Times New Roman" w:hAnsi="Times New Roman" w:eastAsia="Times New Roman"/>
        </w:rPr>
      </w:pPr>
    </w:p>
    <w:p>
      <w:pPr>
        <w:spacing w:line="0" w:lineRule="atLeast"/>
        <w:ind w:left="4860"/>
        <w:rPr>
          <w:sz w:val="22"/>
        </w:rPr>
      </w:pPr>
      <w:r>
        <w:rPr>
          <w:sz w:val="22"/>
        </w:rPr>
        <w:t>60</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spacing w:line="0" w:lineRule="atLeast"/>
        <w:ind w:left="4020"/>
        <w:rPr>
          <w:rFonts w:ascii="Times New Roman" w:hAnsi="Times New Roman" w:eastAsia="Times New Roman"/>
          <w:b/>
          <w:sz w:val="24"/>
        </w:rPr>
      </w:pPr>
      <w:bookmarkStart w:id="52" w:name="page61"/>
      <w:bookmarkEnd w:id="52"/>
      <w:r>
        <w:rPr>
          <w:rFonts w:ascii="Times New Roman" w:hAnsi="Times New Roman" w:eastAsia="Times New Roman"/>
          <w:b/>
          <w:sz w:val="24"/>
        </w:rPr>
        <w:t>CHAPTER FOUR</w:t>
      </w:r>
    </w:p>
    <w:p>
      <w:pPr>
        <w:spacing w:line="200" w:lineRule="exact"/>
        <w:rPr>
          <w:rFonts w:ascii="Times New Roman" w:hAnsi="Times New Roman" w:eastAsia="Times New Roman"/>
        </w:rPr>
      </w:pPr>
    </w:p>
    <w:p>
      <w:pPr>
        <w:spacing w:line="278"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4.0</w:t>
      </w:r>
      <w:r>
        <w:rPr>
          <w:rFonts w:ascii="Times New Roman" w:hAnsi="Times New Roman" w:eastAsia="Times New Roman"/>
        </w:rPr>
        <w:tab/>
      </w:r>
      <w:r>
        <w:rPr>
          <w:rFonts w:ascii="Times New Roman" w:hAnsi="Times New Roman" w:eastAsia="Times New Roman"/>
          <w:b/>
          <w:sz w:val="24"/>
        </w:rPr>
        <w:t>RESULTS</w:t>
      </w:r>
    </w:p>
    <w:p>
      <w:pPr>
        <w:spacing w:line="277"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4.1</w:t>
      </w:r>
      <w:r>
        <w:rPr>
          <w:rFonts w:ascii="Times New Roman" w:hAnsi="Times New Roman" w:eastAsia="Times New Roman"/>
        </w:rPr>
        <w:tab/>
      </w:r>
      <w:r>
        <w:rPr>
          <w:rFonts w:ascii="Times New Roman" w:hAnsi="Times New Roman" w:eastAsia="Times New Roman"/>
          <w:b/>
          <w:sz w:val="24"/>
        </w:rPr>
        <w:t>Physicochemical Parameters of Samples</w:t>
      </w:r>
    </w:p>
    <w:p>
      <w:pPr>
        <w:spacing w:line="28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The mean concentration ± SD of the physicochemical parameters (pH, turbidity, total dissolved solids (TDS), and conductivity) of the sampled energy drinks (liquid and powdered) are shown in Table 4.1.</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4.2</w:t>
      </w:r>
      <w:r>
        <w:rPr>
          <w:rFonts w:ascii="Times New Roman" w:hAnsi="Times New Roman" w:eastAsia="Times New Roman"/>
        </w:rPr>
        <w:tab/>
      </w:r>
      <w:r>
        <w:rPr>
          <w:rFonts w:ascii="Times New Roman" w:hAnsi="Times New Roman" w:eastAsia="Times New Roman"/>
          <w:b/>
          <w:sz w:val="23"/>
        </w:rPr>
        <w:t>Metal Concentrations</w:t>
      </w:r>
    </w:p>
    <w:p>
      <w:pPr>
        <w:spacing w:line="277"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4.2.1</w:t>
      </w:r>
      <w:r>
        <w:rPr>
          <w:rFonts w:ascii="Times New Roman" w:hAnsi="Times New Roman" w:eastAsia="Times New Roman"/>
        </w:rPr>
        <w:tab/>
      </w:r>
      <w:r>
        <w:rPr>
          <w:rFonts w:ascii="Times New Roman" w:hAnsi="Times New Roman" w:eastAsia="Times New Roman"/>
          <w:b/>
          <w:sz w:val="24"/>
        </w:rPr>
        <w:t>Concentration of heavy metals</w:t>
      </w:r>
    </w:p>
    <w:p>
      <w:pPr>
        <w:spacing w:line="283"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The mean concentration ± SD of heavy metals (cadmium, copper, zinc, lead and manganese) of the sampled energy drinks (liquid and powdered) are shown in Table 4.2.</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4.2.2</w:t>
      </w:r>
      <w:r>
        <w:rPr>
          <w:rFonts w:ascii="Times New Roman" w:hAnsi="Times New Roman" w:eastAsia="Times New Roman"/>
        </w:rPr>
        <w:tab/>
      </w:r>
      <w:r>
        <w:rPr>
          <w:rFonts w:ascii="Times New Roman" w:hAnsi="Times New Roman" w:eastAsia="Times New Roman"/>
          <w:b/>
          <w:sz w:val="24"/>
        </w:rPr>
        <w:t>Concentrations of essential metals</w:t>
      </w:r>
    </w:p>
    <w:p>
      <w:pPr>
        <w:spacing w:line="283"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The mean concentration ± SD of essential metals (iron, calcium and potassium) of the sampled energy drinks (liquid and powdered) are shown in Table 4.3.</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4.3</w:t>
      </w:r>
      <w:r>
        <w:rPr>
          <w:rFonts w:ascii="Times New Roman" w:hAnsi="Times New Roman" w:eastAsia="Times New Roman"/>
        </w:rPr>
        <w:tab/>
      </w:r>
      <w:r>
        <w:rPr>
          <w:rFonts w:ascii="Times New Roman" w:hAnsi="Times New Roman" w:eastAsia="Times New Roman"/>
          <w:b/>
          <w:sz w:val="23"/>
        </w:rPr>
        <w:t>Concentrations of Caffeine, Aspartame and Sugar</w:t>
      </w:r>
    </w:p>
    <w:p>
      <w:pPr>
        <w:spacing w:line="284" w:lineRule="exact"/>
        <w:rPr>
          <w:rFonts w:ascii="Times New Roman" w:hAnsi="Times New Roman" w:eastAsia="Times New Roman"/>
        </w:rPr>
      </w:pPr>
    </w:p>
    <w:p>
      <w:pPr>
        <w:spacing w:line="475" w:lineRule="auto"/>
        <w:ind w:left="580"/>
        <w:jc w:val="both"/>
        <w:rPr>
          <w:rFonts w:ascii="Times New Roman" w:hAnsi="Times New Roman" w:eastAsia="Times New Roman"/>
          <w:sz w:val="24"/>
        </w:rPr>
      </w:pPr>
      <w:r>
        <w:rPr>
          <w:rFonts w:ascii="Times New Roman" w:hAnsi="Times New Roman" w:eastAsia="Times New Roman"/>
          <w:sz w:val="24"/>
        </w:rPr>
        <w:t>The concentration of caffeine, aspartame and sugar of the sampled energy drinks are shown in Table 4.3. A comparison of the concentration of caffeine and aspartame in energy drinks with the maximum permitted standard of the US FDA is shown in Figure 4.1 and 4.2 respectively.</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spacing w:line="0" w:lineRule="atLeast"/>
        <w:ind w:left="4860"/>
        <w:rPr>
          <w:sz w:val="22"/>
        </w:rPr>
      </w:pPr>
      <w:r>
        <w:rPr>
          <w:sz w:val="22"/>
        </w:rPr>
        <w:t>61</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p>
      <w:pPr>
        <w:spacing w:line="7" w:lineRule="exact"/>
        <w:rPr>
          <w:rFonts w:ascii="Times New Roman" w:hAnsi="Times New Roman" w:eastAsia="Times New Roman"/>
        </w:rPr>
      </w:pPr>
      <w:bookmarkStart w:id="53" w:name="page62"/>
      <w:bookmarkEnd w:id="53"/>
    </w:p>
    <w:p>
      <w:pPr>
        <w:spacing w:line="233" w:lineRule="auto"/>
        <w:ind w:left="580" w:right="720"/>
        <w:rPr>
          <w:rFonts w:ascii="Times New Roman" w:hAnsi="Times New Roman" w:eastAsia="Times New Roman"/>
          <w:b/>
          <w:sz w:val="24"/>
        </w:rPr>
      </w:pPr>
      <w:r>
        <w:rPr>
          <w:rFonts w:ascii="Times New Roman" w:hAnsi="Times New Roman" w:eastAsia="Times New Roman"/>
          <w:b/>
          <w:sz w:val="24"/>
        </w:rPr>
        <w:t>Table 4.1: pH, turbidity, total dissolved solids (TDS) and conductivity of energy drinks</w:t>
      </w:r>
    </w:p>
    <w:p>
      <w:pPr>
        <w:spacing w:line="2" w:lineRule="exact"/>
        <w:rPr>
          <w:rFonts w:ascii="Times New Roman" w:hAnsi="Times New Roman" w:eastAsia="Times New Roman"/>
        </w:rPr>
      </w:pPr>
    </w:p>
    <w:tbl>
      <w:tblPr>
        <w:tblStyle w:val="3"/>
        <w:tblW w:w="0" w:type="auto"/>
        <w:tblInd w:w="460" w:type="dxa"/>
        <w:tblLayout w:type="fixed"/>
        <w:tblCellMar>
          <w:top w:w="0" w:type="dxa"/>
          <w:left w:w="0" w:type="dxa"/>
          <w:bottom w:w="0" w:type="dxa"/>
          <w:right w:w="0" w:type="dxa"/>
        </w:tblCellMar>
      </w:tblPr>
      <w:tblGrid>
        <w:gridCol w:w="1080"/>
        <w:gridCol w:w="1500"/>
        <w:gridCol w:w="1520"/>
        <w:gridCol w:w="1640"/>
        <w:gridCol w:w="1820"/>
        <w:gridCol w:w="2060"/>
      </w:tblGrid>
      <w:tr>
        <w:tblPrEx>
          <w:tblCellMar>
            <w:top w:w="0" w:type="dxa"/>
            <w:left w:w="0" w:type="dxa"/>
            <w:bottom w:w="0" w:type="dxa"/>
            <w:right w:w="0" w:type="dxa"/>
          </w:tblCellMar>
        </w:tblPrEx>
        <w:trPr>
          <w:trHeight w:val="264" w:hRule="atLeast"/>
        </w:trPr>
        <w:tc>
          <w:tcPr>
            <w:tcW w:w="1080" w:type="dxa"/>
            <w:tcBorders>
              <w:top w:val="single" w:color="auto" w:sz="8" w:space="0"/>
            </w:tcBorders>
            <w:shd w:val="clear" w:color="auto" w:fill="auto"/>
            <w:vAlign w:val="bottom"/>
          </w:tcPr>
          <w:p>
            <w:pPr>
              <w:spacing w:line="264" w:lineRule="exact"/>
              <w:ind w:left="120"/>
              <w:rPr>
                <w:rFonts w:ascii="Times New Roman" w:hAnsi="Times New Roman" w:eastAsia="Times New Roman"/>
                <w:sz w:val="24"/>
              </w:rPr>
            </w:pPr>
            <w:r>
              <w:rPr>
                <w:rFonts w:ascii="Times New Roman" w:hAnsi="Times New Roman" w:eastAsia="Times New Roman"/>
                <w:sz w:val="24"/>
              </w:rPr>
              <w:t>Samples</w:t>
            </w:r>
          </w:p>
        </w:tc>
        <w:tc>
          <w:tcPr>
            <w:tcW w:w="1500" w:type="dxa"/>
            <w:tcBorders>
              <w:top w:val="single" w:color="auto" w:sz="8" w:space="0"/>
            </w:tcBorders>
            <w:shd w:val="clear" w:color="auto" w:fill="auto"/>
            <w:vAlign w:val="bottom"/>
          </w:tcPr>
          <w:p>
            <w:pPr>
              <w:spacing w:line="264" w:lineRule="exact"/>
              <w:ind w:left="140"/>
              <w:rPr>
                <w:rFonts w:ascii="Times New Roman" w:hAnsi="Times New Roman" w:eastAsia="Times New Roman"/>
                <w:sz w:val="24"/>
              </w:rPr>
            </w:pPr>
            <w:r>
              <w:rPr>
                <w:rFonts w:ascii="Times New Roman" w:hAnsi="Times New Roman" w:eastAsia="Times New Roman"/>
                <w:sz w:val="24"/>
              </w:rPr>
              <w:t>Sample type</w:t>
            </w:r>
          </w:p>
        </w:tc>
        <w:tc>
          <w:tcPr>
            <w:tcW w:w="1520" w:type="dxa"/>
            <w:tcBorders>
              <w:top w:val="single" w:color="auto" w:sz="8" w:space="0"/>
            </w:tcBorders>
            <w:shd w:val="clear" w:color="auto" w:fill="auto"/>
            <w:vAlign w:val="bottom"/>
          </w:tcPr>
          <w:p>
            <w:pPr>
              <w:spacing w:line="264" w:lineRule="exact"/>
              <w:ind w:left="160"/>
              <w:rPr>
                <w:rFonts w:ascii="Times New Roman" w:hAnsi="Times New Roman" w:eastAsia="Times New Roman"/>
                <w:sz w:val="24"/>
              </w:rPr>
            </w:pPr>
            <w:r>
              <w:rPr>
                <w:rFonts w:ascii="Times New Roman" w:hAnsi="Times New Roman" w:eastAsia="Times New Roman"/>
                <w:sz w:val="24"/>
              </w:rPr>
              <w:t>pH</w:t>
            </w:r>
          </w:p>
        </w:tc>
        <w:tc>
          <w:tcPr>
            <w:tcW w:w="1640" w:type="dxa"/>
            <w:tcBorders>
              <w:top w:val="single" w:color="auto" w:sz="8" w:space="0"/>
            </w:tcBorders>
            <w:shd w:val="clear" w:color="auto" w:fill="auto"/>
            <w:vAlign w:val="bottom"/>
          </w:tcPr>
          <w:p>
            <w:pPr>
              <w:spacing w:line="264" w:lineRule="exact"/>
              <w:ind w:left="180"/>
              <w:rPr>
                <w:rFonts w:ascii="Times New Roman" w:hAnsi="Times New Roman" w:eastAsia="Times New Roman"/>
                <w:sz w:val="24"/>
              </w:rPr>
            </w:pPr>
            <w:r>
              <w:rPr>
                <w:rFonts w:ascii="Times New Roman" w:hAnsi="Times New Roman" w:eastAsia="Times New Roman"/>
                <w:sz w:val="24"/>
              </w:rPr>
              <w:t>Turbidity</w:t>
            </w:r>
          </w:p>
        </w:tc>
        <w:tc>
          <w:tcPr>
            <w:tcW w:w="1820" w:type="dxa"/>
            <w:tcBorders>
              <w:top w:val="single" w:color="auto" w:sz="8" w:space="0"/>
            </w:tcBorders>
            <w:shd w:val="clear" w:color="auto" w:fill="auto"/>
            <w:vAlign w:val="bottom"/>
          </w:tcPr>
          <w:p>
            <w:pPr>
              <w:spacing w:line="264" w:lineRule="exact"/>
              <w:ind w:left="340"/>
              <w:rPr>
                <w:rFonts w:ascii="Times New Roman" w:hAnsi="Times New Roman" w:eastAsia="Times New Roman"/>
                <w:sz w:val="24"/>
              </w:rPr>
            </w:pPr>
            <w:r>
              <w:rPr>
                <w:rFonts w:ascii="Times New Roman" w:hAnsi="Times New Roman" w:eastAsia="Times New Roman"/>
                <w:sz w:val="24"/>
              </w:rPr>
              <w:t>TDS (mg/L)</w:t>
            </w:r>
          </w:p>
        </w:tc>
        <w:tc>
          <w:tcPr>
            <w:tcW w:w="2060" w:type="dxa"/>
            <w:tcBorders>
              <w:top w:val="single" w:color="auto" w:sz="8" w:space="0"/>
            </w:tcBorders>
            <w:shd w:val="clear" w:color="auto" w:fill="auto"/>
            <w:vAlign w:val="bottom"/>
          </w:tcPr>
          <w:p>
            <w:pPr>
              <w:spacing w:line="264" w:lineRule="exact"/>
              <w:ind w:left="220"/>
              <w:rPr>
                <w:rFonts w:ascii="Times New Roman" w:hAnsi="Times New Roman" w:eastAsia="Times New Roman"/>
                <w:sz w:val="24"/>
              </w:rPr>
            </w:pPr>
            <w:r>
              <w:rPr>
                <w:rFonts w:ascii="Times New Roman" w:hAnsi="Times New Roman" w:eastAsia="Times New Roman"/>
                <w:sz w:val="24"/>
              </w:rPr>
              <w:t>Conductivity</w:t>
            </w:r>
          </w:p>
        </w:tc>
      </w:tr>
      <w:tr>
        <w:tblPrEx>
          <w:tblCellMar>
            <w:top w:w="0" w:type="dxa"/>
            <w:left w:w="0" w:type="dxa"/>
            <w:bottom w:w="0" w:type="dxa"/>
            <w:right w:w="0" w:type="dxa"/>
          </w:tblCellMar>
        </w:tblPrEx>
        <w:trPr>
          <w:trHeight w:val="282" w:hRule="atLeast"/>
        </w:trPr>
        <w:tc>
          <w:tcPr>
            <w:tcW w:w="108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50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52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640" w:type="dxa"/>
            <w:tcBorders>
              <w:bottom w:val="single" w:color="auto" w:sz="8" w:space="0"/>
            </w:tcBorders>
            <w:shd w:val="clear" w:color="auto" w:fill="auto"/>
            <w:vAlign w:val="bottom"/>
          </w:tcPr>
          <w:p>
            <w:pPr>
              <w:spacing w:line="0" w:lineRule="atLeast"/>
              <w:ind w:left="180"/>
              <w:rPr>
                <w:rFonts w:ascii="Times New Roman" w:hAnsi="Times New Roman" w:eastAsia="Times New Roman"/>
                <w:sz w:val="24"/>
              </w:rPr>
            </w:pPr>
            <w:r>
              <w:rPr>
                <w:rFonts w:ascii="Times New Roman" w:hAnsi="Times New Roman" w:eastAsia="Times New Roman"/>
                <w:sz w:val="24"/>
              </w:rPr>
              <w:t>(NTU)</w:t>
            </w:r>
          </w:p>
        </w:tc>
        <w:tc>
          <w:tcPr>
            <w:tcW w:w="182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2060" w:type="dxa"/>
            <w:tcBorders>
              <w:bottom w:val="single" w:color="auto" w:sz="8" w:space="0"/>
            </w:tcBorders>
            <w:shd w:val="clear" w:color="auto" w:fill="auto"/>
            <w:vAlign w:val="bottom"/>
          </w:tcPr>
          <w:p>
            <w:pPr>
              <w:spacing w:line="0" w:lineRule="atLeast"/>
              <w:ind w:left="220"/>
              <w:rPr>
                <w:rFonts w:ascii="Times New Roman" w:hAnsi="Times New Roman" w:eastAsia="Times New Roman"/>
                <w:sz w:val="24"/>
              </w:rPr>
            </w:pPr>
            <w:r>
              <w:rPr>
                <w:rFonts w:ascii="Times New Roman" w:hAnsi="Times New Roman" w:eastAsia="Times New Roman"/>
                <w:sz w:val="24"/>
              </w:rPr>
              <w:t>(µS/cm)</w:t>
            </w:r>
          </w:p>
        </w:tc>
      </w:tr>
      <w:tr>
        <w:tblPrEx>
          <w:tblCellMar>
            <w:top w:w="0" w:type="dxa"/>
            <w:left w:w="0" w:type="dxa"/>
            <w:bottom w:w="0" w:type="dxa"/>
            <w:right w:w="0" w:type="dxa"/>
          </w:tblCellMar>
        </w:tblPrEx>
        <w:trPr>
          <w:trHeight w:val="326" w:hRule="atLeast"/>
        </w:trPr>
        <w:tc>
          <w:tcPr>
            <w:tcW w:w="1080" w:type="dxa"/>
            <w:shd w:val="clear" w:color="auto" w:fill="auto"/>
            <w:vAlign w:val="bottom"/>
          </w:tcPr>
          <w:p>
            <w:pPr>
              <w:spacing w:line="264" w:lineRule="exact"/>
              <w:ind w:left="120"/>
              <w:rPr>
                <w:rFonts w:ascii="Times New Roman" w:hAnsi="Times New Roman" w:eastAsia="Times New Roman"/>
                <w:sz w:val="24"/>
              </w:rPr>
            </w:pPr>
            <w:r>
              <w:rPr>
                <w:rFonts w:ascii="Times New Roman" w:hAnsi="Times New Roman" w:eastAsia="Times New Roman"/>
                <w:sz w:val="24"/>
              </w:rPr>
              <w:t>SO</w:t>
            </w:r>
          </w:p>
        </w:tc>
        <w:tc>
          <w:tcPr>
            <w:tcW w:w="1500" w:type="dxa"/>
            <w:shd w:val="clear" w:color="auto" w:fill="auto"/>
            <w:vAlign w:val="bottom"/>
          </w:tcPr>
          <w:p>
            <w:pPr>
              <w:spacing w:line="264" w:lineRule="exac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326" w:lineRule="exact"/>
              <w:ind w:left="160"/>
              <w:rPr>
                <w:rFonts w:ascii="Times New Roman" w:hAnsi="Times New Roman" w:eastAsia="Times New Roman"/>
                <w:sz w:val="31"/>
                <w:vertAlign w:val="superscript"/>
              </w:rPr>
            </w:pPr>
            <w:r>
              <w:rPr>
                <w:rFonts w:ascii="Times New Roman" w:hAnsi="Times New Roman" w:eastAsia="Times New Roman"/>
                <w:sz w:val="24"/>
              </w:rPr>
              <w:t>4.63±0.012</w:t>
            </w:r>
            <w:r>
              <w:rPr>
                <w:rFonts w:ascii="Times New Roman" w:hAnsi="Times New Roman" w:eastAsia="Times New Roman"/>
                <w:sz w:val="31"/>
                <w:vertAlign w:val="superscript"/>
              </w:rPr>
              <w:t>c</w:t>
            </w:r>
          </w:p>
        </w:tc>
        <w:tc>
          <w:tcPr>
            <w:tcW w:w="1640" w:type="dxa"/>
            <w:shd w:val="clear" w:color="auto" w:fill="auto"/>
            <w:vAlign w:val="bottom"/>
          </w:tcPr>
          <w:p>
            <w:pPr>
              <w:spacing w:line="326" w:lineRule="exact"/>
              <w:ind w:left="180"/>
              <w:rPr>
                <w:rFonts w:ascii="Times New Roman" w:hAnsi="Times New Roman" w:eastAsia="Times New Roman"/>
                <w:sz w:val="31"/>
                <w:vertAlign w:val="superscript"/>
              </w:rPr>
            </w:pPr>
            <w:r>
              <w:rPr>
                <w:rFonts w:ascii="Times New Roman" w:hAnsi="Times New Roman" w:eastAsia="Times New Roman"/>
                <w:sz w:val="24"/>
              </w:rPr>
              <w:t>126±1.732</w:t>
            </w:r>
            <w:r>
              <w:rPr>
                <w:rFonts w:ascii="Times New Roman" w:hAnsi="Times New Roman" w:eastAsia="Times New Roman"/>
                <w:sz w:val="31"/>
                <w:vertAlign w:val="superscript"/>
              </w:rPr>
              <w:t>h</w:t>
            </w:r>
          </w:p>
        </w:tc>
        <w:tc>
          <w:tcPr>
            <w:tcW w:w="1820" w:type="dxa"/>
            <w:shd w:val="clear" w:color="auto" w:fill="auto"/>
            <w:vAlign w:val="bottom"/>
          </w:tcPr>
          <w:p>
            <w:pPr>
              <w:spacing w:line="326" w:lineRule="exact"/>
              <w:ind w:left="340"/>
              <w:rPr>
                <w:rFonts w:ascii="Times New Roman" w:hAnsi="Times New Roman" w:eastAsia="Times New Roman"/>
                <w:sz w:val="31"/>
                <w:vertAlign w:val="superscript"/>
              </w:rPr>
            </w:pPr>
            <w:r>
              <w:rPr>
                <w:rFonts w:ascii="Times New Roman" w:hAnsi="Times New Roman" w:eastAsia="Times New Roman"/>
                <w:sz w:val="24"/>
              </w:rPr>
              <w:t>483±0.577</w:t>
            </w:r>
            <w:r>
              <w:rPr>
                <w:rFonts w:ascii="Times New Roman" w:hAnsi="Times New Roman" w:eastAsia="Times New Roman"/>
                <w:sz w:val="31"/>
                <w:vertAlign w:val="superscript"/>
              </w:rPr>
              <w:t>d</w:t>
            </w:r>
          </w:p>
        </w:tc>
        <w:tc>
          <w:tcPr>
            <w:tcW w:w="2060" w:type="dxa"/>
            <w:shd w:val="clear" w:color="auto" w:fill="auto"/>
            <w:vAlign w:val="bottom"/>
          </w:tcPr>
          <w:p>
            <w:pPr>
              <w:spacing w:line="326" w:lineRule="exact"/>
              <w:ind w:left="220"/>
              <w:rPr>
                <w:rFonts w:ascii="Times New Roman" w:hAnsi="Times New Roman" w:eastAsia="Times New Roman"/>
                <w:sz w:val="31"/>
                <w:vertAlign w:val="superscript"/>
              </w:rPr>
            </w:pPr>
            <w:r>
              <w:rPr>
                <w:rFonts w:ascii="Times New Roman" w:hAnsi="Times New Roman" w:eastAsia="Times New Roman"/>
                <w:sz w:val="24"/>
              </w:rPr>
              <w:t>1025±1.732</w:t>
            </w:r>
            <w:r>
              <w:rPr>
                <w:rFonts w:ascii="Times New Roman" w:hAnsi="Times New Roman" w:eastAsia="Times New Roman"/>
                <w:sz w:val="31"/>
                <w:vertAlign w:val="superscript"/>
              </w:rPr>
              <w:t>f</w:t>
            </w:r>
          </w:p>
        </w:tc>
      </w:tr>
      <w:tr>
        <w:tblPrEx>
          <w:tblCellMar>
            <w:top w:w="0" w:type="dxa"/>
            <w:left w:w="0" w:type="dxa"/>
            <w:bottom w:w="0" w:type="dxa"/>
            <w:right w:w="0" w:type="dxa"/>
          </w:tblCellMar>
        </w:tblPrEx>
        <w:trPr>
          <w:trHeight w:val="518"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BU</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5.18±0.023</w:t>
            </w:r>
            <w:r>
              <w:rPr>
                <w:rFonts w:ascii="Times New Roman" w:hAnsi="Times New Roman" w:eastAsia="Times New Roman"/>
                <w:sz w:val="31"/>
                <w:vertAlign w:val="superscript"/>
              </w:rPr>
              <w:t>h</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68±0.577</w:t>
            </w:r>
            <w:r>
              <w:rPr>
                <w:rFonts w:ascii="Times New Roman" w:hAnsi="Times New Roman" w:eastAsia="Times New Roman"/>
                <w:sz w:val="31"/>
                <w:vertAlign w:val="superscript"/>
              </w:rPr>
              <w:t>d</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914±2.309</w:t>
            </w:r>
            <w:r>
              <w:rPr>
                <w:rFonts w:ascii="Times New Roman" w:hAnsi="Times New Roman" w:eastAsia="Times New Roman"/>
                <w:sz w:val="31"/>
                <w:vertAlign w:val="superscript"/>
              </w:rPr>
              <w:t>j</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1881±0.577</w:t>
            </w:r>
            <w:r>
              <w:rPr>
                <w:rFonts w:ascii="Times New Roman" w:hAnsi="Times New Roman" w:eastAsia="Times New Roman"/>
                <w:sz w:val="31"/>
                <w:vertAlign w:val="superscript"/>
              </w:rPr>
              <w:t>l</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HC</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4.47±0.012</w:t>
            </w:r>
            <w:r>
              <w:rPr>
                <w:rFonts w:ascii="Times New Roman" w:hAnsi="Times New Roman" w:eastAsia="Times New Roman"/>
                <w:sz w:val="31"/>
                <w:vertAlign w:val="superscript"/>
              </w:rPr>
              <w:t>a</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84±2.209</w:t>
            </w:r>
            <w:r>
              <w:rPr>
                <w:rFonts w:ascii="Times New Roman" w:hAnsi="Times New Roman" w:eastAsia="Times New Roman"/>
                <w:sz w:val="31"/>
                <w:vertAlign w:val="superscript"/>
              </w:rPr>
              <w:t>g</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550±0.577</w:t>
            </w:r>
            <w:r>
              <w:rPr>
                <w:rFonts w:ascii="Times New Roman" w:hAnsi="Times New Roman" w:eastAsia="Times New Roman"/>
                <w:sz w:val="31"/>
                <w:vertAlign w:val="superscript"/>
              </w:rPr>
              <w:t>e</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1151±0.577</w:t>
            </w:r>
            <w:r>
              <w:rPr>
                <w:rFonts w:ascii="Times New Roman" w:hAnsi="Times New Roman" w:eastAsia="Times New Roman"/>
                <w:sz w:val="31"/>
                <w:vertAlign w:val="superscript"/>
              </w:rPr>
              <w:t>g</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LB</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4.54±0.012</w:t>
            </w:r>
            <w:r>
              <w:rPr>
                <w:rFonts w:ascii="Times New Roman" w:hAnsi="Times New Roman" w:eastAsia="Times New Roman"/>
                <w:sz w:val="31"/>
                <w:vertAlign w:val="superscript"/>
              </w:rPr>
              <w:t>b</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592±1.155</w:t>
            </w:r>
            <w:r>
              <w:rPr>
                <w:rFonts w:ascii="Times New Roman" w:hAnsi="Times New Roman" w:eastAsia="Times New Roman"/>
                <w:sz w:val="31"/>
                <w:vertAlign w:val="superscript"/>
              </w:rPr>
              <w:t>j</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243±0.577</w:t>
            </w:r>
            <w:r>
              <w:rPr>
                <w:rFonts w:ascii="Times New Roman" w:hAnsi="Times New Roman" w:eastAsia="Times New Roman"/>
                <w:sz w:val="31"/>
                <w:vertAlign w:val="superscript"/>
              </w:rPr>
              <w:t>a</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497±1.155</w:t>
            </w:r>
            <w:r>
              <w:rPr>
                <w:rFonts w:ascii="Times New Roman" w:hAnsi="Times New Roman" w:eastAsia="Times New Roman"/>
                <w:sz w:val="31"/>
                <w:vertAlign w:val="superscript"/>
              </w:rPr>
              <w:t>b</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EV</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4.60±0.006</w:t>
            </w:r>
            <w:r>
              <w:rPr>
                <w:rFonts w:ascii="Times New Roman" w:hAnsi="Times New Roman" w:eastAsia="Times New Roman"/>
                <w:sz w:val="31"/>
                <w:vertAlign w:val="superscript"/>
              </w:rPr>
              <w:t>c</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450±0.577</w:t>
            </w:r>
            <w:r>
              <w:rPr>
                <w:rFonts w:ascii="Times New Roman" w:hAnsi="Times New Roman" w:eastAsia="Times New Roman"/>
                <w:sz w:val="31"/>
                <w:vertAlign w:val="superscript"/>
              </w:rPr>
              <w:t>i</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477±1.732</w:t>
            </w:r>
            <w:r>
              <w:rPr>
                <w:rFonts w:ascii="Times New Roman" w:hAnsi="Times New Roman" w:eastAsia="Times New Roman"/>
                <w:sz w:val="31"/>
                <w:vertAlign w:val="superscript"/>
              </w:rPr>
              <w:t>c</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999±1.732</w:t>
            </w:r>
            <w:r>
              <w:rPr>
                <w:rFonts w:ascii="Times New Roman" w:hAnsi="Times New Roman" w:eastAsia="Times New Roman"/>
                <w:sz w:val="31"/>
                <w:vertAlign w:val="superscript"/>
              </w:rPr>
              <w:t>e</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PH</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4.83±0.017</w:t>
            </w:r>
            <w:r>
              <w:rPr>
                <w:rFonts w:ascii="Times New Roman" w:hAnsi="Times New Roman" w:eastAsia="Times New Roman"/>
                <w:sz w:val="31"/>
                <w:vertAlign w:val="superscript"/>
              </w:rPr>
              <w:t>e</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75±1.732</w:t>
            </w:r>
            <w:r>
              <w:rPr>
                <w:rFonts w:ascii="Times New Roman" w:hAnsi="Times New Roman" w:eastAsia="Times New Roman"/>
                <w:sz w:val="31"/>
                <w:vertAlign w:val="superscript"/>
              </w:rPr>
              <w:t>e,f</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762±0.577</w:t>
            </w:r>
            <w:r>
              <w:rPr>
                <w:rFonts w:ascii="Times New Roman" w:hAnsi="Times New Roman" w:eastAsia="Times New Roman"/>
                <w:sz w:val="31"/>
                <w:vertAlign w:val="superscript"/>
              </w:rPr>
              <w:t>g</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1577±1.732</w:t>
            </w:r>
            <w:r>
              <w:rPr>
                <w:rFonts w:ascii="Times New Roman" w:hAnsi="Times New Roman" w:eastAsia="Times New Roman"/>
                <w:sz w:val="31"/>
                <w:vertAlign w:val="superscript"/>
              </w:rPr>
              <w:t>i</w:t>
            </w:r>
          </w:p>
        </w:tc>
      </w:tr>
      <w:tr>
        <w:tblPrEx>
          <w:tblCellMar>
            <w:top w:w="0" w:type="dxa"/>
            <w:left w:w="0" w:type="dxa"/>
            <w:bottom w:w="0" w:type="dxa"/>
            <w:right w:w="0" w:type="dxa"/>
          </w:tblCellMar>
        </w:tblPrEx>
        <w:trPr>
          <w:trHeight w:val="553"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XL</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5.04±0.023</w:t>
            </w:r>
            <w:r>
              <w:rPr>
                <w:rFonts w:ascii="Times New Roman" w:hAnsi="Times New Roman" w:eastAsia="Times New Roman"/>
                <w:sz w:val="31"/>
                <w:vertAlign w:val="superscript"/>
              </w:rPr>
              <w:t>g</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77±1.155</w:t>
            </w:r>
            <w:r>
              <w:rPr>
                <w:rFonts w:ascii="Times New Roman" w:hAnsi="Times New Roman" w:eastAsia="Times New Roman"/>
                <w:sz w:val="31"/>
                <w:vertAlign w:val="superscript"/>
              </w:rPr>
              <w:t>f</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676±1.732</w:t>
            </w:r>
            <w:r>
              <w:rPr>
                <w:rFonts w:ascii="Times New Roman" w:hAnsi="Times New Roman" w:eastAsia="Times New Roman"/>
                <w:sz w:val="31"/>
                <w:vertAlign w:val="superscript"/>
              </w:rPr>
              <w:t>f</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1410±2.887</w:t>
            </w:r>
            <w:r>
              <w:rPr>
                <w:rFonts w:ascii="Times New Roman" w:hAnsi="Times New Roman" w:eastAsia="Times New Roman"/>
                <w:sz w:val="31"/>
                <w:vertAlign w:val="superscript"/>
              </w:rPr>
              <w:t>h</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JW</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4.99±0.006</w:t>
            </w:r>
            <w:r>
              <w:rPr>
                <w:rFonts w:ascii="Times New Roman" w:hAnsi="Times New Roman" w:eastAsia="Times New Roman"/>
                <w:sz w:val="31"/>
                <w:vertAlign w:val="superscript"/>
              </w:rPr>
              <w:t>f</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84±2.309</w:t>
            </w:r>
            <w:r>
              <w:rPr>
                <w:rFonts w:ascii="Times New Roman" w:hAnsi="Times New Roman" w:eastAsia="Times New Roman"/>
                <w:sz w:val="31"/>
                <w:vertAlign w:val="superscript"/>
              </w:rPr>
              <w:t>g</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849±0.577</w:t>
            </w:r>
            <w:r>
              <w:rPr>
                <w:rFonts w:ascii="Times New Roman" w:hAnsi="Times New Roman" w:eastAsia="Times New Roman"/>
                <w:sz w:val="31"/>
                <w:vertAlign w:val="superscript"/>
              </w:rPr>
              <w:t>i</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1761±1.555</w:t>
            </w:r>
            <w:r>
              <w:rPr>
                <w:rFonts w:ascii="Times New Roman" w:hAnsi="Times New Roman" w:eastAsia="Times New Roman"/>
                <w:sz w:val="31"/>
                <w:vertAlign w:val="superscript"/>
              </w:rPr>
              <w:t>k</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WD</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5.27±0.017</w:t>
            </w:r>
            <w:r>
              <w:rPr>
                <w:rFonts w:ascii="Times New Roman" w:hAnsi="Times New Roman" w:eastAsia="Times New Roman"/>
                <w:sz w:val="31"/>
                <w:vertAlign w:val="superscript"/>
              </w:rPr>
              <w:t>i</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71±0.577</w:t>
            </w:r>
            <w:r>
              <w:rPr>
                <w:rFonts w:ascii="Times New Roman" w:hAnsi="Times New Roman" w:eastAsia="Times New Roman"/>
                <w:sz w:val="31"/>
                <w:vertAlign w:val="superscript"/>
              </w:rPr>
              <w:t>d,e</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940±0.000</w:t>
            </w:r>
            <w:r>
              <w:rPr>
                <w:rFonts w:ascii="Times New Roman" w:hAnsi="Times New Roman" w:eastAsia="Times New Roman"/>
                <w:sz w:val="31"/>
                <w:vertAlign w:val="superscript"/>
              </w:rPr>
              <w:t>k</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1935±1.555</w:t>
            </w:r>
            <w:r>
              <w:rPr>
                <w:rFonts w:ascii="Times New Roman" w:hAnsi="Times New Roman" w:eastAsia="Times New Roman"/>
                <w:sz w:val="31"/>
                <w:vertAlign w:val="superscript"/>
              </w:rPr>
              <w:t>m</w:t>
            </w:r>
          </w:p>
        </w:tc>
      </w:tr>
      <w:tr>
        <w:tblPrEx>
          <w:tblCellMar>
            <w:top w:w="0" w:type="dxa"/>
            <w:left w:w="0" w:type="dxa"/>
            <w:bottom w:w="0" w:type="dxa"/>
            <w:right w:w="0" w:type="dxa"/>
          </w:tblCellMar>
        </w:tblPrEx>
        <w:trPr>
          <w:trHeight w:val="553"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KM</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4.69±0.006</w:t>
            </w:r>
            <w:r>
              <w:rPr>
                <w:rFonts w:ascii="Times New Roman" w:hAnsi="Times New Roman" w:eastAsia="Times New Roman"/>
                <w:sz w:val="31"/>
                <w:vertAlign w:val="superscript"/>
              </w:rPr>
              <w:t>d</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53±1.732</w:t>
            </w:r>
            <w:r>
              <w:rPr>
                <w:rFonts w:ascii="Times New Roman" w:hAnsi="Times New Roman" w:eastAsia="Times New Roman"/>
                <w:sz w:val="31"/>
                <w:vertAlign w:val="superscript"/>
              </w:rPr>
              <w:t>c</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241±0.577</w:t>
            </w:r>
            <w:r>
              <w:rPr>
                <w:rFonts w:ascii="Times New Roman" w:hAnsi="Times New Roman" w:eastAsia="Times New Roman"/>
                <w:sz w:val="31"/>
                <w:vertAlign w:val="superscript"/>
              </w:rPr>
              <w:t>a</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516±1.555</w:t>
            </w:r>
            <w:r>
              <w:rPr>
                <w:rFonts w:ascii="Times New Roman" w:hAnsi="Times New Roman" w:eastAsia="Times New Roman"/>
                <w:sz w:val="31"/>
                <w:vertAlign w:val="superscript"/>
              </w:rPr>
              <w:t>c</w:t>
            </w:r>
          </w:p>
        </w:tc>
      </w:tr>
      <w:tr>
        <w:tblPrEx>
          <w:tblCellMar>
            <w:top w:w="0" w:type="dxa"/>
            <w:left w:w="0" w:type="dxa"/>
            <w:bottom w:w="0" w:type="dxa"/>
            <w:right w:w="0" w:type="dxa"/>
          </w:tblCellMar>
        </w:tblPrEx>
        <w:trPr>
          <w:trHeight w:val="551"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RB</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Liquid</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4.96±0.017</w:t>
            </w:r>
            <w:r>
              <w:rPr>
                <w:rFonts w:ascii="Times New Roman" w:hAnsi="Times New Roman" w:eastAsia="Times New Roman"/>
                <w:sz w:val="31"/>
                <w:vertAlign w:val="superscript"/>
              </w:rPr>
              <w:t>f</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73±1.732</w:t>
            </w:r>
            <w:r>
              <w:rPr>
                <w:rFonts w:ascii="Times New Roman" w:hAnsi="Times New Roman" w:eastAsia="Times New Roman"/>
                <w:sz w:val="31"/>
                <w:vertAlign w:val="superscript"/>
              </w:rPr>
              <w:t>e,f</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963±1.155</w:t>
            </w:r>
            <w:r>
              <w:rPr>
                <w:rFonts w:ascii="Times New Roman" w:hAnsi="Times New Roman" w:eastAsia="Times New Roman"/>
                <w:sz w:val="31"/>
                <w:vertAlign w:val="superscript"/>
              </w:rPr>
              <w:t>l</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1975±1.732</w:t>
            </w:r>
            <w:r>
              <w:rPr>
                <w:rFonts w:ascii="Times New Roman" w:hAnsi="Times New Roman" w:eastAsia="Times New Roman"/>
                <w:sz w:val="31"/>
                <w:vertAlign w:val="superscript"/>
              </w:rPr>
              <w:t>n</w:t>
            </w:r>
          </w:p>
        </w:tc>
      </w:tr>
      <w:tr>
        <w:tblPrEx>
          <w:tblCellMar>
            <w:top w:w="0" w:type="dxa"/>
            <w:left w:w="0" w:type="dxa"/>
            <w:bottom w:w="0" w:type="dxa"/>
            <w:right w:w="0" w:type="dxa"/>
          </w:tblCellMar>
        </w:tblPrEx>
        <w:trPr>
          <w:trHeight w:val="552"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PA</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Powder</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5.96±0.012</w:t>
            </w:r>
            <w:r>
              <w:rPr>
                <w:rFonts w:ascii="Times New Roman" w:hAnsi="Times New Roman" w:eastAsia="Times New Roman"/>
                <w:sz w:val="31"/>
                <w:vertAlign w:val="superscript"/>
              </w:rPr>
              <w:t>k</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49±0.577</w:t>
            </w:r>
            <w:r>
              <w:rPr>
                <w:rFonts w:ascii="Times New Roman" w:hAnsi="Times New Roman" w:eastAsia="Times New Roman"/>
                <w:sz w:val="31"/>
                <w:vertAlign w:val="superscript"/>
              </w:rPr>
              <w:t>c</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1064±0.577</w:t>
            </w:r>
            <w:r>
              <w:rPr>
                <w:rFonts w:ascii="Times New Roman" w:hAnsi="Times New Roman" w:eastAsia="Times New Roman"/>
                <w:sz w:val="31"/>
                <w:vertAlign w:val="superscript"/>
              </w:rPr>
              <w:t>m</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2210±0.006</w:t>
            </w:r>
            <w:r>
              <w:rPr>
                <w:rFonts w:ascii="Times New Roman" w:hAnsi="Times New Roman" w:eastAsia="Times New Roman"/>
                <w:sz w:val="31"/>
                <w:vertAlign w:val="superscript"/>
              </w:rPr>
              <w:t>a</w:t>
            </w:r>
          </w:p>
        </w:tc>
      </w:tr>
      <w:tr>
        <w:tblPrEx>
          <w:tblCellMar>
            <w:top w:w="0" w:type="dxa"/>
            <w:left w:w="0" w:type="dxa"/>
            <w:bottom w:w="0" w:type="dxa"/>
            <w:right w:w="0" w:type="dxa"/>
          </w:tblCellMar>
        </w:tblPrEx>
        <w:trPr>
          <w:trHeight w:val="553"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EJ</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Powder</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5.44±0.023</w:t>
            </w:r>
            <w:r>
              <w:rPr>
                <w:rFonts w:ascii="Times New Roman" w:hAnsi="Times New Roman" w:eastAsia="Times New Roman"/>
                <w:sz w:val="31"/>
                <w:vertAlign w:val="superscript"/>
              </w:rPr>
              <w:t>j</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13±1.732</w:t>
            </w:r>
            <w:r>
              <w:rPr>
                <w:rFonts w:ascii="Times New Roman" w:hAnsi="Times New Roman" w:eastAsia="Times New Roman"/>
                <w:sz w:val="31"/>
                <w:vertAlign w:val="superscript"/>
              </w:rPr>
              <w:t>b</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832±1.155</w:t>
            </w:r>
            <w:r>
              <w:rPr>
                <w:rFonts w:ascii="Times New Roman" w:hAnsi="Times New Roman" w:eastAsia="Times New Roman"/>
                <w:sz w:val="31"/>
                <w:vertAlign w:val="superscript"/>
              </w:rPr>
              <w:t>h</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1748±1.732</w:t>
            </w:r>
            <w:r>
              <w:rPr>
                <w:rFonts w:ascii="Times New Roman" w:hAnsi="Times New Roman" w:eastAsia="Times New Roman"/>
                <w:sz w:val="31"/>
                <w:vertAlign w:val="superscript"/>
              </w:rPr>
              <w:t>j</w:t>
            </w:r>
          </w:p>
        </w:tc>
      </w:tr>
      <w:tr>
        <w:tblPrEx>
          <w:tblCellMar>
            <w:top w:w="0" w:type="dxa"/>
            <w:left w:w="0" w:type="dxa"/>
            <w:bottom w:w="0" w:type="dxa"/>
            <w:right w:w="0" w:type="dxa"/>
          </w:tblCellMar>
        </w:tblPrEx>
        <w:trPr>
          <w:trHeight w:val="551" w:hRule="atLeast"/>
        </w:trPr>
        <w:tc>
          <w:tcPr>
            <w:tcW w:w="1080" w:type="dxa"/>
            <w:shd w:val="clear" w:color="auto" w:fill="auto"/>
            <w:vAlign w:val="bottom"/>
          </w:tcPr>
          <w:p>
            <w:pPr>
              <w:spacing w:line="0" w:lineRule="atLeast"/>
              <w:ind w:left="120"/>
              <w:rPr>
                <w:rFonts w:ascii="Times New Roman" w:hAnsi="Times New Roman" w:eastAsia="Times New Roman"/>
                <w:sz w:val="24"/>
              </w:rPr>
            </w:pPr>
            <w:r>
              <w:rPr>
                <w:rFonts w:ascii="Times New Roman" w:hAnsi="Times New Roman" w:eastAsia="Times New Roman"/>
                <w:sz w:val="24"/>
              </w:rPr>
              <w:t>AL</w:t>
            </w:r>
          </w:p>
        </w:tc>
        <w:tc>
          <w:tcPr>
            <w:tcW w:w="1500" w:type="dxa"/>
            <w:shd w:val="clear" w:color="auto" w:fill="auto"/>
            <w:vAlign w:val="bottom"/>
          </w:tcPr>
          <w:p>
            <w:pPr>
              <w:spacing w:line="0" w:lineRule="atLeast"/>
              <w:ind w:left="140"/>
              <w:rPr>
                <w:rFonts w:ascii="Times New Roman" w:hAnsi="Times New Roman" w:eastAsia="Times New Roman"/>
                <w:sz w:val="24"/>
              </w:rPr>
            </w:pPr>
            <w:r>
              <w:rPr>
                <w:rFonts w:ascii="Times New Roman" w:hAnsi="Times New Roman" w:eastAsia="Times New Roman"/>
                <w:sz w:val="24"/>
              </w:rPr>
              <w:t>Powder</w:t>
            </w:r>
          </w:p>
        </w:tc>
        <w:tc>
          <w:tcPr>
            <w:tcW w:w="1520" w:type="dxa"/>
            <w:shd w:val="clear" w:color="auto" w:fill="auto"/>
            <w:vAlign w:val="bottom"/>
          </w:tcPr>
          <w:p>
            <w:pPr>
              <w:spacing w:line="0" w:lineRule="atLeast"/>
              <w:ind w:left="160"/>
              <w:rPr>
                <w:rFonts w:ascii="Times New Roman" w:hAnsi="Times New Roman" w:eastAsia="Times New Roman"/>
                <w:sz w:val="31"/>
                <w:vertAlign w:val="superscript"/>
              </w:rPr>
            </w:pPr>
            <w:r>
              <w:rPr>
                <w:rFonts w:ascii="Times New Roman" w:hAnsi="Times New Roman" w:eastAsia="Times New Roman"/>
                <w:sz w:val="24"/>
              </w:rPr>
              <w:t>4.54±0.012</w:t>
            </w:r>
            <w:r>
              <w:rPr>
                <w:rFonts w:ascii="Times New Roman" w:hAnsi="Times New Roman" w:eastAsia="Times New Roman"/>
                <w:sz w:val="31"/>
                <w:vertAlign w:val="superscript"/>
              </w:rPr>
              <w:t>b</w:t>
            </w:r>
          </w:p>
        </w:tc>
        <w:tc>
          <w:tcPr>
            <w:tcW w:w="1640" w:type="dxa"/>
            <w:shd w:val="clear" w:color="auto" w:fill="auto"/>
            <w:vAlign w:val="bottom"/>
          </w:tcPr>
          <w:p>
            <w:pPr>
              <w:spacing w:line="0" w:lineRule="atLeast"/>
              <w:ind w:left="180"/>
              <w:rPr>
                <w:rFonts w:ascii="Times New Roman" w:hAnsi="Times New Roman" w:eastAsia="Times New Roman"/>
                <w:sz w:val="31"/>
                <w:vertAlign w:val="superscript"/>
              </w:rPr>
            </w:pPr>
            <w:r>
              <w:rPr>
                <w:rFonts w:ascii="Times New Roman" w:hAnsi="Times New Roman" w:eastAsia="Times New Roman"/>
                <w:sz w:val="24"/>
              </w:rPr>
              <w:t>8±0.577</w:t>
            </w:r>
            <w:r>
              <w:rPr>
                <w:rFonts w:ascii="Times New Roman" w:hAnsi="Times New Roman" w:eastAsia="Times New Roman"/>
                <w:sz w:val="31"/>
                <w:vertAlign w:val="superscript"/>
              </w:rPr>
              <w:t>a</w:t>
            </w:r>
          </w:p>
        </w:tc>
        <w:tc>
          <w:tcPr>
            <w:tcW w:w="1820" w:type="dxa"/>
            <w:shd w:val="clear" w:color="auto" w:fill="auto"/>
            <w:vAlign w:val="bottom"/>
          </w:tcPr>
          <w:p>
            <w:pPr>
              <w:spacing w:line="0" w:lineRule="atLeast"/>
              <w:ind w:left="340"/>
              <w:rPr>
                <w:rFonts w:ascii="Times New Roman" w:hAnsi="Times New Roman" w:eastAsia="Times New Roman"/>
                <w:sz w:val="31"/>
                <w:vertAlign w:val="superscript"/>
              </w:rPr>
            </w:pPr>
            <w:r>
              <w:rPr>
                <w:rFonts w:ascii="Times New Roman" w:hAnsi="Times New Roman" w:eastAsia="Times New Roman"/>
                <w:sz w:val="24"/>
              </w:rPr>
              <w:t>410±1.155</w:t>
            </w:r>
            <w:r>
              <w:rPr>
                <w:rFonts w:ascii="Times New Roman" w:hAnsi="Times New Roman" w:eastAsia="Times New Roman"/>
                <w:sz w:val="31"/>
                <w:vertAlign w:val="superscript"/>
              </w:rPr>
              <w:t>b</w:t>
            </w:r>
          </w:p>
        </w:tc>
        <w:tc>
          <w:tcPr>
            <w:tcW w:w="2060" w:type="dxa"/>
            <w:shd w:val="clear" w:color="auto" w:fill="auto"/>
            <w:vAlign w:val="bottom"/>
          </w:tcPr>
          <w:p>
            <w:pPr>
              <w:spacing w:line="0" w:lineRule="atLeast"/>
              <w:ind w:left="220"/>
              <w:rPr>
                <w:rFonts w:ascii="Times New Roman" w:hAnsi="Times New Roman" w:eastAsia="Times New Roman"/>
                <w:sz w:val="31"/>
                <w:vertAlign w:val="superscript"/>
              </w:rPr>
            </w:pPr>
            <w:r>
              <w:rPr>
                <w:rFonts w:ascii="Times New Roman" w:hAnsi="Times New Roman" w:eastAsia="Times New Roman"/>
                <w:sz w:val="24"/>
              </w:rPr>
              <w:t>889±0.577</w:t>
            </w:r>
            <w:r>
              <w:rPr>
                <w:rFonts w:ascii="Times New Roman" w:hAnsi="Times New Roman" w:eastAsia="Times New Roman"/>
                <w:sz w:val="31"/>
                <w:vertAlign w:val="superscript"/>
              </w:rPr>
              <w:t>d</w:t>
            </w:r>
          </w:p>
        </w:tc>
      </w:tr>
    </w:tbl>
    <w:p>
      <w:pPr>
        <w:spacing w:line="20" w:lineRule="exact"/>
        <w:rPr>
          <w:rFonts w:ascii="Times New Roman" w:hAnsi="Times New Roman" w:eastAsia="Times New Roman"/>
        </w:rPr>
      </w:pPr>
      <w:r>
        <w:rPr>
          <w:rFonts w:ascii="Times New Roman" w:hAnsi="Times New Roman" w:eastAsia="Times New Roman"/>
          <w:sz w:val="31"/>
          <w:vertAlign w:val="superscript"/>
        </w:rPr>
        <w:pict>
          <v:line id="_x0000_s1029" o:spid="_x0000_s1029" o:spt="20" style="position:absolute;left:0pt;margin-left:22.55pt;margin-top:12.9pt;height:0pt;width:481.15pt;z-index:-251657216;mso-width-relative:page;mso-height-relative:page;" o:userdrawn="t" coordsize="21600,21600">
            <v:path arrowok="t"/>
            <v:fill focussize="0,0"/>
            <v:stroke weight="0.48pt"/>
            <v:imagedata o:title=""/>
            <o:lock v:ext="edit"/>
          </v:line>
        </w:pict>
      </w:r>
    </w:p>
    <w:p>
      <w:pPr>
        <w:spacing w:line="238" w:lineRule="exact"/>
        <w:rPr>
          <w:rFonts w:ascii="Times New Roman" w:hAnsi="Times New Roman" w:eastAsia="Times New Roman"/>
        </w:rPr>
      </w:pPr>
    </w:p>
    <w:p>
      <w:pPr>
        <w:spacing w:line="0" w:lineRule="atLeast"/>
        <w:ind w:left="580"/>
        <w:rPr>
          <w:rFonts w:ascii="Times New Roman" w:hAnsi="Times New Roman" w:eastAsia="Times New Roman"/>
          <w:sz w:val="18"/>
        </w:rPr>
      </w:pPr>
      <w:r>
        <w:rPr>
          <w:rFonts w:ascii="Times New Roman" w:hAnsi="Times New Roman" w:eastAsia="Times New Roman"/>
          <w:sz w:val="18"/>
        </w:rPr>
        <w:t>Results are expressed as Mean±SD. a-m: Increasing order of TDS. a-n increasing order of conductivity. A-k: increasing</w:t>
      </w:r>
    </w:p>
    <w:p>
      <w:pPr>
        <w:spacing w:line="0" w:lineRule="atLeast"/>
        <w:ind w:left="580"/>
        <w:rPr>
          <w:rFonts w:ascii="Times New Roman" w:hAnsi="Times New Roman" w:eastAsia="Times New Roman"/>
          <w:sz w:val="18"/>
        </w:rPr>
      </w:pPr>
      <w:r>
        <w:rPr>
          <w:rFonts w:ascii="Times New Roman" w:hAnsi="Times New Roman" w:eastAsia="Times New Roman"/>
          <w:sz w:val="18"/>
        </w:rPr>
        <w:t>order of pH. A-j: Increasing order of Turbidity.</w:t>
      </w:r>
    </w:p>
    <w:p>
      <w:pPr>
        <w:spacing w:line="7" w:lineRule="exact"/>
        <w:rPr>
          <w:rFonts w:ascii="Times New Roman" w:hAnsi="Times New Roman" w:eastAsia="Times New Roman"/>
        </w:rPr>
      </w:pPr>
    </w:p>
    <w:p>
      <w:pPr>
        <w:spacing w:line="235" w:lineRule="auto"/>
        <w:ind w:left="580" w:right="720"/>
        <w:rPr>
          <w:rFonts w:ascii="Times New Roman" w:hAnsi="Times New Roman" w:eastAsia="Times New Roman"/>
          <w:sz w:val="18"/>
        </w:rPr>
      </w:pPr>
      <w:r>
        <w:rPr>
          <w:rFonts w:ascii="Times New Roman" w:hAnsi="Times New Roman" w:eastAsia="Times New Roman"/>
          <w:sz w:val="18"/>
        </w:rPr>
        <w:t>Values with the same letters superscript in the column, by treatment, are not significantly different while those with different letters are significantly different at p˂0.05 from each other.</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54" w:lineRule="exact"/>
        <w:rPr>
          <w:rFonts w:ascii="Times New Roman" w:hAnsi="Times New Roman" w:eastAsia="Times New Roman"/>
        </w:rPr>
      </w:pPr>
    </w:p>
    <w:p>
      <w:pPr>
        <w:spacing w:line="0" w:lineRule="atLeast"/>
        <w:ind w:right="140"/>
        <w:jc w:val="center"/>
        <w:rPr>
          <w:sz w:val="22"/>
        </w:rPr>
      </w:pPr>
      <w:r>
        <w:rPr>
          <w:sz w:val="22"/>
        </w:rPr>
        <w:t>62</w:t>
      </w:r>
    </w:p>
    <w:p>
      <w:pPr>
        <w:spacing w:line="0" w:lineRule="atLeast"/>
        <w:ind w:right="140"/>
        <w:jc w:val="center"/>
        <w:rPr>
          <w:sz w:val="22"/>
        </w:rPr>
        <w:sectPr>
          <w:pgSz w:w="12240" w:h="15840"/>
          <w:pgMar w:top="1440" w:right="720" w:bottom="428" w:left="1440" w:header="0" w:footer="0" w:gutter="0"/>
          <w:cols w:equalWidth="0" w:num="1">
            <w:col w:w="10080"/>
          </w:cols>
          <w:docGrid w:linePitch="360" w:charSpace="0"/>
        </w:sectPr>
      </w:pPr>
    </w:p>
    <w:p>
      <w:pPr>
        <w:spacing w:line="7" w:lineRule="exact"/>
        <w:rPr>
          <w:rFonts w:ascii="Times New Roman" w:hAnsi="Times New Roman" w:eastAsia="Times New Roman"/>
        </w:rPr>
      </w:pPr>
      <w:bookmarkStart w:id="54" w:name="page63"/>
      <w:bookmarkEnd w:id="54"/>
    </w:p>
    <w:p>
      <w:pPr>
        <w:spacing w:line="233" w:lineRule="auto"/>
        <w:ind w:left="580" w:right="940"/>
        <w:rPr>
          <w:rFonts w:ascii="Times New Roman" w:hAnsi="Times New Roman" w:eastAsia="Times New Roman"/>
          <w:b/>
          <w:sz w:val="24"/>
        </w:rPr>
      </w:pPr>
      <w:r>
        <w:rPr>
          <w:rFonts w:ascii="Times New Roman" w:hAnsi="Times New Roman" w:eastAsia="Times New Roman"/>
          <w:b/>
          <w:sz w:val="24"/>
        </w:rPr>
        <w:t>Table 4.2: Cadmium, copper, zinc, lead and manganese concentrations of energy drinks</w:t>
      </w:r>
    </w:p>
    <w:p>
      <w:pPr>
        <w:spacing w:line="191" w:lineRule="exact"/>
        <w:rPr>
          <w:rFonts w:ascii="Times New Roman" w:hAnsi="Times New Roman" w:eastAsia="Times New Roman"/>
        </w:rPr>
      </w:pPr>
    </w:p>
    <w:tbl>
      <w:tblPr>
        <w:tblStyle w:val="3"/>
        <w:tblW w:w="0" w:type="auto"/>
        <w:tblInd w:w="300" w:type="dxa"/>
        <w:tblLayout w:type="fixed"/>
        <w:tblCellMar>
          <w:top w:w="0" w:type="dxa"/>
          <w:left w:w="0" w:type="dxa"/>
          <w:bottom w:w="0" w:type="dxa"/>
          <w:right w:w="0" w:type="dxa"/>
        </w:tblCellMar>
      </w:tblPr>
      <w:tblGrid>
        <w:gridCol w:w="1120"/>
        <w:gridCol w:w="1000"/>
        <w:gridCol w:w="1440"/>
        <w:gridCol w:w="1420"/>
        <w:gridCol w:w="1560"/>
        <w:gridCol w:w="1440"/>
        <w:gridCol w:w="1480"/>
      </w:tblGrid>
      <w:tr>
        <w:tblPrEx>
          <w:tblCellMar>
            <w:top w:w="0" w:type="dxa"/>
            <w:left w:w="0" w:type="dxa"/>
            <w:bottom w:w="0" w:type="dxa"/>
            <w:right w:w="0" w:type="dxa"/>
          </w:tblCellMar>
        </w:tblPrEx>
        <w:trPr>
          <w:trHeight w:val="276" w:hRule="atLeast"/>
        </w:trPr>
        <w:tc>
          <w:tcPr>
            <w:tcW w:w="112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Samples</w:t>
            </w:r>
          </w:p>
        </w:tc>
        <w:tc>
          <w:tcPr>
            <w:tcW w:w="1000" w:type="dxa"/>
            <w:tcBorders>
              <w:top w:val="single" w:color="auto" w:sz="8" w:space="0"/>
            </w:tcBorders>
            <w:shd w:val="clear" w:color="auto" w:fill="auto"/>
            <w:vAlign w:val="bottom"/>
          </w:tcPr>
          <w:p>
            <w:pPr>
              <w:spacing w:line="0" w:lineRule="atLeast"/>
              <w:ind w:left="160"/>
              <w:rPr>
                <w:rFonts w:ascii="Times New Roman" w:hAnsi="Times New Roman" w:eastAsia="Times New Roman"/>
                <w:sz w:val="24"/>
              </w:rPr>
            </w:pPr>
            <w:r>
              <w:rPr>
                <w:rFonts w:ascii="Times New Roman" w:hAnsi="Times New Roman" w:eastAsia="Times New Roman"/>
                <w:sz w:val="24"/>
              </w:rPr>
              <w:t>Sample</w:t>
            </w:r>
          </w:p>
        </w:tc>
        <w:tc>
          <w:tcPr>
            <w:tcW w:w="144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Cd (mg/L)</w:t>
            </w:r>
          </w:p>
        </w:tc>
        <w:tc>
          <w:tcPr>
            <w:tcW w:w="142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Cu (mg/L)</w:t>
            </w:r>
          </w:p>
        </w:tc>
        <w:tc>
          <w:tcPr>
            <w:tcW w:w="1560" w:type="dxa"/>
            <w:tcBorders>
              <w:top w:val="single" w:color="auto" w:sz="8" w:space="0"/>
            </w:tcBorders>
            <w:shd w:val="clear" w:color="auto" w:fill="auto"/>
            <w:vAlign w:val="bottom"/>
          </w:tcPr>
          <w:p>
            <w:pPr>
              <w:spacing w:line="0" w:lineRule="atLeast"/>
              <w:ind w:left="300"/>
              <w:rPr>
                <w:rFonts w:ascii="Times New Roman" w:hAnsi="Times New Roman" w:eastAsia="Times New Roman"/>
                <w:sz w:val="24"/>
              </w:rPr>
            </w:pPr>
            <w:r>
              <w:rPr>
                <w:rFonts w:ascii="Times New Roman" w:hAnsi="Times New Roman" w:eastAsia="Times New Roman"/>
                <w:sz w:val="24"/>
              </w:rPr>
              <w:t>Zn(mg/L)</w:t>
            </w:r>
          </w:p>
        </w:tc>
        <w:tc>
          <w:tcPr>
            <w:tcW w:w="1440" w:type="dxa"/>
            <w:tcBorders>
              <w:top w:val="single" w:color="auto" w:sz="8" w:space="0"/>
            </w:tcBorders>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Pb (mg/L)</w:t>
            </w:r>
          </w:p>
        </w:tc>
        <w:tc>
          <w:tcPr>
            <w:tcW w:w="148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Mn (mg/L)</w:t>
            </w:r>
          </w:p>
        </w:tc>
      </w:tr>
      <w:tr>
        <w:tblPrEx>
          <w:tblCellMar>
            <w:top w:w="0" w:type="dxa"/>
            <w:left w:w="0" w:type="dxa"/>
            <w:bottom w:w="0" w:type="dxa"/>
            <w:right w:w="0" w:type="dxa"/>
          </w:tblCellMar>
        </w:tblPrEx>
        <w:trPr>
          <w:trHeight w:val="280" w:hRule="atLeast"/>
        </w:trPr>
        <w:tc>
          <w:tcPr>
            <w:tcW w:w="112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000" w:type="dxa"/>
            <w:tcBorders>
              <w:bottom w:val="single" w:color="auto" w:sz="8" w:space="0"/>
            </w:tcBorders>
            <w:shd w:val="clear" w:color="auto" w:fill="auto"/>
            <w:vAlign w:val="bottom"/>
          </w:tcPr>
          <w:p>
            <w:pPr>
              <w:spacing w:line="274" w:lineRule="exact"/>
              <w:jc w:val="center"/>
              <w:rPr>
                <w:rFonts w:ascii="Times New Roman" w:hAnsi="Times New Roman" w:eastAsia="Times New Roman"/>
                <w:w w:val="96"/>
                <w:sz w:val="24"/>
              </w:rPr>
            </w:pPr>
            <w:r>
              <w:rPr>
                <w:rFonts w:ascii="Times New Roman" w:hAnsi="Times New Roman" w:eastAsia="Times New Roman"/>
                <w:w w:val="96"/>
                <w:sz w:val="24"/>
              </w:rPr>
              <w:t>type</w:t>
            </w:r>
          </w:p>
        </w:tc>
        <w:tc>
          <w:tcPr>
            <w:tcW w:w="144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42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56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44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48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62" w:hRule="atLeast"/>
        </w:trPr>
        <w:tc>
          <w:tcPr>
            <w:tcW w:w="1120" w:type="dxa"/>
            <w:shd w:val="clear" w:color="auto" w:fill="auto"/>
            <w:vAlign w:val="bottom"/>
          </w:tcPr>
          <w:p>
            <w:pPr>
              <w:spacing w:line="262" w:lineRule="exact"/>
              <w:jc w:val="center"/>
              <w:rPr>
                <w:rFonts w:ascii="Times New Roman" w:hAnsi="Times New Roman" w:eastAsia="Times New Roman"/>
                <w:w w:val="99"/>
                <w:sz w:val="24"/>
              </w:rPr>
            </w:pPr>
            <w:r>
              <w:rPr>
                <w:rFonts w:ascii="Times New Roman" w:hAnsi="Times New Roman" w:eastAsia="Times New Roman"/>
                <w:w w:val="99"/>
                <w:sz w:val="24"/>
              </w:rPr>
              <w:t>EJ</w:t>
            </w:r>
          </w:p>
        </w:tc>
        <w:tc>
          <w:tcPr>
            <w:tcW w:w="1000" w:type="dxa"/>
            <w:shd w:val="clear" w:color="auto" w:fill="auto"/>
            <w:vAlign w:val="bottom"/>
          </w:tcPr>
          <w:p>
            <w:pPr>
              <w:spacing w:line="262" w:lineRule="exact"/>
              <w:jc w:val="center"/>
              <w:rPr>
                <w:rFonts w:ascii="Times New Roman" w:hAnsi="Times New Roman" w:eastAsia="Times New Roman"/>
                <w:sz w:val="24"/>
              </w:rPr>
            </w:pPr>
            <w:r>
              <w:rPr>
                <w:rFonts w:ascii="Times New Roman" w:hAnsi="Times New Roman" w:eastAsia="Times New Roman"/>
                <w:sz w:val="24"/>
              </w:rPr>
              <w:t>Powder</w:t>
            </w:r>
          </w:p>
        </w:tc>
        <w:tc>
          <w:tcPr>
            <w:tcW w:w="1440" w:type="dxa"/>
            <w:shd w:val="clear" w:color="auto" w:fill="auto"/>
            <w:vAlign w:val="bottom"/>
          </w:tcPr>
          <w:p>
            <w:pPr>
              <w:spacing w:line="262" w:lineRule="exact"/>
              <w:jc w:val="center"/>
              <w:rPr>
                <w:rFonts w:ascii="Times New Roman" w:hAnsi="Times New Roman" w:eastAsia="Times New Roman"/>
                <w:w w:val="98"/>
                <w:sz w:val="24"/>
              </w:rPr>
            </w:pPr>
            <w:r>
              <w:rPr>
                <w:rFonts w:ascii="Times New Roman" w:hAnsi="Times New Roman" w:eastAsia="Times New Roman"/>
                <w:w w:val="98"/>
                <w:sz w:val="24"/>
              </w:rPr>
              <w:t>0.012±.0005</w:t>
            </w:r>
          </w:p>
        </w:tc>
        <w:tc>
          <w:tcPr>
            <w:tcW w:w="1420" w:type="dxa"/>
            <w:shd w:val="clear" w:color="auto" w:fill="auto"/>
            <w:vAlign w:val="bottom"/>
          </w:tcPr>
          <w:p>
            <w:pPr>
              <w:spacing w:line="262" w:lineRule="exact"/>
              <w:jc w:val="center"/>
              <w:rPr>
                <w:rFonts w:ascii="Times New Roman" w:hAnsi="Times New Roman" w:eastAsia="Times New Roman"/>
                <w:sz w:val="24"/>
              </w:rPr>
            </w:pPr>
            <w:r>
              <w:rPr>
                <w:rFonts w:ascii="Times New Roman" w:hAnsi="Times New Roman" w:eastAsia="Times New Roman"/>
                <w:sz w:val="24"/>
              </w:rPr>
              <w:t>0.102±.0003</w:t>
            </w:r>
          </w:p>
        </w:tc>
        <w:tc>
          <w:tcPr>
            <w:tcW w:w="1560" w:type="dxa"/>
            <w:shd w:val="clear" w:color="auto" w:fill="auto"/>
            <w:vAlign w:val="bottom"/>
          </w:tcPr>
          <w:p>
            <w:pPr>
              <w:spacing w:line="262" w:lineRule="exact"/>
              <w:jc w:val="center"/>
              <w:rPr>
                <w:rFonts w:ascii="Times New Roman" w:hAnsi="Times New Roman" w:eastAsia="Times New Roman"/>
                <w:w w:val="98"/>
                <w:sz w:val="24"/>
              </w:rPr>
            </w:pPr>
            <w:r>
              <w:rPr>
                <w:rFonts w:ascii="Times New Roman" w:hAnsi="Times New Roman" w:eastAsia="Times New Roman"/>
                <w:w w:val="98"/>
                <w:sz w:val="24"/>
              </w:rPr>
              <w:t>0.352±.0009</w:t>
            </w:r>
          </w:p>
        </w:tc>
        <w:tc>
          <w:tcPr>
            <w:tcW w:w="1440" w:type="dxa"/>
            <w:shd w:val="clear" w:color="auto" w:fill="auto"/>
            <w:vAlign w:val="bottom"/>
          </w:tcPr>
          <w:p>
            <w:pPr>
              <w:spacing w:line="262" w:lineRule="exact"/>
              <w:jc w:val="center"/>
              <w:rPr>
                <w:rFonts w:ascii="Times New Roman" w:hAnsi="Times New Roman" w:eastAsia="Times New Roman"/>
                <w:sz w:val="24"/>
              </w:rPr>
            </w:pPr>
            <w:r>
              <w:rPr>
                <w:rFonts w:ascii="Times New Roman" w:hAnsi="Times New Roman" w:eastAsia="Times New Roman"/>
                <w:sz w:val="24"/>
              </w:rPr>
              <w:t>0.209±.0009</w:t>
            </w:r>
          </w:p>
        </w:tc>
        <w:tc>
          <w:tcPr>
            <w:tcW w:w="1480" w:type="dxa"/>
            <w:shd w:val="clear" w:color="auto" w:fill="auto"/>
            <w:vAlign w:val="bottom"/>
          </w:tcPr>
          <w:p>
            <w:pPr>
              <w:spacing w:line="262" w:lineRule="exact"/>
              <w:jc w:val="center"/>
              <w:rPr>
                <w:rFonts w:ascii="Times New Roman" w:hAnsi="Times New Roman" w:eastAsia="Times New Roman"/>
                <w:sz w:val="24"/>
              </w:rPr>
            </w:pPr>
            <w:r>
              <w:rPr>
                <w:rFonts w:ascii="Times New Roman" w:hAnsi="Times New Roman" w:eastAsia="Times New Roman"/>
                <w:sz w:val="24"/>
              </w:rPr>
              <w:t>0.024±.0002</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PA</w:t>
            </w:r>
          </w:p>
        </w:tc>
        <w:tc>
          <w:tcPr>
            <w:tcW w:w="100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0.018±.0002</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0.643±.0021</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0.122±.0001</w:t>
            </w:r>
          </w:p>
        </w:tc>
        <w:tc>
          <w:tcPr>
            <w:tcW w:w="148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0.015±.0002</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PH</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0.062±.0005</w:t>
            </w:r>
          </w:p>
        </w:tc>
        <w:tc>
          <w:tcPr>
            <w:tcW w:w="144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c>
          <w:tcPr>
            <w:tcW w:w="148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0.003±.0001</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RB</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0.050±.0004</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0.045±.0005</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AL</w:t>
            </w:r>
          </w:p>
        </w:tc>
        <w:tc>
          <w:tcPr>
            <w:tcW w:w="100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0.041±.0003</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0.172±.0004</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0.083±.0003</w:t>
            </w:r>
          </w:p>
        </w:tc>
        <w:tc>
          <w:tcPr>
            <w:tcW w:w="148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0.007±.0005</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XL</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0.002±.0002</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0.049±.0009</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0.054±.0010</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3" w:hRule="atLeast"/>
        </w:trPr>
        <w:tc>
          <w:tcPr>
            <w:tcW w:w="112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EV</w:t>
            </w:r>
          </w:p>
        </w:tc>
        <w:tc>
          <w:tcPr>
            <w:tcW w:w="1000" w:type="dxa"/>
            <w:shd w:val="clear" w:color="auto" w:fill="auto"/>
            <w:vAlign w:val="bottom"/>
          </w:tcPr>
          <w:p>
            <w:pPr>
              <w:spacing w:line="0" w:lineRule="atLeast"/>
              <w:jc w:val="center"/>
              <w:rPr>
                <w:rFonts w:ascii="Times New Roman" w:hAnsi="Times New Roman" w:eastAsia="Times New Roman"/>
                <w:w w:val="96"/>
                <w:sz w:val="24"/>
              </w:rPr>
            </w:pPr>
            <w:r>
              <w:rPr>
                <w:rFonts w:ascii="Times New Roman" w:hAnsi="Times New Roman" w:eastAsia="Times New Roman"/>
                <w:w w:val="96"/>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0.007±.0002</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0.085±.0002</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0.028±.0006</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5"/>
                <w:sz w:val="24"/>
              </w:rPr>
            </w:pPr>
            <w:r>
              <w:rPr>
                <w:rFonts w:ascii="Times New Roman" w:hAnsi="Times New Roman" w:eastAsia="Times New Roman"/>
                <w:w w:val="95"/>
                <w:sz w:val="24"/>
              </w:rPr>
              <w:t>BU</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0.012±.0001</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0.045±.0001</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0.068±.0002</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JW</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0.019±.0002</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0.053±.0005</w:t>
            </w:r>
          </w:p>
        </w:tc>
        <w:tc>
          <w:tcPr>
            <w:tcW w:w="144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5"/>
                <w:sz w:val="24"/>
              </w:rPr>
            </w:pPr>
            <w:r>
              <w:rPr>
                <w:rFonts w:ascii="Times New Roman" w:hAnsi="Times New Roman" w:eastAsia="Times New Roman"/>
                <w:w w:val="95"/>
                <w:sz w:val="24"/>
              </w:rPr>
              <w:t>HC</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0.018±.0001</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0.052±.0006</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0.050±.0000</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WD</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0.021±.0001</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0.050±.0002</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0.078±.0005</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LB</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0.024±.0003</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0.049±.0003</w:t>
            </w:r>
          </w:p>
        </w:tc>
        <w:tc>
          <w:tcPr>
            <w:tcW w:w="144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KM</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0.022±.0002</w:t>
            </w:r>
          </w:p>
        </w:tc>
        <w:tc>
          <w:tcPr>
            <w:tcW w:w="156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0.057±.0001</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0.043±.0003</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r>
        <w:tblPrEx>
          <w:tblCellMar>
            <w:top w:w="0" w:type="dxa"/>
            <w:left w:w="0" w:type="dxa"/>
            <w:bottom w:w="0" w:type="dxa"/>
            <w:right w:w="0" w:type="dxa"/>
          </w:tblCellMar>
        </w:tblPrEx>
        <w:trPr>
          <w:trHeight w:val="552" w:hRule="atLeast"/>
        </w:trPr>
        <w:tc>
          <w:tcPr>
            <w:tcW w:w="11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SO</w:t>
            </w:r>
          </w:p>
        </w:tc>
        <w:tc>
          <w:tcPr>
            <w:tcW w:w="10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ND</w:t>
            </w:r>
          </w:p>
        </w:tc>
        <w:tc>
          <w:tcPr>
            <w:tcW w:w="142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0.070±.0006</w:t>
            </w:r>
          </w:p>
        </w:tc>
        <w:tc>
          <w:tcPr>
            <w:tcW w:w="15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13.887±.0037</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0.139±.0004</w:t>
            </w:r>
          </w:p>
        </w:tc>
        <w:tc>
          <w:tcPr>
            <w:tcW w:w="148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ND</w:t>
            </w:r>
          </w:p>
        </w:tc>
      </w:tr>
    </w:tbl>
    <w:p>
      <w:pPr>
        <w:spacing w:line="20" w:lineRule="exact"/>
        <w:rPr>
          <w:rFonts w:ascii="Times New Roman" w:hAnsi="Times New Roman" w:eastAsia="Times New Roman"/>
        </w:rPr>
      </w:pPr>
      <w:r>
        <w:rPr>
          <w:rFonts w:ascii="Times New Roman" w:hAnsi="Times New Roman" w:eastAsia="Times New Roman"/>
          <w:w w:val="97"/>
          <w:sz w:val="24"/>
        </w:rPr>
        <w:pict>
          <v:line id="_x0000_s1030" o:spid="_x0000_s1030" o:spt="20" style="position:absolute;left:0pt;margin-left:14.65pt;margin-top:14.5pt;height:0pt;width:473.45pt;z-index:-251657216;mso-width-relative:page;mso-height-relative:page;" o:userdrawn="t" coordsize="21600,21600">
            <v:path arrowok="t"/>
            <v:fill focussize="0,0"/>
            <v:stroke weight="0.47992125984252pt"/>
            <v:imagedata o:title=""/>
            <o:lock v:ext="edit"/>
          </v:line>
        </w:pict>
      </w:r>
    </w:p>
    <w:p>
      <w:pPr>
        <w:spacing w:line="265" w:lineRule="exact"/>
        <w:rPr>
          <w:rFonts w:ascii="Times New Roman" w:hAnsi="Times New Roman" w:eastAsia="Times New Roman"/>
        </w:rPr>
      </w:pPr>
    </w:p>
    <w:p>
      <w:pPr>
        <w:spacing w:line="0" w:lineRule="atLeast"/>
        <w:ind w:left="580"/>
        <w:rPr>
          <w:rFonts w:ascii="Times New Roman" w:hAnsi="Times New Roman" w:eastAsia="Times New Roman"/>
        </w:rPr>
      </w:pPr>
      <w:r>
        <w:rPr>
          <w:rFonts w:ascii="Times New Roman" w:hAnsi="Times New Roman" w:eastAsia="Times New Roman"/>
        </w:rPr>
        <w:t>Results are expressed as MeanSD. ND: Not Detected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54" w:lineRule="exact"/>
        <w:rPr>
          <w:rFonts w:ascii="Times New Roman" w:hAnsi="Times New Roman" w:eastAsia="Times New Roman"/>
        </w:rPr>
      </w:pPr>
    </w:p>
    <w:p>
      <w:pPr>
        <w:spacing w:line="0" w:lineRule="atLeast"/>
        <w:ind w:right="-179"/>
        <w:jc w:val="center"/>
        <w:rPr>
          <w:sz w:val="22"/>
        </w:rPr>
      </w:pPr>
      <w:r>
        <w:rPr>
          <w:sz w:val="22"/>
        </w:rPr>
        <w:t>63</w:t>
      </w:r>
    </w:p>
    <w:p>
      <w:pPr>
        <w:spacing w:line="0" w:lineRule="atLeast"/>
        <w:ind w:right="-179"/>
        <w:jc w:val="center"/>
        <w:rPr>
          <w:sz w:val="22"/>
        </w:rPr>
        <w:sectPr>
          <w:pgSz w:w="12240" w:h="15840"/>
          <w:pgMar w:top="1440" w:right="1040" w:bottom="428" w:left="1440" w:header="0" w:footer="0" w:gutter="0"/>
          <w:cols w:equalWidth="0" w:num="1">
            <w:col w:w="9760"/>
          </w:cols>
          <w:docGrid w:linePitch="360" w:charSpace="0"/>
        </w:sectPr>
      </w:pPr>
    </w:p>
    <w:p>
      <w:pPr>
        <w:spacing w:line="0" w:lineRule="atLeast"/>
        <w:ind w:left="580"/>
        <w:rPr>
          <w:rFonts w:ascii="Times New Roman" w:hAnsi="Times New Roman" w:eastAsia="Times New Roman"/>
          <w:b/>
          <w:sz w:val="24"/>
        </w:rPr>
      </w:pPr>
      <w:bookmarkStart w:id="55" w:name="page64"/>
      <w:bookmarkEnd w:id="55"/>
      <w:r>
        <w:rPr>
          <w:rFonts w:ascii="Times New Roman" w:hAnsi="Times New Roman" w:eastAsia="Times New Roman"/>
          <w:b/>
          <w:sz w:val="24"/>
        </w:rPr>
        <w:t>Table 4.3: Iron, calcium and potassium concentrations of energy drinks</w:t>
      </w:r>
    </w:p>
    <w:p>
      <w:pPr>
        <w:spacing w:line="261" w:lineRule="exact"/>
        <w:rPr>
          <w:rFonts w:ascii="Times New Roman" w:hAnsi="Times New Roman" w:eastAsia="Times New Roman"/>
        </w:rPr>
      </w:pPr>
    </w:p>
    <w:tbl>
      <w:tblPr>
        <w:tblStyle w:val="3"/>
        <w:tblW w:w="0" w:type="auto"/>
        <w:tblInd w:w="460" w:type="dxa"/>
        <w:tblLayout w:type="fixed"/>
        <w:tblCellMar>
          <w:top w:w="0" w:type="dxa"/>
          <w:left w:w="0" w:type="dxa"/>
          <w:bottom w:w="0" w:type="dxa"/>
          <w:right w:w="0" w:type="dxa"/>
        </w:tblCellMar>
      </w:tblPr>
      <w:tblGrid>
        <w:gridCol w:w="1700"/>
        <w:gridCol w:w="1900"/>
        <w:gridCol w:w="1780"/>
        <w:gridCol w:w="1940"/>
        <w:gridCol w:w="1700"/>
      </w:tblGrid>
      <w:tr>
        <w:tblPrEx>
          <w:tblCellMar>
            <w:top w:w="0" w:type="dxa"/>
            <w:left w:w="0" w:type="dxa"/>
            <w:bottom w:w="0" w:type="dxa"/>
            <w:right w:w="0" w:type="dxa"/>
          </w:tblCellMar>
        </w:tblPrEx>
        <w:trPr>
          <w:trHeight w:val="276" w:hRule="atLeast"/>
        </w:trPr>
        <w:tc>
          <w:tcPr>
            <w:tcW w:w="170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Samples</w:t>
            </w:r>
          </w:p>
        </w:tc>
        <w:tc>
          <w:tcPr>
            <w:tcW w:w="1900" w:type="dxa"/>
            <w:tcBorders>
              <w:top w:val="single" w:color="auto" w:sz="8" w:space="0"/>
            </w:tcBorders>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Sample type</w:t>
            </w:r>
          </w:p>
        </w:tc>
        <w:tc>
          <w:tcPr>
            <w:tcW w:w="1780" w:type="dxa"/>
            <w:tcBorders>
              <w:top w:val="single" w:color="auto" w:sz="8" w:space="0"/>
            </w:tcBorders>
            <w:shd w:val="clear" w:color="auto" w:fill="auto"/>
            <w:vAlign w:val="bottom"/>
          </w:tcPr>
          <w:p>
            <w:pPr>
              <w:spacing w:line="0" w:lineRule="atLeast"/>
              <w:ind w:right="320"/>
              <w:jc w:val="right"/>
              <w:rPr>
                <w:rFonts w:ascii="Times New Roman" w:hAnsi="Times New Roman" w:eastAsia="Times New Roman"/>
                <w:sz w:val="24"/>
              </w:rPr>
            </w:pPr>
            <w:r>
              <w:rPr>
                <w:rFonts w:ascii="Times New Roman" w:hAnsi="Times New Roman" w:eastAsia="Times New Roman"/>
                <w:sz w:val="24"/>
              </w:rPr>
              <w:t>Fe (mg/L)</w:t>
            </w:r>
          </w:p>
        </w:tc>
        <w:tc>
          <w:tcPr>
            <w:tcW w:w="1940" w:type="dxa"/>
            <w:tcBorders>
              <w:top w:val="single" w:color="auto" w:sz="8" w:space="0"/>
            </w:tcBorders>
            <w:shd w:val="clear" w:color="auto" w:fill="auto"/>
            <w:vAlign w:val="bottom"/>
          </w:tcPr>
          <w:p>
            <w:pPr>
              <w:spacing w:line="0" w:lineRule="atLeast"/>
              <w:ind w:left="420"/>
              <w:rPr>
                <w:rFonts w:ascii="Times New Roman" w:hAnsi="Times New Roman" w:eastAsia="Times New Roman"/>
                <w:sz w:val="24"/>
              </w:rPr>
            </w:pPr>
            <w:r>
              <w:rPr>
                <w:rFonts w:ascii="Times New Roman" w:hAnsi="Times New Roman" w:eastAsia="Times New Roman"/>
                <w:sz w:val="24"/>
              </w:rPr>
              <w:t>Ca (mg/L)</w:t>
            </w:r>
          </w:p>
        </w:tc>
        <w:tc>
          <w:tcPr>
            <w:tcW w:w="1700" w:type="dxa"/>
            <w:tcBorders>
              <w:top w:val="single" w:color="auto" w:sz="8" w:space="0"/>
            </w:tcBorders>
            <w:shd w:val="clear" w:color="auto" w:fill="auto"/>
            <w:vAlign w:val="bottom"/>
          </w:tcPr>
          <w:p>
            <w:pPr>
              <w:spacing w:line="0" w:lineRule="atLeast"/>
              <w:ind w:left="340"/>
              <w:rPr>
                <w:rFonts w:ascii="Times New Roman" w:hAnsi="Times New Roman" w:eastAsia="Times New Roman"/>
                <w:sz w:val="24"/>
              </w:rPr>
            </w:pPr>
            <w:r>
              <w:rPr>
                <w:rFonts w:ascii="Times New Roman" w:hAnsi="Times New Roman" w:eastAsia="Times New Roman"/>
                <w:sz w:val="24"/>
              </w:rPr>
              <w:t>K (mg/L)</w:t>
            </w:r>
          </w:p>
        </w:tc>
      </w:tr>
      <w:tr>
        <w:tblPrEx>
          <w:tblCellMar>
            <w:top w:w="0" w:type="dxa"/>
            <w:left w:w="0" w:type="dxa"/>
            <w:bottom w:w="0" w:type="dxa"/>
            <w:right w:w="0" w:type="dxa"/>
          </w:tblCellMar>
        </w:tblPrEx>
        <w:trPr>
          <w:trHeight w:val="238" w:hRule="atLeast"/>
        </w:trPr>
        <w:tc>
          <w:tcPr>
            <w:tcW w:w="1700" w:type="dxa"/>
            <w:tcBorders>
              <w:bottom w:val="single" w:color="auto" w:sz="8" w:space="0"/>
            </w:tcBorders>
            <w:shd w:val="clear" w:color="auto" w:fill="auto"/>
            <w:vAlign w:val="bottom"/>
          </w:tcPr>
          <w:p>
            <w:pPr>
              <w:spacing w:line="0" w:lineRule="atLeast"/>
              <w:rPr>
                <w:rFonts w:ascii="Times New Roman" w:hAnsi="Times New Roman" w:eastAsia="Times New Roman"/>
              </w:rPr>
            </w:pPr>
          </w:p>
        </w:tc>
        <w:tc>
          <w:tcPr>
            <w:tcW w:w="1900" w:type="dxa"/>
            <w:tcBorders>
              <w:bottom w:val="single" w:color="auto" w:sz="8" w:space="0"/>
            </w:tcBorders>
            <w:shd w:val="clear" w:color="auto" w:fill="auto"/>
            <w:vAlign w:val="bottom"/>
          </w:tcPr>
          <w:p>
            <w:pPr>
              <w:spacing w:line="0" w:lineRule="atLeast"/>
              <w:rPr>
                <w:rFonts w:ascii="Times New Roman" w:hAnsi="Times New Roman" w:eastAsia="Times New Roman"/>
              </w:rPr>
            </w:pPr>
          </w:p>
        </w:tc>
        <w:tc>
          <w:tcPr>
            <w:tcW w:w="1780" w:type="dxa"/>
            <w:tcBorders>
              <w:bottom w:val="single" w:color="auto" w:sz="8" w:space="0"/>
            </w:tcBorders>
            <w:shd w:val="clear" w:color="auto" w:fill="auto"/>
            <w:vAlign w:val="bottom"/>
          </w:tcPr>
          <w:p>
            <w:pPr>
              <w:spacing w:line="0" w:lineRule="atLeast"/>
              <w:rPr>
                <w:rFonts w:ascii="Times New Roman" w:hAnsi="Times New Roman" w:eastAsia="Times New Roman"/>
              </w:rPr>
            </w:pPr>
          </w:p>
        </w:tc>
        <w:tc>
          <w:tcPr>
            <w:tcW w:w="1940" w:type="dxa"/>
            <w:tcBorders>
              <w:bottom w:val="single" w:color="auto" w:sz="8" w:space="0"/>
            </w:tcBorders>
            <w:shd w:val="clear" w:color="auto" w:fill="auto"/>
            <w:vAlign w:val="bottom"/>
          </w:tcPr>
          <w:p>
            <w:pPr>
              <w:spacing w:line="0" w:lineRule="atLeast"/>
              <w:rPr>
                <w:rFonts w:ascii="Times New Roman" w:hAnsi="Times New Roman" w:eastAsia="Times New Roman"/>
              </w:rPr>
            </w:pPr>
          </w:p>
        </w:tc>
        <w:tc>
          <w:tcPr>
            <w:tcW w:w="1700" w:type="dxa"/>
            <w:tcBorders>
              <w:bottom w:val="single" w:color="auto" w:sz="8" w:space="0"/>
            </w:tcBorders>
            <w:shd w:val="clear" w:color="auto" w:fill="auto"/>
            <w:vAlign w:val="bottom"/>
          </w:tcPr>
          <w:p>
            <w:pPr>
              <w:spacing w:line="0" w:lineRule="atLeast"/>
              <w:rPr>
                <w:rFonts w:ascii="Times New Roman" w:hAnsi="Times New Roman" w:eastAsia="Times New Roman"/>
              </w:rPr>
            </w:pPr>
          </w:p>
        </w:tc>
      </w:tr>
      <w:tr>
        <w:tblPrEx>
          <w:tblCellMar>
            <w:top w:w="0" w:type="dxa"/>
            <w:left w:w="0" w:type="dxa"/>
            <w:bottom w:w="0" w:type="dxa"/>
            <w:right w:w="0" w:type="dxa"/>
          </w:tblCellMar>
        </w:tblPrEx>
        <w:trPr>
          <w:trHeight w:val="256" w:hRule="atLeast"/>
        </w:trPr>
        <w:tc>
          <w:tcPr>
            <w:tcW w:w="1700" w:type="dxa"/>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EJ</w:t>
            </w:r>
          </w:p>
        </w:tc>
        <w:tc>
          <w:tcPr>
            <w:tcW w:w="1900" w:type="dxa"/>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Powder</w:t>
            </w:r>
          </w:p>
        </w:tc>
        <w:tc>
          <w:tcPr>
            <w:tcW w:w="1780" w:type="dxa"/>
            <w:shd w:val="clear" w:color="auto" w:fill="auto"/>
            <w:vAlign w:val="bottom"/>
          </w:tcPr>
          <w:p>
            <w:pPr>
              <w:spacing w:line="256" w:lineRule="exact"/>
              <w:ind w:right="140"/>
              <w:jc w:val="right"/>
              <w:rPr>
                <w:rFonts w:ascii="Times New Roman" w:hAnsi="Times New Roman" w:eastAsia="Times New Roman"/>
                <w:sz w:val="24"/>
              </w:rPr>
            </w:pPr>
            <w:r>
              <w:rPr>
                <w:rFonts w:ascii="Times New Roman" w:hAnsi="Times New Roman" w:eastAsia="Times New Roman"/>
                <w:sz w:val="24"/>
              </w:rPr>
              <w:t>0.544±.0008</w:t>
            </w:r>
          </w:p>
        </w:tc>
        <w:tc>
          <w:tcPr>
            <w:tcW w:w="1940" w:type="dxa"/>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13.667±.0019</w:t>
            </w:r>
          </w:p>
        </w:tc>
        <w:tc>
          <w:tcPr>
            <w:tcW w:w="1700" w:type="dxa"/>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740.00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PA</w:t>
            </w:r>
          </w:p>
        </w:tc>
        <w:tc>
          <w:tcPr>
            <w:tcW w:w="190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0.392±.0006</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19.310±.0015</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2500.00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PH</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0.480±.0008</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13.143±.0021</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3.50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RB</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0.326±.0005</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19.310±.0029</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5.00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AL</w:t>
            </w:r>
          </w:p>
        </w:tc>
        <w:tc>
          <w:tcPr>
            <w:tcW w:w="190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0.799±.0005</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6.206±.0010</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80.00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XL</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0.418±.0002</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5.386±.0005</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3.50</w:t>
            </w:r>
          </w:p>
        </w:tc>
      </w:tr>
      <w:tr>
        <w:tblPrEx>
          <w:tblCellMar>
            <w:top w:w="0" w:type="dxa"/>
            <w:left w:w="0" w:type="dxa"/>
            <w:bottom w:w="0" w:type="dxa"/>
            <w:right w:w="0" w:type="dxa"/>
          </w:tblCellMar>
        </w:tblPrEx>
        <w:trPr>
          <w:trHeight w:val="553" w:hRule="atLeast"/>
        </w:trPr>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EV</w:t>
            </w:r>
          </w:p>
        </w:tc>
        <w:tc>
          <w:tcPr>
            <w:tcW w:w="1900" w:type="dxa"/>
            <w:shd w:val="clear" w:color="auto" w:fill="auto"/>
            <w:vAlign w:val="bottom"/>
          </w:tcPr>
          <w:p>
            <w:pPr>
              <w:spacing w:line="0" w:lineRule="atLeast"/>
              <w:ind w:left="720"/>
              <w:rPr>
                <w:rFonts w:ascii="Times New Roman" w:hAnsi="Times New Roman" w:eastAsia="Times New Roman"/>
                <w:sz w:val="24"/>
              </w:rPr>
            </w:pPr>
            <w:r>
              <w:rPr>
                <w:rFonts w:ascii="Times New Roman" w:hAnsi="Times New Roman" w:eastAsia="Times New Roman"/>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0.539±.0005</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7.402±.0020</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6.50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BU</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0.294±.0005</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2.831±.0011</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2.00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JW</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0.412±.0003</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2.763±.0009</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16.00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HC</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0.326±.0006</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8.531±.0013</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6.50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WD</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0.386±.0002</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8.290±.0012</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5.50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LB</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0.586±.0010</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4.707±.0008</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110.00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KM</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0.353±.0007</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3.546±.0004</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2.00</w:t>
            </w:r>
          </w:p>
        </w:tc>
      </w:tr>
      <w:tr>
        <w:tblPrEx>
          <w:tblCellMar>
            <w:top w:w="0" w:type="dxa"/>
            <w:left w:w="0" w:type="dxa"/>
            <w:bottom w:w="0" w:type="dxa"/>
            <w:right w:w="0" w:type="dxa"/>
          </w:tblCellMar>
        </w:tblPrEx>
        <w:trPr>
          <w:trHeight w:val="552" w:hRule="atLeast"/>
        </w:trPr>
        <w:tc>
          <w:tcPr>
            <w:tcW w:w="170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SO</w:t>
            </w:r>
          </w:p>
        </w:tc>
        <w:tc>
          <w:tcPr>
            <w:tcW w:w="19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780" w:type="dxa"/>
            <w:shd w:val="clear" w:color="auto" w:fill="auto"/>
            <w:vAlign w:val="bottom"/>
          </w:tcPr>
          <w:p>
            <w:pPr>
              <w:spacing w:line="0" w:lineRule="atLeast"/>
              <w:ind w:right="140"/>
              <w:jc w:val="right"/>
              <w:rPr>
                <w:rFonts w:ascii="Times New Roman" w:hAnsi="Times New Roman" w:eastAsia="Times New Roman"/>
                <w:sz w:val="24"/>
              </w:rPr>
            </w:pPr>
            <w:r>
              <w:rPr>
                <w:rFonts w:ascii="Times New Roman" w:hAnsi="Times New Roman" w:eastAsia="Times New Roman"/>
                <w:sz w:val="24"/>
              </w:rPr>
              <w:t>1.961±.0003</w:t>
            </w:r>
          </w:p>
        </w:tc>
        <w:tc>
          <w:tcPr>
            <w:tcW w:w="19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5.117±.0001</w:t>
            </w:r>
          </w:p>
        </w:tc>
        <w:tc>
          <w:tcPr>
            <w:tcW w:w="170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25.50</w:t>
            </w:r>
          </w:p>
        </w:tc>
      </w:tr>
      <w:tr>
        <w:tblPrEx>
          <w:tblCellMar>
            <w:top w:w="0" w:type="dxa"/>
            <w:left w:w="0" w:type="dxa"/>
            <w:bottom w:w="0" w:type="dxa"/>
            <w:right w:w="0" w:type="dxa"/>
          </w:tblCellMar>
        </w:tblPrEx>
        <w:trPr>
          <w:trHeight w:val="286" w:hRule="atLeast"/>
        </w:trPr>
        <w:tc>
          <w:tcPr>
            <w:tcW w:w="170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90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78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94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c>
          <w:tcPr>
            <w:tcW w:w="1700" w:type="dxa"/>
            <w:tcBorders>
              <w:bottom w:val="single" w:color="auto" w:sz="8" w:space="0"/>
            </w:tcBorders>
            <w:shd w:val="clear" w:color="auto" w:fill="auto"/>
            <w:vAlign w:val="bottom"/>
          </w:tcPr>
          <w:p>
            <w:pPr>
              <w:spacing w:line="0" w:lineRule="atLeast"/>
              <w:rPr>
                <w:rFonts w:ascii="Times New Roman" w:hAnsi="Times New Roman" w:eastAsia="Times New Roman"/>
                <w:sz w:val="24"/>
              </w:rPr>
            </w:pPr>
          </w:p>
        </w:tc>
      </w:tr>
    </w:tbl>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3" w:lineRule="exact"/>
        <w:rPr>
          <w:rFonts w:ascii="Times New Roman" w:hAnsi="Times New Roman" w:eastAsia="Times New Roman"/>
        </w:rPr>
      </w:pPr>
    </w:p>
    <w:p>
      <w:pPr>
        <w:spacing w:line="0" w:lineRule="atLeast"/>
        <w:ind w:right="-459"/>
        <w:jc w:val="center"/>
        <w:rPr>
          <w:sz w:val="22"/>
        </w:rPr>
      </w:pPr>
      <w:r>
        <w:rPr>
          <w:sz w:val="22"/>
        </w:rPr>
        <w:t>64</w:t>
      </w:r>
    </w:p>
    <w:p>
      <w:pPr>
        <w:spacing w:line="0" w:lineRule="atLeast"/>
        <w:ind w:right="-459"/>
        <w:jc w:val="center"/>
        <w:rPr>
          <w:sz w:val="22"/>
        </w:rPr>
        <w:sectPr>
          <w:pgSz w:w="12240" w:h="15840"/>
          <w:pgMar w:top="1435" w:right="1320" w:bottom="428" w:left="1440" w:header="0" w:footer="0" w:gutter="0"/>
          <w:cols w:equalWidth="0" w:num="1">
            <w:col w:w="9480"/>
          </w:cols>
          <w:docGrid w:linePitch="360" w:charSpace="0"/>
        </w:sectPr>
      </w:pPr>
    </w:p>
    <w:p>
      <w:pPr>
        <w:spacing w:line="0" w:lineRule="atLeast"/>
        <w:ind w:left="580"/>
        <w:rPr>
          <w:rFonts w:ascii="Times New Roman" w:hAnsi="Times New Roman" w:eastAsia="Times New Roman"/>
          <w:b/>
          <w:sz w:val="24"/>
        </w:rPr>
      </w:pPr>
      <w:bookmarkStart w:id="56" w:name="page65"/>
      <w:bookmarkEnd w:id="56"/>
      <w:r>
        <w:rPr>
          <w:rFonts w:ascii="Times New Roman" w:hAnsi="Times New Roman" w:eastAsia="Times New Roman"/>
          <w:b/>
          <w:sz w:val="24"/>
        </w:rPr>
        <w:t>Table 4.4: Concentration of sugar, caffeine and aspartame</w:t>
      </w:r>
    </w:p>
    <w:p>
      <w:pPr>
        <w:spacing w:line="261" w:lineRule="exact"/>
        <w:rPr>
          <w:rFonts w:ascii="Times New Roman" w:hAnsi="Times New Roman" w:eastAsia="Times New Roman"/>
        </w:rPr>
      </w:pPr>
    </w:p>
    <w:tbl>
      <w:tblPr>
        <w:tblStyle w:val="3"/>
        <w:tblW w:w="0" w:type="auto"/>
        <w:tblInd w:w="460" w:type="dxa"/>
        <w:tblLayout w:type="fixed"/>
        <w:tblCellMar>
          <w:top w:w="0" w:type="dxa"/>
          <w:left w:w="0" w:type="dxa"/>
          <w:bottom w:w="0" w:type="dxa"/>
          <w:right w:w="0" w:type="dxa"/>
        </w:tblCellMar>
      </w:tblPr>
      <w:tblGrid>
        <w:gridCol w:w="1460"/>
        <w:gridCol w:w="1440"/>
        <w:gridCol w:w="1940"/>
        <w:gridCol w:w="2040"/>
        <w:gridCol w:w="2140"/>
      </w:tblGrid>
      <w:tr>
        <w:tblPrEx>
          <w:tblCellMar>
            <w:top w:w="0" w:type="dxa"/>
            <w:left w:w="0" w:type="dxa"/>
            <w:bottom w:w="0" w:type="dxa"/>
            <w:right w:w="0" w:type="dxa"/>
          </w:tblCellMar>
        </w:tblPrEx>
        <w:trPr>
          <w:trHeight w:val="276" w:hRule="atLeast"/>
        </w:trPr>
        <w:tc>
          <w:tcPr>
            <w:tcW w:w="146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Samples</w:t>
            </w:r>
          </w:p>
        </w:tc>
        <w:tc>
          <w:tcPr>
            <w:tcW w:w="144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Sample</w:t>
            </w:r>
          </w:p>
        </w:tc>
        <w:tc>
          <w:tcPr>
            <w:tcW w:w="194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Sugar (mg/L)</w:t>
            </w:r>
          </w:p>
        </w:tc>
        <w:tc>
          <w:tcPr>
            <w:tcW w:w="2040" w:type="dxa"/>
            <w:tcBorders>
              <w:top w:val="single" w:color="auto" w:sz="8" w:space="0"/>
            </w:tcBorders>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Caffeine (mg/L)</w:t>
            </w:r>
          </w:p>
        </w:tc>
        <w:tc>
          <w:tcPr>
            <w:tcW w:w="2140" w:type="dxa"/>
            <w:tcBorders>
              <w:top w:val="single" w:color="auto" w:sz="8" w:space="0"/>
            </w:tcBorders>
            <w:shd w:val="clear" w:color="auto" w:fill="auto"/>
            <w:vAlign w:val="bottom"/>
          </w:tcPr>
          <w:p>
            <w:pPr>
              <w:spacing w:line="0" w:lineRule="atLeast"/>
              <w:jc w:val="center"/>
              <w:rPr>
                <w:rFonts w:ascii="Times New Roman" w:hAnsi="Times New Roman" w:eastAsia="Times New Roman"/>
                <w:w w:val="98"/>
                <w:sz w:val="24"/>
              </w:rPr>
            </w:pPr>
            <w:r>
              <w:rPr>
                <w:rFonts w:ascii="Times New Roman" w:hAnsi="Times New Roman" w:eastAsia="Times New Roman"/>
                <w:w w:val="98"/>
                <w:sz w:val="24"/>
              </w:rPr>
              <w:t>Aspartame (mg/L)</w:t>
            </w:r>
          </w:p>
        </w:tc>
      </w:tr>
      <w:tr>
        <w:tblPrEx>
          <w:tblCellMar>
            <w:top w:w="0" w:type="dxa"/>
            <w:left w:w="0" w:type="dxa"/>
            <w:bottom w:w="0" w:type="dxa"/>
            <w:right w:w="0" w:type="dxa"/>
          </w:tblCellMar>
        </w:tblPrEx>
        <w:trPr>
          <w:trHeight w:val="317" w:hRule="atLeast"/>
        </w:trPr>
        <w:tc>
          <w:tcPr>
            <w:tcW w:w="1460" w:type="dxa"/>
            <w:shd w:val="clear" w:color="auto" w:fill="auto"/>
            <w:vAlign w:val="bottom"/>
          </w:tcPr>
          <w:p>
            <w:pPr>
              <w:spacing w:line="0" w:lineRule="atLeast"/>
              <w:rPr>
                <w:rFonts w:ascii="Times New Roman" w:hAnsi="Times New Roman" w:eastAsia="Times New Roman"/>
                <w:sz w:val="24"/>
              </w:rPr>
            </w:pPr>
          </w:p>
        </w:tc>
        <w:tc>
          <w:tcPr>
            <w:tcW w:w="1440" w:type="dxa"/>
            <w:shd w:val="clear" w:color="auto" w:fill="auto"/>
            <w:vAlign w:val="bottom"/>
          </w:tcPr>
          <w:p>
            <w:pPr>
              <w:spacing w:line="0" w:lineRule="atLeast"/>
              <w:jc w:val="center"/>
              <w:rPr>
                <w:rFonts w:ascii="Times New Roman" w:hAnsi="Times New Roman" w:eastAsia="Times New Roman"/>
                <w:w w:val="96"/>
                <w:sz w:val="24"/>
              </w:rPr>
            </w:pPr>
            <w:r>
              <w:rPr>
                <w:rFonts w:ascii="Times New Roman" w:hAnsi="Times New Roman" w:eastAsia="Times New Roman"/>
                <w:w w:val="96"/>
                <w:sz w:val="24"/>
              </w:rPr>
              <w:t>type</w:t>
            </w:r>
          </w:p>
        </w:tc>
        <w:tc>
          <w:tcPr>
            <w:tcW w:w="1940" w:type="dxa"/>
            <w:shd w:val="clear" w:color="auto" w:fill="auto"/>
            <w:vAlign w:val="bottom"/>
          </w:tcPr>
          <w:p>
            <w:pPr>
              <w:spacing w:line="0" w:lineRule="atLeast"/>
              <w:rPr>
                <w:rFonts w:ascii="Times New Roman" w:hAnsi="Times New Roman" w:eastAsia="Times New Roman"/>
                <w:sz w:val="24"/>
              </w:rPr>
            </w:pPr>
          </w:p>
        </w:tc>
        <w:tc>
          <w:tcPr>
            <w:tcW w:w="2040" w:type="dxa"/>
            <w:shd w:val="clear" w:color="auto" w:fill="auto"/>
            <w:vAlign w:val="bottom"/>
          </w:tcPr>
          <w:p>
            <w:pPr>
              <w:spacing w:line="0" w:lineRule="atLeast"/>
              <w:rPr>
                <w:rFonts w:ascii="Times New Roman" w:hAnsi="Times New Roman" w:eastAsia="Times New Roman"/>
                <w:sz w:val="24"/>
              </w:rPr>
            </w:pPr>
          </w:p>
        </w:tc>
        <w:tc>
          <w:tcPr>
            <w:tcW w:w="2140" w:type="dxa"/>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51" w:hRule="atLeast"/>
        </w:trPr>
        <w:tc>
          <w:tcPr>
            <w:tcW w:w="1460" w:type="dxa"/>
            <w:tcBorders>
              <w:bottom w:val="single" w:color="auto" w:sz="8" w:space="0"/>
            </w:tcBorders>
            <w:shd w:val="clear" w:color="auto" w:fill="auto"/>
            <w:vAlign w:val="bottom"/>
          </w:tcPr>
          <w:p>
            <w:pPr>
              <w:spacing w:line="0" w:lineRule="atLeast"/>
              <w:rPr>
                <w:rFonts w:ascii="Times New Roman" w:hAnsi="Times New Roman" w:eastAsia="Times New Roman"/>
                <w:sz w:val="4"/>
              </w:rPr>
            </w:pPr>
          </w:p>
        </w:tc>
        <w:tc>
          <w:tcPr>
            <w:tcW w:w="1440" w:type="dxa"/>
            <w:tcBorders>
              <w:bottom w:val="single" w:color="auto" w:sz="8" w:space="0"/>
            </w:tcBorders>
            <w:shd w:val="clear" w:color="auto" w:fill="auto"/>
            <w:vAlign w:val="bottom"/>
          </w:tcPr>
          <w:p>
            <w:pPr>
              <w:spacing w:line="0" w:lineRule="atLeast"/>
              <w:rPr>
                <w:rFonts w:ascii="Times New Roman" w:hAnsi="Times New Roman" w:eastAsia="Times New Roman"/>
                <w:sz w:val="4"/>
              </w:rPr>
            </w:pPr>
          </w:p>
        </w:tc>
        <w:tc>
          <w:tcPr>
            <w:tcW w:w="1940" w:type="dxa"/>
            <w:tcBorders>
              <w:bottom w:val="single" w:color="auto" w:sz="8" w:space="0"/>
            </w:tcBorders>
            <w:shd w:val="clear" w:color="auto" w:fill="auto"/>
            <w:vAlign w:val="bottom"/>
          </w:tcPr>
          <w:p>
            <w:pPr>
              <w:spacing w:line="0" w:lineRule="atLeast"/>
              <w:rPr>
                <w:rFonts w:ascii="Times New Roman" w:hAnsi="Times New Roman" w:eastAsia="Times New Roman"/>
                <w:sz w:val="4"/>
              </w:rPr>
            </w:pPr>
          </w:p>
        </w:tc>
        <w:tc>
          <w:tcPr>
            <w:tcW w:w="2040" w:type="dxa"/>
            <w:tcBorders>
              <w:bottom w:val="single" w:color="auto" w:sz="8" w:space="0"/>
            </w:tcBorders>
            <w:shd w:val="clear" w:color="auto" w:fill="auto"/>
            <w:vAlign w:val="bottom"/>
          </w:tcPr>
          <w:p>
            <w:pPr>
              <w:spacing w:line="0" w:lineRule="atLeast"/>
              <w:rPr>
                <w:rFonts w:ascii="Times New Roman" w:hAnsi="Times New Roman" w:eastAsia="Times New Roman"/>
                <w:sz w:val="4"/>
              </w:rPr>
            </w:pPr>
          </w:p>
        </w:tc>
        <w:tc>
          <w:tcPr>
            <w:tcW w:w="2140" w:type="dxa"/>
            <w:tcBorders>
              <w:bottom w:val="single" w:color="auto" w:sz="8" w:space="0"/>
            </w:tcBorders>
            <w:shd w:val="clear" w:color="auto" w:fill="auto"/>
            <w:vAlign w:val="bottom"/>
          </w:tcPr>
          <w:p>
            <w:pPr>
              <w:spacing w:line="0" w:lineRule="atLeast"/>
              <w:rPr>
                <w:rFonts w:ascii="Times New Roman" w:hAnsi="Times New Roman" w:eastAsia="Times New Roman"/>
                <w:sz w:val="4"/>
              </w:rPr>
            </w:pPr>
          </w:p>
        </w:tc>
      </w:tr>
      <w:tr>
        <w:tblPrEx>
          <w:tblCellMar>
            <w:top w:w="0" w:type="dxa"/>
            <w:left w:w="0" w:type="dxa"/>
            <w:bottom w:w="0" w:type="dxa"/>
            <w:right w:w="0" w:type="dxa"/>
          </w:tblCellMar>
        </w:tblPrEx>
        <w:trPr>
          <w:trHeight w:val="322" w:hRule="atLeast"/>
        </w:trPr>
        <w:tc>
          <w:tcPr>
            <w:tcW w:w="1460" w:type="dxa"/>
            <w:shd w:val="clear" w:color="auto" w:fill="auto"/>
            <w:vAlign w:val="bottom"/>
          </w:tcPr>
          <w:p>
            <w:pPr>
              <w:spacing w:line="264" w:lineRule="exact"/>
              <w:jc w:val="center"/>
              <w:rPr>
                <w:rFonts w:ascii="Times New Roman" w:hAnsi="Times New Roman" w:eastAsia="Times New Roman"/>
                <w:sz w:val="24"/>
              </w:rPr>
            </w:pPr>
            <w:r>
              <w:rPr>
                <w:rFonts w:ascii="Times New Roman" w:hAnsi="Times New Roman" w:eastAsia="Times New Roman"/>
                <w:sz w:val="24"/>
              </w:rPr>
              <w:t>SO</w:t>
            </w:r>
          </w:p>
        </w:tc>
        <w:tc>
          <w:tcPr>
            <w:tcW w:w="1440" w:type="dxa"/>
            <w:shd w:val="clear" w:color="auto" w:fill="auto"/>
            <w:vAlign w:val="bottom"/>
          </w:tcPr>
          <w:p>
            <w:pPr>
              <w:spacing w:line="264" w:lineRule="exac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321" w:lineRule="exact"/>
              <w:jc w:val="center"/>
              <w:rPr>
                <w:rFonts w:ascii="Times New Roman" w:hAnsi="Times New Roman" w:eastAsia="Times New Roman"/>
                <w:w w:val="97"/>
                <w:sz w:val="31"/>
                <w:vertAlign w:val="superscript"/>
              </w:rPr>
            </w:pPr>
            <w:r>
              <w:rPr>
                <w:rFonts w:ascii="Times New Roman" w:hAnsi="Times New Roman" w:eastAsia="Times New Roman"/>
                <w:w w:val="97"/>
                <w:sz w:val="24"/>
              </w:rPr>
              <w:t>942.90</w:t>
            </w:r>
            <w:r>
              <w:rPr>
                <w:rFonts w:ascii="Times New Roman" w:hAnsi="Times New Roman" w:eastAsia="Times New Roman"/>
                <w:w w:val="97"/>
                <w:sz w:val="31"/>
                <w:vertAlign w:val="superscript"/>
              </w:rPr>
              <w:t>i</w:t>
            </w:r>
          </w:p>
        </w:tc>
        <w:tc>
          <w:tcPr>
            <w:tcW w:w="2040" w:type="dxa"/>
            <w:shd w:val="clear" w:color="auto" w:fill="auto"/>
            <w:vAlign w:val="bottom"/>
          </w:tcPr>
          <w:p>
            <w:pPr>
              <w:spacing w:line="321" w:lineRule="exact"/>
              <w:jc w:val="center"/>
              <w:rPr>
                <w:rFonts w:ascii="Times New Roman" w:hAnsi="Times New Roman" w:eastAsia="Times New Roman"/>
                <w:w w:val="94"/>
                <w:sz w:val="31"/>
                <w:vertAlign w:val="superscript"/>
              </w:rPr>
            </w:pPr>
            <w:r>
              <w:rPr>
                <w:rFonts w:ascii="Times New Roman" w:hAnsi="Times New Roman" w:eastAsia="Times New Roman"/>
                <w:w w:val="94"/>
                <w:sz w:val="24"/>
              </w:rPr>
              <w:t>67.08</w:t>
            </w:r>
            <w:r>
              <w:rPr>
                <w:rFonts w:ascii="Times New Roman" w:hAnsi="Times New Roman" w:eastAsia="Times New Roman"/>
                <w:w w:val="94"/>
                <w:sz w:val="31"/>
                <w:vertAlign w:val="superscript"/>
              </w:rPr>
              <w:t>c</w:t>
            </w:r>
          </w:p>
        </w:tc>
        <w:tc>
          <w:tcPr>
            <w:tcW w:w="2140" w:type="dxa"/>
            <w:shd w:val="clear" w:color="auto" w:fill="auto"/>
            <w:vAlign w:val="bottom"/>
          </w:tcPr>
          <w:p>
            <w:pPr>
              <w:spacing w:line="321" w:lineRule="exact"/>
              <w:jc w:val="center"/>
              <w:rPr>
                <w:rFonts w:ascii="Times New Roman" w:hAnsi="Times New Roman" w:eastAsia="Times New Roman"/>
                <w:w w:val="96"/>
                <w:sz w:val="31"/>
                <w:vertAlign w:val="superscript"/>
              </w:rPr>
            </w:pPr>
            <w:r>
              <w:rPr>
                <w:rFonts w:ascii="Times New Roman" w:hAnsi="Times New Roman" w:eastAsia="Times New Roman"/>
                <w:w w:val="96"/>
                <w:sz w:val="24"/>
              </w:rPr>
              <w:t>624.84</w:t>
            </w:r>
            <w:r>
              <w:rPr>
                <w:rFonts w:ascii="Times New Roman" w:hAnsi="Times New Roman" w:eastAsia="Times New Roman"/>
                <w:w w:val="96"/>
                <w:sz w:val="31"/>
                <w:vertAlign w:val="superscript"/>
              </w:rPr>
              <w:t>g</w:t>
            </w:r>
          </w:p>
        </w:tc>
      </w:tr>
      <w:tr>
        <w:tblPrEx>
          <w:tblCellMar>
            <w:top w:w="0" w:type="dxa"/>
            <w:left w:w="0" w:type="dxa"/>
            <w:bottom w:w="0" w:type="dxa"/>
            <w:right w:w="0" w:type="dxa"/>
          </w:tblCellMar>
        </w:tblPrEx>
        <w:trPr>
          <w:trHeight w:val="518" w:hRule="atLeast"/>
        </w:trPr>
        <w:tc>
          <w:tcPr>
            <w:tcW w:w="1460" w:type="dxa"/>
            <w:shd w:val="clear" w:color="auto" w:fill="auto"/>
            <w:vAlign w:val="bottom"/>
          </w:tcPr>
          <w:p>
            <w:pPr>
              <w:spacing w:line="0" w:lineRule="atLeast"/>
              <w:jc w:val="center"/>
              <w:rPr>
                <w:rFonts w:ascii="Times New Roman" w:hAnsi="Times New Roman" w:eastAsia="Times New Roman"/>
                <w:w w:val="95"/>
                <w:sz w:val="24"/>
              </w:rPr>
            </w:pPr>
            <w:r>
              <w:rPr>
                <w:rFonts w:ascii="Times New Roman" w:hAnsi="Times New Roman" w:eastAsia="Times New Roman"/>
                <w:w w:val="95"/>
                <w:sz w:val="24"/>
              </w:rPr>
              <w:t>BU</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936.73</w:t>
            </w:r>
            <w:r>
              <w:rPr>
                <w:rFonts w:ascii="Times New Roman" w:hAnsi="Times New Roman" w:eastAsia="Times New Roman"/>
                <w:w w:val="97"/>
                <w:sz w:val="31"/>
                <w:vertAlign w:val="superscript"/>
              </w:rPr>
              <w:t>i</w:t>
            </w:r>
          </w:p>
        </w:tc>
        <w:tc>
          <w:tcPr>
            <w:tcW w:w="20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30.94</w:t>
            </w:r>
            <w:r>
              <w:rPr>
                <w:rFonts w:ascii="Times New Roman" w:hAnsi="Times New Roman" w:eastAsia="Times New Roman"/>
                <w:w w:val="96"/>
                <w:sz w:val="31"/>
                <w:vertAlign w:val="superscript"/>
              </w:rPr>
              <w:t>b</w:t>
            </w:r>
          </w:p>
        </w:tc>
        <w:tc>
          <w:tcPr>
            <w:tcW w:w="21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532.23</w:t>
            </w:r>
            <w:r>
              <w:rPr>
                <w:rFonts w:ascii="Times New Roman" w:hAnsi="Times New Roman" w:eastAsia="Times New Roman"/>
                <w:w w:val="98"/>
                <w:sz w:val="31"/>
                <w:vertAlign w:val="superscript"/>
              </w:rPr>
              <w:t>f</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5"/>
                <w:sz w:val="24"/>
              </w:rPr>
            </w:pPr>
            <w:r>
              <w:rPr>
                <w:rFonts w:ascii="Times New Roman" w:hAnsi="Times New Roman" w:eastAsia="Times New Roman"/>
                <w:w w:val="95"/>
                <w:sz w:val="24"/>
              </w:rPr>
              <w:t>HC</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938.27</w:t>
            </w:r>
            <w:r>
              <w:rPr>
                <w:rFonts w:ascii="Times New Roman" w:hAnsi="Times New Roman" w:eastAsia="Times New Roman"/>
                <w:w w:val="97"/>
                <w:sz w:val="31"/>
                <w:vertAlign w:val="superscript"/>
              </w:rPr>
              <w:t>i</w:t>
            </w:r>
          </w:p>
        </w:tc>
        <w:tc>
          <w:tcPr>
            <w:tcW w:w="20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200.10</w:t>
            </w:r>
            <w:r>
              <w:rPr>
                <w:rFonts w:ascii="Times New Roman" w:hAnsi="Times New Roman" w:eastAsia="Times New Roman"/>
                <w:w w:val="96"/>
                <w:sz w:val="31"/>
                <w:vertAlign w:val="superscript"/>
              </w:rPr>
              <w:t>h</w:t>
            </w:r>
          </w:p>
        </w:tc>
        <w:tc>
          <w:tcPr>
            <w:tcW w:w="21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788.13</w:t>
            </w:r>
            <w:r>
              <w:rPr>
                <w:rFonts w:ascii="Times New Roman" w:hAnsi="Times New Roman" w:eastAsia="Times New Roman"/>
                <w:w w:val="96"/>
                <w:sz w:val="31"/>
                <w:vertAlign w:val="superscript"/>
              </w:rPr>
              <w:t>h</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7"/>
                <w:sz w:val="24"/>
              </w:rPr>
            </w:pPr>
            <w:r>
              <w:rPr>
                <w:rFonts w:ascii="Times New Roman" w:hAnsi="Times New Roman" w:eastAsia="Times New Roman"/>
                <w:w w:val="97"/>
                <w:sz w:val="24"/>
              </w:rPr>
              <w:t>LB</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1686.73</w:t>
            </w:r>
            <w:r>
              <w:rPr>
                <w:rFonts w:ascii="Times New Roman" w:hAnsi="Times New Roman" w:eastAsia="Times New Roman"/>
                <w:w w:val="97"/>
                <w:sz w:val="31"/>
                <w:vertAlign w:val="superscript"/>
              </w:rPr>
              <w:t>k</w:t>
            </w:r>
          </w:p>
        </w:tc>
        <w:tc>
          <w:tcPr>
            <w:tcW w:w="20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190.22</w:t>
            </w:r>
            <w:r>
              <w:rPr>
                <w:rFonts w:ascii="Times New Roman" w:hAnsi="Times New Roman" w:eastAsia="Times New Roman"/>
                <w:w w:val="96"/>
                <w:sz w:val="31"/>
                <w:vertAlign w:val="superscript"/>
              </w:rPr>
              <w:t>g</w:t>
            </w:r>
          </w:p>
        </w:tc>
        <w:tc>
          <w:tcPr>
            <w:tcW w:w="21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876.06</w:t>
            </w:r>
            <w:r>
              <w:rPr>
                <w:rFonts w:ascii="Times New Roman" w:hAnsi="Times New Roman" w:eastAsia="Times New Roman"/>
                <w:w w:val="97"/>
                <w:sz w:val="31"/>
                <w:vertAlign w:val="superscript"/>
              </w:rPr>
              <w:t>i</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EV</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845.68</w:t>
            </w:r>
            <w:r>
              <w:rPr>
                <w:rFonts w:ascii="Times New Roman" w:hAnsi="Times New Roman" w:eastAsia="Times New Roman"/>
                <w:w w:val="98"/>
                <w:sz w:val="31"/>
                <w:vertAlign w:val="superscript"/>
              </w:rPr>
              <w:t>f</w:t>
            </w:r>
          </w:p>
        </w:tc>
        <w:tc>
          <w:tcPr>
            <w:tcW w:w="20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1.11</w:t>
            </w:r>
            <w:r>
              <w:rPr>
                <w:rFonts w:ascii="Times New Roman" w:hAnsi="Times New Roman" w:eastAsia="Times New Roman"/>
                <w:w w:val="97"/>
                <w:sz w:val="31"/>
                <w:vertAlign w:val="superscript"/>
              </w:rPr>
              <w:t>a</w:t>
            </w:r>
          </w:p>
        </w:tc>
        <w:tc>
          <w:tcPr>
            <w:tcW w:w="21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956.82</w:t>
            </w:r>
            <w:r>
              <w:rPr>
                <w:rFonts w:ascii="Times New Roman" w:hAnsi="Times New Roman" w:eastAsia="Times New Roman"/>
                <w:w w:val="97"/>
                <w:sz w:val="31"/>
                <w:vertAlign w:val="superscript"/>
              </w:rPr>
              <w:t>j</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PH</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868.83</w:t>
            </w:r>
            <w:r>
              <w:rPr>
                <w:rFonts w:ascii="Times New Roman" w:hAnsi="Times New Roman" w:eastAsia="Times New Roman"/>
                <w:w w:val="96"/>
                <w:sz w:val="31"/>
                <w:vertAlign w:val="superscript"/>
              </w:rPr>
              <w:t>g</w:t>
            </w:r>
          </w:p>
        </w:tc>
        <w:tc>
          <w:tcPr>
            <w:tcW w:w="20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237.95</w:t>
            </w:r>
            <w:r>
              <w:rPr>
                <w:rFonts w:ascii="Times New Roman" w:hAnsi="Times New Roman" w:eastAsia="Times New Roman"/>
                <w:w w:val="97"/>
                <w:sz w:val="31"/>
                <w:vertAlign w:val="superscript"/>
              </w:rPr>
              <w:t>i</w:t>
            </w:r>
          </w:p>
        </w:tc>
        <w:tc>
          <w:tcPr>
            <w:tcW w:w="21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876.21</w:t>
            </w:r>
            <w:r>
              <w:rPr>
                <w:rFonts w:ascii="Times New Roman" w:hAnsi="Times New Roman" w:eastAsia="Times New Roman"/>
                <w:w w:val="97"/>
                <w:sz w:val="31"/>
                <w:vertAlign w:val="superscript"/>
              </w:rPr>
              <w:t>i</w:t>
            </w:r>
          </w:p>
        </w:tc>
      </w:tr>
      <w:tr>
        <w:tblPrEx>
          <w:tblCellMar>
            <w:top w:w="0" w:type="dxa"/>
            <w:left w:w="0" w:type="dxa"/>
            <w:bottom w:w="0" w:type="dxa"/>
            <w:right w:w="0" w:type="dxa"/>
          </w:tblCellMar>
        </w:tblPrEx>
        <w:trPr>
          <w:trHeight w:val="553"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XL</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922.84</w:t>
            </w:r>
            <w:r>
              <w:rPr>
                <w:rFonts w:ascii="Times New Roman" w:hAnsi="Times New Roman" w:eastAsia="Times New Roman"/>
                <w:w w:val="96"/>
                <w:sz w:val="31"/>
                <w:vertAlign w:val="superscript"/>
              </w:rPr>
              <w:t>h</w:t>
            </w:r>
          </w:p>
        </w:tc>
        <w:tc>
          <w:tcPr>
            <w:tcW w:w="2040" w:type="dxa"/>
            <w:shd w:val="clear" w:color="auto" w:fill="auto"/>
            <w:vAlign w:val="bottom"/>
          </w:tcPr>
          <w:p>
            <w:pPr>
              <w:spacing w:line="0" w:lineRule="atLeast"/>
              <w:jc w:val="center"/>
              <w:rPr>
                <w:rFonts w:ascii="Times New Roman" w:hAnsi="Times New Roman" w:eastAsia="Times New Roman"/>
                <w:w w:val="94"/>
                <w:sz w:val="31"/>
                <w:vertAlign w:val="superscript"/>
              </w:rPr>
            </w:pPr>
            <w:r>
              <w:rPr>
                <w:rFonts w:ascii="Times New Roman" w:hAnsi="Times New Roman" w:eastAsia="Times New Roman"/>
                <w:w w:val="94"/>
                <w:sz w:val="24"/>
              </w:rPr>
              <w:t>62.84</w:t>
            </w:r>
            <w:r>
              <w:rPr>
                <w:rFonts w:ascii="Times New Roman" w:hAnsi="Times New Roman" w:eastAsia="Times New Roman"/>
                <w:w w:val="94"/>
                <w:sz w:val="31"/>
                <w:vertAlign w:val="superscript"/>
              </w:rPr>
              <w:t>c</w:t>
            </w:r>
          </w:p>
        </w:tc>
        <w:tc>
          <w:tcPr>
            <w:tcW w:w="21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332.64</w:t>
            </w:r>
            <w:r>
              <w:rPr>
                <w:rFonts w:ascii="Times New Roman" w:hAnsi="Times New Roman" w:eastAsia="Times New Roman"/>
                <w:w w:val="96"/>
                <w:sz w:val="31"/>
                <w:vertAlign w:val="superscript"/>
              </w:rPr>
              <w:t>d</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JW</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91.05</w:t>
            </w:r>
            <w:r>
              <w:rPr>
                <w:rFonts w:ascii="Times New Roman" w:hAnsi="Times New Roman" w:eastAsia="Times New Roman"/>
                <w:w w:val="96"/>
                <w:sz w:val="31"/>
                <w:vertAlign w:val="superscript"/>
              </w:rPr>
              <w:t>d</w:t>
            </w:r>
          </w:p>
        </w:tc>
        <w:tc>
          <w:tcPr>
            <w:tcW w:w="20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130.58</w:t>
            </w:r>
            <w:r>
              <w:rPr>
                <w:rFonts w:ascii="Times New Roman" w:hAnsi="Times New Roman" w:eastAsia="Times New Roman"/>
                <w:w w:val="98"/>
                <w:sz w:val="31"/>
                <w:vertAlign w:val="superscript"/>
              </w:rPr>
              <w:t>f</w:t>
            </w:r>
          </w:p>
        </w:tc>
        <w:tc>
          <w:tcPr>
            <w:tcW w:w="21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423.52</w:t>
            </w:r>
            <w:r>
              <w:rPr>
                <w:rFonts w:ascii="Times New Roman" w:hAnsi="Times New Roman" w:eastAsia="Times New Roman"/>
                <w:w w:val="98"/>
                <w:sz w:val="31"/>
                <w:vertAlign w:val="superscript"/>
              </w:rPr>
              <w:t>e</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WD</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1098.76</w:t>
            </w:r>
            <w:r>
              <w:rPr>
                <w:rFonts w:ascii="Times New Roman" w:hAnsi="Times New Roman" w:eastAsia="Times New Roman"/>
                <w:w w:val="97"/>
                <w:sz w:val="31"/>
                <w:vertAlign w:val="superscript"/>
              </w:rPr>
              <w:t>j</w:t>
            </w:r>
          </w:p>
        </w:tc>
        <w:tc>
          <w:tcPr>
            <w:tcW w:w="20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103.97</w:t>
            </w:r>
            <w:r>
              <w:rPr>
                <w:rFonts w:ascii="Times New Roman" w:hAnsi="Times New Roman" w:eastAsia="Times New Roman"/>
                <w:w w:val="96"/>
                <w:sz w:val="31"/>
                <w:vertAlign w:val="superscript"/>
              </w:rPr>
              <w:t>d</w:t>
            </w:r>
          </w:p>
        </w:tc>
        <w:tc>
          <w:tcPr>
            <w:tcW w:w="21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283.84</w:t>
            </w:r>
            <w:r>
              <w:rPr>
                <w:rFonts w:ascii="Times New Roman" w:hAnsi="Times New Roman" w:eastAsia="Times New Roman"/>
                <w:w w:val="98"/>
                <w:sz w:val="31"/>
                <w:vertAlign w:val="superscript"/>
              </w:rPr>
              <w:t>c</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KM</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660.50</w:t>
            </w:r>
            <w:r>
              <w:rPr>
                <w:rFonts w:ascii="Times New Roman" w:hAnsi="Times New Roman" w:eastAsia="Times New Roman"/>
                <w:w w:val="98"/>
                <w:sz w:val="31"/>
                <w:vertAlign w:val="superscript"/>
              </w:rPr>
              <w:t>e</w:t>
            </w:r>
          </w:p>
        </w:tc>
        <w:tc>
          <w:tcPr>
            <w:tcW w:w="20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118.63</w:t>
            </w:r>
            <w:r>
              <w:rPr>
                <w:rFonts w:ascii="Times New Roman" w:hAnsi="Times New Roman" w:eastAsia="Times New Roman"/>
                <w:w w:val="98"/>
                <w:sz w:val="31"/>
                <w:vertAlign w:val="superscript"/>
              </w:rPr>
              <w:t>e</w:t>
            </w:r>
          </w:p>
        </w:tc>
        <w:tc>
          <w:tcPr>
            <w:tcW w:w="21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599.93</w:t>
            </w:r>
            <w:r>
              <w:rPr>
                <w:rFonts w:ascii="Times New Roman" w:hAnsi="Times New Roman" w:eastAsia="Times New Roman"/>
                <w:w w:val="96"/>
                <w:sz w:val="31"/>
                <w:vertAlign w:val="superscript"/>
              </w:rPr>
              <w:t>h</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RB</w:t>
            </w:r>
          </w:p>
        </w:tc>
        <w:tc>
          <w:tcPr>
            <w:tcW w:w="144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Liquid</w:t>
            </w:r>
          </w:p>
        </w:tc>
        <w:tc>
          <w:tcPr>
            <w:tcW w:w="19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867.28</w:t>
            </w:r>
            <w:r>
              <w:rPr>
                <w:rFonts w:ascii="Times New Roman" w:hAnsi="Times New Roman" w:eastAsia="Times New Roman"/>
                <w:w w:val="96"/>
                <w:sz w:val="31"/>
                <w:vertAlign w:val="superscript"/>
              </w:rPr>
              <w:t>g</w:t>
            </w:r>
          </w:p>
        </w:tc>
        <w:tc>
          <w:tcPr>
            <w:tcW w:w="20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234.84</w:t>
            </w:r>
            <w:r>
              <w:rPr>
                <w:rFonts w:ascii="Times New Roman" w:hAnsi="Times New Roman" w:eastAsia="Times New Roman"/>
                <w:w w:val="97"/>
                <w:sz w:val="31"/>
                <w:vertAlign w:val="superscript"/>
              </w:rPr>
              <w:t>i</w:t>
            </w:r>
          </w:p>
        </w:tc>
        <w:tc>
          <w:tcPr>
            <w:tcW w:w="21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6.51</w:t>
            </w:r>
            <w:r>
              <w:rPr>
                <w:rFonts w:ascii="Times New Roman" w:hAnsi="Times New Roman" w:eastAsia="Times New Roman"/>
                <w:w w:val="97"/>
                <w:sz w:val="31"/>
                <w:vertAlign w:val="superscript"/>
              </w:rPr>
              <w:t>a</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PA</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9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16.98</w:t>
            </w:r>
            <w:r>
              <w:rPr>
                <w:rFonts w:ascii="Times New Roman" w:hAnsi="Times New Roman" w:eastAsia="Times New Roman"/>
                <w:w w:val="98"/>
                <w:sz w:val="31"/>
                <w:vertAlign w:val="superscript"/>
              </w:rPr>
              <w:t>a</w:t>
            </w:r>
          </w:p>
        </w:tc>
        <w:tc>
          <w:tcPr>
            <w:tcW w:w="2040" w:type="dxa"/>
            <w:shd w:val="clear" w:color="auto" w:fill="auto"/>
            <w:vAlign w:val="bottom"/>
          </w:tcPr>
          <w:p>
            <w:pPr>
              <w:spacing w:line="0" w:lineRule="atLeast"/>
              <w:jc w:val="center"/>
              <w:rPr>
                <w:rFonts w:ascii="Times New Roman" w:hAnsi="Times New Roman" w:eastAsia="Times New Roman"/>
                <w:w w:val="94"/>
                <w:sz w:val="31"/>
                <w:vertAlign w:val="superscript"/>
              </w:rPr>
            </w:pPr>
            <w:r>
              <w:rPr>
                <w:rFonts w:ascii="Times New Roman" w:hAnsi="Times New Roman" w:eastAsia="Times New Roman"/>
                <w:w w:val="94"/>
                <w:sz w:val="24"/>
              </w:rPr>
              <w:t>361.1</w:t>
            </w:r>
            <w:r>
              <w:rPr>
                <w:rFonts w:ascii="Times New Roman" w:hAnsi="Times New Roman" w:eastAsia="Times New Roman"/>
                <w:w w:val="94"/>
                <w:sz w:val="31"/>
                <w:vertAlign w:val="superscript"/>
              </w:rPr>
              <w:t>c</w:t>
            </w:r>
          </w:p>
        </w:tc>
        <w:tc>
          <w:tcPr>
            <w:tcW w:w="21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209.89</w:t>
            </w:r>
            <w:r>
              <w:rPr>
                <w:rFonts w:ascii="Times New Roman" w:hAnsi="Times New Roman" w:eastAsia="Times New Roman"/>
                <w:w w:val="96"/>
                <w:sz w:val="31"/>
                <w:vertAlign w:val="superscript"/>
              </w:rPr>
              <w:t>b</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EJ</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940" w:type="dxa"/>
            <w:shd w:val="clear" w:color="auto" w:fill="auto"/>
            <w:vAlign w:val="bottom"/>
          </w:tcPr>
          <w:p>
            <w:pPr>
              <w:spacing w:line="0" w:lineRule="atLeast"/>
              <w:jc w:val="center"/>
              <w:rPr>
                <w:rFonts w:ascii="Times New Roman" w:hAnsi="Times New Roman" w:eastAsia="Times New Roman"/>
                <w:w w:val="98"/>
                <w:sz w:val="31"/>
                <w:vertAlign w:val="superscript"/>
              </w:rPr>
            </w:pPr>
            <w:r>
              <w:rPr>
                <w:rFonts w:ascii="Times New Roman" w:hAnsi="Times New Roman" w:eastAsia="Times New Roman"/>
                <w:w w:val="98"/>
                <w:sz w:val="24"/>
              </w:rPr>
              <w:t>80.25</w:t>
            </w:r>
            <w:r>
              <w:rPr>
                <w:rFonts w:ascii="Times New Roman" w:hAnsi="Times New Roman" w:eastAsia="Times New Roman"/>
                <w:w w:val="98"/>
                <w:sz w:val="31"/>
                <w:vertAlign w:val="superscript"/>
              </w:rPr>
              <w:t>c</w:t>
            </w:r>
          </w:p>
        </w:tc>
        <w:tc>
          <w:tcPr>
            <w:tcW w:w="2040" w:type="dxa"/>
            <w:shd w:val="clear" w:color="auto" w:fill="auto"/>
            <w:vAlign w:val="bottom"/>
          </w:tcPr>
          <w:p>
            <w:pPr>
              <w:spacing w:line="0" w:lineRule="atLeast"/>
              <w:jc w:val="center"/>
              <w:rPr>
                <w:rFonts w:ascii="Times New Roman" w:hAnsi="Times New Roman" w:eastAsia="Times New Roman"/>
                <w:w w:val="94"/>
                <w:sz w:val="31"/>
                <w:vertAlign w:val="superscript"/>
              </w:rPr>
            </w:pPr>
            <w:r>
              <w:rPr>
                <w:rFonts w:ascii="Times New Roman" w:hAnsi="Times New Roman" w:eastAsia="Times New Roman"/>
                <w:w w:val="94"/>
                <w:sz w:val="24"/>
              </w:rPr>
              <w:t>14.25</w:t>
            </w:r>
            <w:r>
              <w:rPr>
                <w:rFonts w:ascii="Times New Roman" w:hAnsi="Times New Roman" w:eastAsia="Times New Roman"/>
                <w:w w:val="94"/>
                <w:sz w:val="31"/>
                <w:vertAlign w:val="superscript"/>
              </w:rPr>
              <w:t>a</w:t>
            </w:r>
          </w:p>
        </w:tc>
        <w:tc>
          <w:tcPr>
            <w:tcW w:w="21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1491.19</w:t>
            </w:r>
            <w:r>
              <w:rPr>
                <w:rFonts w:ascii="Times New Roman" w:hAnsi="Times New Roman" w:eastAsia="Times New Roman"/>
                <w:w w:val="97"/>
                <w:sz w:val="31"/>
                <w:vertAlign w:val="superscript"/>
              </w:rPr>
              <w:t>k</w:t>
            </w:r>
          </w:p>
        </w:tc>
      </w:tr>
      <w:tr>
        <w:tblPrEx>
          <w:tblCellMar>
            <w:top w:w="0" w:type="dxa"/>
            <w:left w:w="0" w:type="dxa"/>
            <w:bottom w:w="0" w:type="dxa"/>
            <w:right w:w="0" w:type="dxa"/>
          </w:tblCellMar>
        </w:tblPrEx>
        <w:trPr>
          <w:trHeight w:val="552" w:hRule="atLeast"/>
        </w:trPr>
        <w:tc>
          <w:tcPr>
            <w:tcW w:w="1460" w:type="dxa"/>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AL</w:t>
            </w:r>
          </w:p>
        </w:tc>
        <w:tc>
          <w:tcPr>
            <w:tcW w:w="1440" w:type="dxa"/>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Powder</w:t>
            </w:r>
          </w:p>
        </w:tc>
        <w:tc>
          <w:tcPr>
            <w:tcW w:w="1940" w:type="dxa"/>
            <w:shd w:val="clear" w:color="auto" w:fill="auto"/>
            <w:vAlign w:val="bottom"/>
          </w:tcPr>
          <w:p>
            <w:pPr>
              <w:spacing w:line="0" w:lineRule="atLeast"/>
              <w:jc w:val="center"/>
              <w:rPr>
                <w:rFonts w:ascii="Times New Roman" w:hAnsi="Times New Roman" w:eastAsia="Times New Roman"/>
                <w:w w:val="93"/>
                <w:sz w:val="31"/>
                <w:vertAlign w:val="superscript"/>
              </w:rPr>
            </w:pPr>
            <w:r>
              <w:rPr>
                <w:rFonts w:ascii="Times New Roman" w:hAnsi="Times New Roman" w:eastAsia="Times New Roman"/>
                <w:w w:val="93"/>
                <w:sz w:val="24"/>
              </w:rPr>
              <w:t xml:space="preserve">29.32 </w:t>
            </w:r>
            <w:r>
              <w:rPr>
                <w:rFonts w:ascii="Times New Roman" w:hAnsi="Times New Roman" w:eastAsia="Times New Roman"/>
                <w:w w:val="93"/>
                <w:sz w:val="31"/>
                <w:vertAlign w:val="superscript"/>
              </w:rPr>
              <w:t>b</w:t>
            </w:r>
          </w:p>
        </w:tc>
        <w:tc>
          <w:tcPr>
            <w:tcW w:w="2040" w:type="dxa"/>
            <w:shd w:val="clear" w:color="auto" w:fill="auto"/>
            <w:vAlign w:val="bottom"/>
          </w:tcPr>
          <w:p>
            <w:pPr>
              <w:spacing w:line="0" w:lineRule="atLeast"/>
              <w:jc w:val="center"/>
              <w:rPr>
                <w:rFonts w:ascii="Times New Roman" w:hAnsi="Times New Roman" w:eastAsia="Times New Roman"/>
                <w:w w:val="97"/>
                <w:sz w:val="31"/>
                <w:vertAlign w:val="superscript"/>
              </w:rPr>
            </w:pPr>
            <w:r>
              <w:rPr>
                <w:rFonts w:ascii="Times New Roman" w:hAnsi="Times New Roman" w:eastAsia="Times New Roman"/>
                <w:w w:val="97"/>
                <w:sz w:val="24"/>
              </w:rPr>
              <w:t>2487.13</w:t>
            </w:r>
            <w:r>
              <w:rPr>
                <w:rFonts w:ascii="Times New Roman" w:hAnsi="Times New Roman" w:eastAsia="Times New Roman"/>
                <w:w w:val="97"/>
                <w:sz w:val="31"/>
                <w:vertAlign w:val="superscript"/>
              </w:rPr>
              <w:t>j</w:t>
            </w:r>
          </w:p>
        </w:tc>
        <w:tc>
          <w:tcPr>
            <w:tcW w:w="2140" w:type="dxa"/>
            <w:shd w:val="clear" w:color="auto" w:fill="auto"/>
            <w:vAlign w:val="bottom"/>
          </w:tcPr>
          <w:p>
            <w:pPr>
              <w:spacing w:line="0" w:lineRule="atLeast"/>
              <w:jc w:val="center"/>
              <w:rPr>
                <w:rFonts w:ascii="Times New Roman" w:hAnsi="Times New Roman" w:eastAsia="Times New Roman"/>
                <w:w w:val="96"/>
                <w:sz w:val="31"/>
                <w:vertAlign w:val="superscript"/>
              </w:rPr>
            </w:pPr>
            <w:r>
              <w:rPr>
                <w:rFonts w:ascii="Times New Roman" w:hAnsi="Times New Roman" w:eastAsia="Times New Roman"/>
                <w:w w:val="96"/>
                <w:sz w:val="24"/>
              </w:rPr>
              <w:t>198.59</w:t>
            </w:r>
            <w:r>
              <w:rPr>
                <w:rFonts w:ascii="Times New Roman" w:hAnsi="Times New Roman" w:eastAsia="Times New Roman"/>
                <w:w w:val="96"/>
                <w:sz w:val="31"/>
                <w:vertAlign w:val="superscript"/>
              </w:rPr>
              <w:t>b</w:t>
            </w:r>
          </w:p>
        </w:tc>
      </w:tr>
    </w:tbl>
    <w:p>
      <w:pPr>
        <w:spacing w:line="20" w:lineRule="exact"/>
        <w:rPr>
          <w:rFonts w:ascii="Times New Roman" w:hAnsi="Times New Roman" w:eastAsia="Times New Roman"/>
        </w:rPr>
      </w:pPr>
      <w:r>
        <w:rPr>
          <w:rFonts w:ascii="Times New Roman" w:hAnsi="Times New Roman" w:eastAsia="Times New Roman"/>
          <w:w w:val="96"/>
          <w:sz w:val="31"/>
          <w:vertAlign w:val="superscript"/>
        </w:rPr>
        <w:pict>
          <v:line id="_x0000_s1031" o:spid="_x0000_s1031" o:spt="20" style="position:absolute;left:0pt;margin-left:22.55pt;margin-top:12.9pt;height:0pt;width:451.15pt;z-index:-251657216;mso-width-relative:page;mso-height-relative:page;" o:userdrawn="t" coordsize="21600,21600">
            <v:path arrowok="t"/>
            <v:fill focussize="0,0"/>
            <v:stroke weight="0.47992125984252pt"/>
            <v:imagedata o:title=""/>
            <o:lock v:ext="edit"/>
          </v:line>
        </w:pict>
      </w:r>
    </w:p>
    <w:p>
      <w:pPr>
        <w:spacing w:line="238" w:lineRule="exact"/>
        <w:rPr>
          <w:rFonts w:ascii="Times New Roman" w:hAnsi="Times New Roman" w:eastAsia="Times New Roman"/>
        </w:rPr>
      </w:pPr>
    </w:p>
    <w:p>
      <w:pPr>
        <w:spacing w:line="0" w:lineRule="atLeast"/>
        <w:ind w:left="580"/>
        <w:rPr>
          <w:rFonts w:ascii="Times New Roman" w:hAnsi="Times New Roman" w:eastAsia="Times New Roman"/>
          <w:sz w:val="18"/>
        </w:rPr>
      </w:pPr>
      <w:r>
        <w:rPr>
          <w:rFonts w:ascii="Times New Roman" w:hAnsi="Times New Roman" w:eastAsia="Times New Roman"/>
          <w:sz w:val="18"/>
        </w:rPr>
        <w:t>a-k: Increasing order of sugar and aspartame. a-j: Increasing order of caffeine.</w:t>
      </w:r>
    </w:p>
    <w:p>
      <w:pPr>
        <w:spacing w:line="8" w:lineRule="exact"/>
        <w:rPr>
          <w:rFonts w:ascii="Times New Roman" w:hAnsi="Times New Roman" w:eastAsia="Times New Roman"/>
        </w:rPr>
      </w:pPr>
    </w:p>
    <w:p>
      <w:pPr>
        <w:spacing w:line="238" w:lineRule="auto"/>
        <w:ind w:left="580" w:right="120"/>
        <w:rPr>
          <w:rFonts w:ascii="Times New Roman" w:hAnsi="Times New Roman" w:eastAsia="Times New Roman"/>
          <w:sz w:val="18"/>
        </w:rPr>
      </w:pPr>
      <w:r>
        <w:rPr>
          <w:rFonts w:ascii="Times New Roman" w:hAnsi="Times New Roman" w:eastAsia="Times New Roman"/>
          <w:sz w:val="18"/>
        </w:rPr>
        <w:t>Values numbers with the same letters in the column, by treatment, are not significantly different while those with different letters are significantly different at p˂0.05 from each other.</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74" w:lineRule="exact"/>
        <w:rPr>
          <w:rFonts w:ascii="Times New Roman" w:hAnsi="Times New Roman" w:eastAsia="Times New Roman"/>
        </w:rPr>
      </w:pPr>
    </w:p>
    <w:p>
      <w:pPr>
        <w:spacing w:line="0" w:lineRule="atLeast"/>
        <w:ind w:right="-459"/>
        <w:jc w:val="center"/>
        <w:rPr>
          <w:sz w:val="22"/>
        </w:rPr>
      </w:pPr>
      <w:r>
        <w:rPr>
          <w:sz w:val="22"/>
        </w:rPr>
        <w:t>lxv</w:t>
      </w:r>
    </w:p>
    <w:p>
      <w:pPr>
        <w:spacing w:line="0" w:lineRule="atLeast"/>
        <w:ind w:right="-459"/>
        <w:jc w:val="center"/>
        <w:rPr>
          <w:sz w:val="22"/>
        </w:rPr>
        <w:sectPr>
          <w:pgSz w:w="12240" w:h="15840"/>
          <w:pgMar w:top="1435" w:right="1320" w:bottom="428" w:left="1440" w:header="0" w:footer="0" w:gutter="0"/>
          <w:cols w:equalWidth="0" w:num="1">
            <w:col w:w="9480"/>
          </w:cols>
          <w:docGrid w:linePitch="360" w:charSpace="0"/>
        </w:sectPr>
      </w:pPr>
    </w:p>
    <w:p>
      <w:pPr>
        <w:spacing w:line="200" w:lineRule="exact"/>
        <w:rPr>
          <w:rFonts w:ascii="Times New Roman" w:hAnsi="Times New Roman" w:eastAsia="Times New Roman"/>
        </w:rPr>
      </w:pPr>
      <w:bookmarkStart w:id="57" w:name="page66"/>
      <w:bookmarkEnd w:id="57"/>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80" w:lineRule="exact"/>
        <w:rPr>
          <w:rFonts w:ascii="Times New Roman" w:hAnsi="Times New Roman" w:eastAsia="Times New Roman"/>
        </w:rPr>
      </w:pPr>
    </w:p>
    <w:tbl>
      <w:tblPr>
        <w:tblStyle w:val="3"/>
        <w:tblW w:w="0" w:type="auto"/>
        <w:tblInd w:w="832" w:type="dxa"/>
        <w:tblLayout w:type="fixed"/>
        <w:tblCellMar>
          <w:top w:w="0" w:type="dxa"/>
          <w:left w:w="0" w:type="dxa"/>
          <w:bottom w:w="0" w:type="dxa"/>
          <w:right w:w="0" w:type="dxa"/>
        </w:tblCellMar>
      </w:tblPr>
      <w:tblGrid>
        <w:gridCol w:w="264"/>
      </w:tblGrid>
      <w:tr>
        <w:tblPrEx>
          <w:tblCellMar>
            <w:top w:w="0" w:type="dxa"/>
            <w:left w:w="0" w:type="dxa"/>
            <w:bottom w:w="0" w:type="dxa"/>
            <w:right w:w="0" w:type="dxa"/>
          </w:tblCellMar>
        </w:tblPrEx>
        <w:trPr>
          <w:trHeight w:val="3420" w:hRule="atLeast"/>
        </w:trPr>
        <w:tc>
          <w:tcPr>
            <w:tcW w:w="264" w:type="dxa"/>
            <w:shd w:val="clear" w:color="auto" w:fill="auto"/>
            <w:textDirection w:val="btLr"/>
            <w:vAlign w:val="bottom"/>
          </w:tcPr>
          <w:p>
            <w:pPr>
              <w:spacing w:line="0" w:lineRule="atLeast"/>
              <w:rPr>
                <w:rFonts w:ascii="Times New Roman" w:hAnsi="Times New Roman" w:eastAsia="Times New Roman"/>
                <w:b/>
                <w:sz w:val="23"/>
              </w:rPr>
            </w:pPr>
            <w:r>
              <w:rPr>
                <w:rFonts w:ascii="Times New Roman" w:hAnsi="Times New Roman" w:eastAsia="Times New Roman"/>
                <w:b/>
                <w:sz w:val="23"/>
              </w:rPr>
              <w:t>Concentration of Caffeine (mg/L)</w:t>
            </w:r>
          </w:p>
        </w:tc>
      </w:tr>
    </w:tbl>
    <w:p>
      <w:pPr>
        <w:spacing w:line="200" w:lineRule="exact"/>
        <w:rPr>
          <w:rFonts w:ascii="Times New Roman" w:hAnsi="Times New Roman" w:eastAsia="Times New Roman"/>
        </w:rPr>
      </w:pPr>
      <w:r>
        <w:rPr>
          <w:rFonts w:ascii="Times New Roman" w:hAnsi="Times New Roman" w:eastAsia="Times New Roman"/>
          <w:b/>
          <w:sz w:val="23"/>
        </w:rPr>
        <w:br w:type="column"/>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6"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2500</w:t>
      </w:r>
    </w:p>
    <w:p>
      <w:pPr>
        <w:spacing w:line="20" w:lineRule="exact"/>
        <w:rPr>
          <w:rFonts w:ascii="Times New Roman" w:hAnsi="Times New Roman" w:eastAsia="Times New Roman"/>
        </w:rPr>
      </w:pPr>
      <w:r>
        <w:rPr>
          <w:rFonts w:ascii="Times New Roman" w:hAnsi="Times New Roman" w:eastAsia="Times New Roman"/>
        </w:rPr>
        <w:pict>
          <v:shape id="_x0000_s1032" o:spid="_x0000_s1032" o:spt="75" type="#_x0000_t75" style="position:absolute;left:0pt;margin-left:26.5pt;margin-top:-12.7pt;height:373.75pt;width:321.35pt;z-index:-251657216;mso-width-relative:page;mso-height-relative:page;" filled="f" o:preferrelative="t" stroked="f" coordsize="21600,21600">
            <v:path/>
            <v:fill on="f" focussize="0,0"/>
            <v:stroke on="f" joinstyle="miter"/>
            <v:imagedata r:id="rId7" o:title=""/>
            <o:lock v:ext="edit" aspectratio="t"/>
          </v:shape>
        </w:pict>
      </w:r>
    </w:p>
    <w:p>
      <w:pPr>
        <w:spacing w:line="150" w:lineRule="exact"/>
        <w:rPr>
          <w:rFonts w:ascii="Times New Roman" w:hAnsi="Times New Roman" w:eastAsia="Times New Roman"/>
        </w:rPr>
      </w:pPr>
    </w:p>
    <w:p>
      <w:pPr>
        <w:spacing w:line="0" w:lineRule="atLeast"/>
        <w:ind w:left="7200"/>
        <w:rPr>
          <w:rFonts w:ascii="Times New Roman" w:hAnsi="Times New Roman" w:eastAsia="Times New Roman"/>
        </w:rPr>
      </w:pPr>
      <w:r>
        <w:rPr>
          <w:rFonts w:ascii="Times New Roman" w:hAnsi="Times New Roman" w:eastAsia="Times New Roman"/>
        </w:rPr>
        <w:pict>
          <v:shape id="_x0000_i1025" o:spt="75" type="#_x0000_t75" style="height:6.75pt;width:6.75pt;" filled="f" o:preferrelative="t" stroked="f" coordsize="21600,21600">
            <v:path/>
            <v:fill on="f" focussize="0,0"/>
            <v:stroke on="f" joinstyle="miter"/>
            <v:imagedata r:id="rId8" o:title=""/>
            <o:lock v:ext="edit" aspectratio="t"/>
            <w10:wrap type="none"/>
            <w10:anchorlock/>
          </v:shape>
        </w:pict>
      </w:r>
      <w:r>
        <w:rPr>
          <w:rFonts w:ascii="Times New Roman" w:hAnsi="Times New Roman" w:eastAsia="Times New Roman"/>
        </w:rPr>
        <w:t xml:space="preserve"> CAL. CONC.</w:t>
      </w:r>
    </w:p>
    <w:p>
      <w:pPr>
        <w:spacing w:line="297" w:lineRule="exact"/>
        <w:rPr>
          <w:rFonts w:ascii="Times New Roman" w:hAnsi="Times New Roman" w:eastAsia="Times New Roman"/>
        </w:rPr>
      </w:pPr>
    </w:p>
    <w:p>
      <w:pPr>
        <w:spacing w:line="0" w:lineRule="atLeast"/>
        <w:jc w:val="right"/>
        <w:rPr>
          <w:rFonts w:ascii="Times New Roman" w:hAnsi="Times New Roman" w:eastAsia="Times New Roman"/>
        </w:rPr>
      </w:pPr>
      <w:r>
        <w:rPr>
          <w:rFonts w:ascii="Times New Roman" w:hAnsi="Times New Roman" w:eastAsia="Times New Roman"/>
        </w:rPr>
        <w:pict>
          <v:shape id="_x0000_i1026" o:spt="75" type="#_x0000_t75" style="height:6.75pt;width:6.75pt;" filled="f" o:preferrelative="t" stroked="f" coordsize="21600,21600">
            <v:path/>
            <v:fill on="f" focussize="0,0"/>
            <v:stroke on="f" joinstyle="miter"/>
            <v:imagedata r:id="rId9" o:title=""/>
            <o:lock v:ext="edit" aspectratio="t"/>
            <w10:wrap type="none"/>
            <w10:anchorlock/>
          </v:shape>
        </w:pict>
      </w:r>
      <w:r>
        <w:rPr>
          <w:rFonts w:ascii="Times New Roman" w:hAnsi="Times New Roman" w:eastAsia="Times New Roman"/>
        </w:rPr>
        <w:t xml:space="preserve"> MAX. LEVEL</w:t>
      </w:r>
    </w:p>
    <w:p>
      <w:pPr>
        <w:spacing w:line="298"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2000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5"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1500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5"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1000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5" w:lineRule="exact"/>
        <w:rPr>
          <w:rFonts w:ascii="Times New Roman" w:hAnsi="Times New Roman" w:eastAsia="Times New Roman"/>
        </w:rPr>
      </w:pPr>
    </w:p>
    <w:p>
      <w:pPr>
        <w:spacing w:line="0" w:lineRule="atLeast"/>
        <w:ind w:left="100"/>
        <w:rPr>
          <w:rFonts w:ascii="Times New Roman" w:hAnsi="Times New Roman" w:eastAsia="Times New Roman"/>
        </w:rPr>
      </w:pPr>
      <w:r>
        <w:rPr>
          <w:rFonts w:ascii="Times New Roman" w:hAnsi="Times New Roman" w:eastAsia="Times New Roman"/>
        </w:rPr>
        <w:t>500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5" w:lineRule="exact"/>
        <w:rPr>
          <w:rFonts w:ascii="Times New Roman" w:hAnsi="Times New Roman" w:eastAsia="Times New Roman"/>
        </w:rPr>
      </w:pPr>
    </w:p>
    <w:p>
      <w:pPr>
        <w:spacing w:line="0" w:lineRule="atLeast"/>
        <w:ind w:left="300"/>
        <w:rPr>
          <w:rFonts w:ascii="Times New Roman" w:hAnsi="Times New Roman" w:eastAsia="Times New Roman"/>
        </w:rPr>
      </w:pPr>
      <w:r>
        <w:rPr>
          <w:rFonts w:ascii="Times New Roman" w:hAnsi="Times New Roman" w:eastAsia="Times New Roman"/>
        </w:rPr>
        <w:t>0</w:t>
      </w:r>
    </w:p>
    <w:p>
      <w:pPr>
        <w:spacing w:line="65" w:lineRule="exact"/>
        <w:rPr>
          <w:rFonts w:ascii="Times New Roman" w:hAnsi="Times New Roman" w:eastAsia="Times New Roman"/>
        </w:rPr>
      </w:pPr>
    </w:p>
    <w:p>
      <w:pPr>
        <w:tabs>
          <w:tab w:val="left" w:pos="120"/>
          <w:tab w:val="left" w:pos="140"/>
          <w:tab w:val="left" w:pos="160"/>
          <w:tab w:val="left" w:pos="200"/>
        </w:tabs>
        <w:spacing w:line="0" w:lineRule="atLeast"/>
        <w:ind w:right="1180"/>
        <w:jc w:val="center"/>
        <w:rPr>
          <w:rFonts w:ascii="Times New Roman" w:hAnsi="Times New Roman" w:eastAsia="Times New Roman"/>
          <w:sz w:val="19"/>
        </w:rPr>
      </w:pPr>
      <w:r>
        <w:rPr>
          <w:rFonts w:ascii="Times New Roman" w:hAnsi="Times New Roman" w:eastAsia="Times New Roman"/>
        </w:rPr>
        <w:t>SO</w:t>
      </w:r>
      <w:r>
        <w:rPr>
          <w:rFonts w:ascii="Times New Roman" w:hAnsi="Times New Roman" w:eastAsia="Times New Roman"/>
        </w:rPr>
        <w:tab/>
      </w:r>
      <w:r>
        <w:rPr>
          <w:rFonts w:ascii="Times New Roman" w:hAnsi="Times New Roman" w:eastAsia="Times New Roman"/>
        </w:rPr>
        <w:t>BU</w:t>
      </w:r>
      <w:r>
        <w:rPr>
          <w:rFonts w:ascii="Times New Roman" w:hAnsi="Times New Roman" w:eastAsia="Times New Roman"/>
        </w:rPr>
        <w:tab/>
      </w:r>
      <w:r>
        <w:rPr>
          <w:rFonts w:ascii="Times New Roman" w:hAnsi="Times New Roman" w:eastAsia="Times New Roman"/>
        </w:rPr>
        <w:t>HC</w:t>
      </w:r>
      <w:r>
        <w:rPr>
          <w:rFonts w:ascii="Times New Roman" w:hAnsi="Times New Roman" w:eastAsia="Times New Roman"/>
        </w:rPr>
        <w:tab/>
      </w:r>
      <w:r>
        <w:rPr>
          <w:rFonts w:ascii="Times New Roman" w:hAnsi="Times New Roman" w:eastAsia="Times New Roman"/>
        </w:rPr>
        <w:t>LB</w:t>
      </w:r>
      <w:r>
        <w:rPr>
          <w:rFonts w:ascii="Times New Roman" w:hAnsi="Times New Roman" w:eastAsia="Times New Roman"/>
        </w:rPr>
        <w:tab/>
      </w:r>
      <w:r>
        <w:rPr>
          <w:rFonts w:ascii="Times New Roman" w:hAnsi="Times New Roman" w:eastAsia="Times New Roman"/>
        </w:rPr>
        <w:t>EV</w:t>
      </w:r>
      <w:r>
        <w:rPr>
          <w:rFonts w:ascii="Times New Roman" w:hAnsi="Times New Roman" w:eastAsia="Times New Roman"/>
        </w:rPr>
        <w:tab/>
      </w:r>
      <w:r>
        <w:rPr>
          <w:rFonts w:ascii="Times New Roman" w:hAnsi="Times New Roman" w:eastAsia="Times New Roman"/>
        </w:rPr>
        <w:t>PH</w:t>
      </w:r>
      <w:r>
        <w:rPr>
          <w:rFonts w:ascii="Times New Roman" w:hAnsi="Times New Roman" w:eastAsia="Times New Roman"/>
        </w:rPr>
        <w:tab/>
      </w:r>
      <w:r>
        <w:rPr>
          <w:rFonts w:ascii="Times New Roman" w:hAnsi="Times New Roman" w:eastAsia="Times New Roman"/>
        </w:rPr>
        <w:t>XL</w:t>
      </w:r>
      <w:r>
        <w:rPr>
          <w:rFonts w:ascii="Times New Roman" w:hAnsi="Times New Roman" w:eastAsia="Times New Roman"/>
        </w:rPr>
        <w:tab/>
      </w:r>
      <w:r>
        <w:rPr>
          <w:rFonts w:ascii="Times New Roman" w:hAnsi="Times New Roman" w:eastAsia="Times New Roman"/>
        </w:rPr>
        <w:t>JW</w:t>
      </w:r>
      <w:r>
        <w:rPr>
          <w:rFonts w:ascii="Times New Roman" w:hAnsi="Times New Roman" w:eastAsia="Times New Roman"/>
        </w:rPr>
        <w:tab/>
      </w:r>
      <w:r>
        <w:rPr>
          <w:rFonts w:ascii="Times New Roman" w:hAnsi="Times New Roman" w:eastAsia="Times New Roman"/>
        </w:rPr>
        <w:t>WD  KM</w:t>
      </w:r>
      <w:r>
        <w:rPr>
          <w:rFonts w:ascii="Times New Roman" w:hAnsi="Times New Roman" w:eastAsia="Times New Roman"/>
        </w:rPr>
        <w:tab/>
      </w:r>
      <w:r>
        <w:rPr>
          <w:rFonts w:ascii="Times New Roman" w:hAnsi="Times New Roman" w:eastAsia="Times New Roman"/>
        </w:rPr>
        <w:t>RB</w:t>
      </w:r>
      <w:r>
        <w:rPr>
          <w:rFonts w:ascii="Times New Roman" w:hAnsi="Times New Roman" w:eastAsia="Times New Roman"/>
        </w:rPr>
        <w:tab/>
      </w:r>
      <w:r>
        <w:rPr>
          <w:rFonts w:ascii="Times New Roman" w:hAnsi="Times New Roman" w:eastAsia="Times New Roman"/>
        </w:rPr>
        <w:t>PA</w:t>
      </w:r>
      <w:r>
        <w:rPr>
          <w:rFonts w:ascii="Times New Roman" w:hAnsi="Times New Roman" w:eastAsia="Times New Roman"/>
        </w:rPr>
        <w:tab/>
      </w:r>
      <w:r>
        <w:rPr>
          <w:rFonts w:ascii="Times New Roman" w:hAnsi="Times New Roman" w:eastAsia="Times New Roman"/>
        </w:rPr>
        <w:t>EJ</w:t>
      </w:r>
      <w:r>
        <w:rPr>
          <w:rFonts w:ascii="Times New Roman" w:hAnsi="Times New Roman" w:eastAsia="Times New Roman"/>
        </w:rPr>
        <w:tab/>
      </w:r>
      <w:r>
        <w:rPr>
          <w:rFonts w:ascii="Times New Roman" w:hAnsi="Times New Roman" w:eastAsia="Times New Roman"/>
          <w:sz w:val="19"/>
        </w:rPr>
        <w:t>AL</w:t>
      </w:r>
    </w:p>
    <w:p>
      <w:pPr>
        <w:spacing w:line="158" w:lineRule="exact"/>
        <w:rPr>
          <w:rFonts w:ascii="Times New Roman" w:hAnsi="Times New Roman" w:eastAsia="Times New Roman"/>
        </w:rPr>
      </w:pPr>
    </w:p>
    <w:p>
      <w:pPr>
        <w:spacing w:line="0" w:lineRule="atLeast"/>
        <w:ind w:left="2880"/>
        <w:rPr>
          <w:rFonts w:ascii="Times New Roman" w:hAnsi="Times New Roman" w:eastAsia="Times New Roman"/>
          <w:b/>
          <w:sz w:val="24"/>
        </w:rPr>
      </w:pPr>
      <w:r>
        <w:rPr>
          <w:rFonts w:ascii="Times New Roman" w:hAnsi="Times New Roman" w:eastAsia="Times New Roman"/>
          <w:b/>
          <w:sz w:val="24"/>
        </w:rPr>
        <w:t>Sample Identity</w:t>
      </w:r>
    </w:p>
    <w:p>
      <w:pPr>
        <w:spacing w:line="0" w:lineRule="atLeast"/>
        <w:ind w:left="2880"/>
        <w:rPr>
          <w:rFonts w:ascii="Times New Roman" w:hAnsi="Times New Roman" w:eastAsia="Times New Roman"/>
          <w:b/>
          <w:sz w:val="24"/>
        </w:rPr>
        <w:sectPr>
          <w:pgSz w:w="12240" w:h="15840"/>
          <w:pgMar w:top="1440" w:right="960" w:bottom="428" w:left="1440" w:header="0" w:footer="0" w:gutter="0"/>
          <w:cols w:equalWidth="0" w:num="2">
            <w:col w:w="1096" w:space="184"/>
            <w:col w:w="8560"/>
          </w:cols>
          <w:docGrid w:linePitch="360" w:charSpace="0"/>
        </w:sect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86" w:lineRule="exact"/>
        <w:rPr>
          <w:rFonts w:ascii="Times New Roman" w:hAnsi="Times New Roman" w:eastAsia="Times New Roman"/>
        </w:rPr>
      </w:pPr>
    </w:p>
    <w:p>
      <w:pPr>
        <w:spacing w:line="0" w:lineRule="atLeast"/>
        <w:ind w:left="580"/>
        <w:rPr>
          <w:rFonts w:ascii="Times New Roman" w:hAnsi="Times New Roman" w:eastAsia="Times New Roman"/>
          <w:b/>
        </w:rPr>
      </w:pPr>
      <w:r>
        <w:rPr>
          <w:rFonts w:ascii="Times New Roman" w:hAnsi="Times New Roman" w:eastAsia="Times New Roman"/>
          <w:b/>
        </w:rPr>
        <w:t>CCC: Calculated concentration of caffeine.</w:t>
      </w:r>
    </w:p>
    <w:p>
      <w:pPr>
        <w:spacing w:line="243" w:lineRule="exact"/>
        <w:rPr>
          <w:rFonts w:ascii="Times New Roman" w:hAnsi="Times New Roman" w:eastAsia="Times New Roman"/>
        </w:rPr>
      </w:pPr>
    </w:p>
    <w:p>
      <w:pPr>
        <w:spacing w:line="235" w:lineRule="auto"/>
        <w:ind w:left="580" w:right="500"/>
        <w:rPr>
          <w:rFonts w:ascii="Times New Roman" w:hAnsi="Times New Roman" w:eastAsia="Times New Roman"/>
          <w:b/>
          <w:sz w:val="24"/>
        </w:rPr>
      </w:pPr>
      <w:r>
        <w:rPr>
          <w:rFonts w:ascii="Times New Roman" w:hAnsi="Times New Roman" w:eastAsia="Times New Roman"/>
          <w:b/>
          <w:sz w:val="24"/>
        </w:rPr>
        <w:t>Figure 4.1: A comparison of the calculated concentration of caffeine in energy drinks with the maximum US FDA standard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6" w:lineRule="exact"/>
        <w:rPr>
          <w:rFonts w:ascii="Times New Roman" w:hAnsi="Times New Roman" w:eastAsia="Times New Roman"/>
        </w:rPr>
      </w:pPr>
    </w:p>
    <w:p>
      <w:pPr>
        <w:spacing w:line="0" w:lineRule="atLeast"/>
        <w:ind w:right="-99"/>
        <w:jc w:val="center"/>
        <w:rPr>
          <w:sz w:val="22"/>
        </w:rPr>
      </w:pPr>
      <w:r>
        <w:rPr>
          <w:sz w:val="22"/>
        </w:rPr>
        <w:t>lxvi</w:t>
      </w:r>
    </w:p>
    <w:p>
      <w:pPr>
        <w:spacing w:line="0" w:lineRule="atLeast"/>
        <w:ind w:right="-99"/>
        <w:jc w:val="center"/>
        <w:rPr>
          <w:sz w:val="22"/>
        </w:rPr>
        <w:sectPr>
          <w:type w:val="continuous"/>
          <w:pgSz w:w="12240" w:h="15840"/>
          <w:pgMar w:top="1440" w:right="960" w:bottom="428" w:left="1440" w:header="0" w:footer="0" w:gutter="0"/>
          <w:cols w:equalWidth="0" w:num="1">
            <w:col w:w="9840"/>
          </w:cols>
          <w:docGrid w:linePitch="360" w:charSpace="0"/>
        </w:sectPr>
      </w:pPr>
    </w:p>
    <w:p>
      <w:pPr>
        <w:spacing w:line="200" w:lineRule="exact"/>
        <w:rPr>
          <w:rFonts w:ascii="Times New Roman" w:hAnsi="Times New Roman" w:eastAsia="Times New Roman"/>
        </w:rPr>
      </w:pPr>
      <w:bookmarkStart w:id="58" w:name="page67"/>
      <w:bookmarkEnd w:id="58"/>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00" w:lineRule="exact"/>
        <w:rPr>
          <w:rFonts w:ascii="Times New Roman" w:hAnsi="Times New Roman" w:eastAsia="Times New Roman"/>
        </w:rPr>
      </w:pPr>
    </w:p>
    <w:tbl>
      <w:tblPr>
        <w:tblStyle w:val="3"/>
        <w:tblW w:w="0" w:type="auto"/>
        <w:tblInd w:w="862" w:type="dxa"/>
        <w:tblLayout w:type="fixed"/>
        <w:tblCellMar>
          <w:top w:w="0" w:type="dxa"/>
          <w:left w:w="0" w:type="dxa"/>
          <w:bottom w:w="0" w:type="dxa"/>
          <w:right w:w="0" w:type="dxa"/>
        </w:tblCellMar>
      </w:tblPr>
      <w:tblGrid>
        <w:gridCol w:w="264"/>
      </w:tblGrid>
      <w:tr>
        <w:tblPrEx>
          <w:tblCellMar>
            <w:top w:w="0" w:type="dxa"/>
            <w:left w:w="0" w:type="dxa"/>
            <w:bottom w:w="0" w:type="dxa"/>
            <w:right w:w="0" w:type="dxa"/>
          </w:tblCellMar>
        </w:tblPrEx>
        <w:trPr>
          <w:trHeight w:val="3680" w:hRule="atLeast"/>
        </w:trPr>
        <w:tc>
          <w:tcPr>
            <w:tcW w:w="264" w:type="dxa"/>
            <w:shd w:val="clear" w:color="auto" w:fill="auto"/>
            <w:textDirection w:val="btLr"/>
            <w:vAlign w:val="bottom"/>
          </w:tcPr>
          <w:p>
            <w:pPr>
              <w:spacing w:line="0" w:lineRule="atLeast"/>
              <w:rPr>
                <w:rFonts w:ascii="Times New Roman" w:hAnsi="Times New Roman" w:eastAsia="Times New Roman"/>
                <w:b/>
                <w:sz w:val="23"/>
              </w:rPr>
            </w:pPr>
            <w:r>
              <w:rPr>
                <w:rFonts w:ascii="Times New Roman" w:hAnsi="Times New Roman" w:eastAsia="Times New Roman"/>
                <w:b/>
                <w:sz w:val="23"/>
              </w:rPr>
              <w:t>Concentration of Aspartame (mg/L)</w:t>
            </w:r>
          </w:p>
        </w:tc>
      </w:tr>
    </w:tbl>
    <w:p>
      <w:pPr>
        <w:spacing w:line="200" w:lineRule="exact"/>
        <w:rPr>
          <w:rFonts w:ascii="Times New Roman" w:hAnsi="Times New Roman" w:eastAsia="Times New Roman"/>
        </w:rPr>
      </w:pPr>
      <w:r>
        <w:rPr>
          <w:rFonts w:ascii="Times New Roman" w:hAnsi="Times New Roman" w:eastAsia="Times New Roman"/>
          <w:b/>
          <w:sz w:val="23"/>
        </w:rPr>
        <w:br w:type="column"/>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5"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3000</w:t>
      </w:r>
    </w:p>
    <w:p>
      <w:pPr>
        <w:spacing w:line="20" w:lineRule="exact"/>
        <w:rPr>
          <w:rFonts w:ascii="Times New Roman" w:hAnsi="Times New Roman" w:eastAsia="Times New Roman"/>
        </w:rPr>
      </w:pPr>
      <w:r>
        <w:rPr>
          <w:rFonts w:ascii="Times New Roman" w:hAnsi="Times New Roman" w:eastAsia="Times New Roman"/>
        </w:rPr>
        <w:pict>
          <v:shape id="_x0000_s1033" o:spid="_x0000_s1033" o:spt="75" type="#_x0000_t75" style="position:absolute;left:0pt;margin-left:26pt;margin-top:-11.8pt;height:338.4pt;width:312.35pt;z-index:-251657216;mso-width-relative:page;mso-height-relative:page;" filled="f" o:preferrelative="t" stroked="f" coordsize="21600,21600">
            <v:path/>
            <v:fill on="f" focussize="0,0"/>
            <v:stroke on="f" joinstyle="miter"/>
            <v:imagedata r:id="rId10" o:title=""/>
            <o:lock v:ext="edit" aspectratio="t"/>
          </v:shape>
        </w:pict>
      </w:r>
    </w:p>
    <w:p>
      <w:pPr>
        <w:spacing w:line="22" w:lineRule="exact"/>
        <w:rPr>
          <w:rFonts w:ascii="Times New Roman" w:hAnsi="Times New Roman" w:eastAsia="Times New Roman"/>
        </w:rPr>
      </w:pPr>
    </w:p>
    <w:p>
      <w:pPr>
        <w:spacing w:line="0" w:lineRule="atLeast"/>
        <w:ind w:left="6960"/>
        <w:rPr>
          <w:rFonts w:ascii="Times New Roman" w:hAnsi="Times New Roman" w:eastAsia="Times New Roman"/>
        </w:rPr>
      </w:pPr>
      <w:r>
        <w:rPr>
          <w:rFonts w:ascii="Times New Roman" w:hAnsi="Times New Roman" w:eastAsia="Times New Roman"/>
        </w:rPr>
        <w:pict>
          <v:shape id="_x0000_i1027" o:spt="75" type="#_x0000_t75" style="height:6.75pt;width:6.75pt;" filled="f" o:preferrelative="t" stroked="f" coordsize="21600,21600">
            <v:path/>
            <v:fill on="f" focussize="0,0"/>
            <v:stroke on="f" joinstyle="miter"/>
            <v:imagedata r:id="rId11" o:title=""/>
            <o:lock v:ext="edit" aspectratio="t"/>
            <w10:wrap type="none"/>
            <w10:anchorlock/>
          </v:shape>
        </w:pict>
      </w:r>
      <w:r>
        <w:rPr>
          <w:rFonts w:ascii="Times New Roman" w:hAnsi="Times New Roman" w:eastAsia="Times New Roman"/>
        </w:rPr>
        <w:t xml:space="preserve"> MIN. LEVEL</w:t>
      </w:r>
    </w:p>
    <w:p>
      <w:pPr>
        <w:spacing w:line="185" w:lineRule="exact"/>
        <w:rPr>
          <w:rFonts w:ascii="Times New Roman" w:hAnsi="Times New Roman" w:eastAsia="Times New Roman"/>
        </w:rPr>
      </w:pPr>
    </w:p>
    <w:p>
      <w:pPr>
        <w:spacing w:line="0" w:lineRule="atLeast"/>
        <w:ind w:left="6960"/>
        <w:rPr>
          <w:rFonts w:ascii="Times New Roman" w:hAnsi="Times New Roman" w:eastAsia="Times New Roman"/>
        </w:rPr>
      </w:pPr>
      <w:r>
        <w:rPr>
          <w:rFonts w:ascii="Times New Roman" w:hAnsi="Times New Roman" w:eastAsia="Times New Roman"/>
        </w:rPr>
        <w:pict>
          <v:shape id="_x0000_i1028" o:spt="75" type="#_x0000_t75" style="height:6.75pt;width:6.75pt;" filled="f" o:preferrelative="t" stroked="f" coordsize="21600,21600">
            <v:path/>
            <v:fill on="f" focussize="0,0"/>
            <v:stroke on="f" joinstyle="miter"/>
            <v:imagedata r:id="rId12" o:title=""/>
            <o:lock v:ext="edit" aspectratio="t"/>
            <w10:wrap type="none"/>
            <w10:anchorlock/>
          </v:shape>
        </w:pict>
      </w:r>
      <w:r>
        <w:rPr>
          <w:rFonts w:ascii="Times New Roman" w:hAnsi="Times New Roman" w:eastAsia="Times New Roman"/>
        </w:rPr>
        <w:t xml:space="preserve"> CAL. CONC.</w:t>
      </w:r>
    </w:p>
    <w:p>
      <w:pPr>
        <w:spacing w:line="185"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 xml:space="preserve">2500  </w:t>
      </w:r>
      <w:r>
        <w:rPr>
          <w:rFonts w:ascii="Times New Roman" w:hAnsi="Times New Roman" w:eastAsia="Times New Roman"/>
        </w:rPr>
        <w:pict>
          <v:shape id="_x0000_i1029" o:spt="75" type="#_x0000_t75" style="height:0.75pt;width:3pt;" filled="f" o:preferrelative="t" stroked="f" coordsize="21600,21600">
            <v:path/>
            <v:fill on="f" focussize="0,0"/>
            <v:stroke on="f" joinstyle="miter"/>
            <v:imagedata r:id="rId13" o:title=""/>
            <o:lock v:ext="edit" aspectratio="t"/>
            <w10:wrap type="none"/>
            <w10:anchorlock/>
          </v:shape>
        </w:pict>
      </w:r>
      <w:r>
        <w:rPr>
          <w:rFonts w:ascii="Times New Roman" w:hAnsi="Times New Roman" w:eastAsia="Times New Roman"/>
        </w:rPr>
        <w:pict>
          <v:shape id="_x0000_i1030" o:spt="75" type="#_x0000_t75" style="height:6.75pt;width:6.75pt;" filled="f" o:preferrelative="t" stroked="f" coordsize="21600,21600">
            <v:path/>
            <v:fill on="f" focussize="0,0"/>
            <v:stroke on="f" joinstyle="miter"/>
            <v:imagedata r:id="rId14" o:title=""/>
            <o:lock v:ext="edit" aspectratio="t"/>
            <w10:wrap type="none"/>
            <w10:anchorlock/>
          </v:shape>
        </w:pict>
      </w:r>
      <w:r>
        <w:rPr>
          <w:rFonts w:ascii="Times New Roman" w:hAnsi="Times New Roman" w:eastAsia="Times New Roman"/>
        </w:rPr>
        <w:t xml:space="preserve"> MAX. LEVEL</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3"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2000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8"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1500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8" w:lineRule="exact"/>
        <w:rPr>
          <w:rFonts w:ascii="Times New Roman" w:hAnsi="Times New Roman" w:eastAsia="Times New Roman"/>
        </w:rPr>
      </w:pPr>
    </w:p>
    <w:p>
      <w:pPr>
        <w:spacing w:line="0" w:lineRule="atLeast"/>
        <w:rPr>
          <w:rFonts w:ascii="Times New Roman" w:hAnsi="Times New Roman" w:eastAsia="Times New Roman"/>
        </w:rPr>
      </w:pPr>
      <w:r>
        <w:rPr>
          <w:rFonts w:ascii="Times New Roman" w:hAnsi="Times New Roman" w:eastAsia="Times New Roman"/>
        </w:rPr>
        <w:t>1000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8" w:lineRule="exact"/>
        <w:rPr>
          <w:rFonts w:ascii="Times New Roman" w:hAnsi="Times New Roman" w:eastAsia="Times New Roman"/>
        </w:rPr>
      </w:pPr>
    </w:p>
    <w:p>
      <w:pPr>
        <w:spacing w:line="0" w:lineRule="atLeast"/>
        <w:ind w:left="100"/>
        <w:rPr>
          <w:rFonts w:ascii="Times New Roman" w:hAnsi="Times New Roman" w:eastAsia="Times New Roman"/>
        </w:rPr>
      </w:pPr>
      <w:r>
        <w:rPr>
          <w:rFonts w:ascii="Times New Roman" w:hAnsi="Times New Roman" w:eastAsia="Times New Roman"/>
        </w:rPr>
        <w:t>500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8" w:lineRule="exact"/>
        <w:rPr>
          <w:rFonts w:ascii="Times New Roman" w:hAnsi="Times New Roman" w:eastAsia="Times New Roman"/>
        </w:rPr>
      </w:pPr>
    </w:p>
    <w:p>
      <w:pPr>
        <w:spacing w:line="0" w:lineRule="atLeast"/>
        <w:ind w:left="300"/>
        <w:rPr>
          <w:rFonts w:ascii="Times New Roman" w:hAnsi="Times New Roman" w:eastAsia="Times New Roman"/>
        </w:rPr>
      </w:pPr>
      <w:r>
        <w:rPr>
          <w:rFonts w:ascii="Times New Roman" w:hAnsi="Times New Roman" w:eastAsia="Times New Roman"/>
        </w:rPr>
        <w:t>0</w:t>
      </w:r>
    </w:p>
    <w:p>
      <w:pPr>
        <w:spacing w:line="66" w:lineRule="exact"/>
        <w:rPr>
          <w:rFonts w:ascii="Times New Roman" w:hAnsi="Times New Roman" w:eastAsia="Times New Roman"/>
        </w:rPr>
      </w:pPr>
    </w:p>
    <w:p>
      <w:pPr>
        <w:tabs>
          <w:tab w:val="left" w:pos="100"/>
          <w:tab w:val="left" w:pos="120"/>
          <w:tab w:val="left" w:pos="140"/>
          <w:tab w:val="left" w:pos="160"/>
          <w:tab w:val="left" w:pos="180"/>
        </w:tabs>
        <w:spacing w:line="0" w:lineRule="atLeast"/>
        <w:ind w:right="1100"/>
        <w:jc w:val="center"/>
        <w:rPr>
          <w:rFonts w:ascii="Times New Roman" w:hAnsi="Times New Roman" w:eastAsia="Times New Roman"/>
          <w:sz w:val="19"/>
        </w:rPr>
      </w:pPr>
      <w:r>
        <w:rPr>
          <w:rFonts w:ascii="Times New Roman" w:hAnsi="Times New Roman" w:eastAsia="Times New Roman"/>
        </w:rPr>
        <w:t>SO</w:t>
      </w:r>
      <w:r>
        <w:rPr>
          <w:rFonts w:ascii="Times New Roman" w:hAnsi="Times New Roman" w:eastAsia="Times New Roman"/>
        </w:rPr>
        <w:tab/>
      </w:r>
      <w:r>
        <w:rPr>
          <w:rFonts w:ascii="Times New Roman" w:hAnsi="Times New Roman" w:eastAsia="Times New Roman"/>
        </w:rPr>
        <w:t>BU</w:t>
      </w:r>
      <w:r>
        <w:rPr>
          <w:rFonts w:ascii="Times New Roman" w:hAnsi="Times New Roman" w:eastAsia="Times New Roman"/>
        </w:rPr>
        <w:tab/>
      </w:r>
      <w:r>
        <w:rPr>
          <w:rFonts w:ascii="Times New Roman" w:hAnsi="Times New Roman" w:eastAsia="Times New Roman"/>
        </w:rPr>
        <w:t>HC</w:t>
      </w:r>
      <w:r>
        <w:rPr>
          <w:rFonts w:ascii="Times New Roman" w:hAnsi="Times New Roman" w:eastAsia="Times New Roman"/>
        </w:rPr>
        <w:tab/>
      </w:r>
      <w:r>
        <w:rPr>
          <w:rFonts w:ascii="Times New Roman" w:hAnsi="Times New Roman" w:eastAsia="Times New Roman"/>
        </w:rPr>
        <w:t>LB</w:t>
      </w:r>
      <w:r>
        <w:rPr>
          <w:rFonts w:ascii="Times New Roman" w:hAnsi="Times New Roman" w:eastAsia="Times New Roman"/>
        </w:rPr>
        <w:tab/>
      </w:r>
      <w:r>
        <w:rPr>
          <w:rFonts w:ascii="Times New Roman" w:hAnsi="Times New Roman" w:eastAsia="Times New Roman"/>
        </w:rPr>
        <w:t>EV</w:t>
      </w:r>
      <w:r>
        <w:rPr>
          <w:rFonts w:ascii="Times New Roman" w:hAnsi="Times New Roman" w:eastAsia="Times New Roman"/>
        </w:rPr>
        <w:tab/>
      </w:r>
      <w:r>
        <w:rPr>
          <w:rFonts w:ascii="Times New Roman" w:hAnsi="Times New Roman" w:eastAsia="Times New Roman"/>
        </w:rPr>
        <w:t>PH</w:t>
      </w:r>
      <w:r>
        <w:rPr>
          <w:rFonts w:ascii="Times New Roman" w:hAnsi="Times New Roman" w:eastAsia="Times New Roman"/>
        </w:rPr>
        <w:tab/>
      </w:r>
      <w:r>
        <w:rPr>
          <w:rFonts w:ascii="Times New Roman" w:hAnsi="Times New Roman" w:eastAsia="Times New Roman"/>
        </w:rPr>
        <w:t>XL</w:t>
      </w:r>
      <w:r>
        <w:rPr>
          <w:rFonts w:ascii="Times New Roman" w:hAnsi="Times New Roman" w:eastAsia="Times New Roman"/>
        </w:rPr>
        <w:tab/>
      </w:r>
      <w:r>
        <w:rPr>
          <w:rFonts w:ascii="Times New Roman" w:hAnsi="Times New Roman" w:eastAsia="Times New Roman"/>
        </w:rPr>
        <w:t>JW</w:t>
      </w:r>
      <w:r>
        <w:rPr>
          <w:rFonts w:ascii="Times New Roman" w:hAnsi="Times New Roman" w:eastAsia="Times New Roman"/>
        </w:rPr>
        <w:tab/>
      </w:r>
      <w:r>
        <w:rPr>
          <w:rFonts w:ascii="Times New Roman" w:hAnsi="Times New Roman" w:eastAsia="Times New Roman"/>
        </w:rPr>
        <w:t>WD  KM</w:t>
      </w:r>
      <w:r>
        <w:rPr>
          <w:rFonts w:ascii="Times New Roman" w:hAnsi="Times New Roman" w:eastAsia="Times New Roman"/>
        </w:rPr>
        <w:tab/>
      </w:r>
      <w:r>
        <w:rPr>
          <w:rFonts w:ascii="Times New Roman" w:hAnsi="Times New Roman" w:eastAsia="Times New Roman"/>
        </w:rPr>
        <w:t>RB</w:t>
      </w:r>
      <w:r>
        <w:rPr>
          <w:rFonts w:ascii="Times New Roman" w:hAnsi="Times New Roman" w:eastAsia="Times New Roman"/>
        </w:rPr>
        <w:tab/>
      </w:r>
      <w:r>
        <w:rPr>
          <w:rFonts w:ascii="Times New Roman" w:hAnsi="Times New Roman" w:eastAsia="Times New Roman"/>
        </w:rPr>
        <w:t>PA</w:t>
      </w:r>
      <w:r>
        <w:rPr>
          <w:rFonts w:ascii="Times New Roman" w:hAnsi="Times New Roman" w:eastAsia="Times New Roman"/>
        </w:rPr>
        <w:tab/>
      </w:r>
      <w:r>
        <w:rPr>
          <w:rFonts w:ascii="Times New Roman" w:hAnsi="Times New Roman" w:eastAsia="Times New Roman"/>
        </w:rPr>
        <w:t>EJ</w:t>
      </w:r>
      <w:r>
        <w:rPr>
          <w:rFonts w:ascii="Times New Roman" w:hAnsi="Times New Roman" w:eastAsia="Times New Roman"/>
        </w:rPr>
        <w:tab/>
      </w:r>
      <w:r>
        <w:rPr>
          <w:rFonts w:ascii="Times New Roman" w:hAnsi="Times New Roman" w:eastAsia="Times New Roman"/>
          <w:sz w:val="19"/>
        </w:rPr>
        <w:t>AL</w:t>
      </w:r>
    </w:p>
    <w:p>
      <w:pPr>
        <w:spacing w:line="157" w:lineRule="exact"/>
        <w:rPr>
          <w:rFonts w:ascii="Times New Roman" w:hAnsi="Times New Roman" w:eastAsia="Times New Roman"/>
        </w:rPr>
      </w:pPr>
    </w:p>
    <w:p>
      <w:pPr>
        <w:spacing w:line="0" w:lineRule="atLeast"/>
        <w:ind w:left="2780"/>
        <w:rPr>
          <w:rFonts w:ascii="Times New Roman" w:hAnsi="Times New Roman" w:eastAsia="Times New Roman"/>
          <w:b/>
          <w:sz w:val="24"/>
        </w:rPr>
      </w:pPr>
      <w:r>
        <w:rPr>
          <w:rFonts w:ascii="Times New Roman" w:hAnsi="Times New Roman" w:eastAsia="Times New Roman"/>
          <w:b/>
          <w:sz w:val="24"/>
        </w:rPr>
        <w:t>Sample Identity</w:t>
      </w:r>
    </w:p>
    <w:p>
      <w:pPr>
        <w:spacing w:line="0" w:lineRule="atLeast"/>
        <w:ind w:left="2780"/>
        <w:rPr>
          <w:rFonts w:ascii="Times New Roman" w:hAnsi="Times New Roman" w:eastAsia="Times New Roman"/>
          <w:b/>
          <w:sz w:val="24"/>
        </w:rPr>
        <w:sectPr>
          <w:pgSz w:w="12240" w:h="15840"/>
          <w:pgMar w:top="1440" w:right="1160" w:bottom="428" w:left="1440" w:header="0" w:footer="0" w:gutter="0"/>
          <w:cols w:equalWidth="0" w:num="2">
            <w:col w:w="1127" w:space="193"/>
            <w:col w:w="8320"/>
          </w:cols>
          <w:docGrid w:linePitch="360" w:charSpace="0"/>
        </w:sectPr>
      </w:pPr>
    </w:p>
    <w:p>
      <w:pPr>
        <w:spacing w:line="200" w:lineRule="exact"/>
        <w:rPr>
          <w:rFonts w:ascii="Times New Roman" w:hAnsi="Times New Roman" w:eastAsia="Times New Roman"/>
        </w:rPr>
      </w:pPr>
    </w:p>
    <w:p>
      <w:pPr>
        <w:spacing w:line="311" w:lineRule="exact"/>
        <w:rPr>
          <w:rFonts w:ascii="Times New Roman" w:hAnsi="Times New Roman" w:eastAsia="Times New Roman"/>
        </w:rPr>
      </w:pPr>
    </w:p>
    <w:p>
      <w:pPr>
        <w:spacing w:line="235" w:lineRule="auto"/>
        <w:ind w:left="580" w:right="300"/>
        <w:rPr>
          <w:rFonts w:ascii="Times New Roman" w:hAnsi="Times New Roman" w:eastAsia="Times New Roman"/>
          <w:b/>
          <w:sz w:val="24"/>
        </w:rPr>
      </w:pPr>
      <w:r>
        <w:rPr>
          <w:rFonts w:ascii="Times New Roman" w:hAnsi="Times New Roman" w:eastAsia="Times New Roman"/>
          <w:b/>
          <w:sz w:val="24"/>
        </w:rPr>
        <w:t>Figure 4.2: A comparison of the calculated concentration of aspartame in energy drinks with the minimum and maximum US FDA standard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16" w:lineRule="exact"/>
        <w:rPr>
          <w:rFonts w:ascii="Times New Roman" w:hAnsi="Times New Roman" w:eastAsia="Times New Roman"/>
        </w:rPr>
      </w:pPr>
    </w:p>
    <w:p>
      <w:pPr>
        <w:spacing w:line="0" w:lineRule="atLeast"/>
        <w:ind w:right="-299"/>
        <w:jc w:val="center"/>
        <w:rPr>
          <w:sz w:val="22"/>
        </w:rPr>
      </w:pPr>
      <w:r>
        <w:rPr>
          <w:sz w:val="22"/>
        </w:rPr>
        <w:t>lxvii</w:t>
      </w:r>
    </w:p>
    <w:p>
      <w:pPr>
        <w:spacing w:line="0" w:lineRule="atLeast"/>
        <w:ind w:right="-299"/>
        <w:jc w:val="center"/>
        <w:rPr>
          <w:sz w:val="22"/>
        </w:rPr>
        <w:sectPr>
          <w:type w:val="continuous"/>
          <w:pgSz w:w="12240" w:h="15840"/>
          <w:pgMar w:top="1440" w:right="1160" w:bottom="428" w:left="1440" w:header="0" w:footer="0" w:gutter="0"/>
          <w:cols w:equalWidth="0" w:num="1">
            <w:col w:w="9640"/>
          </w:cols>
          <w:docGrid w:linePitch="360" w:charSpace="0"/>
        </w:sectPr>
      </w:pPr>
    </w:p>
    <w:p>
      <w:pPr>
        <w:spacing w:line="0" w:lineRule="atLeast"/>
        <w:ind w:left="4060"/>
        <w:rPr>
          <w:rFonts w:ascii="Times New Roman" w:hAnsi="Times New Roman" w:eastAsia="Times New Roman"/>
          <w:b/>
          <w:sz w:val="24"/>
        </w:rPr>
      </w:pPr>
      <w:bookmarkStart w:id="59" w:name="page68"/>
      <w:bookmarkEnd w:id="59"/>
      <w:r>
        <w:rPr>
          <w:rFonts w:ascii="Times New Roman" w:hAnsi="Times New Roman" w:eastAsia="Times New Roman"/>
          <w:b/>
          <w:sz w:val="24"/>
        </w:rPr>
        <w:t>CHAPTER FIVE</w:t>
      </w:r>
    </w:p>
    <w:p>
      <w:pPr>
        <w:spacing w:line="276"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5.0</w:t>
      </w:r>
      <w:r>
        <w:rPr>
          <w:rFonts w:ascii="Times New Roman" w:hAnsi="Times New Roman" w:eastAsia="Times New Roman"/>
        </w:rPr>
        <w:tab/>
      </w:r>
      <w:r>
        <w:rPr>
          <w:rFonts w:ascii="Times New Roman" w:hAnsi="Times New Roman" w:eastAsia="Times New Roman"/>
          <w:b/>
          <w:sz w:val="24"/>
        </w:rPr>
        <w:t>DISCUSSION</w:t>
      </w:r>
    </w:p>
    <w:p>
      <w:pPr>
        <w:spacing w:line="277" w:lineRule="exact"/>
        <w:rPr>
          <w:rFonts w:ascii="Times New Roman" w:hAnsi="Times New Roman" w:eastAsia="Times New Roman"/>
        </w:rPr>
      </w:pPr>
    </w:p>
    <w:p>
      <w:pPr>
        <w:tabs>
          <w:tab w:val="left" w:pos="1440"/>
        </w:tabs>
        <w:spacing w:line="0" w:lineRule="atLeast"/>
        <w:ind w:left="580"/>
        <w:rPr>
          <w:rFonts w:ascii="Times New Roman" w:hAnsi="Times New Roman" w:eastAsia="Times New Roman"/>
          <w:b/>
          <w:sz w:val="23"/>
        </w:rPr>
      </w:pPr>
      <w:r>
        <w:rPr>
          <w:rFonts w:ascii="Times New Roman" w:hAnsi="Times New Roman" w:eastAsia="Times New Roman"/>
          <w:b/>
          <w:sz w:val="24"/>
        </w:rPr>
        <w:t>5.1</w:t>
      </w:r>
      <w:r>
        <w:rPr>
          <w:rFonts w:ascii="Times New Roman" w:hAnsi="Times New Roman" w:eastAsia="Times New Roman"/>
        </w:rPr>
        <w:tab/>
      </w:r>
      <w:r>
        <w:rPr>
          <w:rFonts w:ascii="Times New Roman" w:hAnsi="Times New Roman" w:eastAsia="Times New Roman"/>
          <w:b/>
          <w:sz w:val="23"/>
        </w:rPr>
        <w:t>Physicochemical Parameters of the Samples</w:t>
      </w:r>
    </w:p>
    <w:p>
      <w:pPr>
        <w:spacing w:line="276"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3"/>
        </w:rPr>
      </w:pPr>
      <w:r>
        <w:rPr>
          <w:rFonts w:ascii="Times New Roman" w:hAnsi="Times New Roman" w:eastAsia="Times New Roman"/>
          <w:b/>
          <w:sz w:val="24"/>
        </w:rPr>
        <w:t>5.1.1</w:t>
      </w:r>
      <w:r>
        <w:rPr>
          <w:rFonts w:ascii="Times New Roman" w:hAnsi="Times New Roman" w:eastAsia="Times New Roman"/>
        </w:rPr>
        <w:tab/>
      </w:r>
      <w:r>
        <w:rPr>
          <w:rFonts w:ascii="Times New Roman" w:hAnsi="Times New Roman" w:eastAsia="Times New Roman"/>
          <w:b/>
          <w:sz w:val="23"/>
        </w:rPr>
        <w:t>pH</w:t>
      </w:r>
    </w:p>
    <w:p>
      <w:pPr>
        <w:spacing w:line="283" w:lineRule="exact"/>
        <w:rPr>
          <w:rFonts w:ascii="Times New Roman" w:hAnsi="Times New Roman" w:eastAsia="Times New Roman"/>
        </w:rPr>
      </w:pPr>
    </w:p>
    <w:p>
      <w:pPr>
        <w:spacing w:line="471" w:lineRule="auto"/>
        <w:ind w:left="580"/>
        <w:jc w:val="both"/>
        <w:rPr>
          <w:rFonts w:ascii="Times New Roman" w:hAnsi="Times New Roman" w:eastAsia="Times New Roman"/>
          <w:sz w:val="24"/>
        </w:rPr>
      </w:pPr>
      <w:r>
        <w:rPr>
          <w:rFonts w:ascii="Times New Roman" w:hAnsi="Times New Roman" w:eastAsia="Times New Roman"/>
          <w:sz w:val="24"/>
        </w:rPr>
        <w:t xml:space="preserve">Table 4.1 shows the mean ± SD of the pH of the sampled energy drinks. The pH ranged from 4.47 ± 0.012 - 5.96 ± 0.012. Sample HC (liquid) had the least pH while sample PA (powdered) had the highest. The results were higher than pH values of 2.75 – 3.66 reported by Mohammed </w:t>
      </w:r>
      <w:r>
        <w:rPr>
          <w:rFonts w:ascii="Times New Roman" w:hAnsi="Times New Roman" w:eastAsia="Times New Roman"/>
          <w:i/>
          <w:sz w:val="24"/>
        </w:rPr>
        <w:t>et al.,</w:t>
      </w:r>
      <w:r>
        <w:rPr>
          <w:rFonts w:ascii="Times New Roman" w:hAnsi="Times New Roman" w:eastAsia="Times New Roman"/>
          <w:sz w:val="24"/>
        </w:rPr>
        <w:t xml:space="preserve"> (2012) for soft and energy drinks in Basrah, Iraq. They were within the pH ranged of 4.2 – 6.3 reported by Adeleke and Abiodun (2010) for local beverages in Nigeria, and had similarities with pH values of 4.2 – 6.3 reported by Obuzor and Ajaezi (2010) for malt beverages. All samples pH are acidic (i.e. their pH values are less than 7). The reason behind the low pH values of these beverages may be attributed to the CO</w:t>
      </w:r>
      <w:r>
        <w:rPr>
          <w:rFonts w:ascii="Times New Roman" w:hAnsi="Times New Roman" w:eastAsia="Times New Roman"/>
          <w:sz w:val="31"/>
          <w:vertAlign w:val="subscript"/>
        </w:rPr>
        <w:t>2</w:t>
      </w:r>
      <w:r>
        <w:rPr>
          <w:rFonts w:ascii="Times New Roman" w:hAnsi="Times New Roman" w:eastAsia="Times New Roman"/>
          <w:sz w:val="24"/>
        </w:rPr>
        <w:t xml:space="preserve"> gas used in the preservation of these beverages or the presence of other acids such as citric acid, phosphoric acid, ascorbic acid, malic acid, tartaric acid used as preservatives (Bassiouny and Yang, 2005; Ashurst, 2005). These acids inhibit the growth of microorganisms such as bacteria, mould and fungi which may contaminate the beverages. Drinking acidic beverages over a long period can erode tooth enamel and predispose the consumer to dental disease (Marshall </w:t>
      </w:r>
      <w:r>
        <w:rPr>
          <w:rFonts w:ascii="Times New Roman" w:hAnsi="Times New Roman" w:eastAsia="Times New Roman"/>
          <w:i/>
          <w:sz w:val="24"/>
        </w:rPr>
        <w:t>et al</w:t>
      </w:r>
      <w:r>
        <w:rPr>
          <w:rFonts w:ascii="Times New Roman" w:hAnsi="Times New Roman" w:eastAsia="Times New Roman"/>
          <w:sz w:val="24"/>
        </w:rPr>
        <w:t>., 2003; Bassiouny and Yang, 2005). A correct balance pH in the body is crucial to good health. Monitoring pH levels in beverages is important because unbalanced drinks can lead to tooth decay, an exposure to metallic chemicals and a weakening of the immune system. The pH of the analyzed energy drinks is in the range recommended by FDA for caffeinated drinks and coffee of 4.7 and 6.0 (FDA, 2003).</w:t>
      </w:r>
    </w:p>
    <w:p>
      <w:pPr>
        <w:spacing w:line="200" w:lineRule="exact"/>
        <w:rPr>
          <w:rFonts w:ascii="Times New Roman" w:hAnsi="Times New Roman" w:eastAsia="Times New Roman"/>
        </w:rPr>
      </w:pPr>
    </w:p>
    <w:p>
      <w:pPr>
        <w:spacing w:line="279" w:lineRule="exact"/>
        <w:rPr>
          <w:rFonts w:ascii="Times New Roman" w:hAnsi="Times New Roman" w:eastAsia="Times New Roman"/>
        </w:rPr>
      </w:pPr>
    </w:p>
    <w:p>
      <w:pPr>
        <w:spacing w:line="0" w:lineRule="atLeast"/>
        <w:ind w:left="4760"/>
        <w:rPr>
          <w:sz w:val="22"/>
        </w:rPr>
      </w:pPr>
      <w:r>
        <w:rPr>
          <w:sz w:val="22"/>
        </w:rPr>
        <w:t>lxviii</w:t>
      </w:r>
    </w:p>
    <w:p>
      <w:pPr>
        <w:spacing w:line="0" w:lineRule="atLeast"/>
        <w:ind w:left="476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60" w:name="page69"/>
      <w:bookmarkEnd w:id="60"/>
    </w:p>
    <w:p>
      <w:pPr>
        <w:spacing w:line="478" w:lineRule="auto"/>
        <w:ind w:left="580"/>
        <w:jc w:val="both"/>
        <w:rPr>
          <w:rFonts w:ascii="Times New Roman" w:hAnsi="Times New Roman" w:eastAsia="Times New Roman"/>
          <w:sz w:val="24"/>
        </w:rPr>
      </w:pPr>
      <w:r>
        <w:rPr>
          <w:rFonts w:ascii="Times New Roman" w:hAnsi="Times New Roman" w:eastAsia="Times New Roman"/>
          <w:sz w:val="24"/>
        </w:rPr>
        <w:t>As shown in Table 4.1, mean pH are labeled a-k, which gives the order of increasing acidity, and represents the ANOVA analysis for the mean pH values of the sampled energy drinks. There was no significant difference in the mean pH values of samples AL and LB, and samples SO and EV. However, the mean pH values of other samples were all significantly different from each other at p˂ 0.05 confidence limit. There was also no significant difference in the pH values of liquid and powdered forms of energy drinks at p˂0.05 confidence limit.</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3"/>
        </w:rPr>
      </w:pPr>
      <w:r>
        <w:rPr>
          <w:rFonts w:ascii="Times New Roman" w:hAnsi="Times New Roman" w:eastAsia="Times New Roman"/>
          <w:b/>
          <w:sz w:val="24"/>
        </w:rPr>
        <w:t>5.1.2</w:t>
      </w:r>
      <w:r>
        <w:rPr>
          <w:rFonts w:ascii="Times New Roman" w:hAnsi="Times New Roman" w:eastAsia="Times New Roman"/>
        </w:rPr>
        <w:tab/>
      </w:r>
      <w:r>
        <w:rPr>
          <w:rFonts w:ascii="Times New Roman" w:hAnsi="Times New Roman" w:eastAsia="Times New Roman"/>
          <w:b/>
          <w:sz w:val="23"/>
        </w:rPr>
        <w:t>Turbidity</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The mean ± SD of the turbidity readings of the sampled energy drinks is shown in Table 4.1. The turbidity of energy drinks ranged from 8 ± 0.577 – 592 ± 1.155 NTU with sample AL (powdered) having the least and sample LB (liquid) having the highest turbidity. These are lower than results reported by Obuzor and Ajaezi (2010) for malt drinks which had turbidity values above detection limits (˃1000NTU). Sample AL is least turbid while sample LB had the highest turbidity. Turbidity is the measure of the degree to which water loses its transparency due to presence of suspended particles. The more total suspended solids in the water, the murkier it seems and the higher the turbidity (Maurice, 2010). Turbidity is considered as a good measure of the quality of water. The suspended particles help the attachment of heavy metals and other toxic organic compounds which may pose negative health effects to the consumers.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As shown in Table 4.1, the mean turbidity of energy drinks are labeled a-j, which gives the order of increasing turbidity of the drinks and represents the ANOVA analysis for the</w:t>
      </w:r>
    </w:p>
    <w:p>
      <w:pPr>
        <w:spacing w:line="265" w:lineRule="exact"/>
        <w:rPr>
          <w:rFonts w:ascii="Times New Roman" w:hAnsi="Times New Roman" w:eastAsia="Times New Roman"/>
        </w:rPr>
      </w:pPr>
    </w:p>
    <w:p>
      <w:pPr>
        <w:spacing w:line="0" w:lineRule="atLeast"/>
        <w:ind w:left="4820"/>
        <w:rPr>
          <w:sz w:val="22"/>
        </w:rPr>
      </w:pPr>
      <w:r>
        <w:rPr>
          <w:sz w:val="22"/>
        </w:rPr>
        <w:t>lxix</w:t>
      </w:r>
    </w:p>
    <w:p>
      <w:pPr>
        <w:spacing w:line="0" w:lineRule="atLeast"/>
        <w:ind w:left="48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61" w:name="page70"/>
      <w:bookmarkEnd w:id="61"/>
    </w:p>
    <w:p>
      <w:pPr>
        <w:spacing w:line="477" w:lineRule="auto"/>
        <w:ind w:left="580"/>
        <w:jc w:val="both"/>
        <w:rPr>
          <w:rFonts w:ascii="Times New Roman" w:hAnsi="Times New Roman" w:eastAsia="Times New Roman"/>
          <w:sz w:val="24"/>
        </w:rPr>
      </w:pPr>
      <w:r>
        <w:rPr>
          <w:rFonts w:ascii="Times New Roman" w:hAnsi="Times New Roman" w:eastAsia="Times New Roman"/>
          <w:sz w:val="24"/>
        </w:rPr>
        <w:t>mean turbidity values of the sampled energy drinks. There was no significant difference in the mean turbidity values of samples PA and KM, samples WD and BU, samples WD and PH, and samples PH and XL. The mean turbidity values of all other samples were significantly different from each other at p˂0.05 confidence limit. There was significant difference between the mean turbidity of liquid and powdered forms of energy drinks.</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5.1.3</w:t>
      </w:r>
      <w:r>
        <w:rPr>
          <w:rFonts w:ascii="Times New Roman" w:hAnsi="Times New Roman" w:eastAsia="Times New Roman"/>
        </w:rPr>
        <w:tab/>
      </w:r>
      <w:r>
        <w:rPr>
          <w:rFonts w:ascii="Times New Roman" w:hAnsi="Times New Roman" w:eastAsia="Times New Roman"/>
          <w:b/>
          <w:sz w:val="24"/>
        </w:rPr>
        <w:t>Total dissolved solids</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total dissolved solids (TDS) ranged from 243 ± 0.577 – 1064 ± 0.577 mg/L as shown in Table 4.1. These values were within the range of 327.37 – 1480 mg/L reported by Obuzor and Ajaezi (2010) for malt drinks. Sample PA (powdered) had the highest TDS while sample LB (liquid) had the least TDS. Beverages with high values of TDS are likely to contain metals (essential and toxic) at high concentrations which may cause adverse health effects when consumed.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9"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As shown in Table 4.1, the mean TDS values are labeled a-m, which gives the order of increasing TDS of the analyzed samples and represents the ANOVA analysis for the TDS values of energy drink samples. There was no significant difference between the mean turbidity values of samples LB and KM. the mean turbidity values of all other samples were significantly different from each other at p˂0.05 confidence limit. There was also no significant difference between the mean turbidity of the liquid and powdered forms of energy drink samples.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spacing w:line="0" w:lineRule="atLeast"/>
        <w:ind w:left="4860"/>
        <w:rPr>
          <w:sz w:val="22"/>
        </w:rPr>
      </w:pPr>
      <w:r>
        <w:rPr>
          <w:sz w:val="22"/>
        </w:rPr>
        <w:t>lxx</w:t>
      </w:r>
    </w:p>
    <w:p>
      <w:pPr>
        <w:spacing w:line="0" w:lineRule="atLeast"/>
        <w:ind w:left="4860"/>
        <w:rPr>
          <w:sz w:val="22"/>
        </w:rPr>
        <w:sectPr>
          <w:pgSz w:w="12240" w:h="15840"/>
          <w:pgMar w:top="1440" w:right="1440" w:bottom="428" w:left="1440" w:header="0" w:footer="0" w:gutter="0"/>
          <w:cols w:equalWidth="0" w:num="1">
            <w:col w:w="9360"/>
          </w:cols>
          <w:docGrid w:linePitch="360" w:charSpace="0"/>
        </w:sectPr>
      </w:pPr>
    </w:p>
    <w:p>
      <w:pPr>
        <w:tabs>
          <w:tab w:val="left" w:pos="1360"/>
        </w:tabs>
        <w:spacing w:line="0" w:lineRule="atLeast"/>
        <w:ind w:left="580"/>
        <w:rPr>
          <w:rFonts w:ascii="Times New Roman" w:hAnsi="Times New Roman" w:eastAsia="Times New Roman"/>
          <w:b/>
          <w:sz w:val="24"/>
        </w:rPr>
      </w:pPr>
      <w:bookmarkStart w:id="62" w:name="page71"/>
      <w:bookmarkEnd w:id="62"/>
      <w:r>
        <w:rPr>
          <w:rFonts w:ascii="Times New Roman" w:hAnsi="Times New Roman" w:eastAsia="Times New Roman"/>
          <w:b/>
          <w:sz w:val="24"/>
        </w:rPr>
        <w:t>5.1.4</w:t>
      </w:r>
      <w:r>
        <w:rPr>
          <w:rFonts w:ascii="Times New Roman" w:hAnsi="Times New Roman" w:eastAsia="Times New Roman"/>
        </w:rPr>
        <w:tab/>
      </w:r>
      <w:r>
        <w:rPr>
          <w:rFonts w:ascii="Times New Roman" w:hAnsi="Times New Roman" w:eastAsia="Times New Roman"/>
          <w:b/>
          <w:sz w:val="24"/>
        </w:rPr>
        <w:t>Conductivity</w:t>
      </w:r>
    </w:p>
    <w:p>
      <w:pPr>
        <w:spacing w:line="283" w:lineRule="exact"/>
        <w:rPr>
          <w:rFonts w:ascii="Times New Roman" w:hAnsi="Times New Roman" w:eastAsia="Times New Roman"/>
        </w:rPr>
      </w:pPr>
    </w:p>
    <w:p>
      <w:pPr>
        <w:spacing w:line="478" w:lineRule="auto"/>
        <w:ind w:left="580" w:right="20"/>
        <w:jc w:val="both"/>
        <w:rPr>
          <w:rFonts w:ascii="Times New Roman" w:hAnsi="Times New Roman" w:eastAsia="Times New Roman"/>
          <w:sz w:val="24"/>
        </w:rPr>
      </w:pPr>
      <w:r>
        <w:rPr>
          <w:rFonts w:ascii="Times New Roman" w:hAnsi="Times New Roman" w:eastAsia="Times New Roman"/>
          <w:sz w:val="24"/>
        </w:rPr>
        <w:t>Conductivity is the ability of electricity to pass through water using the impurities contained in the water as conductors. When water has a lot of impurities, it is more conductive, however, if water is pure, it is less conductive unless it is polarized (Maurice, 2010). Hence, energy drinks conduct electricity because it contains ions and it follows that energy drink with the highest concentration of ions will conduct the most. The conductivity of energy drinks ranged from 497±1.155 - 2210 ± 0.006 µs/cm. These values were similar to 2.93 – 1999 µs/cm reported by Obuzor and Ajaezi (2010) for malt drinks. Sample PA (powdered) is least conductive while sample RB (liquid) has the highest conductivity.</w:t>
      </w:r>
    </w:p>
    <w:p>
      <w:pPr>
        <w:spacing w:line="200" w:lineRule="exact"/>
        <w:rPr>
          <w:rFonts w:ascii="Times New Roman" w:hAnsi="Times New Roman" w:eastAsia="Times New Roman"/>
        </w:rPr>
      </w:pPr>
    </w:p>
    <w:p>
      <w:pPr>
        <w:spacing w:line="375"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As shown in Table 4.1, the mean conductivity is labeled a-n, which gives the order of increasing conductivity of the samples and represents the ANOVA analysis for conductivity values of energy drink samples. The mean conductivity of all sampled energy drinks was significantly different from each other at p˂0.05 confidence limit. There was no significant difference between the mean turbidity of the liquid and powdered forms of energy drink samples.</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5.2</w:t>
      </w:r>
      <w:r>
        <w:rPr>
          <w:rFonts w:ascii="Times New Roman" w:hAnsi="Times New Roman" w:eastAsia="Times New Roman"/>
        </w:rPr>
        <w:tab/>
      </w:r>
      <w:r>
        <w:rPr>
          <w:rFonts w:ascii="Times New Roman" w:hAnsi="Times New Roman" w:eastAsia="Times New Roman"/>
          <w:b/>
          <w:sz w:val="24"/>
        </w:rPr>
        <w:t>Metal Concentrations</w:t>
      </w:r>
    </w:p>
    <w:p>
      <w:pPr>
        <w:spacing w:line="276"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5.2.1</w:t>
      </w:r>
      <w:r>
        <w:rPr>
          <w:rFonts w:ascii="Times New Roman" w:hAnsi="Times New Roman" w:eastAsia="Times New Roman"/>
        </w:rPr>
        <w:tab/>
      </w:r>
      <w:r>
        <w:rPr>
          <w:rFonts w:ascii="Times New Roman" w:hAnsi="Times New Roman" w:eastAsia="Times New Roman"/>
          <w:b/>
          <w:sz w:val="24"/>
        </w:rPr>
        <w:t>Heavy Metals</w:t>
      </w:r>
    </w:p>
    <w:p>
      <w:pPr>
        <w:spacing w:line="284" w:lineRule="exact"/>
        <w:rPr>
          <w:rFonts w:ascii="Times New Roman" w:hAnsi="Times New Roman" w:eastAsia="Times New Roman"/>
        </w:rPr>
      </w:pPr>
    </w:p>
    <w:p>
      <w:pPr>
        <w:spacing w:line="442" w:lineRule="auto"/>
        <w:ind w:left="580" w:right="20"/>
        <w:jc w:val="both"/>
        <w:rPr>
          <w:rFonts w:ascii="Times New Roman" w:hAnsi="Times New Roman" w:eastAsia="Times New Roman"/>
          <w:sz w:val="24"/>
        </w:rPr>
      </w:pPr>
      <w:r>
        <w:rPr>
          <w:rFonts w:ascii="Times New Roman" w:hAnsi="Times New Roman" w:eastAsia="Times New Roman"/>
          <w:sz w:val="24"/>
        </w:rPr>
        <w:t>Although there is no clear definition of what a heavy metal is, density is in most cases taken to be the defining factor. Heavy metals are thus commonly defined as those having a specific density of more than 5 g/cm</w:t>
      </w:r>
      <w:r>
        <w:rPr>
          <w:rFonts w:ascii="Times New Roman" w:hAnsi="Times New Roman" w:eastAsia="Times New Roman"/>
          <w:sz w:val="31"/>
          <w:vertAlign w:val="superscript"/>
        </w:rPr>
        <w:t>3</w:t>
      </w:r>
      <w:r>
        <w:rPr>
          <w:rFonts w:ascii="Times New Roman" w:hAnsi="Times New Roman" w:eastAsia="Times New Roman"/>
          <w:sz w:val="24"/>
        </w:rPr>
        <w:t xml:space="preserve"> (Duffus, 2002). The main threats to human health</w:t>
      </w:r>
    </w:p>
    <w:p>
      <w:pPr>
        <w:spacing w:line="200" w:lineRule="exact"/>
        <w:rPr>
          <w:rFonts w:ascii="Times New Roman" w:hAnsi="Times New Roman" w:eastAsia="Times New Roman"/>
        </w:rPr>
      </w:pPr>
    </w:p>
    <w:p>
      <w:pPr>
        <w:spacing w:line="220" w:lineRule="exact"/>
        <w:rPr>
          <w:rFonts w:ascii="Times New Roman" w:hAnsi="Times New Roman" w:eastAsia="Times New Roman"/>
        </w:rPr>
      </w:pPr>
    </w:p>
    <w:p>
      <w:pPr>
        <w:spacing w:line="0" w:lineRule="atLeast"/>
        <w:ind w:left="4820"/>
        <w:rPr>
          <w:sz w:val="22"/>
        </w:rPr>
      </w:pPr>
      <w:r>
        <w:rPr>
          <w:sz w:val="22"/>
        </w:rPr>
        <w:t>lxxi</w:t>
      </w:r>
    </w:p>
    <w:p>
      <w:pPr>
        <w:spacing w:line="0" w:lineRule="atLeast"/>
        <w:ind w:left="4820"/>
        <w:rPr>
          <w:sz w:val="22"/>
        </w:rPr>
        <w:sectPr>
          <w:pgSz w:w="12240" w:h="15840"/>
          <w:pgMar w:top="1435" w:right="1420" w:bottom="428" w:left="1440" w:header="0" w:footer="0" w:gutter="0"/>
          <w:cols w:equalWidth="0" w:num="1">
            <w:col w:w="9380"/>
          </w:cols>
          <w:docGrid w:linePitch="360" w:charSpace="0"/>
        </w:sectPr>
      </w:pPr>
    </w:p>
    <w:p>
      <w:pPr>
        <w:spacing w:line="3" w:lineRule="exact"/>
        <w:rPr>
          <w:rFonts w:ascii="Times New Roman" w:hAnsi="Times New Roman" w:eastAsia="Times New Roman"/>
        </w:rPr>
      </w:pPr>
      <w:bookmarkStart w:id="63" w:name="page72"/>
      <w:bookmarkEnd w:id="63"/>
    </w:p>
    <w:p>
      <w:pPr>
        <w:spacing w:line="477" w:lineRule="auto"/>
        <w:ind w:left="580"/>
        <w:jc w:val="both"/>
        <w:rPr>
          <w:rFonts w:ascii="Times New Roman" w:hAnsi="Times New Roman" w:eastAsia="Times New Roman"/>
          <w:sz w:val="24"/>
        </w:rPr>
      </w:pPr>
      <w:r>
        <w:rPr>
          <w:rFonts w:ascii="Times New Roman" w:hAnsi="Times New Roman" w:eastAsia="Times New Roman"/>
          <w:sz w:val="24"/>
        </w:rPr>
        <w:t>from heavy metals are associated with exposure to lead, cadmium, mercury and arsenic (arsenic is a metalloid, but is usually classified as a heavy metal). Although adverse health effects of heavy metals have been known for a long time, exposure to heavy metals continues and is even increasing in some areas. Table 4.2 shows the mean ± SD for the concentration of heavy metals in the sampled energy drinks.</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5.2.1.1  Cadmium</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Cadmium was not detected in all energy drinks except for sample EJ which is a powdered form of energy drink and had a concentration of 0.012 ± 0.0003 mg/L as shown in Table 4.2. This was close to 0.01mg reported by Obuzor and Ajaezi (2010). Krejpcio (2005) and Al Mayaly (2013) reported cadmium levels of 0.004 – 0.060 mg/L and 0.005 – 0.05 ppm respectively while Maduabuchi </w:t>
      </w:r>
      <w:r>
        <w:rPr>
          <w:rFonts w:ascii="Times New Roman" w:hAnsi="Times New Roman" w:eastAsia="Times New Roman"/>
          <w:i/>
          <w:sz w:val="24"/>
        </w:rPr>
        <w:t>et al.,</w:t>
      </w:r>
      <w:r>
        <w:rPr>
          <w:rFonts w:ascii="Times New Roman" w:hAnsi="Times New Roman" w:eastAsia="Times New Roman"/>
          <w:sz w:val="24"/>
        </w:rPr>
        <w:t xml:space="preserve"> (2006) reported cadmium levels of 0.003 – 0.081 mg/L for canned and 0.006 – 0.071 for non-canned beverages. These were higher values compared to those determined in the energy drinks. The cadmium concentration of energy drinks analyzed exceeded the maximum contaminant levels (MCL) of 0.005 mg/L set by US EPA (1985). Cadmium intake in relatively high amount can be detrimental to human health. Over a long period of intake, cadmium may accumulate in the kidney and liver, and because of its long biological half-life, may lead to kidney damage (Maduabuchi </w:t>
      </w:r>
      <w:r>
        <w:rPr>
          <w:rFonts w:ascii="Times New Roman" w:hAnsi="Times New Roman" w:eastAsia="Times New Roman"/>
          <w:i/>
          <w:sz w:val="24"/>
        </w:rPr>
        <w:t>et al.,</w:t>
      </w:r>
      <w:r>
        <w:rPr>
          <w:rFonts w:ascii="Times New Roman" w:hAnsi="Times New Roman" w:eastAsia="Times New Roman"/>
          <w:sz w:val="24"/>
        </w:rPr>
        <w:t xml:space="preserve"> 2006). Cadmium is a non-essential metal and produces only significant adverse health effects.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10" w:lineRule="exact"/>
        <w:rPr>
          <w:rFonts w:ascii="Times New Roman" w:hAnsi="Times New Roman" w:eastAsia="Times New Roman"/>
        </w:rPr>
      </w:pPr>
    </w:p>
    <w:p>
      <w:pPr>
        <w:spacing w:line="0" w:lineRule="atLeast"/>
        <w:ind w:left="4800"/>
        <w:rPr>
          <w:sz w:val="22"/>
        </w:rPr>
      </w:pPr>
      <w:r>
        <w:rPr>
          <w:sz w:val="22"/>
        </w:rPr>
        <w:t>lxxii</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0" w:lineRule="atLeast"/>
        <w:ind w:left="580"/>
        <w:rPr>
          <w:rFonts w:ascii="Times New Roman" w:hAnsi="Times New Roman" w:eastAsia="Times New Roman"/>
          <w:b/>
          <w:sz w:val="24"/>
        </w:rPr>
      </w:pPr>
      <w:bookmarkStart w:id="64" w:name="page73"/>
      <w:bookmarkEnd w:id="64"/>
      <w:r>
        <w:rPr>
          <w:rFonts w:ascii="Times New Roman" w:hAnsi="Times New Roman" w:eastAsia="Times New Roman"/>
          <w:b/>
          <w:sz w:val="24"/>
        </w:rPr>
        <w:t>5.2.1.2  Lead</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Lead concentration of energy drinks ranged from 0.028 ± 0.0006 - 0.209 ± 0.0009 mg/L with sample EV (liquid sample) having the least and sample EJ (powdered sample) having the highest concentration. Lead was not detected in samples PH, JW and LB as shown in Table 4.2. The lead concentration in the powdered forms of energy was higher compared to those in liquid forms. The lead concentration of energy drinks was lower than lead concentrations of 0.020–0.46 mg/L reported by Krejpcio (2005). Onianwa </w:t>
      </w:r>
      <w:r>
        <w:rPr>
          <w:rFonts w:ascii="Times New Roman" w:hAnsi="Times New Roman" w:eastAsia="Times New Roman"/>
          <w:i/>
          <w:sz w:val="24"/>
        </w:rPr>
        <w:t>et al</w:t>
      </w:r>
      <w:r>
        <w:rPr>
          <w:rFonts w:ascii="Times New Roman" w:hAnsi="Times New Roman" w:eastAsia="Times New Roman"/>
          <w:sz w:val="24"/>
        </w:rPr>
        <w:t xml:space="preserve">., (1999) reported lead levels of 0.04 ± 0.01 ppm in carbonated soft drinks 0.06 ± 0.08ppm in fruit juice Nigeria. Maduabuchi </w:t>
      </w:r>
      <w:r>
        <w:rPr>
          <w:rFonts w:ascii="Times New Roman" w:hAnsi="Times New Roman" w:eastAsia="Times New Roman"/>
          <w:i/>
          <w:sz w:val="24"/>
        </w:rPr>
        <w:t>et al.,</w:t>
      </w:r>
      <w:r>
        <w:rPr>
          <w:rFonts w:ascii="Times New Roman" w:hAnsi="Times New Roman" w:eastAsia="Times New Roman"/>
          <w:sz w:val="24"/>
        </w:rPr>
        <w:t xml:space="preserve"> (2006) also reported lead levels of 0.002 – 0.0073 mg/L in canned drinks and 0.092 mg/L in non-canned drinks. These were lower compared to the values determined in energy drinks. Lead detected in samples was above the MCL of 0.01 mg/L (WHO 1993). Lead toxicity causes many sign and symptoms such as abdominal pains, anaemia, anoxia, bone pair, brain damage, convulsion, dizziness, inability to concentrate (Satarug and Moore, 2004). Excessive exposure to lead may cause microcytic anemia, glycosuria, cognitive dysfunction, anorexia, metallic taste, insomnia and reticulocytosis. Target organs include the brain, bone, blood, kidneys, and thyroid gland (Satarug and Moore, 2004).</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5.2.1.3  Copper</w:t>
      </w:r>
    </w:p>
    <w:p>
      <w:pPr>
        <w:spacing w:line="283"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The copper concentration of energy drinks ranged from 0.002 ± 0.0002 - 0.102 ± 0.0003 mg/L. Sample XL (liquid sample) had the least concentration while sample EJ (powdered sample) had the highest concentration of copper. Copper was not detected in sample PH and RB as shown in Table 4.2. The powdered forms of energy drinks had higher</w:t>
      </w:r>
    </w:p>
    <w:p>
      <w:pPr>
        <w:spacing w:line="200" w:lineRule="exact"/>
        <w:rPr>
          <w:rFonts w:ascii="Times New Roman" w:hAnsi="Times New Roman" w:eastAsia="Times New Roman"/>
        </w:rPr>
      </w:pPr>
    </w:p>
    <w:p>
      <w:pPr>
        <w:spacing w:line="256" w:lineRule="exact"/>
        <w:rPr>
          <w:rFonts w:ascii="Times New Roman" w:hAnsi="Times New Roman" w:eastAsia="Times New Roman"/>
        </w:rPr>
      </w:pPr>
    </w:p>
    <w:p>
      <w:pPr>
        <w:spacing w:line="0" w:lineRule="atLeast"/>
        <w:ind w:left="4780"/>
        <w:rPr>
          <w:sz w:val="22"/>
        </w:rPr>
      </w:pPr>
      <w:r>
        <w:rPr>
          <w:sz w:val="22"/>
        </w:rPr>
        <w:t>lxxiii</w:t>
      </w:r>
    </w:p>
    <w:p>
      <w:pPr>
        <w:spacing w:line="0" w:lineRule="atLeast"/>
        <w:ind w:left="478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65" w:name="page74"/>
      <w:bookmarkEnd w:id="65"/>
    </w:p>
    <w:p>
      <w:pPr>
        <w:spacing w:line="476" w:lineRule="auto"/>
        <w:ind w:left="580"/>
        <w:jc w:val="both"/>
        <w:rPr>
          <w:rFonts w:ascii="Times New Roman" w:hAnsi="Times New Roman" w:eastAsia="Times New Roman"/>
          <w:sz w:val="24"/>
        </w:rPr>
      </w:pPr>
      <w:r>
        <w:rPr>
          <w:rFonts w:ascii="Times New Roman" w:hAnsi="Times New Roman" w:eastAsia="Times New Roman"/>
          <w:sz w:val="24"/>
        </w:rPr>
        <w:t xml:space="preserve">concentrations compared to those of the liquid forms. The concentration in energy drinks was low compared to the values 0.047–1.840 mg/L reported by Krejpcio </w:t>
      </w:r>
      <w:r>
        <w:rPr>
          <w:rFonts w:ascii="Times New Roman" w:hAnsi="Times New Roman" w:eastAsia="Times New Roman"/>
          <w:i/>
          <w:sz w:val="24"/>
        </w:rPr>
        <w:t>et al</w:t>
      </w:r>
      <w:r>
        <w:rPr>
          <w:rFonts w:ascii="Times New Roman" w:hAnsi="Times New Roman" w:eastAsia="Times New Roman"/>
          <w:sz w:val="24"/>
        </w:rPr>
        <w:t>. (2005) for fruit juice samples in Poland. The concentration was however higher than values 0.01 - 0.02 mg reported by Obuzor and Ajaezi (2010) in malt beverages, and values 0.0004 -</w:t>
      </w:r>
    </w:p>
    <w:p>
      <w:pPr>
        <w:spacing w:line="19"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0.001 mg/kg, reported by (MAFF, 1998) determined in non-alcoholic beverage. Energy drinks had concentrations below the MCL of copper of 1.0 mg/L (WHO 1993). Copper is needed for proteins involved in growth, nerve function and energy release (Institute of Medicine, 2001). It is vital for the formation of some important proteins. It is a critical functional component of a number of essential enzymes, known as cuproenzymes. Two copper-containing enzymes, ceruloplasmin (ferroxidase I) and ferroxidase II are involved in iron metabolism (Attieh, 1999). Copper is stored in appreciable amounts in the liver. It also has anti-oxidant properties and involved in the regulation of gene expression. The deficiency of copper is manifested by impaired hematopoiesis, bone metabolism, disorders of digestive, cardiovascular and nervous systems (Křižek </w:t>
      </w:r>
      <w:r>
        <w:rPr>
          <w:rFonts w:ascii="Times New Roman" w:hAnsi="Times New Roman" w:eastAsia="Times New Roman"/>
          <w:i/>
          <w:sz w:val="24"/>
        </w:rPr>
        <w:t>et al.,</w:t>
      </w:r>
      <w:r>
        <w:rPr>
          <w:rFonts w:ascii="Times New Roman" w:hAnsi="Times New Roman" w:eastAsia="Times New Roman"/>
          <w:sz w:val="24"/>
        </w:rPr>
        <w:t xml:space="preserve"> 1997).</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5.2.1.4  Manganese</w:t>
      </w:r>
    </w:p>
    <w:p>
      <w:pPr>
        <w:spacing w:line="283" w:lineRule="exact"/>
        <w:rPr>
          <w:rFonts w:ascii="Times New Roman" w:hAnsi="Times New Roman" w:eastAsia="Times New Roman"/>
        </w:rPr>
      </w:pPr>
    </w:p>
    <w:p>
      <w:pPr>
        <w:spacing w:line="436" w:lineRule="auto"/>
        <w:ind w:left="580"/>
        <w:jc w:val="both"/>
        <w:rPr>
          <w:rFonts w:ascii="Times New Roman" w:hAnsi="Times New Roman" w:eastAsia="Times New Roman"/>
          <w:sz w:val="24"/>
        </w:rPr>
      </w:pPr>
      <w:r>
        <w:rPr>
          <w:rFonts w:ascii="Times New Roman" w:hAnsi="Times New Roman" w:eastAsia="Times New Roman"/>
          <w:sz w:val="24"/>
        </w:rPr>
        <w:t>Manganese is both an important element and a potent neurotoxin. It accumulates in mitochondria, a major source of oxide, which can oxidize Mn</w:t>
      </w:r>
      <w:r>
        <w:rPr>
          <w:rFonts w:ascii="Times New Roman" w:hAnsi="Times New Roman" w:eastAsia="Times New Roman"/>
          <w:sz w:val="31"/>
          <w:vertAlign w:val="superscript"/>
        </w:rPr>
        <w:t>2+</w:t>
      </w:r>
      <w:r>
        <w:rPr>
          <w:rFonts w:ascii="Times New Roman" w:hAnsi="Times New Roman" w:eastAsia="Times New Roman"/>
          <w:sz w:val="24"/>
        </w:rPr>
        <w:t xml:space="preserve"> to the powerful oxidizing agent Mn</w:t>
      </w:r>
      <w:r>
        <w:rPr>
          <w:rFonts w:ascii="Times New Roman" w:hAnsi="Times New Roman" w:eastAsia="Times New Roman"/>
          <w:sz w:val="31"/>
          <w:vertAlign w:val="superscript"/>
        </w:rPr>
        <w:t>3+</w:t>
      </w:r>
      <w:r>
        <w:rPr>
          <w:rFonts w:ascii="Times New Roman" w:hAnsi="Times New Roman" w:eastAsia="Times New Roman"/>
          <w:sz w:val="24"/>
        </w:rPr>
        <w:t>. Oxidation of important cells by Mn</w:t>
      </w:r>
      <w:r>
        <w:rPr>
          <w:rFonts w:ascii="Times New Roman" w:hAnsi="Times New Roman" w:eastAsia="Times New Roman"/>
          <w:sz w:val="31"/>
          <w:vertAlign w:val="superscript"/>
        </w:rPr>
        <w:t>3+</w:t>
      </w:r>
      <w:r>
        <w:rPr>
          <w:rFonts w:ascii="Times New Roman" w:hAnsi="Times New Roman" w:eastAsia="Times New Roman"/>
          <w:sz w:val="24"/>
        </w:rPr>
        <w:t xml:space="preserve"> has been suggested as a source of the toxic effects of manganese (Gunter </w:t>
      </w:r>
      <w:r>
        <w:rPr>
          <w:rFonts w:ascii="Times New Roman" w:hAnsi="Times New Roman" w:eastAsia="Times New Roman"/>
          <w:i/>
          <w:sz w:val="24"/>
        </w:rPr>
        <w:t>et al.,</w:t>
      </w:r>
      <w:r>
        <w:rPr>
          <w:rFonts w:ascii="Times New Roman" w:hAnsi="Times New Roman" w:eastAsia="Times New Roman"/>
          <w:sz w:val="24"/>
        </w:rPr>
        <w:t xml:space="preserve"> 2004). Manganese is an actual component of manganese super oxide dismutase enzyme. It is a powerful antioxidant that searches the free radicals in human body and manages to neutralize these damaging particles and prevent any potential danger they may cause. Manganese was detected in all the powdered</w:t>
      </w:r>
    </w:p>
    <w:p>
      <w:pPr>
        <w:spacing w:line="200" w:lineRule="exact"/>
        <w:rPr>
          <w:rFonts w:ascii="Times New Roman" w:hAnsi="Times New Roman" w:eastAsia="Times New Roman"/>
        </w:rPr>
      </w:pPr>
    </w:p>
    <w:p>
      <w:pPr>
        <w:spacing w:line="300" w:lineRule="exact"/>
        <w:rPr>
          <w:rFonts w:ascii="Times New Roman" w:hAnsi="Times New Roman" w:eastAsia="Times New Roman"/>
        </w:rPr>
      </w:pPr>
    </w:p>
    <w:p>
      <w:pPr>
        <w:spacing w:line="0" w:lineRule="atLeast"/>
        <w:ind w:left="4780"/>
        <w:rPr>
          <w:sz w:val="22"/>
        </w:rPr>
      </w:pPr>
      <w:r>
        <w:rPr>
          <w:sz w:val="22"/>
        </w:rPr>
        <w:t>lxxiv</w:t>
      </w:r>
    </w:p>
    <w:p>
      <w:pPr>
        <w:spacing w:line="0" w:lineRule="atLeast"/>
        <w:ind w:left="478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66" w:name="page75"/>
      <w:bookmarkEnd w:id="66"/>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samples. Only one of the liquid had manganese as shown in Table 4.2. Their concentration ranged from 0.003 ± 0.0001 - 0.024 ± 0.0002 mg/L. The liquid sample has a lower concentration of manganese compared to the powdered samples. These values were low compared to 0.001 – 0.730mg/L for canned and 0.001 – 0.209 mg/L for non-canned beverages reported by Maduabuchi </w:t>
      </w:r>
      <w:r>
        <w:rPr>
          <w:rFonts w:ascii="Times New Roman" w:hAnsi="Times New Roman" w:eastAsia="Times New Roman"/>
          <w:i/>
          <w:sz w:val="24"/>
        </w:rPr>
        <w:t>et al.,</w:t>
      </w:r>
      <w:r>
        <w:rPr>
          <w:rFonts w:ascii="Times New Roman" w:hAnsi="Times New Roman" w:eastAsia="Times New Roman"/>
          <w:sz w:val="24"/>
        </w:rPr>
        <w:t xml:space="preserve"> (2006) but close to 0.01 mg reported by Obuzor and Ajaezi (2010) and 0.01 – 0.021 mg/L reported by Mohammed </w:t>
      </w:r>
      <w:r>
        <w:rPr>
          <w:rFonts w:ascii="Times New Roman" w:hAnsi="Times New Roman" w:eastAsia="Times New Roman"/>
          <w:i/>
          <w:sz w:val="24"/>
        </w:rPr>
        <w:t>et al.,</w:t>
      </w:r>
      <w:r>
        <w:rPr>
          <w:rFonts w:ascii="Times New Roman" w:hAnsi="Times New Roman" w:eastAsia="Times New Roman"/>
          <w:sz w:val="24"/>
        </w:rPr>
        <w:t xml:space="preserve"> (2012). The concentrations of manganese in all the samples detected were below the MCL of 0.05 mg/L (WHO, 1993). Deficiency in manganese leads to various health problems, which may include bone malformation, eye and hearing problems, high cholesterol levels, hypertension, infertility, weakness, heart disorders, memory loss, muscle contraction, tremors, seizures (Institute of Medicine, 2001). It could also result in decreased learning ability in school-aged children and increase the propensity for violence in adult (Finley, 2004).</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5.2.1.5  Zinc</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Zinc is such a critical element in human health of which, a small deficiency is a disaster. Zinc deficiency is characterized by growth retardation, loss of appetite and impaired immune function. In more severe cases, zinc deficiency causes hair loss, diarrhea, delayed sexual maturation, impotence, hypogonadism in males, and eye and skin lesions (Ryan-Harshman and Aldoori, 2005). The concentration zinc was with in range of 0.045 ± 0.0001</w:t>
      </w:r>
    </w:p>
    <w:p>
      <w:pPr>
        <w:spacing w:line="18" w:lineRule="exact"/>
        <w:rPr>
          <w:rFonts w:ascii="Times New Roman" w:hAnsi="Times New Roman" w:eastAsia="Times New Roman"/>
        </w:rPr>
      </w:pPr>
    </w:p>
    <w:p>
      <w:pPr>
        <w:numPr>
          <w:ilvl w:val="0"/>
          <w:numId w:val="2"/>
        </w:numPr>
        <w:tabs>
          <w:tab w:val="left" w:pos="772"/>
        </w:tabs>
        <w:spacing w:line="474" w:lineRule="auto"/>
        <w:ind w:left="580" w:hanging="3"/>
        <w:jc w:val="both"/>
        <w:rPr>
          <w:rFonts w:ascii="Times New Roman" w:hAnsi="Times New Roman" w:eastAsia="Times New Roman"/>
          <w:sz w:val="24"/>
        </w:rPr>
      </w:pPr>
      <w:r>
        <w:rPr>
          <w:rFonts w:ascii="Times New Roman" w:hAnsi="Times New Roman" w:eastAsia="Times New Roman"/>
          <w:sz w:val="24"/>
        </w:rPr>
        <w:t xml:space="preserve">13.887 ± 0.0037 mg/L. Sample SO (liquid sample) had the highest concentration of 13.887 ± 0.0037. These values were similar to those reported by Bengol </w:t>
      </w:r>
      <w:r>
        <w:rPr>
          <w:rFonts w:ascii="Times New Roman" w:hAnsi="Times New Roman" w:eastAsia="Times New Roman"/>
          <w:i/>
          <w:sz w:val="24"/>
        </w:rPr>
        <w:t>et al.,</w:t>
      </w:r>
      <w:r>
        <w:rPr>
          <w:rFonts w:ascii="Times New Roman" w:hAnsi="Times New Roman" w:eastAsia="Times New Roman"/>
          <w:sz w:val="24"/>
        </w:rPr>
        <w:t xml:space="preserve"> (2010) and Krejpcio </w:t>
      </w:r>
      <w:r>
        <w:rPr>
          <w:rFonts w:ascii="Times New Roman" w:hAnsi="Times New Roman" w:eastAsia="Times New Roman"/>
          <w:i/>
          <w:sz w:val="24"/>
        </w:rPr>
        <w:t>et al</w:t>
      </w:r>
      <w:r>
        <w:rPr>
          <w:rFonts w:ascii="Times New Roman" w:hAnsi="Times New Roman" w:eastAsia="Times New Roman"/>
          <w:sz w:val="24"/>
        </w:rPr>
        <w:t>. (2005) except for sample SO. The zinc concentration of all sampled energy</w:t>
      </w:r>
    </w:p>
    <w:p>
      <w:pPr>
        <w:spacing w:line="200" w:lineRule="exact"/>
        <w:rPr>
          <w:rFonts w:ascii="Times New Roman" w:hAnsi="Times New Roman" w:eastAsia="Times New Roman"/>
        </w:rPr>
      </w:pPr>
    </w:p>
    <w:p>
      <w:pPr>
        <w:spacing w:line="257" w:lineRule="exact"/>
        <w:rPr>
          <w:rFonts w:ascii="Times New Roman" w:hAnsi="Times New Roman" w:eastAsia="Times New Roman"/>
        </w:rPr>
      </w:pPr>
    </w:p>
    <w:p>
      <w:pPr>
        <w:spacing w:line="0" w:lineRule="atLeast"/>
        <w:ind w:left="4800"/>
        <w:rPr>
          <w:sz w:val="22"/>
        </w:rPr>
      </w:pPr>
      <w:r>
        <w:rPr>
          <w:sz w:val="22"/>
        </w:rPr>
        <w:t>lxxv</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67" w:name="page76"/>
      <w:bookmarkEnd w:id="67"/>
    </w:p>
    <w:p>
      <w:pPr>
        <w:spacing w:line="478" w:lineRule="auto"/>
        <w:ind w:left="580"/>
        <w:jc w:val="both"/>
        <w:rPr>
          <w:rFonts w:ascii="Times New Roman" w:hAnsi="Times New Roman" w:eastAsia="Times New Roman"/>
          <w:sz w:val="24"/>
        </w:rPr>
      </w:pPr>
      <w:r>
        <w:rPr>
          <w:rFonts w:ascii="Times New Roman" w:hAnsi="Times New Roman" w:eastAsia="Times New Roman"/>
          <w:sz w:val="24"/>
        </w:rPr>
        <w:t>drinks were below the MCL 5.0 mg/L of zinc (WHO, 1993). Only sample SO had a concentration higher than the MCL of Zinc. Zinc is involved in numerous aspects of cellular metabolism. It is required for the catalytic activity of approximately 100 enzymes and it plays a role in immune function, protein synthesis, wound healing, DNA synthesis, and cell division (Institute of Medicine, 2001; Prasad, 1995). A daily intake of zinc is required to maintain a steady state because the body has no specialized zinc storage system (Ryan-Harshman and Aldoori, 2005; Institute of Medicine, 2001).</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5.2.2</w:t>
      </w:r>
      <w:r>
        <w:rPr>
          <w:rFonts w:ascii="Times New Roman" w:hAnsi="Times New Roman" w:eastAsia="Times New Roman"/>
        </w:rPr>
        <w:tab/>
      </w:r>
      <w:r>
        <w:rPr>
          <w:rFonts w:ascii="Times New Roman" w:hAnsi="Times New Roman" w:eastAsia="Times New Roman"/>
          <w:b/>
          <w:sz w:val="24"/>
        </w:rPr>
        <w:t>Essential Metals</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Mineral elements are important building blocks needed for renewal of tissues such as blood and bone. Minerals are inorganic substances that are essential for the functioning of organ systems and the entire body (Ryan-Harshman and Aldoori, 2005). Some of these minerals exist in large amounts in our body such as calcium, while others such as manganese exist in trace amounts but are, nonetheless, critical to our health and well-being (Ryan-Harshman and Aldoori, 2005). If mineral levels are excess in the body, such as sodium, they may facilitate negative effects in the body. High sodium levels may elevate blood pressure. If mineral levels are inadequate in the body, they may facilitate negative effects in the body. Several metal ions are crucial to the metabolism of cells at low concentrations but are toxic at high concentrations, resulting in bell-shaped dose-response relationships (Marschner, 1995). These metals are sometimes called micronutrients. Table 4.3 shows the mean ± SD for the concentration of essential metals in the sampled energy drinks.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6" w:lineRule="exact"/>
        <w:rPr>
          <w:rFonts w:ascii="Times New Roman" w:hAnsi="Times New Roman" w:eastAsia="Times New Roman"/>
        </w:rPr>
      </w:pPr>
    </w:p>
    <w:p>
      <w:pPr>
        <w:spacing w:line="0" w:lineRule="atLeast"/>
        <w:ind w:left="4780"/>
        <w:rPr>
          <w:sz w:val="22"/>
        </w:rPr>
      </w:pPr>
      <w:r>
        <w:rPr>
          <w:sz w:val="22"/>
        </w:rPr>
        <w:t>lxxvi</w:t>
      </w:r>
    </w:p>
    <w:p>
      <w:pPr>
        <w:spacing w:line="0" w:lineRule="atLeast"/>
        <w:ind w:left="4780"/>
        <w:rPr>
          <w:sz w:val="22"/>
        </w:rPr>
        <w:sectPr>
          <w:pgSz w:w="12240" w:h="15840"/>
          <w:pgMar w:top="1440" w:right="1440" w:bottom="428" w:left="1440" w:header="0" w:footer="0" w:gutter="0"/>
          <w:cols w:equalWidth="0" w:num="1">
            <w:col w:w="9360"/>
          </w:cols>
          <w:docGrid w:linePitch="360" w:charSpace="0"/>
        </w:sectPr>
      </w:pPr>
    </w:p>
    <w:p>
      <w:pPr>
        <w:spacing w:line="0" w:lineRule="atLeast"/>
        <w:ind w:left="580"/>
        <w:rPr>
          <w:rFonts w:ascii="Times New Roman" w:hAnsi="Times New Roman" w:eastAsia="Times New Roman"/>
          <w:b/>
          <w:sz w:val="24"/>
        </w:rPr>
      </w:pPr>
      <w:bookmarkStart w:id="68" w:name="page77"/>
      <w:bookmarkEnd w:id="68"/>
      <w:r>
        <w:rPr>
          <w:rFonts w:ascii="Times New Roman" w:hAnsi="Times New Roman" w:eastAsia="Times New Roman"/>
          <w:b/>
          <w:sz w:val="24"/>
        </w:rPr>
        <w:t>5.2.2.1 Iron</w:t>
      </w:r>
    </w:p>
    <w:p>
      <w:pPr>
        <w:spacing w:line="283" w:lineRule="exact"/>
        <w:rPr>
          <w:rFonts w:ascii="Times New Roman" w:hAnsi="Times New Roman" w:eastAsia="Times New Roman"/>
        </w:rPr>
      </w:pPr>
    </w:p>
    <w:p>
      <w:pPr>
        <w:spacing w:line="479" w:lineRule="auto"/>
        <w:ind w:left="580"/>
        <w:jc w:val="both"/>
        <w:rPr>
          <w:rFonts w:ascii="Times New Roman" w:hAnsi="Times New Roman" w:eastAsia="Times New Roman"/>
          <w:sz w:val="24"/>
        </w:rPr>
      </w:pPr>
      <w:r>
        <w:rPr>
          <w:rFonts w:ascii="Times New Roman" w:hAnsi="Times New Roman" w:eastAsia="Times New Roman"/>
          <w:sz w:val="24"/>
        </w:rPr>
        <w:t xml:space="preserve">Iron fortification in foods has been increased to tackle the increased incidence of iron deficiency anaemia, especially in the western countries (Kusumi </w:t>
      </w:r>
      <w:r>
        <w:rPr>
          <w:rFonts w:ascii="Times New Roman" w:hAnsi="Times New Roman" w:eastAsia="Times New Roman"/>
          <w:i/>
          <w:sz w:val="24"/>
        </w:rPr>
        <w:t>et al.,</w:t>
      </w:r>
      <w:r>
        <w:rPr>
          <w:rFonts w:ascii="Times New Roman" w:hAnsi="Times New Roman" w:eastAsia="Times New Roman"/>
          <w:sz w:val="24"/>
        </w:rPr>
        <w:t xml:space="preserve"> 2006). Iron deficiency anaemia is the most common micronutrient deficiency affecting mostly the low socioeconomic populations of developing countries (WHO). Excessive iron intake has been associated with overall increased risk of colorectal cancer (Senesse </w:t>
      </w:r>
      <w:r>
        <w:rPr>
          <w:rFonts w:ascii="Times New Roman" w:hAnsi="Times New Roman" w:eastAsia="Times New Roman"/>
          <w:i/>
          <w:sz w:val="24"/>
        </w:rPr>
        <w:t>et al.,</w:t>
      </w:r>
      <w:r>
        <w:rPr>
          <w:rFonts w:ascii="Times New Roman" w:hAnsi="Times New Roman" w:eastAsia="Times New Roman"/>
          <w:sz w:val="24"/>
        </w:rPr>
        <w:t xml:space="preserve"> 2004). The iron level of energy drinks ranged from 0.294 ± 0.0005 mg/L -1.961 ± 0.0003, with sample SO (liquid sample) having the highest value and sample BU (liquid sample) having the least as shown in Table 4.3. The liquid samples had higher concentration of iron compared to the powdered samples. The values were lower compared to 0.020 – 2.090 mg/L for non-canned and 0.020 – 2.460 mg/L for canned beverages reported by Maduabuchi </w:t>
      </w:r>
      <w:r>
        <w:rPr>
          <w:rFonts w:ascii="Times New Roman" w:hAnsi="Times New Roman" w:eastAsia="Times New Roman"/>
          <w:i/>
          <w:sz w:val="24"/>
        </w:rPr>
        <w:t>et al.,</w:t>
      </w:r>
      <w:r>
        <w:rPr>
          <w:rFonts w:ascii="Times New Roman" w:hAnsi="Times New Roman" w:eastAsia="Times New Roman"/>
          <w:sz w:val="24"/>
        </w:rPr>
        <w:t xml:space="preserve"> (2006) but higher than values 0.11 – 0.28 mg/L reported by Obuzor and Ajaezi (2010). All the sampled energy drinks had iron concentration higher than the MCL of 0.03 mg/L (WHO, 1993). Iron is important in many biological processes because it is an ideal oxygen carrier and because it can function as a protein-bound redox element. Iron deficiency is common worldwide and in infants can cause severe neurological deficit (Prasad, 1995).</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5.2.2.2 Calcium</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Calcium concentration of energy drinks ranged between 2.763 ± 0.0009 - 19.310 ± 0.0015 mg/L, with sample JW (liquid sample) having the least and sample PA (powdered sample) and RB (liquid sample) sharing the same value as highest. There are close similarities between the calcium concentrations of samples EJ (powdered) and PH (liquid), and those of samples RB (liquid) and PA (powdered), BU (liquid) and JW (liquid) as shown in Table</w:t>
      </w:r>
    </w:p>
    <w:p>
      <w:pPr>
        <w:spacing w:line="200" w:lineRule="exact"/>
        <w:rPr>
          <w:rFonts w:ascii="Times New Roman" w:hAnsi="Times New Roman" w:eastAsia="Times New Roman"/>
        </w:rPr>
      </w:pPr>
    </w:p>
    <w:p>
      <w:pPr>
        <w:spacing w:line="254" w:lineRule="exact"/>
        <w:rPr>
          <w:rFonts w:ascii="Times New Roman" w:hAnsi="Times New Roman" w:eastAsia="Times New Roman"/>
        </w:rPr>
      </w:pPr>
    </w:p>
    <w:p>
      <w:pPr>
        <w:spacing w:line="0" w:lineRule="atLeast"/>
        <w:ind w:left="4740"/>
        <w:rPr>
          <w:sz w:val="22"/>
        </w:rPr>
      </w:pPr>
      <w:r>
        <w:rPr>
          <w:sz w:val="22"/>
        </w:rPr>
        <w:t>lxxvii</w:t>
      </w:r>
    </w:p>
    <w:p>
      <w:pPr>
        <w:spacing w:line="0" w:lineRule="atLeast"/>
        <w:ind w:left="474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69" w:name="page78"/>
      <w:bookmarkEnd w:id="69"/>
    </w:p>
    <w:p>
      <w:pPr>
        <w:spacing w:line="479" w:lineRule="auto"/>
        <w:ind w:left="580"/>
        <w:jc w:val="both"/>
        <w:rPr>
          <w:rFonts w:ascii="Times New Roman" w:hAnsi="Times New Roman" w:eastAsia="Times New Roman"/>
          <w:sz w:val="24"/>
        </w:rPr>
      </w:pPr>
      <w:r>
        <w:rPr>
          <w:rFonts w:ascii="Times New Roman" w:hAnsi="Times New Roman" w:eastAsia="Times New Roman"/>
          <w:sz w:val="24"/>
        </w:rPr>
        <w:t>4.3. All other samples varied in their concentration of calcium. The calcium concentration of energy drinks were low compared to 0.28 – 262 mg/L reported by Obuzor and Ajaezi (2010). Calcium is needed for the formation and maintenance of bones, the development of teeth and healthy gums. It is necessary for blood clotting, stabilizes many body functions and is thought to assist in preventing bowel cancer (Attieh, 1999). It has a natural calming and tranquilizing effect and is necessary for maintaining a regular heartbeat and the transmission of nerve impulses. The required amount include: 1,000 mg/day for people aged 19 - 50 years and 1,200 mg per day for people over the age of 51 years. The maximum level of calcium is 2.5 g/day (Ryan-Harshman and Aldoori, 2005). Rickets, tetany, and osteoporosis can result its deficiency. Hypertension and colon cancer may relate to chronic low intake.</w:t>
      </w:r>
    </w:p>
    <w:p>
      <w:pPr>
        <w:spacing w:line="200" w:lineRule="exact"/>
        <w:rPr>
          <w:rFonts w:ascii="Times New Roman" w:hAnsi="Times New Roman" w:eastAsia="Times New Roman"/>
        </w:rPr>
      </w:pPr>
    </w:p>
    <w:p>
      <w:pPr>
        <w:spacing w:line="360"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5.2.2.3 Potassium</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Potassium concentrations of the energy drinks were relatively low compared to the recommended daily intake (RDI) of potassium (WHO, 1993). It ranged from 2.0 to 2500 mg/L as shown in Table 4.3. The RDI of potassium ranged between 1600-5000mg/day. Only sample PA having a concentration 2500 mg/L was within the recommended RDI of potassium. All other samples were low, ranging between 2.00 to 740 mg/L. Potassium is the major intracellular ion, intimately related to sodium movement out of the cell via Na/K ATPase. As such, it participates in maintaining normal membrane potential in cells. Potassium is also a major factor in osmotic fluid dynamics in the body. Renal control mechanisms keep blood levels within a narrow range. Normal or increased potassium antagonizes uptake/retention. Potassium deficiency results to irregular/rapid heart beat,</w:t>
      </w:r>
    </w:p>
    <w:p>
      <w:pPr>
        <w:spacing w:line="200" w:lineRule="exact"/>
        <w:rPr>
          <w:rFonts w:ascii="Times New Roman" w:hAnsi="Times New Roman" w:eastAsia="Times New Roman"/>
        </w:rPr>
      </w:pPr>
    </w:p>
    <w:p>
      <w:pPr>
        <w:spacing w:line="261" w:lineRule="exact"/>
        <w:rPr>
          <w:rFonts w:ascii="Times New Roman" w:hAnsi="Times New Roman" w:eastAsia="Times New Roman"/>
        </w:rPr>
      </w:pPr>
    </w:p>
    <w:p>
      <w:pPr>
        <w:spacing w:line="0" w:lineRule="atLeast"/>
        <w:ind w:left="4720"/>
        <w:rPr>
          <w:sz w:val="22"/>
        </w:rPr>
      </w:pPr>
      <w:r>
        <w:rPr>
          <w:sz w:val="22"/>
        </w:rPr>
        <w:t>lxxviii</w:t>
      </w:r>
    </w:p>
    <w:p>
      <w:pPr>
        <w:spacing w:line="0" w:lineRule="atLeast"/>
        <w:ind w:left="47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0" w:name="page79"/>
      <w:bookmarkEnd w:id="70"/>
    </w:p>
    <w:p>
      <w:pPr>
        <w:spacing w:line="476" w:lineRule="auto"/>
        <w:ind w:left="580"/>
        <w:jc w:val="both"/>
        <w:rPr>
          <w:rFonts w:ascii="Times New Roman" w:hAnsi="Times New Roman" w:eastAsia="Times New Roman"/>
          <w:sz w:val="24"/>
        </w:rPr>
      </w:pPr>
      <w:r>
        <w:rPr>
          <w:rFonts w:ascii="Times New Roman" w:hAnsi="Times New Roman" w:eastAsia="Times New Roman"/>
          <w:sz w:val="24"/>
        </w:rPr>
        <w:t>High Blood Pressure (HBP), kidney disease, infrequent menstrual cycles, ovarian cysts, muscle spasms/cramps, joint pains, weakened immune system and hyperglycemia. Excess potassium results to hypotension, reactive hypoglycemia, and increased risk for cancer. Toxicity is possible via supplements at doses near 18 g or in kidney dysfunction.</w:t>
      </w:r>
    </w:p>
    <w:p>
      <w:pPr>
        <w:spacing w:line="200" w:lineRule="exact"/>
        <w:rPr>
          <w:rFonts w:ascii="Times New Roman" w:hAnsi="Times New Roman" w:eastAsia="Times New Roman"/>
        </w:rPr>
      </w:pPr>
    </w:p>
    <w:p>
      <w:pPr>
        <w:spacing w:line="364"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5.3</w:t>
      </w:r>
      <w:r>
        <w:rPr>
          <w:rFonts w:ascii="Times New Roman" w:hAnsi="Times New Roman" w:eastAsia="Times New Roman"/>
        </w:rPr>
        <w:tab/>
      </w:r>
      <w:r>
        <w:rPr>
          <w:rFonts w:ascii="Times New Roman" w:hAnsi="Times New Roman" w:eastAsia="Times New Roman"/>
          <w:b/>
          <w:sz w:val="23"/>
        </w:rPr>
        <w:t>Caffeine, Aspartame and Sugar Concentrations in Energy Drinks</w:t>
      </w:r>
    </w:p>
    <w:p>
      <w:pPr>
        <w:spacing w:line="28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The caffeine and aspartame concentration of the energy drinks were calculated using calibration curves obtained from the caffeine and aspartame analysis using HPLC as shown in appendices B and C respectively. The sugar concentration of the energy drinks were calculated using calibration curves obtained the sugar analysis using UV-Spectrophotometer in as shown in Appendix D.</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5.3.1</w:t>
      </w:r>
      <w:r>
        <w:rPr>
          <w:rFonts w:ascii="Times New Roman" w:hAnsi="Times New Roman" w:eastAsia="Times New Roman"/>
        </w:rPr>
        <w:tab/>
      </w:r>
      <w:r>
        <w:rPr>
          <w:rFonts w:ascii="Times New Roman" w:hAnsi="Times New Roman" w:eastAsia="Times New Roman"/>
          <w:b/>
          <w:sz w:val="23"/>
        </w:rPr>
        <w:t>Caffeine</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The mean ± SD concentrations of caffeine as determined in each of the sampled energy drinks are shown in Table 4.4. The results obtained showed that caffeine concentrations ranged from 1.11 mg/l – 2487.13 mg/L. These were within the range of 170 ppm – 324 ppm for caffeine concentrations in energy drink reported by Mei </w:t>
      </w:r>
      <w:r>
        <w:rPr>
          <w:rFonts w:ascii="Times New Roman" w:hAnsi="Times New Roman" w:eastAsia="Times New Roman"/>
          <w:i/>
          <w:sz w:val="24"/>
        </w:rPr>
        <w:t>et al.,</w:t>
      </w:r>
      <w:r>
        <w:rPr>
          <w:rFonts w:ascii="Times New Roman" w:hAnsi="Times New Roman" w:eastAsia="Times New Roman"/>
          <w:sz w:val="24"/>
        </w:rPr>
        <w:t xml:space="preserve"> (2012), and lower than the ranged of 440 ppm – 473 ppm for caffeine concentration in tea samples reported by Mei </w:t>
      </w:r>
      <w:r>
        <w:rPr>
          <w:rFonts w:ascii="Times New Roman" w:hAnsi="Times New Roman" w:eastAsia="Times New Roman"/>
          <w:i/>
          <w:sz w:val="24"/>
        </w:rPr>
        <w:t>et al.,</w:t>
      </w:r>
      <w:r>
        <w:rPr>
          <w:rFonts w:ascii="Times New Roman" w:hAnsi="Times New Roman" w:eastAsia="Times New Roman"/>
          <w:sz w:val="24"/>
        </w:rPr>
        <w:t xml:space="preserve"> (2012). The values were also lower than 1.41 mg/serving reported by Rachel </w:t>
      </w:r>
      <w:r>
        <w:rPr>
          <w:rFonts w:ascii="Times New Roman" w:hAnsi="Times New Roman" w:eastAsia="Times New Roman"/>
          <w:i/>
          <w:sz w:val="24"/>
        </w:rPr>
        <w:t xml:space="preserve">et al., </w:t>
      </w:r>
      <w:r>
        <w:rPr>
          <w:rFonts w:ascii="Times New Roman" w:hAnsi="Times New Roman" w:eastAsia="Times New Roman"/>
          <w:sz w:val="24"/>
        </w:rPr>
        <w:t>(2006) and those reported by Alghamdi</w:t>
      </w:r>
      <w:r>
        <w:rPr>
          <w:rFonts w:ascii="Times New Roman" w:hAnsi="Times New Roman" w:eastAsia="Times New Roman"/>
          <w:i/>
          <w:sz w:val="24"/>
        </w:rPr>
        <w:t xml:space="preserve"> et al., </w:t>
      </w:r>
      <w:r>
        <w:rPr>
          <w:rFonts w:ascii="Times New Roman" w:hAnsi="Times New Roman" w:eastAsia="Times New Roman"/>
          <w:sz w:val="24"/>
        </w:rPr>
        <w:t>(2005). Sample EV (Liquid) had the</w:t>
      </w:r>
      <w:r>
        <w:rPr>
          <w:rFonts w:ascii="Times New Roman" w:hAnsi="Times New Roman" w:eastAsia="Times New Roman"/>
          <w:i/>
          <w:sz w:val="24"/>
        </w:rPr>
        <w:t xml:space="preserve"> </w:t>
      </w:r>
      <w:r>
        <w:rPr>
          <w:rFonts w:ascii="Times New Roman" w:hAnsi="Times New Roman" w:eastAsia="Times New Roman"/>
          <w:sz w:val="24"/>
        </w:rPr>
        <w:t>least caffeine concentration while sample AL (powdered) had the highest caffeine concentration. The caffeine concentrations in the powdered samples were higher compared to the liquid samples. However, sample AL (powdered) had a very high caffeine</w:t>
      </w:r>
    </w:p>
    <w:p>
      <w:pPr>
        <w:spacing w:line="200" w:lineRule="exact"/>
        <w:rPr>
          <w:rFonts w:ascii="Times New Roman" w:hAnsi="Times New Roman" w:eastAsia="Times New Roman"/>
        </w:rPr>
      </w:pPr>
    </w:p>
    <w:p>
      <w:pPr>
        <w:spacing w:line="261" w:lineRule="exact"/>
        <w:rPr>
          <w:rFonts w:ascii="Times New Roman" w:hAnsi="Times New Roman" w:eastAsia="Times New Roman"/>
        </w:rPr>
      </w:pPr>
    </w:p>
    <w:p>
      <w:pPr>
        <w:spacing w:line="0" w:lineRule="atLeast"/>
        <w:ind w:left="4780"/>
        <w:rPr>
          <w:sz w:val="22"/>
        </w:rPr>
      </w:pPr>
      <w:r>
        <w:rPr>
          <w:sz w:val="22"/>
        </w:rPr>
        <w:t>lxxix</w:t>
      </w:r>
    </w:p>
    <w:p>
      <w:pPr>
        <w:spacing w:line="0" w:lineRule="atLeast"/>
        <w:ind w:left="478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1" w:name="page80"/>
      <w:bookmarkEnd w:id="71"/>
    </w:p>
    <w:p>
      <w:pPr>
        <w:spacing w:line="469" w:lineRule="auto"/>
        <w:ind w:left="580"/>
        <w:jc w:val="both"/>
        <w:rPr>
          <w:rFonts w:ascii="Times New Roman" w:hAnsi="Times New Roman" w:eastAsia="Times New Roman"/>
          <w:sz w:val="24"/>
        </w:rPr>
      </w:pPr>
      <w:r>
        <w:rPr>
          <w:rFonts w:ascii="Times New Roman" w:hAnsi="Times New Roman" w:eastAsia="Times New Roman"/>
          <w:sz w:val="24"/>
        </w:rPr>
        <w:t xml:space="preserve">concentration compared to values reported by Mei </w:t>
      </w:r>
      <w:r>
        <w:rPr>
          <w:rFonts w:ascii="Times New Roman" w:hAnsi="Times New Roman" w:eastAsia="Times New Roman"/>
          <w:i/>
          <w:sz w:val="24"/>
        </w:rPr>
        <w:t>et al.,</w:t>
      </w:r>
      <w:r>
        <w:rPr>
          <w:rFonts w:ascii="Times New Roman" w:hAnsi="Times New Roman" w:eastAsia="Times New Roman"/>
          <w:sz w:val="24"/>
        </w:rPr>
        <w:t xml:space="preserve"> (2012) and Alghamdi </w:t>
      </w:r>
      <w:r>
        <w:rPr>
          <w:rFonts w:ascii="Times New Roman" w:hAnsi="Times New Roman" w:eastAsia="Times New Roman"/>
          <w:i/>
          <w:sz w:val="24"/>
        </w:rPr>
        <w:t>et al.,</w:t>
      </w:r>
      <w:r>
        <w:rPr>
          <w:rFonts w:ascii="Times New Roman" w:hAnsi="Times New Roman" w:eastAsia="Times New Roman"/>
          <w:sz w:val="24"/>
        </w:rPr>
        <w:t xml:space="preserve"> (2005).</w:t>
      </w:r>
    </w:p>
    <w:p>
      <w:pPr>
        <w:spacing w:line="200" w:lineRule="exact"/>
        <w:rPr>
          <w:rFonts w:ascii="Times New Roman" w:hAnsi="Times New Roman" w:eastAsia="Times New Roman"/>
        </w:rPr>
      </w:pPr>
    </w:p>
    <w:p>
      <w:pPr>
        <w:spacing w:line="378"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safety of caffeine intake has been assessed by several national regulatory scientific committees for use at the levels of consumption estimated by their respective populations. According to the Food Standards Agency UK, drinks containing more than 150 mg/L of caffeine must be labeled with the term 'high caffeine content' in the same field of vision as the name of the food. This must be accompanied by an indication of the amount of caffeine per 100ml in the product. No other labeling is currently required by law and this labelling does not apply to drinks such as tea and coffee.</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 xml:space="preserve">The recommended upper daily intake levels of caffeine have been set by the Korean Food and Drug Administration. For adults less than 400 mg of caffeine per day, for pregnant women less than 300mg and for children less than 2.5 mg/kg of body weight (Heckman </w:t>
      </w:r>
      <w:r>
        <w:rPr>
          <w:rFonts w:ascii="Times New Roman" w:hAnsi="Times New Roman" w:eastAsia="Times New Roman"/>
          <w:i/>
          <w:sz w:val="24"/>
        </w:rPr>
        <w:t>et</w:t>
      </w:r>
      <w:r>
        <w:rPr>
          <w:rFonts w:ascii="Times New Roman" w:hAnsi="Times New Roman" w:eastAsia="Times New Roman"/>
          <w:sz w:val="24"/>
        </w:rPr>
        <w:t xml:space="preserve"> </w:t>
      </w:r>
      <w:r>
        <w:rPr>
          <w:rFonts w:ascii="Times New Roman" w:hAnsi="Times New Roman" w:eastAsia="Times New Roman"/>
          <w:i/>
          <w:sz w:val="24"/>
        </w:rPr>
        <w:t xml:space="preserve">al., </w:t>
      </w:r>
      <w:r>
        <w:rPr>
          <w:rFonts w:ascii="Times New Roman" w:hAnsi="Times New Roman" w:eastAsia="Times New Roman"/>
          <w:sz w:val="24"/>
        </w:rPr>
        <w:t>2010). In Taiwan, Upper limit of caffeine is 320 mg/L for beverages other than tea and</w:t>
      </w:r>
      <w:r>
        <w:rPr>
          <w:rFonts w:ascii="Times New Roman" w:hAnsi="Times New Roman" w:eastAsia="Times New Roman"/>
          <w:i/>
          <w:sz w:val="24"/>
        </w:rPr>
        <w:t xml:space="preserve"> </w:t>
      </w:r>
      <w:r>
        <w:rPr>
          <w:rFonts w:ascii="Times New Roman" w:hAnsi="Times New Roman" w:eastAsia="Times New Roman"/>
          <w:sz w:val="24"/>
        </w:rPr>
        <w:t xml:space="preserve">coffee (Heckman, </w:t>
      </w:r>
      <w:r>
        <w:rPr>
          <w:rFonts w:ascii="Times New Roman" w:hAnsi="Times New Roman" w:eastAsia="Times New Roman"/>
          <w:i/>
          <w:sz w:val="24"/>
        </w:rPr>
        <w:t>et al</w:t>
      </w:r>
      <w:r>
        <w:rPr>
          <w:rFonts w:ascii="Times New Roman" w:hAnsi="Times New Roman" w:eastAsia="Times New Roman"/>
          <w:sz w:val="24"/>
        </w:rPr>
        <w:t xml:space="preserve">., 2010). Mexican regulations do not include any upper limit for the addition of caffeine to beverages. However, flavoured non alcoholic beverages containing more than 20 mg/100 ml are considered ‗beverages with added caffeine, which must be printed on the label (Heckman, </w:t>
      </w:r>
      <w:r>
        <w:rPr>
          <w:rFonts w:ascii="Times New Roman" w:hAnsi="Times New Roman" w:eastAsia="Times New Roman"/>
          <w:i/>
          <w:sz w:val="24"/>
        </w:rPr>
        <w:t>et al</w:t>
      </w:r>
      <w:r>
        <w:rPr>
          <w:rFonts w:ascii="Times New Roman" w:hAnsi="Times New Roman" w:eastAsia="Times New Roman"/>
          <w:sz w:val="24"/>
        </w:rPr>
        <w:t>., 2010).</w:t>
      </w:r>
    </w:p>
    <w:p>
      <w:pPr>
        <w:spacing w:line="200" w:lineRule="exact"/>
        <w:rPr>
          <w:rFonts w:ascii="Times New Roman" w:hAnsi="Times New Roman" w:eastAsia="Times New Roman"/>
        </w:rPr>
      </w:pPr>
    </w:p>
    <w:p>
      <w:pPr>
        <w:spacing w:line="372"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 xml:space="preserve">In Brazil, beverages containing 80mg of caffeine are considered ‗liquid compounds ready for consumption‘ and the regulations foresee an upper limit of 350 mg/L </w:t>
      </w:r>
      <w:r>
        <w:rPr>
          <w:rFonts w:ascii="Times New Roman" w:hAnsi="Times New Roman" w:eastAsia="Times New Roman"/>
          <w:sz w:val="22"/>
        </w:rPr>
        <w:t>(</w:t>
      </w:r>
      <w:r>
        <w:rPr>
          <w:rFonts w:ascii="Times New Roman" w:hAnsi="Times New Roman" w:eastAsia="Times New Roman"/>
          <w:sz w:val="24"/>
        </w:rPr>
        <w:t xml:space="preserve">Heckman, </w:t>
      </w:r>
      <w:r>
        <w:rPr>
          <w:rFonts w:ascii="Times New Roman" w:hAnsi="Times New Roman" w:eastAsia="Times New Roman"/>
          <w:i/>
          <w:sz w:val="24"/>
        </w:rPr>
        <w:t>et al</w:t>
      </w:r>
      <w:r>
        <w:rPr>
          <w:rFonts w:ascii="Times New Roman" w:hAnsi="Times New Roman" w:eastAsia="Times New Roman"/>
          <w:sz w:val="24"/>
        </w:rPr>
        <w:t>., 2010)</w:t>
      </w:r>
      <w:r>
        <w:rPr>
          <w:rFonts w:ascii="Times New Roman" w:hAnsi="Times New Roman" w:eastAsia="Times New Roman"/>
          <w:sz w:val="22"/>
        </w:rPr>
        <w:t>.</w:t>
      </w:r>
      <w:r>
        <w:rPr>
          <w:rFonts w:ascii="Times New Roman" w:hAnsi="Times New Roman" w:eastAsia="Times New Roman"/>
          <w:sz w:val="24"/>
        </w:rPr>
        <w:t xml:space="preserve"> Chile regulation classified beverages containing 80mg of caffeine (320 mg/L) as</w:t>
      </w:r>
    </w:p>
    <w:p>
      <w:pPr>
        <w:spacing w:line="200" w:lineRule="exact"/>
        <w:rPr>
          <w:rFonts w:ascii="Times New Roman" w:hAnsi="Times New Roman" w:eastAsia="Times New Roman"/>
        </w:rPr>
      </w:pPr>
    </w:p>
    <w:p>
      <w:pPr>
        <w:spacing w:line="257" w:lineRule="exact"/>
        <w:rPr>
          <w:rFonts w:ascii="Times New Roman" w:hAnsi="Times New Roman" w:eastAsia="Times New Roman"/>
        </w:rPr>
      </w:pPr>
    </w:p>
    <w:p>
      <w:pPr>
        <w:spacing w:line="0" w:lineRule="atLeast"/>
        <w:ind w:left="4800"/>
        <w:rPr>
          <w:sz w:val="22"/>
        </w:rPr>
      </w:pPr>
      <w:r>
        <w:rPr>
          <w:sz w:val="22"/>
        </w:rPr>
        <w:t>lxxx</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2" w:name="page81"/>
      <w:bookmarkEnd w:id="72"/>
    </w:p>
    <w:p>
      <w:pPr>
        <w:spacing w:line="474" w:lineRule="auto"/>
        <w:ind w:left="580"/>
        <w:jc w:val="both"/>
        <w:rPr>
          <w:rFonts w:ascii="Times New Roman" w:hAnsi="Times New Roman" w:eastAsia="Times New Roman"/>
          <w:sz w:val="24"/>
        </w:rPr>
      </w:pPr>
      <w:r>
        <w:rPr>
          <w:rFonts w:ascii="Times New Roman" w:hAnsi="Times New Roman" w:eastAsia="Times New Roman"/>
          <w:sz w:val="24"/>
        </w:rPr>
        <w:t xml:space="preserve">sports drinks and the regulation does not include an upper limit. Rather, it states a daily consumption higher than 500 mg of caffeine should not be consumed </w:t>
      </w:r>
      <w:r>
        <w:rPr>
          <w:rFonts w:ascii="Times New Roman" w:hAnsi="Times New Roman" w:eastAsia="Times New Roman"/>
          <w:sz w:val="22"/>
        </w:rPr>
        <w:t>(</w:t>
      </w:r>
      <w:r>
        <w:rPr>
          <w:rFonts w:ascii="Times New Roman" w:hAnsi="Times New Roman" w:eastAsia="Times New Roman"/>
          <w:sz w:val="24"/>
        </w:rPr>
        <w:t xml:space="preserve">Heckman, </w:t>
      </w:r>
      <w:r>
        <w:rPr>
          <w:rFonts w:ascii="Times New Roman" w:hAnsi="Times New Roman" w:eastAsia="Times New Roman"/>
          <w:i/>
          <w:sz w:val="24"/>
        </w:rPr>
        <w:t>et al</w:t>
      </w:r>
      <w:r>
        <w:rPr>
          <w:rFonts w:ascii="Times New Roman" w:hAnsi="Times New Roman" w:eastAsia="Times New Roman"/>
          <w:sz w:val="24"/>
        </w:rPr>
        <w:t>., 2010).</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According to Health Canada, (2010), the maximum recommended daily intake of caffeine is 45-85 mg per day for children (2-4 years), 125 mg per day for teenager (13 years) and 400 mg per day for adult.</w:t>
      </w:r>
    </w:p>
    <w:p>
      <w:pPr>
        <w:spacing w:line="200" w:lineRule="exact"/>
        <w:rPr>
          <w:rFonts w:ascii="Times New Roman" w:hAnsi="Times New Roman" w:eastAsia="Times New Roman"/>
        </w:rPr>
      </w:pPr>
    </w:p>
    <w:p>
      <w:pPr>
        <w:spacing w:line="374"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US FDA has cited 400 mg/day as an amount not generally associated with dangerous, negative effects. It has however not set a level for children, but the American Academy of Pediatrics discourages the consumption of caffeine and other stimulants by children and adolescents.</w:t>
      </w:r>
    </w:p>
    <w:p>
      <w:pPr>
        <w:spacing w:line="200" w:lineRule="exact"/>
        <w:rPr>
          <w:rFonts w:ascii="Times New Roman" w:hAnsi="Times New Roman" w:eastAsia="Times New Roman"/>
        </w:rPr>
      </w:pPr>
    </w:p>
    <w:p>
      <w:pPr>
        <w:spacing w:line="371"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In Nigeria, there have been no set limits by the food regulatory bodies for caffeine in energy drinks as majority of the energy drink products are usually imported into the country. As such, they usually used the set standards by the international bodies such as FDA.</w:t>
      </w:r>
    </w:p>
    <w:p>
      <w:pPr>
        <w:spacing w:line="200" w:lineRule="exact"/>
        <w:rPr>
          <w:rFonts w:ascii="Times New Roman" w:hAnsi="Times New Roman" w:eastAsia="Times New Roman"/>
        </w:rPr>
      </w:pPr>
    </w:p>
    <w:p>
      <w:pPr>
        <w:spacing w:line="372"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The acceptable daily intake of caffeine is 400 mg/day (US FDA, 2010). Figure 4.1 shows a comparison between the concentrations of caffeine in the sampled energy drinks and the set standards of US FDA. Caffeine concentrations in all the energy drink samples were below the FDA set standards except for sample AL which is above the standard. A possible reason for this may be due to its usage as analgesic. This implies that a daily</w:t>
      </w:r>
    </w:p>
    <w:p>
      <w:pPr>
        <w:spacing w:line="200" w:lineRule="exact"/>
        <w:rPr>
          <w:rFonts w:ascii="Times New Roman" w:hAnsi="Times New Roman" w:eastAsia="Times New Roman"/>
        </w:rPr>
      </w:pPr>
    </w:p>
    <w:p>
      <w:pPr>
        <w:spacing w:line="254" w:lineRule="exact"/>
        <w:rPr>
          <w:rFonts w:ascii="Times New Roman" w:hAnsi="Times New Roman" w:eastAsia="Times New Roman"/>
        </w:rPr>
      </w:pPr>
    </w:p>
    <w:p>
      <w:pPr>
        <w:spacing w:line="0" w:lineRule="atLeast"/>
        <w:ind w:left="4780"/>
        <w:rPr>
          <w:sz w:val="22"/>
        </w:rPr>
      </w:pPr>
      <w:r>
        <w:rPr>
          <w:sz w:val="22"/>
        </w:rPr>
        <w:t>lxxxi</w:t>
      </w:r>
    </w:p>
    <w:p>
      <w:pPr>
        <w:spacing w:line="0" w:lineRule="atLeast"/>
        <w:ind w:left="478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3" w:name="page82"/>
      <w:bookmarkEnd w:id="73"/>
    </w:p>
    <w:p>
      <w:pPr>
        <w:spacing w:line="476" w:lineRule="auto"/>
        <w:ind w:left="580"/>
        <w:jc w:val="both"/>
        <w:rPr>
          <w:rFonts w:ascii="Times New Roman" w:hAnsi="Times New Roman" w:eastAsia="Times New Roman"/>
          <w:sz w:val="24"/>
        </w:rPr>
      </w:pPr>
      <w:r>
        <w:rPr>
          <w:rFonts w:ascii="Times New Roman" w:hAnsi="Times New Roman" w:eastAsia="Times New Roman"/>
          <w:sz w:val="24"/>
        </w:rPr>
        <w:t>consumption of one can of any of the sampled energy drink with the exception of sample AL, may not have any adverse effect on the consumer. However, a daily consumption of two or more cans of the energy drink may have adverse effects as reported in literature especially on children and pregnant women.</w:t>
      </w:r>
    </w:p>
    <w:p>
      <w:pPr>
        <w:spacing w:line="200" w:lineRule="exact"/>
        <w:rPr>
          <w:rFonts w:ascii="Times New Roman" w:hAnsi="Times New Roman" w:eastAsia="Times New Roman"/>
        </w:rPr>
      </w:pPr>
    </w:p>
    <w:p>
      <w:pPr>
        <w:spacing w:line="372"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As shown in Table 4.4, mean concentrations of caffeine are labeled a-j which shows the order of increasing caffeine concentrations, and represents the ANOVA analysis of the sampled energy drinks. That there was no significant difference between concentrations of caffeine in samples EJ and EV, samples SO and XL, and samples PH and RB. The concentration of caffeine in all other samples differs significantly from each other at p˂0.05 confidence limit. There was also no significant difference between the caffeine concentrations of the liquid and powdered forms of energy drinks at p˂0.05 confidence limit.</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5.3.2</w:t>
      </w:r>
      <w:r>
        <w:rPr>
          <w:rFonts w:ascii="Times New Roman" w:hAnsi="Times New Roman" w:eastAsia="Times New Roman"/>
        </w:rPr>
        <w:tab/>
      </w:r>
      <w:r>
        <w:rPr>
          <w:rFonts w:ascii="Times New Roman" w:hAnsi="Times New Roman" w:eastAsia="Times New Roman"/>
          <w:b/>
          <w:sz w:val="24"/>
        </w:rPr>
        <w:t>Aspartame</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color w:val="000000"/>
          <w:sz w:val="24"/>
        </w:rPr>
      </w:pPr>
      <w:r>
        <w:rPr>
          <w:rFonts w:ascii="Times New Roman" w:hAnsi="Times New Roman" w:eastAsia="Times New Roman"/>
          <w:sz w:val="24"/>
        </w:rPr>
        <w:t xml:space="preserve">The concentration of aspartame as determined in each of the sampled energy drink is given in Table 4.4. The results obtained shows that aspartame concentration ranged from 6.51 mg/L – 1491.19 mg/L. These values were with in the range of 153.69 – 876.42 ppm and 198.22 – 709.36 ppm reported by </w:t>
      </w:r>
      <w:r>
        <w:rPr>
          <w:rFonts w:ascii="Times New Roman" w:hAnsi="Times New Roman" w:eastAsia="Times New Roman"/>
          <w:color w:val="221E1F"/>
          <w:sz w:val="24"/>
        </w:rPr>
        <w:t>Serdar and Knežević (2011) for soft drinks and</w:t>
      </w:r>
      <w:r>
        <w:rPr>
          <w:rFonts w:ascii="Times New Roman" w:hAnsi="Times New Roman" w:eastAsia="Times New Roman"/>
          <w:sz w:val="24"/>
        </w:rPr>
        <w:t xml:space="preserve"> </w:t>
      </w:r>
      <w:r>
        <w:rPr>
          <w:rFonts w:ascii="Times New Roman" w:hAnsi="Times New Roman" w:eastAsia="Times New Roman"/>
          <w:color w:val="221E1F"/>
          <w:sz w:val="24"/>
        </w:rPr>
        <w:t>artificial</w:t>
      </w:r>
      <w:r>
        <w:rPr>
          <w:rFonts w:ascii="Times New Roman" w:hAnsi="Times New Roman" w:eastAsia="Times New Roman"/>
          <w:sz w:val="24"/>
        </w:rPr>
        <w:t xml:space="preserve"> </w:t>
      </w:r>
      <w:r>
        <w:rPr>
          <w:rFonts w:ascii="Times New Roman" w:hAnsi="Times New Roman" w:eastAsia="Times New Roman"/>
          <w:color w:val="221E1F"/>
          <w:sz w:val="24"/>
        </w:rPr>
        <w:t xml:space="preserve">flavored drinks respectively but lower compare to 80.29 – 435.05ppm reported for fruit juices and 156.98 – 554.35 ppm reported for powdered drinks. The values were also lower compared to 40.25 – 507.75 ppm reported by Mackenzie and Erik (2001) and 127.2 – 344.5 ppm reported by Alghamdi </w:t>
      </w:r>
      <w:r>
        <w:rPr>
          <w:rFonts w:ascii="Times New Roman" w:hAnsi="Times New Roman" w:eastAsia="Times New Roman"/>
          <w:i/>
          <w:color w:val="221E1F"/>
          <w:sz w:val="24"/>
        </w:rPr>
        <w:t>et al.,</w:t>
      </w:r>
      <w:r>
        <w:rPr>
          <w:rFonts w:ascii="Times New Roman" w:hAnsi="Times New Roman" w:eastAsia="Times New Roman"/>
          <w:color w:val="221E1F"/>
          <w:sz w:val="24"/>
        </w:rPr>
        <w:t xml:space="preserve"> (2005). </w:t>
      </w:r>
      <w:r>
        <w:rPr>
          <w:rFonts w:ascii="Times New Roman" w:hAnsi="Times New Roman" w:eastAsia="Times New Roman"/>
          <w:color w:val="000000"/>
          <w:sz w:val="24"/>
        </w:rPr>
        <w:t>Sample RB (Liquid) had the least</w:t>
      </w:r>
    </w:p>
    <w:p>
      <w:pPr>
        <w:spacing w:line="200" w:lineRule="exact"/>
        <w:rPr>
          <w:rFonts w:ascii="Times New Roman" w:hAnsi="Times New Roman" w:eastAsia="Times New Roman"/>
        </w:rPr>
      </w:pPr>
    </w:p>
    <w:p>
      <w:pPr>
        <w:spacing w:line="256" w:lineRule="exact"/>
        <w:rPr>
          <w:rFonts w:ascii="Times New Roman" w:hAnsi="Times New Roman" w:eastAsia="Times New Roman"/>
        </w:rPr>
      </w:pPr>
    </w:p>
    <w:p>
      <w:pPr>
        <w:spacing w:line="0" w:lineRule="atLeast"/>
        <w:ind w:left="4740"/>
        <w:rPr>
          <w:sz w:val="22"/>
        </w:rPr>
      </w:pPr>
      <w:r>
        <w:rPr>
          <w:sz w:val="22"/>
        </w:rPr>
        <w:t>lxxxii</w:t>
      </w:r>
    </w:p>
    <w:p>
      <w:pPr>
        <w:spacing w:line="0" w:lineRule="atLeast"/>
        <w:ind w:left="474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4" w:name="page83"/>
      <w:bookmarkEnd w:id="74"/>
    </w:p>
    <w:p>
      <w:pPr>
        <w:spacing w:line="474" w:lineRule="auto"/>
        <w:ind w:left="580"/>
        <w:jc w:val="both"/>
        <w:rPr>
          <w:rFonts w:ascii="Times New Roman" w:hAnsi="Times New Roman" w:eastAsia="Times New Roman"/>
          <w:sz w:val="24"/>
        </w:rPr>
      </w:pPr>
      <w:r>
        <w:rPr>
          <w:rFonts w:ascii="Times New Roman" w:hAnsi="Times New Roman" w:eastAsia="Times New Roman"/>
          <w:sz w:val="24"/>
        </w:rPr>
        <w:t>aspartame concentration while sample EJ (powdered) had the highest aspartame concentration. The concentration of aspartame in the liquid forms of energy drinks were generally higher compared to the concentration in the powdered forms of energy drinks.</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The safety of aspartame has been considered by a range of regulatory organizations, their expert advisory groups and interested scientists (FAO/WHO, 1980). An acceptable daily intake (ADI) of 40 mg/kg body weight was established for aspartame, while an ADI of 7.5 mg/kg body weight was established for diketopiperazine (FAO/WHO, 1980).</w:t>
      </w:r>
    </w:p>
    <w:p>
      <w:pPr>
        <w:spacing w:line="200" w:lineRule="exact"/>
        <w:rPr>
          <w:rFonts w:ascii="Times New Roman" w:hAnsi="Times New Roman" w:eastAsia="Times New Roman"/>
        </w:rPr>
      </w:pPr>
    </w:p>
    <w:p>
      <w:pPr>
        <w:spacing w:line="372"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European Commission‘s Scientific Committee on Food (SCF) set the acceptable daily intake (ADI) of aspartame at the same level as those set by Joint FAO/WHO Expert Committee on Food Additives (JECFA). The US Food and Drug Administration approved aspartame for use in 1984 and have subsequently reaffirmed its safety in 1996 (FDA, 1996). The FDA established a slightly higher ADI for aspartame of 50 mg/kg body weight. The acceptable daily intake of aspartame range between 40 - 50 mg/kg/body weight which is equivalent to 2400 – 3000 mg/day for a 60 kg adult (FDA, 1996; FAO/WHO, 1980).</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Figure 4.2 shows a comparison between the concentration of aspartame in the sampled energy drinks and the US FDA set standard. Aspartame concentrations in all the energy drink samples analyzed were all below the FDA set standard. This is an indication that they will not have adverse effects on the consumers except multiples of the drinks are consumed.</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6" w:lineRule="exact"/>
        <w:rPr>
          <w:rFonts w:ascii="Times New Roman" w:hAnsi="Times New Roman" w:eastAsia="Times New Roman"/>
        </w:rPr>
      </w:pPr>
    </w:p>
    <w:p>
      <w:pPr>
        <w:spacing w:line="0" w:lineRule="atLeast"/>
        <w:ind w:left="4720"/>
        <w:rPr>
          <w:sz w:val="22"/>
        </w:rPr>
      </w:pPr>
      <w:r>
        <w:rPr>
          <w:sz w:val="22"/>
        </w:rPr>
        <w:t>lxxxiii</w:t>
      </w:r>
    </w:p>
    <w:p>
      <w:pPr>
        <w:spacing w:line="0" w:lineRule="atLeast"/>
        <w:ind w:left="47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5" w:name="page84"/>
      <w:bookmarkEnd w:id="75"/>
    </w:p>
    <w:p>
      <w:pPr>
        <w:spacing w:line="478" w:lineRule="auto"/>
        <w:ind w:left="580"/>
        <w:jc w:val="both"/>
        <w:rPr>
          <w:rFonts w:ascii="Times New Roman" w:hAnsi="Times New Roman" w:eastAsia="Times New Roman"/>
          <w:sz w:val="24"/>
        </w:rPr>
      </w:pPr>
      <w:r>
        <w:rPr>
          <w:rFonts w:ascii="Times New Roman" w:hAnsi="Times New Roman" w:eastAsia="Times New Roman"/>
          <w:sz w:val="24"/>
        </w:rPr>
        <w:t>As shown in Table 4.4, the mean concentrations of aspartame are labeled a-k which shows the order of increasing concentration of aspartame in the sampled energy drinks and represents the ANOVA analysis of the sampled energy drinks. There was no significant difference in the aspartame concentrations of samples PA and AL, and samples PH and RB. All other sampled energy drinks differ significantly in their aspartame concentration at p˂0.05 confidence limit. There was also no significant difference between the aspartame concentrations of the liquid and powdered forms of energy drinks at p˂0.05 confidence limit.</w:t>
      </w:r>
    </w:p>
    <w:p>
      <w:pPr>
        <w:spacing w:line="200" w:lineRule="exact"/>
        <w:rPr>
          <w:rFonts w:ascii="Times New Roman" w:hAnsi="Times New Roman" w:eastAsia="Times New Roman"/>
        </w:rPr>
      </w:pPr>
    </w:p>
    <w:p>
      <w:pPr>
        <w:spacing w:line="365" w:lineRule="exact"/>
        <w:rPr>
          <w:rFonts w:ascii="Times New Roman" w:hAnsi="Times New Roman" w:eastAsia="Times New Roman"/>
        </w:rPr>
      </w:pPr>
    </w:p>
    <w:p>
      <w:pPr>
        <w:tabs>
          <w:tab w:val="left" w:pos="1360"/>
        </w:tabs>
        <w:spacing w:line="0" w:lineRule="atLeast"/>
        <w:ind w:left="580"/>
        <w:rPr>
          <w:rFonts w:ascii="Times New Roman" w:hAnsi="Times New Roman" w:eastAsia="Times New Roman"/>
          <w:b/>
          <w:sz w:val="24"/>
        </w:rPr>
      </w:pPr>
      <w:r>
        <w:rPr>
          <w:rFonts w:ascii="Times New Roman" w:hAnsi="Times New Roman" w:eastAsia="Times New Roman"/>
          <w:b/>
          <w:sz w:val="24"/>
        </w:rPr>
        <w:t>5.3.3</w:t>
      </w:r>
      <w:r>
        <w:rPr>
          <w:rFonts w:ascii="Times New Roman" w:hAnsi="Times New Roman" w:eastAsia="Times New Roman"/>
        </w:rPr>
        <w:tab/>
      </w:r>
      <w:r>
        <w:rPr>
          <w:rFonts w:ascii="Times New Roman" w:hAnsi="Times New Roman" w:eastAsia="Times New Roman"/>
          <w:b/>
          <w:sz w:val="24"/>
        </w:rPr>
        <w:t>Sugar</w:t>
      </w:r>
    </w:p>
    <w:p>
      <w:pPr>
        <w:spacing w:line="283"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 concentration of sugar as determined in each of the sampled energy drink is given in Table 4.4. The results obtained shows that the sugar concentration in the sampled energy drinks ranged from 16.98 – 1686.73 mg/L. Sample PA had the least concentration while sample LB had the highest concentration. The concentration of sugar in the powdered forms of energy drinks ranged 16.98 – 80.25 mg/L while the concentration of sugar in the liquid forms of energy drinks ranged 91.05 – 1686.73 mg/L. The sugar concentrations in the liquid forms of energy drinks were generally higher than those in the powdered forms of energy drinks.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9"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Frequent consumption of sugar-containing foods can increase risk of dental caries, especially when prophylactic measures, e.g. oral hygiene and fluoride prophylaxis, are insufficient. However, available data do not allow the setting of an upper limit (UL) for (added) sugars on the basis of a risk reduction for dental caries, as caries development</w:t>
      </w:r>
    </w:p>
    <w:p>
      <w:pPr>
        <w:spacing w:line="259" w:lineRule="exact"/>
        <w:rPr>
          <w:rFonts w:ascii="Times New Roman" w:hAnsi="Times New Roman" w:eastAsia="Times New Roman"/>
        </w:rPr>
      </w:pPr>
    </w:p>
    <w:p>
      <w:pPr>
        <w:spacing w:line="0" w:lineRule="atLeast"/>
        <w:ind w:left="4720"/>
        <w:rPr>
          <w:sz w:val="22"/>
        </w:rPr>
      </w:pPr>
      <w:r>
        <w:rPr>
          <w:sz w:val="22"/>
        </w:rPr>
        <w:t>lxxxiv</w:t>
      </w:r>
    </w:p>
    <w:p>
      <w:pPr>
        <w:spacing w:line="0" w:lineRule="atLeast"/>
        <w:ind w:left="47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6" w:name="page85"/>
      <w:bookmarkEnd w:id="76"/>
    </w:p>
    <w:p>
      <w:pPr>
        <w:spacing w:line="474" w:lineRule="auto"/>
        <w:ind w:left="580"/>
        <w:jc w:val="both"/>
        <w:rPr>
          <w:rFonts w:ascii="Times New Roman" w:hAnsi="Times New Roman" w:eastAsia="Times New Roman"/>
          <w:sz w:val="24"/>
        </w:rPr>
      </w:pPr>
      <w:r>
        <w:rPr>
          <w:rFonts w:ascii="Times New Roman" w:hAnsi="Times New Roman" w:eastAsia="Times New Roman"/>
          <w:sz w:val="24"/>
        </w:rPr>
        <w:t>related to consumption of sucrose and other cariogenic carbohydrates does not depend only on the amount of sugar consumed, but it is also influenced by oral hygiene, exposure to fluoride, frequency of consumption, and various other factors (EFSA, 2010).</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The evidence relating high intake of sugars (mainly as added sugars), compared to high intakes of starch, to weight gain is inconsistent for solid foods. However, there is some evidence that high intakes of sugars in the form of sugar-sweetened beverages might contribute to weight gain. The available evidence is insufficient to set an upper limit for sugars based on their effects on body weight (EFSA, 2010).</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Most short-term intervention studies on the effects of high intakes of sugars on glucose and insulin response do not find adverse effects at intakes of predominantly added sugars up to 20 to 25 E%, provided that body weight is maintained. Although there is some evidence that high intakes (&gt;20 E%) of sugars may increase serum TG and cholesterol concentrations, and that intakes &gt;20 - 25 E% might adversely affect glucose and insulin response, the available data are not sufficient to set an upper limit for (added) sugar intake (EFSA, 2010). Available data do not allow the setting of a Tolerable Upper Intake Level for total or added sugars, neither an Adequate Intake nor a Reference Intake range.</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9"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As shown in Table 4.4, the mean concentrations of sugar are labeled a-k which shows the order of increasing concentration of sugar in the sampled energy drinks and represents the ANOVA analysis of the sampled energy drinks. There was no significant difference in the sugar concentration of samples SO, BU and HC, and samples PH and RB. All other</w:t>
      </w:r>
    </w:p>
    <w:p>
      <w:pPr>
        <w:spacing w:line="259" w:lineRule="exact"/>
        <w:rPr>
          <w:rFonts w:ascii="Times New Roman" w:hAnsi="Times New Roman" w:eastAsia="Times New Roman"/>
        </w:rPr>
      </w:pPr>
    </w:p>
    <w:p>
      <w:pPr>
        <w:spacing w:line="0" w:lineRule="atLeast"/>
        <w:ind w:left="4740"/>
        <w:rPr>
          <w:sz w:val="22"/>
        </w:rPr>
      </w:pPr>
      <w:r>
        <w:rPr>
          <w:sz w:val="22"/>
        </w:rPr>
        <w:t>lxxxv</w:t>
      </w:r>
    </w:p>
    <w:p>
      <w:pPr>
        <w:spacing w:line="0" w:lineRule="atLeast"/>
        <w:ind w:left="474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7" w:name="page86"/>
      <w:bookmarkEnd w:id="77"/>
    </w:p>
    <w:p>
      <w:pPr>
        <w:spacing w:line="476" w:lineRule="auto"/>
        <w:ind w:left="580"/>
        <w:jc w:val="both"/>
        <w:rPr>
          <w:rFonts w:ascii="Times New Roman" w:hAnsi="Times New Roman" w:eastAsia="Times New Roman"/>
          <w:sz w:val="24"/>
        </w:rPr>
      </w:pPr>
      <w:r>
        <w:rPr>
          <w:rFonts w:ascii="Times New Roman" w:hAnsi="Times New Roman" w:eastAsia="Times New Roman"/>
          <w:sz w:val="24"/>
        </w:rPr>
        <w:t>sampled energy drinks differ significantly from each other in their concentration of sugar at p˂0.05 confidence limit. There was significant difference between the sugar concentrations of the liquid and powdered forms of energy drinks at p˂0.05 confidence limit.</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47" w:lineRule="exact"/>
        <w:rPr>
          <w:rFonts w:ascii="Times New Roman" w:hAnsi="Times New Roman" w:eastAsia="Times New Roman"/>
        </w:rPr>
      </w:pPr>
    </w:p>
    <w:p>
      <w:pPr>
        <w:spacing w:line="0" w:lineRule="atLeast"/>
        <w:ind w:left="4720"/>
        <w:rPr>
          <w:sz w:val="22"/>
        </w:rPr>
      </w:pPr>
      <w:r>
        <w:rPr>
          <w:sz w:val="22"/>
        </w:rPr>
        <w:t>lxxxvi</w:t>
      </w:r>
    </w:p>
    <w:p>
      <w:pPr>
        <w:spacing w:line="0" w:lineRule="atLeast"/>
        <w:ind w:left="4720"/>
        <w:rPr>
          <w:sz w:val="22"/>
        </w:rPr>
        <w:sectPr>
          <w:pgSz w:w="12240" w:h="15840"/>
          <w:pgMar w:top="1440" w:right="1440" w:bottom="428" w:left="1440" w:header="0" w:footer="0" w:gutter="0"/>
          <w:cols w:equalWidth="0" w:num="1">
            <w:col w:w="9360"/>
          </w:cols>
          <w:docGrid w:linePitch="360" w:charSpace="0"/>
        </w:sectPr>
      </w:pPr>
    </w:p>
    <w:p>
      <w:pPr>
        <w:spacing w:line="0" w:lineRule="atLeast"/>
        <w:ind w:right="200"/>
        <w:jc w:val="center"/>
        <w:rPr>
          <w:rFonts w:ascii="Times New Roman" w:hAnsi="Times New Roman" w:eastAsia="Times New Roman"/>
          <w:b/>
          <w:sz w:val="24"/>
        </w:rPr>
      </w:pPr>
      <w:bookmarkStart w:id="78" w:name="page87"/>
      <w:bookmarkEnd w:id="78"/>
      <w:r>
        <w:rPr>
          <w:rFonts w:ascii="Times New Roman" w:hAnsi="Times New Roman" w:eastAsia="Times New Roman"/>
          <w:b/>
          <w:sz w:val="24"/>
        </w:rPr>
        <w:t>CHAPTER SIX</w:t>
      </w:r>
    </w:p>
    <w:p>
      <w:pPr>
        <w:spacing w:line="200" w:lineRule="exact"/>
        <w:rPr>
          <w:rFonts w:ascii="Times New Roman" w:hAnsi="Times New Roman" w:eastAsia="Times New Roman"/>
        </w:rPr>
      </w:pPr>
    </w:p>
    <w:p>
      <w:pPr>
        <w:spacing w:line="278"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6.0</w:t>
      </w:r>
      <w:r>
        <w:rPr>
          <w:rFonts w:ascii="Times New Roman" w:hAnsi="Times New Roman" w:eastAsia="Times New Roman"/>
        </w:rPr>
        <w:tab/>
      </w:r>
      <w:r>
        <w:rPr>
          <w:rFonts w:ascii="Times New Roman" w:hAnsi="Times New Roman" w:eastAsia="Times New Roman"/>
          <w:b/>
          <w:sz w:val="23"/>
        </w:rPr>
        <w:t>Conclusion</w:t>
      </w:r>
    </w:p>
    <w:p>
      <w:pPr>
        <w:spacing w:line="200" w:lineRule="exact"/>
        <w:rPr>
          <w:rFonts w:ascii="Times New Roman" w:hAnsi="Times New Roman" w:eastAsia="Times New Roman"/>
        </w:rPr>
      </w:pPr>
    </w:p>
    <w:p>
      <w:pPr>
        <w:spacing w:line="281"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Debate regarding the overall risks and benefits of energy drinks has gained momentum in recent times. Health researchers agree that caffeine consumption can have adverse health consequences, particularly at high doses. Among the most common negative effects are increased anxiety, panic attacks, increased blood pressure, increased gastric acid, bowel irritability, and insomnia.</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This study analyzed the caffeine, aspartame and sugar concentrations of energy drinks in the Nigerian market. Results for caffeine concentration in the energy drinks ranged between 1.11 mg/L – 2847.13 mg/L. Caffeine concentration in all the samples were below the FDA set standard of 400 mg per day except for sample AL which has the highest caffeine concentration of 2847.13 mg/L. There was no significant difference between the caffeine concentrations of the liquid and powdered forms of energy drinks.</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There has also been reports regarding the safety of aspartame which is the predominant artificial sweetener used in most beverages. The aspartame concentration of energy drinks ranged from 6.5 mg/L to 1491.19 mg/L. This is below the acceptable daily intake (ADI) of aspartame set by joint WHO/FDA (40 – 50 mg/kg per body weight). This is equivalent to 2400 – 3000 mg/day for a 60 kg adult. There was no significant difference between the aspartame concentrations of the liquid and powdered forms of energy drinks.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7" w:lineRule="exact"/>
        <w:rPr>
          <w:rFonts w:ascii="Times New Roman" w:hAnsi="Times New Roman" w:eastAsia="Times New Roman"/>
        </w:rPr>
      </w:pPr>
    </w:p>
    <w:p>
      <w:pPr>
        <w:spacing w:line="0" w:lineRule="atLeast"/>
        <w:ind w:left="4700"/>
        <w:rPr>
          <w:sz w:val="22"/>
        </w:rPr>
      </w:pPr>
      <w:r>
        <w:rPr>
          <w:sz w:val="22"/>
        </w:rPr>
        <w:t>lxxxvii</w:t>
      </w:r>
    </w:p>
    <w:p>
      <w:pPr>
        <w:spacing w:line="0" w:lineRule="atLeast"/>
        <w:ind w:left="470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79" w:name="page88"/>
      <w:bookmarkEnd w:id="79"/>
    </w:p>
    <w:p>
      <w:pPr>
        <w:spacing w:line="477" w:lineRule="auto"/>
        <w:ind w:left="580"/>
        <w:jc w:val="both"/>
        <w:rPr>
          <w:rFonts w:ascii="Times New Roman" w:hAnsi="Times New Roman" w:eastAsia="Times New Roman"/>
          <w:sz w:val="24"/>
        </w:rPr>
      </w:pPr>
      <w:r>
        <w:rPr>
          <w:rFonts w:ascii="Times New Roman" w:hAnsi="Times New Roman" w:eastAsia="Times New Roman"/>
          <w:sz w:val="24"/>
        </w:rPr>
        <w:t>Sugar was detected in all the energy drink samples and their concentration ranged from 16.98 – 1686 mg/L. Evidences abound on the adverse health effects of sugar. However, there are no set limits for the acceptable daily intake (ADI) of sugar. There was significant difference between the sugar concentrations of the liquid and powdered forms of energy drinks.</w:t>
      </w: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Iron, calcium, zinc and potassium were found in all the energy drinks. These are essential elements needed for the general well being of the body. Although their values were low compared to the acceptable total intakes, their presence contributes to the daily iron, calcium, zinc and potassium sources needed in the body.</w:t>
      </w:r>
    </w:p>
    <w:p>
      <w:pPr>
        <w:spacing w:line="200" w:lineRule="exact"/>
        <w:rPr>
          <w:rFonts w:ascii="Times New Roman" w:hAnsi="Times New Roman" w:eastAsia="Times New Roman"/>
        </w:rPr>
      </w:pPr>
    </w:p>
    <w:p>
      <w:pPr>
        <w:spacing w:line="372"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Cadmium was detected only in sample EJ, having a concentration of 0.102 ± 0.0003 mg/L which exceeded the maximum contaminant level (MCL) of 0.005 mg/L set by the FDA. Cadmium is a non essential element and produces only significant adverse effects.</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Lead concentration of energy drinks ranged from 0.028 ± 0.0006 - 0.209 ± 0.0009. Lead was not detected in samples PH, JW and LB. Lead detected in samples was above the MCL of 0.01 mg/L. Lead is also non essential element and produces only significant adverse effects.</w:t>
      </w:r>
    </w:p>
    <w:p>
      <w:pPr>
        <w:spacing w:line="200" w:lineRule="exact"/>
        <w:rPr>
          <w:rFonts w:ascii="Times New Roman" w:hAnsi="Times New Roman" w:eastAsia="Times New Roman"/>
        </w:rPr>
      </w:pPr>
    </w:p>
    <w:p>
      <w:pPr>
        <w:spacing w:line="372" w:lineRule="exact"/>
        <w:rPr>
          <w:rFonts w:ascii="Times New Roman" w:hAnsi="Times New Roman" w:eastAsia="Times New Roman"/>
        </w:rPr>
      </w:pPr>
    </w:p>
    <w:p>
      <w:pPr>
        <w:spacing w:line="469" w:lineRule="auto"/>
        <w:ind w:left="580"/>
        <w:jc w:val="both"/>
        <w:rPr>
          <w:rFonts w:ascii="Times New Roman" w:hAnsi="Times New Roman" w:eastAsia="Times New Roman"/>
          <w:sz w:val="24"/>
        </w:rPr>
      </w:pPr>
      <w:r>
        <w:rPr>
          <w:rFonts w:ascii="Times New Roman" w:hAnsi="Times New Roman" w:eastAsia="Times New Roman"/>
          <w:sz w:val="24"/>
        </w:rPr>
        <w:t>Manganese was detected in four (4) of the fourteen (14) samples of the energy drinks. The concentration ranged from 0.003 ± 0.0001 - 0.024 ± 0.0002 which is below the MCL of</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14" w:lineRule="exact"/>
        <w:rPr>
          <w:rFonts w:ascii="Times New Roman" w:hAnsi="Times New Roman" w:eastAsia="Times New Roman"/>
        </w:rPr>
      </w:pPr>
    </w:p>
    <w:p>
      <w:pPr>
        <w:spacing w:line="0" w:lineRule="atLeast"/>
        <w:ind w:left="4680"/>
        <w:rPr>
          <w:sz w:val="22"/>
        </w:rPr>
      </w:pPr>
      <w:r>
        <w:rPr>
          <w:sz w:val="22"/>
        </w:rPr>
        <w:t>lxxxviii</w:t>
      </w:r>
    </w:p>
    <w:p>
      <w:pPr>
        <w:spacing w:line="0" w:lineRule="atLeast"/>
        <w:ind w:left="4680"/>
        <w:rPr>
          <w:sz w:val="22"/>
        </w:rPr>
        <w:sectPr>
          <w:pgSz w:w="12240" w:h="15840"/>
          <w:pgMar w:top="1440" w:right="1440" w:bottom="428" w:left="1440" w:header="0" w:footer="0" w:gutter="0"/>
          <w:cols w:equalWidth="0" w:num="1">
            <w:col w:w="9360"/>
          </w:cols>
          <w:docGrid w:linePitch="360" w:charSpace="0"/>
        </w:sectPr>
      </w:pPr>
    </w:p>
    <w:p>
      <w:pPr>
        <w:spacing w:line="0" w:lineRule="atLeast"/>
        <w:ind w:left="580"/>
        <w:rPr>
          <w:rFonts w:ascii="Times New Roman" w:hAnsi="Times New Roman" w:eastAsia="Times New Roman"/>
          <w:sz w:val="24"/>
        </w:rPr>
      </w:pPr>
      <w:bookmarkStart w:id="80" w:name="page89"/>
      <w:bookmarkEnd w:id="80"/>
      <w:r>
        <w:rPr>
          <w:rFonts w:ascii="Times New Roman" w:hAnsi="Times New Roman" w:eastAsia="Times New Roman"/>
          <w:sz w:val="24"/>
        </w:rPr>
        <w:t>manganese. The copper concentration of energy drinks ranged from 0.002 ± 0.0002 - 0.102</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0.0003. These were below the MCL of copper (1.0mg/L).</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41"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The physicochemical properties such as pH, total dissolved solids, turbidity and conductivity were also investigated. These were in conformity with the standards set by regulatory bodies such as FDA and WHO.</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7" w:lineRule="auto"/>
        <w:ind w:left="580"/>
        <w:jc w:val="both"/>
        <w:rPr>
          <w:rFonts w:ascii="Times New Roman" w:hAnsi="Times New Roman" w:eastAsia="Times New Roman"/>
          <w:sz w:val="24"/>
        </w:rPr>
      </w:pPr>
      <w:r>
        <w:rPr>
          <w:rFonts w:ascii="Times New Roman" w:hAnsi="Times New Roman" w:eastAsia="Times New Roman"/>
          <w:sz w:val="24"/>
        </w:rPr>
        <w:t>The caffeine aspartame and sugar determined in the sampled energy drinks tested positive for majority of the energy drinks. Though they were mostly below the set standards, It is however important that the pattern of consumption of these drinks (i.e. not consuming more than two can on a daily basis) must be monitored to prevent taking excess doses of these substances to prevent the reported adverse effects.</w:t>
      </w:r>
    </w:p>
    <w:p>
      <w:pPr>
        <w:spacing w:line="200" w:lineRule="exact"/>
        <w:rPr>
          <w:rFonts w:ascii="Times New Roman" w:hAnsi="Times New Roman" w:eastAsia="Times New Roman"/>
        </w:rPr>
      </w:pPr>
    </w:p>
    <w:p>
      <w:pPr>
        <w:spacing w:line="363" w:lineRule="exact"/>
        <w:rPr>
          <w:rFonts w:ascii="Times New Roman" w:hAnsi="Times New Roman" w:eastAsia="Times New Roman"/>
        </w:rPr>
      </w:pPr>
    </w:p>
    <w:p>
      <w:pPr>
        <w:tabs>
          <w:tab w:val="left" w:pos="1280"/>
        </w:tabs>
        <w:spacing w:line="0" w:lineRule="atLeast"/>
        <w:ind w:left="580"/>
        <w:rPr>
          <w:rFonts w:ascii="Times New Roman" w:hAnsi="Times New Roman" w:eastAsia="Times New Roman"/>
          <w:b/>
          <w:sz w:val="23"/>
        </w:rPr>
      </w:pPr>
      <w:r>
        <w:rPr>
          <w:rFonts w:ascii="Times New Roman" w:hAnsi="Times New Roman" w:eastAsia="Times New Roman"/>
          <w:b/>
          <w:sz w:val="24"/>
        </w:rPr>
        <w:t>6.1</w:t>
      </w:r>
      <w:r>
        <w:rPr>
          <w:rFonts w:ascii="Times New Roman" w:hAnsi="Times New Roman" w:eastAsia="Times New Roman"/>
        </w:rPr>
        <w:tab/>
      </w:r>
      <w:r>
        <w:rPr>
          <w:rFonts w:ascii="Times New Roman" w:hAnsi="Times New Roman" w:eastAsia="Times New Roman"/>
          <w:b/>
          <w:sz w:val="23"/>
        </w:rPr>
        <w:t>Recommendations</w:t>
      </w:r>
    </w:p>
    <w:p>
      <w:pPr>
        <w:spacing w:line="284" w:lineRule="exact"/>
        <w:rPr>
          <w:rFonts w:ascii="Times New Roman" w:hAnsi="Times New Roman" w:eastAsia="Times New Roman"/>
        </w:rPr>
      </w:pPr>
    </w:p>
    <w:p>
      <w:pPr>
        <w:spacing w:line="478" w:lineRule="auto"/>
        <w:ind w:left="580"/>
        <w:jc w:val="both"/>
        <w:rPr>
          <w:rFonts w:ascii="Times New Roman" w:hAnsi="Times New Roman" w:eastAsia="Times New Roman"/>
          <w:sz w:val="24"/>
        </w:rPr>
      </w:pPr>
      <w:r>
        <w:rPr>
          <w:rFonts w:ascii="Times New Roman" w:hAnsi="Times New Roman" w:eastAsia="Times New Roman"/>
          <w:sz w:val="24"/>
        </w:rPr>
        <w:t>Energy drinks have been associated with adverse health effects and the claims made by manufacturers about the benefits of energy drinks do not highlight risks associated with excessive consumption of a combination of the ingredients contained in energy drinks. Long term effects of energy drinks consumption of children and young people have not been adequately studied. Therefore, it is recommended that further research be carried out on the adverse effects of energy drinks on children. Research is also needed to be done on the effects of the combination of ingredients on health and excessive consumption of those ingredients to children and adolescents. People need to be educated and given proper awareness on the health risks associated with energy drinks.</w:t>
      </w:r>
    </w:p>
    <w:p>
      <w:pPr>
        <w:spacing w:line="200" w:lineRule="exact"/>
        <w:rPr>
          <w:rFonts w:ascii="Times New Roman" w:hAnsi="Times New Roman" w:eastAsia="Times New Roman"/>
        </w:rPr>
      </w:pPr>
    </w:p>
    <w:p>
      <w:pPr>
        <w:spacing w:line="259" w:lineRule="exact"/>
        <w:rPr>
          <w:rFonts w:ascii="Times New Roman" w:hAnsi="Times New Roman" w:eastAsia="Times New Roman"/>
        </w:rPr>
      </w:pPr>
    </w:p>
    <w:p>
      <w:pPr>
        <w:spacing w:line="0" w:lineRule="atLeast"/>
        <w:ind w:left="4740"/>
        <w:rPr>
          <w:sz w:val="22"/>
        </w:rPr>
      </w:pPr>
      <w:r>
        <w:rPr>
          <w:sz w:val="22"/>
        </w:rPr>
        <w:t>lxxxix</w:t>
      </w:r>
    </w:p>
    <w:p>
      <w:pPr>
        <w:spacing w:line="0" w:lineRule="atLeast"/>
        <w:ind w:left="4740"/>
        <w:rPr>
          <w:sz w:val="22"/>
        </w:rPr>
        <w:sectPr>
          <w:pgSz w:w="12240" w:h="15840"/>
          <w:pgMar w:top="143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1" w:name="page90"/>
      <w:bookmarkEnd w:id="81"/>
    </w:p>
    <w:p>
      <w:pPr>
        <w:spacing w:line="474" w:lineRule="auto"/>
        <w:ind w:left="580"/>
        <w:jc w:val="both"/>
        <w:rPr>
          <w:rFonts w:ascii="Times New Roman" w:hAnsi="Times New Roman" w:eastAsia="Times New Roman"/>
          <w:sz w:val="24"/>
        </w:rPr>
      </w:pPr>
      <w:r>
        <w:rPr>
          <w:rFonts w:ascii="Times New Roman" w:hAnsi="Times New Roman" w:eastAsia="Times New Roman"/>
          <w:sz w:val="24"/>
        </w:rPr>
        <w:t>It is recommended that it should be made compulsory for manufacturers to fully disclose the exact concentrations of ingredients including stimulants such as caffeine and guarana used on the labels of their products so that people are aware of what they consume.</w:t>
      </w:r>
    </w:p>
    <w:p>
      <w:pPr>
        <w:spacing w:line="200" w:lineRule="exact"/>
        <w:rPr>
          <w:rFonts w:ascii="Times New Roman" w:hAnsi="Times New Roman" w:eastAsia="Times New Roman"/>
        </w:rPr>
      </w:pPr>
    </w:p>
    <w:p>
      <w:pPr>
        <w:spacing w:line="373" w:lineRule="exact"/>
        <w:rPr>
          <w:rFonts w:ascii="Times New Roman" w:hAnsi="Times New Roman" w:eastAsia="Times New Roman"/>
        </w:rPr>
      </w:pPr>
    </w:p>
    <w:p>
      <w:pPr>
        <w:spacing w:line="474" w:lineRule="auto"/>
        <w:ind w:left="580"/>
        <w:jc w:val="both"/>
        <w:rPr>
          <w:rFonts w:ascii="Times New Roman" w:hAnsi="Times New Roman" w:eastAsia="Times New Roman"/>
          <w:sz w:val="24"/>
        </w:rPr>
      </w:pPr>
      <w:r>
        <w:rPr>
          <w:rFonts w:ascii="Times New Roman" w:hAnsi="Times New Roman" w:eastAsia="Times New Roman"/>
          <w:sz w:val="24"/>
        </w:rPr>
        <w:t>Manufacturers should also provide prominent health and safety warning labels on each container, alerting consumers to the risks associated with consuming caffeine and other stimulants contained in energy drinks.</w:t>
      </w:r>
    </w:p>
    <w:p>
      <w:pPr>
        <w:spacing w:line="200" w:lineRule="exact"/>
        <w:rPr>
          <w:rFonts w:ascii="Times New Roman" w:hAnsi="Times New Roman" w:eastAsia="Times New Roman"/>
        </w:rPr>
      </w:pPr>
    </w:p>
    <w:p>
      <w:pPr>
        <w:spacing w:line="374" w:lineRule="exact"/>
        <w:rPr>
          <w:rFonts w:ascii="Times New Roman" w:hAnsi="Times New Roman" w:eastAsia="Times New Roman"/>
        </w:rPr>
      </w:pPr>
    </w:p>
    <w:p>
      <w:pPr>
        <w:spacing w:line="476" w:lineRule="auto"/>
        <w:ind w:left="580"/>
        <w:jc w:val="both"/>
        <w:rPr>
          <w:rFonts w:ascii="Times New Roman" w:hAnsi="Times New Roman" w:eastAsia="Times New Roman"/>
          <w:sz w:val="24"/>
        </w:rPr>
      </w:pPr>
      <w:r>
        <w:rPr>
          <w:rFonts w:ascii="Times New Roman" w:hAnsi="Times New Roman" w:eastAsia="Times New Roman"/>
          <w:sz w:val="24"/>
        </w:rPr>
        <w:t>Agencies such as NAFDAC should conduct further research on the health and safety of energy drinks, focusing particularly on the impact on underage drinking. They should also develop a national media and public awareness campaign about the risks associated with energy drinks.</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9" w:lineRule="exact"/>
        <w:rPr>
          <w:rFonts w:ascii="Times New Roman" w:hAnsi="Times New Roman" w:eastAsia="Times New Roman"/>
        </w:rPr>
      </w:pPr>
    </w:p>
    <w:p>
      <w:pPr>
        <w:spacing w:line="0" w:lineRule="atLeast"/>
        <w:ind w:left="4880"/>
        <w:rPr>
          <w:sz w:val="22"/>
        </w:rPr>
      </w:pPr>
      <w:r>
        <w:rPr>
          <w:sz w:val="22"/>
        </w:rPr>
        <w:t>xc</w:t>
      </w:r>
    </w:p>
    <w:p>
      <w:pPr>
        <w:spacing w:line="0" w:lineRule="atLeast"/>
        <w:ind w:left="4880"/>
        <w:rPr>
          <w:sz w:val="22"/>
        </w:rPr>
        <w:sectPr>
          <w:pgSz w:w="12240" w:h="15840"/>
          <w:pgMar w:top="1440" w:right="1440" w:bottom="428" w:left="1440" w:header="0" w:footer="0" w:gutter="0"/>
          <w:cols w:equalWidth="0" w:num="1">
            <w:col w:w="9360"/>
          </w:cols>
          <w:docGrid w:linePitch="360" w:charSpace="0"/>
        </w:sectPr>
      </w:pPr>
    </w:p>
    <w:p>
      <w:pPr>
        <w:spacing w:line="0" w:lineRule="atLeast"/>
        <w:ind w:left="580"/>
        <w:rPr>
          <w:rFonts w:ascii="Times New Roman" w:hAnsi="Times New Roman" w:eastAsia="Times New Roman"/>
          <w:b/>
          <w:sz w:val="24"/>
        </w:rPr>
      </w:pPr>
      <w:bookmarkStart w:id="82" w:name="page91"/>
      <w:bookmarkEnd w:id="82"/>
      <w:r>
        <w:rPr>
          <w:rFonts w:ascii="Times New Roman" w:hAnsi="Times New Roman" w:eastAsia="Times New Roman"/>
          <w:b/>
          <w:sz w:val="24"/>
        </w:rPr>
        <w:t>REFERENCES</w:t>
      </w:r>
    </w:p>
    <w:p>
      <w:pPr>
        <w:spacing w:line="283"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Acheson, K. J., Zahorska-Markiewics, B., Pittet, P., Anantharraman, K., Jequier, E. (1980). Caffeine and coffee: their influence on metabolic rate and substrate oxidation in normal weight and obese individuals. </w:t>
      </w:r>
      <w:r>
        <w:rPr>
          <w:rFonts w:ascii="Times New Roman" w:hAnsi="Times New Roman" w:eastAsia="Times New Roman"/>
          <w:i/>
          <w:sz w:val="24"/>
        </w:rPr>
        <w:t>Am J Clin Nutr</w:t>
      </w:r>
      <w:r>
        <w:rPr>
          <w:rFonts w:ascii="Times New Roman" w:hAnsi="Times New Roman" w:eastAsia="Times New Roman"/>
          <w:sz w:val="24"/>
        </w:rPr>
        <w:t xml:space="preserve"> 33: 989–97.</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Adeleke, R. O., Abiodun, O. A. ( 2010). Physico-chemical Properties of Commercial Local Beverages in Osun State, Nigeria. </w:t>
      </w:r>
      <w:r>
        <w:rPr>
          <w:rFonts w:ascii="Times New Roman" w:hAnsi="Times New Roman" w:eastAsia="Times New Roman"/>
          <w:i/>
          <w:sz w:val="24"/>
        </w:rPr>
        <w:t>Pakistan Journal of Nutrition</w:t>
      </w:r>
      <w:r>
        <w:rPr>
          <w:rFonts w:ascii="Times New Roman" w:hAnsi="Times New Roman" w:eastAsia="Times New Roman"/>
          <w:sz w:val="24"/>
        </w:rPr>
        <w:t xml:space="preserve"> 9 (9): 853-855.</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Alghamdi, A. H., Alghamdi, A. F. and Alwarthan, A. A. (2005). Determination of Content Levels of Some Food Additives in Beverages Consumed in Riyadh City. </w:t>
      </w:r>
      <w:r>
        <w:rPr>
          <w:rFonts w:ascii="Times New Roman" w:hAnsi="Times New Roman" w:eastAsia="Times New Roman"/>
          <w:i/>
          <w:sz w:val="24"/>
        </w:rPr>
        <w:t>J. King</w:t>
      </w:r>
      <w:r>
        <w:rPr>
          <w:rFonts w:ascii="Times New Roman" w:hAnsi="Times New Roman" w:eastAsia="Times New Roman"/>
          <w:sz w:val="24"/>
        </w:rPr>
        <w:t xml:space="preserve"> </w:t>
      </w:r>
      <w:r>
        <w:rPr>
          <w:rFonts w:ascii="Times New Roman" w:hAnsi="Times New Roman" w:eastAsia="Times New Roman"/>
          <w:i/>
          <w:sz w:val="24"/>
        </w:rPr>
        <w:t>Saud Univ</w:t>
      </w:r>
      <w:r>
        <w:rPr>
          <w:rFonts w:ascii="Times New Roman" w:hAnsi="Times New Roman" w:eastAsia="Times New Roman"/>
          <w:sz w:val="24"/>
        </w:rPr>
        <w:t>., 18(2): 99-109.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Al-Mayaly K. I. (2013). Determination of heavy Metals in some Artificial Fruit juices in Iraqi Local Markets. </w:t>
      </w:r>
      <w:r>
        <w:rPr>
          <w:rFonts w:ascii="Times New Roman" w:hAnsi="Times New Roman" w:eastAsia="Times New Roman"/>
          <w:i/>
          <w:sz w:val="24"/>
        </w:rPr>
        <w:t>Intern. Journal. Of Research and Dev. In Pharm. And Life</w:t>
      </w:r>
      <w:r>
        <w:rPr>
          <w:rFonts w:ascii="Times New Roman" w:hAnsi="Times New Roman" w:eastAsia="Times New Roman"/>
          <w:sz w:val="24"/>
        </w:rPr>
        <w:t xml:space="preserve"> </w:t>
      </w:r>
      <w:r>
        <w:rPr>
          <w:rFonts w:ascii="Times New Roman" w:hAnsi="Times New Roman" w:eastAsia="Times New Roman"/>
          <w:i/>
          <w:sz w:val="24"/>
        </w:rPr>
        <w:t>Sci</w:t>
      </w:r>
      <w:r>
        <w:rPr>
          <w:rFonts w:ascii="Times New Roman" w:hAnsi="Times New Roman" w:eastAsia="Times New Roman"/>
          <w:sz w:val="24"/>
        </w:rPr>
        <w:t>. 2(4): 507-510.</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Appleton, N. "146 Reasons Why Sugar Is Ruining Your Health." Antibiotics to Treat.</w:t>
      </w:r>
    </w:p>
    <w:p>
      <w:pPr>
        <w:spacing w:line="2"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sz w:val="24"/>
        </w:rPr>
        <w:t>November 15, 2011.</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i/>
          <w:sz w:val="24"/>
        </w:rPr>
      </w:pPr>
      <w:r>
        <w:rPr>
          <w:rFonts w:ascii="Times New Roman" w:hAnsi="Times New Roman" w:eastAsia="Times New Roman"/>
          <w:sz w:val="24"/>
        </w:rPr>
        <w:t xml:space="preserve">Aschner, M., (2000). Manganese: brain transport and emerging research needs. </w:t>
      </w:r>
      <w:r>
        <w:rPr>
          <w:rFonts w:ascii="Times New Roman" w:hAnsi="Times New Roman" w:eastAsia="Times New Roman"/>
          <w:i/>
          <w:sz w:val="24"/>
        </w:rPr>
        <w:t>Environ.</w:t>
      </w:r>
    </w:p>
    <w:p>
      <w:pPr>
        <w:spacing w:line="237" w:lineRule="auto"/>
        <w:ind w:left="1380"/>
        <w:rPr>
          <w:rFonts w:ascii="Times New Roman" w:hAnsi="Times New Roman" w:eastAsia="Times New Roman"/>
          <w:sz w:val="24"/>
        </w:rPr>
      </w:pPr>
      <w:r>
        <w:rPr>
          <w:rFonts w:ascii="Times New Roman" w:hAnsi="Times New Roman" w:eastAsia="Times New Roman"/>
          <w:i/>
          <w:sz w:val="24"/>
        </w:rPr>
        <w:t xml:space="preserve">Health Perspect. </w:t>
      </w:r>
      <w:r>
        <w:rPr>
          <w:rFonts w:ascii="Times New Roman" w:hAnsi="Times New Roman" w:eastAsia="Times New Roman"/>
          <w:sz w:val="24"/>
        </w:rPr>
        <w:t>108 (Suppl. 3), 429–432.</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Ashurst, P.R., 2005. Chemistry and Technology of Soft drinks and Fruit Juices. 2nd Edn., Vol. III (4) Blackwell Scientific Publication, London, pp: 433.</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Astrup, A., Dyerberg, J., Selleck, M. and Stender, S. (2008). Nutrition transition and its relationship to the development of obesity and related chronic diseases. </w:t>
      </w:r>
      <w:r>
        <w:rPr>
          <w:rFonts w:ascii="Times New Roman" w:hAnsi="Times New Roman" w:eastAsia="Times New Roman"/>
          <w:i/>
          <w:sz w:val="24"/>
        </w:rPr>
        <w:t>Obesity</w:t>
      </w:r>
      <w:r>
        <w:rPr>
          <w:rFonts w:ascii="Times New Roman" w:hAnsi="Times New Roman" w:eastAsia="Times New Roman"/>
          <w:sz w:val="24"/>
        </w:rPr>
        <w:t xml:space="preserve"> </w:t>
      </w:r>
      <w:r>
        <w:rPr>
          <w:rFonts w:ascii="Times New Roman" w:hAnsi="Times New Roman" w:eastAsia="Times New Roman"/>
          <w:i/>
          <w:sz w:val="24"/>
        </w:rPr>
        <w:t xml:space="preserve">review. </w:t>
      </w:r>
      <w:r>
        <w:rPr>
          <w:rFonts w:ascii="Times New Roman" w:hAnsi="Times New Roman" w:eastAsia="Times New Roman"/>
          <w:sz w:val="24"/>
        </w:rPr>
        <w:t>9: 48-52.</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Astrup, A., Toubro, S., Cannon, S., Hein, P., Breum, L., Madsen, J. (1990). Caffeine: a doubleblind, placebo-controlled study of its thermogenic, metabolic, and cardiovascular effects in healthy volunteers. </w:t>
      </w:r>
      <w:r>
        <w:rPr>
          <w:rFonts w:ascii="Times New Roman" w:hAnsi="Times New Roman" w:eastAsia="Times New Roman"/>
          <w:i/>
          <w:sz w:val="24"/>
        </w:rPr>
        <w:t>Am J Clin Nutr</w:t>
      </w:r>
      <w:r>
        <w:rPr>
          <w:rFonts w:ascii="Times New Roman" w:hAnsi="Times New Roman" w:eastAsia="Times New Roman"/>
          <w:sz w:val="24"/>
        </w:rPr>
        <w:t xml:space="preserve"> 51: 759–67.</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Attila, S., and Çakir, B. (2011). Energy-drink consumption in college students and associated factors. </w:t>
      </w:r>
      <w:r>
        <w:rPr>
          <w:rFonts w:ascii="Times New Roman" w:hAnsi="Times New Roman" w:eastAsia="Times New Roman"/>
          <w:i/>
          <w:sz w:val="24"/>
        </w:rPr>
        <w:t>Nutrition,</w:t>
      </w:r>
      <w:r>
        <w:rPr>
          <w:rFonts w:ascii="Times New Roman" w:hAnsi="Times New Roman" w:eastAsia="Times New Roman"/>
          <w:sz w:val="24"/>
        </w:rPr>
        <w:t xml:space="preserve"> 27(3): 316-322.</w:t>
      </w:r>
    </w:p>
    <w:p>
      <w:pPr>
        <w:spacing w:line="290" w:lineRule="exact"/>
        <w:rPr>
          <w:rFonts w:ascii="Times New Roman" w:hAnsi="Times New Roman" w:eastAsia="Times New Roman"/>
        </w:rPr>
      </w:pPr>
    </w:p>
    <w:p>
      <w:pPr>
        <w:spacing w:line="236"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Attieh, Z. K., Mukhopadhyay, C. K., Seshadri, V., Tripoulas, N. A., Paul, L. (1999). FoxCeruloplasmin Ferroxidase Activity Stimulates Cellular Iron Uptake by a Trivalent Cation-specific Transport Mechanism, </w:t>
      </w:r>
      <w:r>
        <w:rPr>
          <w:rFonts w:ascii="Times New Roman" w:hAnsi="Times New Roman" w:eastAsia="Times New Roman"/>
          <w:i/>
          <w:sz w:val="24"/>
        </w:rPr>
        <w:t>J. Biol Chem.</w:t>
      </w:r>
      <w:r>
        <w:rPr>
          <w:rFonts w:ascii="Times New Roman" w:hAnsi="Times New Roman" w:eastAsia="Times New Roman"/>
          <w:sz w:val="24"/>
        </w:rPr>
        <w:t>, 274: 1119.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Ayala, J., Simons, K., and Kerrigan, S. (2009). Quantitative determination of Caffeine and Alcohol in energy drinks and the potential to produce positive transdermal alcohol concentrations in human subjects. </w:t>
      </w:r>
      <w:r>
        <w:rPr>
          <w:rFonts w:ascii="Times New Roman" w:hAnsi="Times New Roman" w:eastAsia="Times New Roman"/>
          <w:i/>
          <w:sz w:val="24"/>
        </w:rPr>
        <w:t>Journal of analytical Toxicology</w:t>
      </w:r>
      <w:r>
        <w:rPr>
          <w:rFonts w:ascii="Times New Roman" w:hAnsi="Times New Roman" w:eastAsia="Times New Roman"/>
          <w:sz w:val="24"/>
        </w:rPr>
        <w:t>. Vol. 33</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5" w:lineRule="exact"/>
        <w:rPr>
          <w:rFonts w:ascii="Times New Roman" w:hAnsi="Times New Roman" w:eastAsia="Times New Roman"/>
        </w:rPr>
      </w:pPr>
    </w:p>
    <w:p>
      <w:pPr>
        <w:spacing w:line="0" w:lineRule="atLeast"/>
        <w:ind w:left="4860"/>
        <w:rPr>
          <w:sz w:val="22"/>
        </w:rPr>
      </w:pPr>
      <w:r>
        <w:rPr>
          <w:sz w:val="22"/>
        </w:rPr>
        <w:t>xci</w:t>
      </w:r>
    </w:p>
    <w:p>
      <w:pPr>
        <w:spacing w:line="0" w:lineRule="atLeast"/>
        <w:ind w:left="4860"/>
        <w:rPr>
          <w:sz w:val="22"/>
        </w:rPr>
        <w:sectPr>
          <w:pgSz w:w="12240" w:h="15840"/>
          <w:pgMar w:top="1435"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3" w:name="page92"/>
      <w:bookmarkEnd w:id="83"/>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Babu, M., Kavita, M. D., Church, J., Richard, M. D., Lewander, William, M. D. (2008). Energy Drinks: The New Eye-Opener for Adolescents. </w:t>
      </w:r>
      <w:r>
        <w:rPr>
          <w:rFonts w:ascii="Times New Roman" w:hAnsi="Times New Roman" w:eastAsia="Times New Roman"/>
          <w:i/>
          <w:sz w:val="24"/>
        </w:rPr>
        <w:t>Clinical Paediatric</w:t>
      </w:r>
      <w:r>
        <w:rPr>
          <w:rFonts w:ascii="Times New Roman" w:hAnsi="Times New Roman" w:eastAsia="Times New Roman"/>
          <w:sz w:val="24"/>
        </w:rPr>
        <w:t xml:space="preserve"> </w:t>
      </w:r>
      <w:r>
        <w:rPr>
          <w:rFonts w:ascii="Times New Roman" w:hAnsi="Times New Roman" w:eastAsia="Times New Roman"/>
          <w:i/>
          <w:sz w:val="24"/>
        </w:rPr>
        <w:t xml:space="preserve">Emergency Medicine, </w:t>
      </w:r>
      <w:r>
        <w:rPr>
          <w:rFonts w:ascii="Times New Roman" w:hAnsi="Times New Roman" w:eastAsia="Times New Roman"/>
          <w:sz w:val="24"/>
        </w:rPr>
        <w:t>9(1): 35-40.</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Barbaste, M., Medina, B., Perez-Trujillo, J. P. (2003). Analysis of arsenic lead and cadmium in wines from the Canary Islands, Spain, by ICP/MS. </w:t>
      </w:r>
      <w:r>
        <w:rPr>
          <w:rFonts w:ascii="Times New Roman" w:hAnsi="Times New Roman" w:eastAsia="Times New Roman"/>
          <w:i/>
          <w:sz w:val="24"/>
        </w:rPr>
        <w:t>Food Additives</w:t>
      </w:r>
      <w:r>
        <w:rPr>
          <w:rFonts w:ascii="Times New Roman" w:hAnsi="Times New Roman" w:eastAsia="Times New Roman"/>
          <w:sz w:val="24"/>
        </w:rPr>
        <w:t xml:space="preserve"> </w:t>
      </w:r>
      <w:r>
        <w:rPr>
          <w:rFonts w:ascii="Times New Roman" w:hAnsi="Times New Roman" w:eastAsia="Times New Roman"/>
          <w:i/>
          <w:sz w:val="24"/>
        </w:rPr>
        <w:t xml:space="preserve">and Contaminant, </w:t>
      </w:r>
      <w:r>
        <w:rPr>
          <w:rFonts w:ascii="Times New Roman" w:hAnsi="Times New Roman" w:eastAsia="Times New Roman"/>
          <w:sz w:val="24"/>
        </w:rPr>
        <w:t>20: 141–148.</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Barbee, Jr. J. Y., Prince, T. S. (1999). Acute respiratory distress syndrome in a welder exposed to metal fumes. </w:t>
      </w:r>
      <w:r>
        <w:rPr>
          <w:rFonts w:ascii="Times New Roman" w:hAnsi="Times New Roman" w:eastAsia="Times New Roman"/>
          <w:i/>
          <w:sz w:val="24"/>
        </w:rPr>
        <w:t>South Med J</w:t>
      </w:r>
      <w:r>
        <w:rPr>
          <w:rFonts w:ascii="Times New Roman" w:hAnsi="Times New Roman" w:eastAsia="Times New Roman"/>
          <w:sz w:val="24"/>
        </w:rPr>
        <w:t>; 92: 510–2</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Bassiouny, M. A. and Yang, J. (2005). Influence of drinking patterns of Carbonated beverages on dental erosion. </w:t>
      </w:r>
      <w:r>
        <w:rPr>
          <w:rFonts w:ascii="Times New Roman" w:hAnsi="Times New Roman" w:eastAsia="Times New Roman"/>
          <w:i/>
          <w:sz w:val="24"/>
        </w:rPr>
        <w:t>General Dentistry,</w:t>
      </w:r>
      <w:r>
        <w:rPr>
          <w:rFonts w:ascii="Times New Roman" w:hAnsi="Times New Roman" w:eastAsia="Times New Roman"/>
          <w:sz w:val="24"/>
        </w:rPr>
        <w:t xml:space="preserve"> 53: 207-210.</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Bauer, J. (2011). "Sugar: How Much Should We Eat?" </w:t>
      </w:r>
      <w:r>
        <w:rPr>
          <w:rFonts w:ascii="Times New Roman" w:hAnsi="Times New Roman" w:eastAsia="Times New Roman"/>
          <w:i/>
          <w:sz w:val="24"/>
        </w:rPr>
        <w:t>Yahoo! Health</w:t>
      </w:r>
      <w:r>
        <w:rPr>
          <w:rFonts w:ascii="Times New Roman" w:hAnsi="Times New Roman" w:eastAsia="Times New Roman"/>
          <w:sz w:val="24"/>
        </w:rPr>
        <w:t>. Web. 08 Dec.</w:t>
      </w:r>
    </w:p>
    <w:p>
      <w:pPr>
        <w:spacing w:line="28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Bengol, M., Yentur, G., Er B., Oktem, A.,B. (2010). Determination of some heavy metal levels in soft drinks from Turkey using ICP/OES method. </w:t>
      </w:r>
      <w:r>
        <w:rPr>
          <w:rFonts w:ascii="Times New Roman" w:hAnsi="Times New Roman" w:eastAsia="Times New Roman"/>
          <w:i/>
          <w:sz w:val="24"/>
        </w:rPr>
        <w:t>Czech J. Food Sci.,</w:t>
      </w:r>
      <w:r>
        <w:rPr>
          <w:rFonts w:ascii="Times New Roman" w:hAnsi="Times New Roman" w:eastAsia="Times New Roman"/>
          <w:sz w:val="24"/>
        </w:rPr>
        <w:t xml:space="preserve"> 28: 213–216.</w:t>
      </w:r>
    </w:p>
    <w:p>
      <w:pPr>
        <w:spacing w:line="290" w:lineRule="exact"/>
        <w:rPr>
          <w:rFonts w:ascii="Times New Roman" w:hAnsi="Times New Roman" w:eastAsia="Times New Roman"/>
        </w:rPr>
      </w:pPr>
    </w:p>
    <w:p>
      <w:pPr>
        <w:spacing w:line="0" w:lineRule="atLeast"/>
        <w:ind w:left="1380" w:hanging="810"/>
        <w:jc w:val="both"/>
        <w:rPr>
          <w:rFonts w:ascii="Times New Roman" w:hAnsi="Times New Roman" w:eastAsia="Times New Roman"/>
          <w:sz w:val="24"/>
        </w:rPr>
      </w:pPr>
      <w:r>
        <w:rPr>
          <w:rFonts w:ascii="Times New Roman" w:hAnsi="Times New Roman" w:eastAsia="Times New Roman"/>
          <w:sz w:val="24"/>
        </w:rPr>
        <w:t>Berkey, C. S., Rockett, H. R., Field, A. E.,</w:t>
      </w:r>
      <w:r>
        <w:rPr>
          <w:rFonts w:ascii="Times New Roman" w:hAnsi="Times New Roman" w:eastAsia="Times New Roman"/>
        </w:rPr>
        <w:t xml:space="preserve"> </w:t>
      </w:r>
      <w:r>
        <w:rPr>
          <w:rFonts w:ascii="Times New Roman" w:hAnsi="Times New Roman" w:eastAsia="Times New Roman"/>
          <w:sz w:val="24"/>
        </w:rPr>
        <w:t xml:space="preserve">Gillman, M. W. and Colditz, G. A. (2004). Sugar added beverages and adolescent weight change. </w:t>
      </w:r>
      <w:r>
        <w:rPr>
          <w:rFonts w:ascii="Times New Roman" w:hAnsi="Times New Roman" w:eastAsia="Times New Roman"/>
          <w:i/>
          <w:sz w:val="24"/>
        </w:rPr>
        <w:t>Obesity research.</w:t>
      </w:r>
      <w:r>
        <w:rPr>
          <w:rFonts w:ascii="Times New Roman" w:hAnsi="Times New Roman" w:eastAsia="Times New Roman"/>
          <w:sz w:val="24"/>
        </w:rPr>
        <w:t xml:space="preserve"> 12(5): 778-88.</w:t>
      </w:r>
    </w:p>
    <w:p>
      <w:pPr>
        <w:spacing w:line="200" w:lineRule="exact"/>
        <w:rPr>
          <w:rFonts w:ascii="Times New Roman" w:hAnsi="Times New Roman" w:eastAsia="Times New Roman"/>
        </w:rPr>
      </w:pPr>
    </w:p>
    <w:p>
      <w:pPr>
        <w:spacing w:line="352"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Bonnet, M. H., Balkin, T. J., Dinges, D. F., Roehrs, T., Rogers, N. L., Wesensten, N. J. (2005). The use of stimulants to modify performance during sleep loss: a review by the Sleep Deprivation and Stimulant Task Force of the American Academy of Sleep Medicine. </w:t>
      </w:r>
      <w:r>
        <w:rPr>
          <w:rFonts w:ascii="Times New Roman" w:hAnsi="Times New Roman" w:eastAsia="Times New Roman"/>
          <w:i/>
          <w:sz w:val="24"/>
        </w:rPr>
        <w:t>Sleep</w:t>
      </w:r>
      <w:r>
        <w:rPr>
          <w:rFonts w:ascii="Times New Roman" w:hAnsi="Times New Roman" w:eastAsia="Times New Roman"/>
          <w:sz w:val="24"/>
        </w:rPr>
        <w:t xml:space="preserve"> 28: 1163–87.</w:t>
      </w:r>
    </w:p>
    <w:p>
      <w:pPr>
        <w:spacing w:line="292"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Bracco, D., Ferrarra, J. M., Arnaud, M. J., Jequier, E., Schutz, Y. (1995). Effects of caffeine on energy metabolism, heart rate, and methylxanthine metabolism in lean and obese women. </w:t>
      </w:r>
      <w:r>
        <w:rPr>
          <w:rFonts w:ascii="Times New Roman" w:hAnsi="Times New Roman" w:eastAsia="Times New Roman"/>
          <w:i/>
          <w:sz w:val="24"/>
        </w:rPr>
        <w:t>Am J Physiol Endocrinol Metab</w:t>
      </w:r>
      <w:r>
        <w:rPr>
          <w:rFonts w:ascii="Times New Roman" w:hAnsi="Times New Roman" w:eastAsia="Times New Roman"/>
          <w:sz w:val="24"/>
        </w:rPr>
        <w:t xml:space="preserve"> 269: 671–78.</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Braganza, S. and Larkin, M. (2007). Riding high on energy drinks. Modern medicine.</w:t>
      </w:r>
    </w:p>
    <w:p>
      <w:pPr>
        <w:spacing w:line="15" w:lineRule="exact"/>
        <w:rPr>
          <w:rFonts w:ascii="Times New Roman" w:hAnsi="Times New Roman" w:eastAsia="Times New Roman"/>
        </w:rPr>
      </w:pPr>
    </w:p>
    <w:p>
      <w:pPr>
        <w:spacing w:line="236" w:lineRule="auto"/>
        <w:ind w:left="1380"/>
        <w:jc w:val="both"/>
        <w:rPr>
          <w:rFonts w:ascii="Times New Roman" w:hAnsi="Times New Roman" w:eastAsia="Times New Roman"/>
          <w:sz w:val="24"/>
        </w:rPr>
      </w:pPr>
      <w:r>
        <w:rPr>
          <w:rFonts w:ascii="Times New Roman" w:hAnsi="Times New Roman" w:eastAsia="Times New Roman"/>
          <w:sz w:val="24"/>
        </w:rPr>
        <w:t xml:space="preserve">Available at: </w:t>
      </w:r>
      <w:r>
        <w:fldChar w:fldCharType="begin"/>
      </w:r>
      <w:r>
        <w:instrText xml:space="preserve"> HYPERLINK "http://www.modernmedicine.com/modernmedicine/" </w:instrText>
      </w:r>
      <w:r>
        <w:fldChar w:fldCharType="separate"/>
      </w:r>
      <w:r>
        <w:rPr>
          <w:rFonts w:ascii="Times New Roman" w:hAnsi="Times New Roman" w:eastAsia="Times New Roman"/>
          <w:color w:val="0000FF"/>
          <w:sz w:val="24"/>
          <w:u w:val="single"/>
        </w:rPr>
        <w:t>http://www.modernmedicine.com/modernmedicine/</w:t>
      </w:r>
      <w:r>
        <w:rPr>
          <w:rFonts w:ascii="Times New Roman" w:hAnsi="Times New Roman" w:eastAsia="Times New Roman"/>
          <w:color w:val="0000FF"/>
          <w:sz w:val="24"/>
          <w:u w:val="single"/>
        </w:rPr>
        <w:fldChar w:fldCharType="end"/>
      </w:r>
      <w:r>
        <w:rPr>
          <w:rFonts w:ascii="Times New Roman" w:hAnsi="Times New Roman" w:eastAsia="Times New Roman"/>
          <w:sz w:val="24"/>
        </w:rPr>
        <w:t xml:space="preserve"> article/articleDetail.jsp?id=426763. Posted May 15, 2007. [Accessed September 15, 2007].</w:t>
      </w:r>
    </w:p>
    <w:p>
      <w:pPr>
        <w:spacing w:line="290" w:lineRule="exact"/>
        <w:rPr>
          <w:rFonts w:ascii="Times New Roman" w:hAnsi="Times New Roman" w:eastAsia="Times New Roman"/>
        </w:rPr>
      </w:pPr>
    </w:p>
    <w:p>
      <w:pPr>
        <w:spacing w:line="233" w:lineRule="auto"/>
        <w:ind w:left="1380" w:hanging="810"/>
        <w:rPr>
          <w:rFonts w:ascii="Times New Roman" w:hAnsi="Times New Roman" w:eastAsia="Times New Roman"/>
          <w:sz w:val="24"/>
        </w:rPr>
      </w:pPr>
      <w:r>
        <w:rPr>
          <w:rFonts w:ascii="Times New Roman" w:hAnsi="Times New Roman" w:eastAsia="Times New Roman"/>
          <w:sz w:val="24"/>
        </w:rPr>
        <w:t xml:space="preserve">Brand-Miller, J. C., Holt, S. H., Pawlak, D. B. and McMillan, J. (2002). Glycemic index and obesity. </w:t>
      </w:r>
      <w:r>
        <w:rPr>
          <w:rFonts w:ascii="Times New Roman" w:hAnsi="Times New Roman" w:eastAsia="Times New Roman"/>
          <w:i/>
          <w:sz w:val="24"/>
        </w:rPr>
        <w:t>American Journal of Clinical Nutrition.</w:t>
      </w:r>
      <w:r>
        <w:rPr>
          <w:rFonts w:ascii="Times New Roman" w:hAnsi="Times New Roman" w:eastAsia="Times New Roman"/>
          <w:sz w:val="24"/>
        </w:rPr>
        <w:t xml:space="preserve"> 76(1): 281S-5S.</w:t>
      </w:r>
    </w:p>
    <w:p>
      <w:pPr>
        <w:spacing w:line="290" w:lineRule="exact"/>
        <w:rPr>
          <w:rFonts w:ascii="Times New Roman" w:hAnsi="Times New Roman" w:eastAsia="Times New Roman"/>
        </w:rPr>
      </w:pPr>
    </w:p>
    <w:p>
      <w:pPr>
        <w:spacing w:line="235" w:lineRule="auto"/>
        <w:ind w:left="1380" w:hanging="810"/>
        <w:rPr>
          <w:rFonts w:ascii="Times New Roman" w:hAnsi="Times New Roman" w:eastAsia="Times New Roman"/>
          <w:sz w:val="24"/>
        </w:rPr>
      </w:pPr>
      <w:r>
        <w:rPr>
          <w:rFonts w:ascii="Times New Roman" w:hAnsi="Times New Roman" w:eastAsia="Times New Roman"/>
          <w:sz w:val="24"/>
        </w:rPr>
        <w:t xml:space="preserve">Brownell K. D. and Frieden T. R. (2009). Ounces of prevention—the public policy case for taxes on sugared beverages. </w:t>
      </w:r>
      <w:r>
        <w:rPr>
          <w:rFonts w:ascii="Times New Roman" w:hAnsi="Times New Roman" w:eastAsia="Times New Roman"/>
          <w:i/>
          <w:sz w:val="24"/>
        </w:rPr>
        <w:t>N Engl J Med</w:t>
      </w:r>
      <w:r>
        <w:rPr>
          <w:rFonts w:ascii="Times New Roman" w:hAnsi="Times New Roman" w:eastAsia="Times New Roman"/>
          <w:sz w:val="24"/>
        </w:rPr>
        <w:t>; 360:1805-8.</w:t>
      </w:r>
    </w:p>
    <w:p>
      <w:pPr>
        <w:spacing w:line="290" w:lineRule="exact"/>
        <w:rPr>
          <w:rFonts w:ascii="Times New Roman" w:hAnsi="Times New Roman" w:eastAsia="Times New Roman"/>
        </w:rPr>
      </w:pPr>
    </w:p>
    <w:p>
      <w:pPr>
        <w:spacing w:line="233" w:lineRule="auto"/>
        <w:ind w:left="1380" w:right="20" w:hanging="810"/>
        <w:rPr>
          <w:rFonts w:ascii="Times New Roman" w:hAnsi="Times New Roman" w:eastAsia="Times New Roman"/>
          <w:sz w:val="24"/>
        </w:rPr>
      </w:pPr>
      <w:r>
        <w:rPr>
          <w:rFonts w:ascii="Times New Roman" w:hAnsi="Times New Roman" w:eastAsia="Times New Roman"/>
          <w:sz w:val="24"/>
        </w:rPr>
        <w:t xml:space="preserve">Brownell, K. D., Farley, T., Willett, W. C., (2009). The public health and economic benefits of taxing sugar sweetened beverages. </w:t>
      </w:r>
      <w:r>
        <w:rPr>
          <w:rFonts w:ascii="Times New Roman" w:hAnsi="Times New Roman" w:eastAsia="Times New Roman"/>
          <w:i/>
          <w:sz w:val="24"/>
        </w:rPr>
        <w:t>N Engl J Med.</w:t>
      </w:r>
      <w:r>
        <w:rPr>
          <w:rFonts w:ascii="Times New Roman" w:hAnsi="Times New Roman" w:eastAsia="Times New Roman"/>
          <w:sz w:val="24"/>
        </w:rPr>
        <w:t>; 361:1599-605.</w:t>
      </w:r>
    </w:p>
    <w:p>
      <w:pPr>
        <w:spacing w:line="200" w:lineRule="exact"/>
        <w:rPr>
          <w:rFonts w:ascii="Times New Roman" w:hAnsi="Times New Roman" w:eastAsia="Times New Roman"/>
        </w:rPr>
      </w:pPr>
    </w:p>
    <w:p>
      <w:pPr>
        <w:spacing w:line="253" w:lineRule="exact"/>
        <w:rPr>
          <w:rFonts w:ascii="Times New Roman" w:hAnsi="Times New Roman" w:eastAsia="Times New Roman"/>
        </w:rPr>
      </w:pPr>
    </w:p>
    <w:p>
      <w:pPr>
        <w:spacing w:line="0" w:lineRule="atLeast"/>
        <w:ind w:left="4820"/>
        <w:rPr>
          <w:sz w:val="22"/>
        </w:rPr>
      </w:pPr>
      <w:r>
        <w:rPr>
          <w:sz w:val="22"/>
        </w:rPr>
        <w:t>xcii</w:t>
      </w:r>
    </w:p>
    <w:p>
      <w:pPr>
        <w:spacing w:line="0" w:lineRule="atLeast"/>
        <w:ind w:left="48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4" w:name="page93"/>
      <w:bookmarkEnd w:id="84"/>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Butchko, H. H., and Stargel, W. W. (2001). Aspartame: Scientific evaluation in the postmarketing period. </w:t>
      </w:r>
      <w:r>
        <w:rPr>
          <w:rFonts w:ascii="Times New Roman" w:hAnsi="Times New Roman" w:eastAsia="Times New Roman"/>
          <w:i/>
          <w:sz w:val="24"/>
        </w:rPr>
        <w:t>Regulatory Toxicology and Pharmacology,</w:t>
      </w:r>
      <w:r>
        <w:rPr>
          <w:rFonts w:ascii="Times New Roman" w:hAnsi="Times New Roman" w:eastAsia="Times New Roman"/>
          <w:sz w:val="24"/>
        </w:rPr>
        <w:t xml:space="preserve"> 34:221–233.</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Cabrera, C., Lorenzo, M. L., Lopez, M. C. (1995). Lead and cadmium contamination in dairy products and its repercussion on total dietary intake. </w:t>
      </w:r>
      <w:r>
        <w:rPr>
          <w:rFonts w:ascii="Times New Roman" w:hAnsi="Times New Roman" w:eastAsia="Times New Roman"/>
          <w:i/>
          <w:sz w:val="24"/>
        </w:rPr>
        <w:t>Journal of Agricultural</w:t>
      </w:r>
      <w:r>
        <w:rPr>
          <w:rFonts w:ascii="Times New Roman" w:hAnsi="Times New Roman" w:eastAsia="Times New Roman"/>
          <w:sz w:val="24"/>
        </w:rPr>
        <w:t xml:space="preserve"> </w:t>
      </w:r>
      <w:r>
        <w:rPr>
          <w:rFonts w:ascii="Times New Roman" w:hAnsi="Times New Roman" w:eastAsia="Times New Roman"/>
          <w:i/>
          <w:sz w:val="24"/>
        </w:rPr>
        <w:t xml:space="preserve">and Food Chemistry, </w:t>
      </w:r>
      <w:r>
        <w:rPr>
          <w:rFonts w:ascii="Times New Roman" w:hAnsi="Times New Roman" w:eastAsia="Times New Roman"/>
          <w:sz w:val="24"/>
        </w:rPr>
        <w:t>43: 1605–1609.</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Carrillo, J.A., and Benitez, J. 2000. Clinically significant pharmacokinetic interactions between dietary caffeine and medications. </w:t>
      </w:r>
      <w:r>
        <w:rPr>
          <w:rFonts w:ascii="Times New Roman" w:hAnsi="Times New Roman" w:eastAsia="Times New Roman"/>
          <w:i/>
          <w:sz w:val="24"/>
        </w:rPr>
        <w:t>Clin. Pharmacokinet</w:t>
      </w:r>
      <w:r>
        <w:rPr>
          <w:rFonts w:ascii="Times New Roman" w:hAnsi="Times New Roman" w:eastAsia="Times New Roman"/>
          <w:sz w:val="24"/>
        </w:rPr>
        <w:t>, 39:127–153.</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Chanarin, I. (1999). </w:t>
      </w:r>
      <w:r>
        <w:rPr>
          <w:rFonts w:ascii="Times New Roman" w:hAnsi="Times New Roman" w:eastAsia="Times New Roman"/>
          <w:i/>
          <w:sz w:val="24"/>
        </w:rPr>
        <w:t>Nutritional aspects of hematological disorders</w:t>
      </w:r>
      <w:r>
        <w:rPr>
          <w:rFonts w:ascii="Times New Roman" w:hAnsi="Times New Roman" w:eastAsia="Times New Roman"/>
          <w:sz w:val="24"/>
        </w:rPr>
        <w:t>. In: Shils, M.E., Olson, J.A., Shike, M., Ross, A.C. (Eds.), Modern Nutrition in Health and Disease. Lippincot, Williams, &amp; Wilkins, Baltimore, pp. 1419–1436.</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Chelben, J., Piccone-Sapir, A., Ianco, I., Shoenfeld, N., Kotler, M. and Strous, R. D. (2008). Effects of amino acid energy drinks leading to hospitalization in individuals with mental illness. </w:t>
      </w:r>
      <w:r>
        <w:rPr>
          <w:rFonts w:ascii="Times New Roman" w:hAnsi="Times New Roman" w:eastAsia="Times New Roman"/>
          <w:i/>
          <w:sz w:val="24"/>
        </w:rPr>
        <w:t>Gen. Hosp. Psychiatry,</w:t>
      </w:r>
      <w:r>
        <w:rPr>
          <w:rFonts w:ascii="Times New Roman" w:hAnsi="Times New Roman" w:eastAsia="Times New Roman"/>
          <w:sz w:val="24"/>
        </w:rPr>
        <w:t xml:space="preserve"> 30(2): 187–189.</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Choi, H. K, Willett, W. W., Curhan G. (2010). Fructose-rich beverages and risk of gout in women. </w:t>
      </w:r>
      <w:r>
        <w:rPr>
          <w:rFonts w:ascii="Times New Roman" w:hAnsi="Times New Roman" w:eastAsia="Times New Roman"/>
          <w:i/>
          <w:sz w:val="24"/>
        </w:rPr>
        <w:t>JAMA</w:t>
      </w:r>
      <w:r>
        <w:rPr>
          <w:rFonts w:ascii="Times New Roman" w:hAnsi="Times New Roman" w:eastAsia="Times New Roman"/>
          <w:sz w:val="24"/>
        </w:rPr>
        <w:t>, 304.20:2270 - 2278.</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Choi, H. K. and Curhan, G. (2008). Soft drinks, fructose consumption, and the risk of gout in men; prospective cohort study. </w:t>
      </w:r>
      <w:r>
        <w:rPr>
          <w:rFonts w:ascii="Times New Roman" w:hAnsi="Times New Roman" w:eastAsia="Times New Roman"/>
          <w:i/>
          <w:sz w:val="24"/>
        </w:rPr>
        <w:t>BMJ</w:t>
      </w:r>
      <w:r>
        <w:rPr>
          <w:rFonts w:ascii="Times New Roman" w:hAnsi="Times New Roman" w:eastAsia="Times New Roman"/>
          <w:sz w:val="24"/>
        </w:rPr>
        <w:t>, 336:309 - 312.</w:t>
      </w:r>
    </w:p>
    <w:p>
      <w:pPr>
        <w:spacing w:line="290" w:lineRule="exact"/>
        <w:rPr>
          <w:rFonts w:ascii="Times New Roman" w:hAnsi="Times New Roman" w:eastAsia="Times New Roman"/>
        </w:rPr>
      </w:pPr>
    </w:p>
    <w:p>
      <w:pPr>
        <w:spacing w:line="236" w:lineRule="auto"/>
        <w:ind w:left="1660" w:hanging="1079"/>
        <w:jc w:val="both"/>
        <w:rPr>
          <w:rFonts w:ascii="Times New Roman" w:hAnsi="Times New Roman" w:eastAsia="Times New Roman"/>
          <w:sz w:val="24"/>
        </w:rPr>
      </w:pPr>
      <w:r>
        <w:rPr>
          <w:rFonts w:ascii="Times New Roman" w:hAnsi="Times New Roman" w:eastAsia="Times New Roman"/>
          <w:sz w:val="24"/>
        </w:rPr>
        <w:t xml:space="preserve">Clauson K. A., Shields K. M., McQueen C. E., and Persad N. (2008). Safety issues associated with commercially available energy drinks. </w:t>
      </w:r>
      <w:r>
        <w:rPr>
          <w:rFonts w:ascii="Times New Roman" w:hAnsi="Times New Roman" w:eastAsia="Times New Roman"/>
          <w:i/>
          <w:sz w:val="24"/>
        </w:rPr>
        <w:t>J. Am. Pharm. Assoc.</w:t>
      </w:r>
      <w:r>
        <w:rPr>
          <w:rFonts w:ascii="Times New Roman" w:hAnsi="Times New Roman" w:eastAsia="Times New Roman"/>
          <w:sz w:val="24"/>
        </w:rPr>
        <w:t xml:space="preserve"> 48(3): 55–63.</w:t>
      </w:r>
    </w:p>
    <w:p>
      <w:pPr>
        <w:spacing w:line="290" w:lineRule="exact"/>
        <w:rPr>
          <w:rFonts w:ascii="Times New Roman" w:hAnsi="Times New Roman" w:eastAsia="Times New Roman"/>
        </w:rPr>
      </w:pPr>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Coulombe, R. A., Sharma, R. P. (1986). Neurobiochemical alterations induced by the artificial sweetener aspartame (NutraSweet). </w:t>
      </w:r>
      <w:r>
        <w:rPr>
          <w:rFonts w:ascii="Times New Roman" w:hAnsi="Times New Roman" w:eastAsia="Times New Roman"/>
          <w:i/>
          <w:sz w:val="24"/>
        </w:rPr>
        <w:t>Toxicol Appl Pharm</w:t>
      </w:r>
      <w:r>
        <w:rPr>
          <w:rFonts w:ascii="Times New Roman" w:hAnsi="Times New Roman" w:eastAsia="Times New Roman"/>
          <w:sz w:val="24"/>
        </w:rPr>
        <w:t>, 83(1): 79-85.</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Craig,  T.  D.  C.  (2010).  soda tax proposal draws  opposition  from beverage  industry.</w:t>
      </w:r>
    </w:p>
    <w:p>
      <w:pPr>
        <w:spacing w:line="2"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i/>
          <w:sz w:val="24"/>
        </w:rPr>
        <w:t>Washington Post</w:t>
      </w:r>
      <w:r>
        <w:rPr>
          <w:rFonts w:ascii="Times New Roman" w:hAnsi="Times New Roman" w:eastAsia="Times New Roman"/>
          <w:sz w:val="24"/>
        </w:rPr>
        <w:t>. May 14, 2010.</w:t>
      </w:r>
    </w:p>
    <w:p>
      <w:pPr>
        <w:spacing w:line="289"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Crews, H.M., Olivier, L., andWilson, L.A. 2001. Urinary biomarkers for assessing dietary exposure to caffeine. </w:t>
      </w:r>
      <w:r>
        <w:rPr>
          <w:rFonts w:ascii="Times New Roman" w:hAnsi="Times New Roman" w:eastAsia="Times New Roman"/>
          <w:i/>
          <w:sz w:val="24"/>
        </w:rPr>
        <w:t>Food Addit. Contam</w:t>
      </w:r>
      <w:r>
        <w:rPr>
          <w:rFonts w:ascii="Times New Roman" w:hAnsi="Times New Roman" w:eastAsia="Times New Roman"/>
          <w:sz w:val="24"/>
        </w:rPr>
        <w:t>., 18: 1075–1087.</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Crowe, T. C., Fontaine, H. L., Gibbon, C. J., Cameron-Smith, D. and Swinburn, B. A.</w:t>
      </w:r>
    </w:p>
    <w:p>
      <w:pPr>
        <w:spacing w:line="15" w:lineRule="exact"/>
        <w:rPr>
          <w:rFonts w:ascii="Times New Roman" w:hAnsi="Times New Roman" w:eastAsia="Times New Roman"/>
        </w:rPr>
      </w:pPr>
    </w:p>
    <w:p>
      <w:pPr>
        <w:spacing w:line="236" w:lineRule="auto"/>
        <w:ind w:left="1380"/>
        <w:jc w:val="both"/>
        <w:rPr>
          <w:rFonts w:ascii="Times New Roman" w:hAnsi="Times New Roman" w:eastAsia="Times New Roman"/>
          <w:sz w:val="24"/>
        </w:rPr>
      </w:pPr>
      <w:r>
        <w:rPr>
          <w:rFonts w:ascii="Times New Roman" w:hAnsi="Times New Roman" w:eastAsia="Times New Roman"/>
          <w:sz w:val="24"/>
        </w:rPr>
        <w:t xml:space="preserve">(2004). Energy density of food and beverages in the Australian food supply: influence of macronutrients and comparison to dietary intake. </w:t>
      </w:r>
      <w:r>
        <w:rPr>
          <w:rFonts w:ascii="Times New Roman" w:hAnsi="Times New Roman" w:eastAsia="Times New Roman"/>
          <w:i/>
          <w:sz w:val="24"/>
        </w:rPr>
        <w:t>European Journal</w:t>
      </w:r>
      <w:r>
        <w:rPr>
          <w:rFonts w:ascii="Times New Roman" w:hAnsi="Times New Roman" w:eastAsia="Times New Roman"/>
          <w:sz w:val="24"/>
        </w:rPr>
        <w:t xml:space="preserve"> </w:t>
      </w:r>
      <w:r>
        <w:rPr>
          <w:rFonts w:ascii="Times New Roman" w:hAnsi="Times New Roman" w:eastAsia="Times New Roman"/>
          <w:i/>
          <w:sz w:val="24"/>
        </w:rPr>
        <w:t xml:space="preserve">of Clinical Nutrition. </w:t>
      </w:r>
      <w:r>
        <w:rPr>
          <w:rFonts w:ascii="Times New Roman" w:hAnsi="Times New Roman" w:eastAsia="Times New Roman"/>
          <w:sz w:val="24"/>
        </w:rPr>
        <w:t>58(11): 1485-91.</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Cysneiros, R. M., Farkas D., Harmatz J. S., von Moltke L. L., Greenblatt D. J. (2007). Pharmacokinetic and pharmacodynamic interactions between zolpidem and caffeine. </w:t>
      </w:r>
      <w:r>
        <w:rPr>
          <w:rFonts w:ascii="Times New Roman" w:hAnsi="Times New Roman" w:eastAsia="Times New Roman"/>
          <w:i/>
          <w:sz w:val="24"/>
        </w:rPr>
        <w:t>Clin Pharmacol Ther</w:t>
      </w:r>
      <w:r>
        <w:rPr>
          <w:rFonts w:ascii="Times New Roman" w:hAnsi="Times New Roman" w:eastAsia="Times New Roman"/>
          <w:sz w:val="24"/>
        </w:rPr>
        <w:t xml:space="preserve"> 82: 54–62.</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6" w:lineRule="exact"/>
        <w:rPr>
          <w:rFonts w:ascii="Times New Roman" w:hAnsi="Times New Roman" w:eastAsia="Times New Roman"/>
        </w:rPr>
      </w:pPr>
    </w:p>
    <w:p>
      <w:pPr>
        <w:spacing w:line="0" w:lineRule="atLeast"/>
        <w:ind w:left="4800"/>
        <w:rPr>
          <w:sz w:val="22"/>
        </w:rPr>
      </w:pPr>
      <w:r>
        <w:rPr>
          <w:sz w:val="22"/>
        </w:rPr>
        <w:t>xciii</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5" w:name="page94"/>
      <w:bookmarkEnd w:id="85"/>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Dailey, J. W., Lasley, S.M., Burger, R. L., Bettendorf, A. F., Mishra, P. K. and Jobe, P. C. (1991). Amino acids, monoamines and audiogenic seizures in genetically epilepsy-prone rats: effects of aspartame. </w:t>
      </w:r>
      <w:r>
        <w:rPr>
          <w:rFonts w:ascii="Times New Roman" w:hAnsi="Times New Roman" w:eastAsia="Times New Roman"/>
          <w:i/>
          <w:sz w:val="24"/>
        </w:rPr>
        <w:t>Epilepsy Res.</w:t>
      </w:r>
      <w:r>
        <w:rPr>
          <w:rFonts w:ascii="Times New Roman" w:hAnsi="Times New Roman" w:eastAsia="Times New Roman"/>
          <w:sz w:val="24"/>
        </w:rPr>
        <w:t xml:space="preserve"> 8 122–133.</w:t>
      </w:r>
    </w:p>
    <w:p>
      <w:pPr>
        <w:spacing w:line="200" w:lineRule="exact"/>
        <w:rPr>
          <w:rFonts w:ascii="Times New Roman" w:hAnsi="Times New Roman" w:eastAsia="Times New Roman"/>
        </w:rPr>
      </w:pPr>
    </w:p>
    <w:p>
      <w:pPr>
        <w:spacing w:line="31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Das, A. (1990). </w:t>
      </w:r>
      <w:r>
        <w:rPr>
          <w:rFonts w:ascii="Times New Roman" w:hAnsi="Times New Roman" w:eastAsia="Times New Roman"/>
          <w:i/>
          <w:sz w:val="24"/>
        </w:rPr>
        <w:t>Metal ion induced toxicity and detoxification by chelating therapy.</w:t>
      </w:r>
      <w:r>
        <w:rPr>
          <w:rFonts w:ascii="Times New Roman" w:hAnsi="Times New Roman" w:eastAsia="Times New Roman"/>
          <w:sz w:val="24"/>
        </w:rPr>
        <w:t xml:space="preserve"> In:1stA</w:t>
      </w:r>
    </w:p>
    <w:p>
      <w:pPr>
        <w:spacing w:line="36"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sz w:val="24"/>
        </w:rPr>
        <w:t>text book on medical aspects of bio inorganic chemistry, CBS, Delhi, P. 17-58.</w:t>
      </w:r>
    </w:p>
    <w:p>
      <w:pPr>
        <w:spacing w:line="25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Davis, C. D. and Greger, J. L. (1992). Longitudinal changes of manganese-dependent superoxide dismutase and other indexes of manganese and iron status in women. </w:t>
      </w:r>
      <w:r>
        <w:rPr>
          <w:rFonts w:ascii="Times New Roman" w:hAnsi="Times New Roman" w:eastAsia="Times New Roman"/>
          <w:i/>
          <w:sz w:val="24"/>
        </w:rPr>
        <w:t xml:space="preserve">Am. J. Clin. Nutr. </w:t>
      </w:r>
      <w:r>
        <w:rPr>
          <w:rFonts w:ascii="Times New Roman" w:hAnsi="Times New Roman" w:eastAsia="Times New Roman"/>
          <w:sz w:val="24"/>
        </w:rPr>
        <w:t>55, 747–752.</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Dega, H., Laporte, J. L., and Frances, C. (1996). Ginseng as a cause for Stevens- Johnson syndrome. </w:t>
      </w:r>
      <w:r>
        <w:rPr>
          <w:rFonts w:ascii="Times New Roman" w:hAnsi="Times New Roman" w:eastAsia="Times New Roman"/>
          <w:i/>
          <w:sz w:val="24"/>
        </w:rPr>
        <w:t>Lancet,</w:t>
      </w:r>
      <w:r>
        <w:rPr>
          <w:rFonts w:ascii="Times New Roman" w:hAnsi="Times New Roman" w:eastAsia="Times New Roman"/>
          <w:sz w:val="24"/>
        </w:rPr>
        <w:t xml:space="preserve"> 347:1344.</w:t>
      </w:r>
    </w:p>
    <w:p>
      <w:pPr>
        <w:spacing w:line="290" w:lineRule="exact"/>
        <w:rPr>
          <w:rFonts w:ascii="Times New Roman" w:hAnsi="Times New Roman" w:eastAsia="Times New Roman"/>
        </w:rPr>
      </w:pPr>
    </w:p>
    <w:p>
      <w:pPr>
        <w:tabs>
          <w:tab w:val="left" w:pos="1360"/>
        </w:tabs>
        <w:spacing w:line="236" w:lineRule="auto"/>
        <w:ind w:left="1380" w:hanging="810"/>
        <w:jc w:val="both"/>
        <w:rPr>
          <w:rFonts w:ascii="Times New Roman" w:hAnsi="Times New Roman" w:eastAsia="Times New Roman"/>
          <w:sz w:val="24"/>
        </w:rPr>
      </w:pPr>
      <w:r>
        <w:rPr>
          <w:rFonts w:ascii="Times New Roman" w:hAnsi="Times New Roman" w:eastAsia="Times New Roman"/>
          <w:sz w:val="24"/>
        </w:rPr>
        <w:t>Devine,</w:t>
      </w:r>
      <w:r>
        <w:rPr>
          <w:rFonts w:ascii="Times New Roman" w:hAnsi="Times New Roman" w:eastAsia="Times New Roman"/>
          <w:sz w:val="24"/>
        </w:rPr>
        <w:tab/>
      </w:r>
      <w:r>
        <w:rPr>
          <w:rFonts w:ascii="Times New Roman" w:hAnsi="Times New Roman" w:eastAsia="Times New Roman"/>
          <w:sz w:val="24"/>
        </w:rPr>
        <w:t xml:space="preserve">A. (1999). A Four Year follow-up Study of the Effects of Calcium Supplementation on Bone Density in Elderly post-Menopausal Women. </w:t>
      </w:r>
      <w:r>
        <w:rPr>
          <w:rFonts w:ascii="Times New Roman" w:hAnsi="Times New Roman" w:eastAsia="Times New Roman"/>
          <w:i/>
          <w:sz w:val="24"/>
        </w:rPr>
        <w:t xml:space="preserve">Osteoporosis Int. </w:t>
      </w:r>
      <w:r>
        <w:rPr>
          <w:rFonts w:ascii="Times New Roman" w:hAnsi="Times New Roman" w:eastAsia="Times New Roman"/>
          <w:sz w:val="24"/>
        </w:rPr>
        <w:t>7: 23-28.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Dhingra, R., Sullivan, L., Jacques, P. F., Wang, T. J., Fox, C. S., Meigs, J. B., D'Agostino, R. B., Gaziano, J. M., and Vasan, R. S. (2007). Soft drink consumption and risk of developing cardiometabolic risk factors and the metabolic syndrome in middle-aged adults in the community. </w:t>
      </w:r>
      <w:r>
        <w:rPr>
          <w:rFonts w:ascii="Times New Roman" w:hAnsi="Times New Roman" w:eastAsia="Times New Roman"/>
          <w:i/>
          <w:sz w:val="24"/>
        </w:rPr>
        <w:t>Circulation</w:t>
      </w:r>
      <w:r>
        <w:rPr>
          <w:rFonts w:ascii="Times New Roman" w:hAnsi="Times New Roman" w:eastAsia="Times New Roman"/>
          <w:sz w:val="24"/>
        </w:rPr>
        <w:t>, 116.5:480 - 488.</w:t>
      </w:r>
    </w:p>
    <w:p>
      <w:pPr>
        <w:spacing w:line="292" w:lineRule="exact"/>
        <w:rPr>
          <w:rFonts w:ascii="Times New Roman" w:hAnsi="Times New Roman" w:eastAsia="Times New Roman"/>
        </w:rPr>
      </w:pPr>
    </w:p>
    <w:p>
      <w:pPr>
        <w:spacing w:line="237" w:lineRule="auto"/>
        <w:ind w:left="1380" w:hanging="810"/>
        <w:jc w:val="both"/>
        <w:rPr>
          <w:rFonts w:ascii="Times New Roman" w:hAnsi="Times New Roman" w:eastAsia="Times New Roman"/>
          <w:sz w:val="24"/>
        </w:rPr>
      </w:pPr>
      <w:r>
        <w:rPr>
          <w:rFonts w:ascii="Times New Roman" w:hAnsi="Times New Roman" w:eastAsia="Times New Roman"/>
          <w:sz w:val="24"/>
        </w:rPr>
        <w:t xml:space="preserve">Diomede, L., Romano, M., Guiso, G., Caccia, S., Nava, S. and Salmona, M. (1991). Interspecies and interstrain studies on the increased susceptibility to metrazol-induced convulsions in animals given aspartame. </w:t>
      </w:r>
      <w:r>
        <w:rPr>
          <w:rFonts w:ascii="Times New Roman" w:hAnsi="Times New Roman" w:eastAsia="Times New Roman"/>
          <w:i/>
          <w:sz w:val="24"/>
        </w:rPr>
        <w:t>Food Chem. Toxicol.</w:t>
      </w:r>
      <w:r>
        <w:rPr>
          <w:rFonts w:ascii="Times New Roman" w:hAnsi="Times New Roman" w:eastAsia="Times New Roman"/>
          <w:sz w:val="24"/>
        </w:rPr>
        <w:t xml:space="preserve"> 29 101– 106.</w:t>
      </w:r>
    </w:p>
    <w:p>
      <w:pPr>
        <w:spacing w:line="280"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Doherty, M. and Smith, P. M. (2004). Effects of caffeine ingestion on exercise testing: a</w:t>
      </w:r>
    </w:p>
    <w:p>
      <w:pPr>
        <w:spacing w:line="237" w:lineRule="auto"/>
        <w:ind w:left="1380"/>
        <w:rPr>
          <w:rFonts w:ascii="Times New Roman" w:hAnsi="Times New Roman" w:eastAsia="Times New Roman"/>
          <w:sz w:val="24"/>
        </w:rPr>
      </w:pPr>
      <w:r>
        <w:rPr>
          <w:rFonts w:ascii="Times New Roman" w:hAnsi="Times New Roman" w:eastAsia="Times New Roman"/>
          <w:sz w:val="24"/>
        </w:rPr>
        <w:t>meta-analysis. Int J Sport Nutr Exerc Metab 14: 626–46.</w:t>
      </w:r>
    </w:p>
    <w:p>
      <w:pPr>
        <w:spacing w:line="289" w:lineRule="exact"/>
        <w:rPr>
          <w:rFonts w:ascii="Times New Roman" w:hAnsi="Times New Roman" w:eastAsia="Times New Roman"/>
        </w:rPr>
      </w:pPr>
    </w:p>
    <w:p>
      <w:pPr>
        <w:spacing w:line="238" w:lineRule="auto"/>
        <w:ind w:left="1380" w:hanging="810"/>
        <w:jc w:val="both"/>
        <w:rPr>
          <w:rFonts w:ascii="Times New Roman" w:hAnsi="Times New Roman" w:eastAsia="Times New Roman"/>
          <w:sz w:val="24"/>
        </w:rPr>
      </w:pPr>
      <w:r>
        <w:rPr>
          <w:rFonts w:ascii="Times New Roman" w:hAnsi="Times New Roman" w:eastAsia="Times New Roman"/>
          <w:sz w:val="24"/>
        </w:rPr>
        <w:t xml:space="preserve">Drake, I., Sonestedt, E., Gullberg, B., Ahlgren, G., Bjartell, A., Wallström, P., Wirfält, E. (2012). Dietary intakes of carbohydrates in relation to prostate cancer risk: a prospective study in the Malmö Diet and Cancer cohort. </w:t>
      </w:r>
      <w:r>
        <w:rPr>
          <w:rFonts w:ascii="Times New Roman" w:hAnsi="Times New Roman" w:eastAsia="Times New Roman"/>
          <w:i/>
          <w:sz w:val="24"/>
        </w:rPr>
        <w:t>Am J Clin Nutr</w:t>
      </w:r>
      <w:r>
        <w:rPr>
          <w:rFonts w:ascii="Times New Roman" w:hAnsi="Times New Roman" w:eastAsia="Times New Roman"/>
          <w:sz w:val="24"/>
        </w:rPr>
        <w:t>, 96, 1409 - 1418.</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Duffus, J. H. (2002). ―Heavy metal‖ – a meaningless term? </w:t>
      </w:r>
      <w:r>
        <w:rPr>
          <w:rFonts w:ascii="Times New Roman" w:hAnsi="Times New Roman" w:eastAsia="Times New Roman"/>
          <w:i/>
          <w:sz w:val="24"/>
        </w:rPr>
        <w:t>Pure Appl Chem</w:t>
      </w:r>
      <w:r>
        <w:rPr>
          <w:rFonts w:ascii="Times New Roman" w:hAnsi="Times New Roman" w:eastAsia="Times New Roman"/>
          <w:sz w:val="24"/>
        </w:rPr>
        <w:t xml:space="preserve"> 74:793–807.</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Dulloo, A. G., Geissler, C. A., Horton, T., Collins, A., Miller, D. S. (1989). Normal caffeine consumption: influence on thermogenesis and daily energy expenditure in lean and post-obese human volunteers. </w:t>
      </w:r>
      <w:r>
        <w:rPr>
          <w:rFonts w:ascii="Times New Roman" w:hAnsi="Times New Roman" w:eastAsia="Times New Roman"/>
          <w:i/>
          <w:sz w:val="24"/>
        </w:rPr>
        <w:t>Am J Clin Nutr</w:t>
      </w:r>
      <w:r>
        <w:rPr>
          <w:rFonts w:ascii="Times New Roman" w:hAnsi="Times New Roman" w:eastAsia="Times New Roman"/>
          <w:sz w:val="24"/>
        </w:rPr>
        <w:t xml:space="preserve"> 49: 44–50.</w:t>
      </w:r>
    </w:p>
    <w:p>
      <w:pPr>
        <w:spacing w:line="290" w:lineRule="exact"/>
        <w:rPr>
          <w:rFonts w:ascii="Times New Roman" w:hAnsi="Times New Roman" w:eastAsia="Times New Roman"/>
        </w:rPr>
      </w:pPr>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Dunwiddie, T. V., and Mansino, S. A., (2001). The role and regulation of adenosine in the central nervous system. </w:t>
      </w:r>
      <w:r>
        <w:rPr>
          <w:rFonts w:ascii="Times New Roman" w:hAnsi="Times New Roman" w:eastAsia="Times New Roman"/>
          <w:i/>
          <w:sz w:val="24"/>
        </w:rPr>
        <w:t>Ann Rev Neurosci</w:t>
      </w:r>
      <w:r>
        <w:rPr>
          <w:rFonts w:ascii="Times New Roman" w:hAnsi="Times New Roman" w:eastAsia="Times New Roman"/>
          <w:sz w:val="24"/>
        </w:rPr>
        <w:t>, 24: 31–55.</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5" w:lineRule="exact"/>
        <w:rPr>
          <w:rFonts w:ascii="Times New Roman" w:hAnsi="Times New Roman" w:eastAsia="Times New Roman"/>
        </w:rPr>
      </w:pPr>
    </w:p>
    <w:p>
      <w:pPr>
        <w:spacing w:line="0" w:lineRule="atLeast"/>
        <w:ind w:left="4800"/>
        <w:rPr>
          <w:sz w:val="22"/>
        </w:rPr>
      </w:pPr>
      <w:r>
        <w:rPr>
          <w:sz w:val="22"/>
        </w:rPr>
        <w:t>xciv</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6" w:name="page95"/>
      <w:bookmarkEnd w:id="86"/>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Ebbeling, C, Feldman, H, Osganian, S, (2006). ―Effects of Decreasing Sugar-sweetened Beverage Consumption on Body Weight in Adolescents: A Randomized, Controlled Pilot Study.‖ </w:t>
      </w:r>
      <w:r>
        <w:rPr>
          <w:rFonts w:ascii="Times New Roman" w:hAnsi="Times New Roman" w:eastAsia="Times New Roman"/>
          <w:i/>
          <w:sz w:val="24"/>
        </w:rPr>
        <w:t>Pediatrics</w:t>
      </w:r>
      <w:r>
        <w:rPr>
          <w:rFonts w:ascii="Times New Roman" w:hAnsi="Times New Roman" w:eastAsia="Times New Roman"/>
          <w:sz w:val="24"/>
        </w:rPr>
        <w:t>, 117(3): 673–680.</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(EFSA) European Food Safety Authority (2010). Scientific Opinion on Dietary Reference Values for carbohydrates and dietary fibre. </w:t>
      </w:r>
      <w:r>
        <w:rPr>
          <w:rFonts w:ascii="Times New Roman" w:hAnsi="Times New Roman" w:eastAsia="Times New Roman"/>
          <w:i/>
          <w:sz w:val="24"/>
        </w:rPr>
        <w:t>EFSA Journal.</w:t>
      </w:r>
      <w:r>
        <w:rPr>
          <w:rFonts w:ascii="Times New Roman" w:hAnsi="Times New Roman" w:eastAsia="Times New Roman"/>
          <w:sz w:val="24"/>
        </w:rPr>
        <w:t xml:space="preserve"> 8(3):1462.</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Enerst, E. (2002). The risk-benefit profile of commonly used herbal therapies: Ginkgo, St. John's Wort, Ginseng, Echinacea, Saw Palmetto, and Kava. </w:t>
      </w:r>
      <w:r>
        <w:rPr>
          <w:rFonts w:ascii="Times New Roman" w:hAnsi="Times New Roman" w:eastAsia="Times New Roman"/>
          <w:i/>
          <w:sz w:val="24"/>
        </w:rPr>
        <w:t>Ann Intern Med</w:t>
      </w:r>
      <w:r>
        <w:rPr>
          <w:rFonts w:ascii="Times New Roman" w:hAnsi="Times New Roman" w:eastAsia="Times New Roman"/>
          <w:sz w:val="24"/>
        </w:rPr>
        <w:t xml:space="preserve"> 136:42-53.</w:t>
      </w:r>
    </w:p>
    <w:p>
      <w:pPr>
        <w:spacing w:line="290" w:lineRule="exact"/>
        <w:rPr>
          <w:rFonts w:ascii="Times New Roman" w:hAnsi="Times New Roman" w:eastAsia="Times New Roman"/>
        </w:rPr>
      </w:pPr>
    </w:p>
    <w:p>
      <w:pPr>
        <w:spacing w:line="237" w:lineRule="auto"/>
        <w:ind w:left="1380" w:hanging="810"/>
        <w:jc w:val="both"/>
        <w:rPr>
          <w:rFonts w:ascii="Times New Roman" w:hAnsi="Times New Roman" w:eastAsia="Times New Roman"/>
          <w:sz w:val="24"/>
        </w:rPr>
      </w:pPr>
      <w:r>
        <w:rPr>
          <w:rFonts w:ascii="Times New Roman" w:hAnsi="Times New Roman" w:eastAsia="Times New Roman"/>
          <w:sz w:val="24"/>
        </w:rPr>
        <w:t>EU SCF (European Union Scientific Committee for Food) (1983). Report of the Scientific Committee for Food on Caffeine. Reports of the Scientific Committee for Food (Fourteenth Series). Commission of the European Communities, Luxembourg. Vol.15(1-3)</w:t>
      </w:r>
    </w:p>
    <w:p>
      <w:pPr>
        <w:spacing w:line="281"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FAO/WHO,  (Food  and  Agriculture  Organization/World  Health  Organization).  (1998).</w:t>
      </w:r>
    </w:p>
    <w:p>
      <w:pPr>
        <w:spacing w:line="237" w:lineRule="auto"/>
        <w:ind w:left="1380"/>
        <w:rPr>
          <w:rFonts w:ascii="Times New Roman" w:hAnsi="Times New Roman" w:eastAsia="Times New Roman"/>
          <w:sz w:val="24"/>
        </w:rPr>
      </w:pPr>
      <w:r>
        <w:rPr>
          <w:rFonts w:ascii="Times New Roman" w:hAnsi="Times New Roman" w:eastAsia="Times New Roman"/>
          <w:i/>
          <w:sz w:val="24"/>
        </w:rPr>
        <w:t>Carbohydrates in Human Nutrition</w:t>
      </w:r>
      <w:r>
        <w:rPr>
          <w:rFonts w:ascii="Times New Roman" w:hAnsi="Times New Roman" w:eastAsia="Times New Roman"/>
          <w:sz w:val="24"/>
        </w:rPr>
        <w:t>. Rome: FAO.  vol. 165.</w:t>
      </w:r>
    </w:p>
    <w:p>
      <w:pPr>
        <w:spacing w:line="200" w:lineRule="exact"/>
        <w:rPr>
          <w:rFonts w:ascii="Times New Roman" w:hAnsi="Times New Roman" w:eastAsia="Times New Roman"/>
        </w:rPr>
      </w:pPr>
    </w:p>
    <w:p>
      <w:pPr>
        <w:spacing w:line="36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FAO/WHO, (1980). Toxicological evaluation of certain food additives: Aspartame. WHO Food Additive Series No. 15. The Joint FAO/WHO Expert Committee on Food Additives, Geneva, Switzerland, pp: 18-86.</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FDA, </w:t>
      </w:r>
      <w:r>
        <w:rPr>
          <w:rFonts w:ascii="Times New Roman" w:hAnsi="Times New Roman" w:eastAsia="Times New Roman"/>
          <w:sz w:val="22"/>
        </w:rPr>
        <w:t>(Food and Drug Administration)</w:t>
      </w:r>
      <w:r>
        <w:rPr>
          <w:rFonts w:ascii="Times New Roman" w:hAnsi="Times New Roman" w:eastAsia="Times New Roman"/>
          <w:sz w:val="24"/>
        </w:rPr>
        <w:t xml:space="preserve"> (1996). Inactive Ingredients Database. Aspartame. US Food and Drug Administration. Center for Drug Evaluation and Research (CDER). </w:t>
      </w:r>
      <w:r>
        <w:fldChar w:fldCharType="begin"/>
      </w:r>
      <w:r>
        <w:instrText xml:space="preserve"> HYPERLINK "http://www.accessdata.fda.gov/scripts/cder/iig/index.cfm" </w:instrText>
      </w:r>
      <w:r>
        <w:fldChar w:fldCharType="separate"/>
      </w:r>
      <w:r>
        <w:rPr>
          <w:rFonts w:ascii="Times New Roman" w:hAnsi="Times New Roman" w:eastAsia="Times New Roman"/>
          <w:color w:val="0000FF"/>
          <w:sz w:val="24"/>
          <w:u w:val="single"/>
        </w:rPr>
        <w:t>http://www.accessdata.fda.gov/scripts/cder/iig/index.cfm</w:t>
      </w:r>
      <w:r>
        <w:rPr>
          <w:rFonts w:ascii="Times New Roman" w:hAnsi="Times New Roman" w:eastAsia="Times New Roman"/>
          <w:sz w:val="24"/>
          <w:u w:val="single"/>
        </w:rPr>
        <w:t xml:space="preserve">. </w:t>
      </w:r>
      <w:r>
        <w:rPr>
          <w:rFonts w:ascii="Times New Roman" w:hAnsi="Times New Roman" w:eastAsia="Times New Roman"/>
          <w:sz w:val="24"/>
          <w:u w:val="single"/>
        </w:rPr>
        <w:fldChar w:fldCharType="end"/>
      </w:r>
      <w:r>
        <w:rPr>
          <w:rFonts w:ascii="Times New Roman" w:hAnsi="Times New Roman" w:eastAsia="Times New Roman"/>
          <w:sz w:val="24"/>
        </w:rPr>
        <w:t>(site visited on January 16, 2006).</w:t>
      </w:r>
    </w:p>
    <w:p>
      <w:pPr>
        <w:spacing w:line="292" w:lineRule="exact"/>
        <w:rPr>
          <w:rFonts w:ascii="Times New Roman" w:hAnsi="Times New Roman" w:eastAsia="Times New Roman"/>
        </w:rPr>
      </w:pPr>
    </w:p>
    <w:p>
      <w:pPr>
        <w:spacing w:line="237" w:lineRule="auto"/>
        <w:ind w:left="1380" w:hanging="810"/>
        <w:jc w:val="both"/>
        <w:rPr>
          <w:rFonts w:ascii="Times New Roman" w:hAnsi="Times New Roman" w:eastAsia="Times New Roman"/>
          <w:sz w:val="24"/>
        </w:rPr>
      </w:pPr>
      <w:r>
        <w:rPr>
          <w:rFonts w:ascii="Times New Roman" w:hAnsi="Times New Roman" w:eastAsia="Times New Roman"/>
          <w:sz w:val="24"/>
        </w:rPr>
        <w:t xml:space="preserve">FDA, (Food and Drug Administration) (2003). Substances Generally Recognized as Safe. Code of Federal Regulations. Title 21, vol.3. Sec.182.1180. Consulted on 14.03.2012 available at </w:t>
      </w:r>
      <w:r>
        <w:fldChar w:fldCharType="begin"/>
      </w:r>
      <w:r>
        <w:instrText xml:space="preserve"> HYPERLINK "http://coffeefaq.com/site/node/13" </w:instrText>
      </w:r>
      <w:r>
        <w:fldChar w:fldCharType="separate"/>
      </w:r>
      <w:r>
        <w:rPr>
          <w:rFonts w:ascii="Times New Roman" w:hAnsi="Times New Roman" w:eastAsia="Times New Roman"/>
          <w:sz w:val="24"/>
          <w:u w:val="single"/>
        </w:rPr>
        <w:t xml:space="preserve">http://coffeefaq.com/site/node/13. </w:t>
      </w:r>
      <w:r>
        <w:rPr>
          <w:rFonts w:ascii="Times New Roman" w:hAnsi="Times New Roman" w:eastAsia="Times New Roman"/>
          <w:sz w:val="24"/>
          <w:u w:val="single"/>
        </w:rPr>
        <w:fldChar w:fldCharType="end"/>
      </w:r>
      <w:r>
        <w:rPr>
          <w:rFonts w:ascii="Times New Roman" w:hAnsi="Times New Roman" w:eastAsia="Times New Roman"/>
          <w:i/>
          <w:sz w:val="24"/>
        </w:rPr>
        <w:t>Food</w:t>
      </w:r>
      <w:r>
        <w:rPr>
          <w:rFonts w:ascii="Times New Roman" w:hAnsi="Times New Roman" w:eastAsia="Times New Roman"/>
          <w:sz w:val="24"/>
        </w:rPr>
        <w:t xml:space="preserve"> </w:t>
      </w:r>
      <w:r>
        <w:rPr>
          <w:rFonts w:ascii="Times New Roman" w:hAnsi="Times New Roman" w:eastAsia="Times New Roman"/>
          <w:i/>
          <w:sz w:val="24"/>
        </w:rPr>
        <w:t>Chem Toxicol</w:t>
      </w:r>
      <w:r>
        <w:rPr>
          <w:rFonts w:ascii="Times New Roman" w:hAnsi="Times New Roman" w:eastAsia="Times New Roman"/>
          <w:sz w:val="24"/>
        </w:rPr>
        <w:t>.; 40(9): 1271–1310.</w:t>
      </w:r>
    </w:p>
    <w:p>
      <w:pPr>
        <w:spacing w:line="293"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Fernstrom, J. D., Fernstrom, M. H. and Gillis, M. A. (1983). Acute effects of aspartame on large neutral amino acids and monoamines in rat brain</w:t>
      </w:r>
      <w:r>
        <w:rPr>
          <w:rFonts w:ascii="Times New Roman" w:hAnsi="Times New Roman" w:eastAsia="Times New Roman"/>
          <w:i/>
          <w:sz w:val="24"/>
        </w:rPr>
        <w:t>. Life Sci.</w:t>
      </w:r>
      <w:r>
        <w:rPr>
          <w:rFonts w:ascii="Times New Roman" w:hAnsi="Times New Roman" w:eastAsia="Times New Roman"/>
          <w:sz w:val="24"/>
        </w:rPr>
        <w:t xml:space="preserve"> 32 1651–1658</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Ferre, S. (2008). An update in the mechanisms of the psychostimulant effects of caffeine. </w:t>
      </w:r>
      <w:r>
        <w:rPr>
          <w:rFonts w:ascii="Times New Roman" w:hAnsi="Times New Roman" w:eastAsia="Times New Roman"/>
          <w:i/>
          <w:sz w:val="24"/>
        </w:rPr>
        <w:t>J</w:t>
      </w:r>
      <w:r>
        <w:rPr>
          <w:rFonts w:ascii="Times New Roman" w:hAnsi="Times New Roman" w:eastAsia="Times New Roman"/>
          <w:sz w:val="24"/>
        </w:rPr>
        <w:t xml:space="preserve"> </w:t>
      </w:r>
      <w:r>
        <w:rPr>
          <w:rFonts w:ascii="Times New Roman" w:hAnsi="Times New Roman" w:eastAsia="Times New Roman"/>
          <w:i/>
          <w:sz w:val="24"/>
        </w:rPr>
        <w:t>Neurochem</w:t>
      </w:r>
      <w:r>
        <w:rPr>
          <w:rFonts w:ascii="Times New Roman" w:hAnsi="Times New Roman" w:eastAsia="Times New Roman"/>
          <w:sz w:val="24"/>
        </w:rPr>
        <w:t>, 105:1067–79.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Ferreira, E. S., Hartmann, Quadrosi, M. I., Trindade, A. A., Takahashi, S., Koyama, G. R., Souza-Formigoni, O. M. (2004). Can energy drinks reduce the depressor effect of ethanol? An experimental study in mice. </w:t>
      </w:r>
      <w:r>
        <w:rPr>
          <w:rFonts w:ascii="Times New Roman" w:hAnsi="Times New Roman" w:eastAsia="Times New Roman"/>
          <w:i/>
          <w:sz w:val="24"/>
        </w:rPr>
        <w:t>Physiology and Behaviour,</w:t>
      </w:r>
      <w:r>
        <w:rPr>
          <w:rFonts w:ascii="Times New Roman" w:hAnsi="Times New Roman" w:eastAsia="Times New Roman"/>
          <w:sz w:val="24"/>
        </w:rPr>
        <w:t xml:space="preserve"> 82(5): 841-847.</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7" w:lineRule="exact"/>
        <w:rPr>
          <w:rFonts w:ascii="Times New Roman" w:hAnsi="Times New Roman" w:eastAsia="Times New Roman"/>
        </w:rPr>
      </w:pPr>
    </w:p>
    <w:p>
      <w:pPr>
        <w:spacing w:line="0" w:lineRule="atLeast"/>
        <w:ind w:left="4820"/>
        <w:rPr>
          <w:sz w:val="22"/>
        </w:rPr>
      </w:pPr>
      <w:r>
        <w:rPr>
          <w:sz w:val="22"/>
        </w:rPr>
        <w:t>xcv</w:t>
      </w:r>
    </w:p>
    <w:p>
      <w:pPr>
        <w:spacing w:line="0" w:lineRule="atLeast"/>
        <w:ind w:left="48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7" w:name="page96"/>
      <w:bookmarkEnd w:id="87"/>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Finley, J. N. (2004). Does environmental exposure to Manganese pose a health risk to healthy adults? </w:t>
      </w:r>
      <w:r>
        <w:rPr>
          <w:rFonts w:ascii="Times New Roman" w:hAnsi="Times New Roman" w:eastAsia="Times New Roman"/>
          <w:i/>
          <w:sz w:val="24"/>
        </w:rPr>
        <w:t>Nutr. Rev.,</w:t>
      </w:r>
      <w:r>
        <w:rPr>
          <w:rFonts w:ascii="Times New Roman" w:hAnsi="Times New Roman" w:eastAsia="Times New Roman"/>
          <w:sz w:val="24"/>
        </w:rPr>
        <w:t xml:space="preserve"> 62, 148-153.</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Foran, M., Strickland, F., Perkins, K., Smith, J. A. (2011). Excessive Intraoperative Bleeding With Chronic Energy Drink Consumption. </w:t>
      </w:r>
      <w:r>
        <w:rPr>
          <w:rFonts w:ascii="Times New Roman" w:hAnsi="Times New Roman" w:eastAsia="Times New Roman"/>
          <w:i/>
          <w:sz w:val="24"/>
        </w:rPr>
        <w:t>Journal of Oral and</w:t>
      </w:r>
      <w:r>
        <w:rPr>
          <w:rFonts w:ascii="Times New Roman" w:hAnsi="Times New Roman" w:eastAsia="Times New Roman"/>
          <w:sz w:val="24"/>
        </w:rPr>
        <w:t xml:space="preserve"> </w:t>
      </w:r>
      <w:r>
        <w:rPr>
          <w:rFonts w:ascii="Times New Roman" w:hAnsi="Times New Roman" w:eastAsia="Times New Roman"/>
          <w:i/>
          <w:sz w:val="24"/>
        </w:rPr>
        <w:t xml:space="preserve">Maxillofacial Surgery, </w:t>
      </w:r>
      <w:r>
        <w:rPr>
          <w:rFonts w:ascii="Times New Roman" w:hAnsi="Times New Roman" w:eastAsia="Times New Roman"/>
          <w:sz w:val="24"/>
        </w:rPr>
        <w:t>1-3.</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Fotherby, M. D. and Potter J. F. (1992). Potassium Supplementation Reduces Clinic and Ambulatory Blood Pressure in Elderly Hypertensive Patients. </w:t>
      </w:r>
      <w:r>
        <w:rPr>
          <w:rFonts w:ascii="Times New Roman" w:hAnsi="Times New Roman" w:eastAsia="Times New Roman"/>
          <w:i/>
          <w:sz w:val="24"/>
        </w:rPr>
        <w:t>J Hypertension.</w:t>
      </w:r>
      <w:r>
        <w:rPr>
          <w:rFonts w:ascii="Times New Roman" w:hAnsi="Times New Roman" w:eastAsia="Times New Roman"/>
          <w:sz w:val="24"/>
        </w:rPr>
        <w:t xml:space="preserve"> 10: 1403-8.</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Fraga, C. G. and Oteiza, P. I. (2002). Iron toxicity and antioxidant nutrients. </w:t>
      </w:r>
      <w:r>
        <w:rPr>
          <w:rFonts w:ascii="Times New Roman" w:hAnsi="Times New Roman" w:eastAsia="Times New Roman"/>
          <w:i/>
          <w:sz w:val="24"/>
        </w:rPr>
        <w:t>Toxicology</w:t>
      </w:r>
      <w:r>
        <w:rPr>
          <w:rFonts w:ascii="Times New Roman" w:hAnsi="Times New Roman" w:eastAsia="Times New Roman"/>
          <w:sz w:val="24"/>
        </w:rPr>
        <w:t xml:space="preserve"> 180, 23–32.</w:t>
      </w:r>
    </w:p>
    <w:p>
      <w:pPr>
        <w:spacing w:line="213"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FSPB (Food Safety Production Board) (2010). </w:t>
      </w:r>
      <w:r>
        <w:rPr>
          <w:rFonts w:ascii="Times New Roman" w:hAnsi="Times New Roman" w:eastAsia="Times New Roman"/>
          <w:i/>
          <w:sz w:val="24"/>
        </w:rPr>
        <w:t>A review of Health Effects of Stimulated</w:t>
      </w:r>
      <w:r>
        <w:rPr>
          <w:rFonts w:ascii="Times New Roman" w:hAnsi="Times New Roman" w:eastAsia="Times New Roman"/>
          <w:sz w:val="24"/>
        </w:rPr>
        <w:t xml:space="preserve"> </w:t>
      </w:r>
      <w:r>
        <w:rPr>
          <w:rFonts w:ascii="Times New Roman" w:hAnsi="Times New Roman" w:eastAsia="Times New Roman"/>
          <w:i/>
          <w:sz w:val="24"/>
        </w:rPr>
        <w:t xml:space="preserve">Drinks. </w:t>
      </w:r>
      <w:r>
        <w:rPr>
          <w:rFonts w:ascii="Times New Roman" w:hAnsi="Times New Roman" w:eastAsia="Times New Roman"/>
          <w:sz w:val="24"/>
        </w:rPr>
        <w:t>Final report. Republic of Ireland. Pp 1-40</w:t>
      </w:r>
    </w:p>
    <w:p>
      <w:pPr>
        <w:spacing w:line="214"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Genkinger, J. M., Li, R., Spiegelman, D. (2012). Coffee, tea, and sugar-sweetened carbonated soft drink intake and pancreatic cancer risk: a pooled analysis of 14 cohort studies. </w:t>
      </w:r>
      <w:r>
        <w:rPr>
          <w:rFonts w:ascii="Times New Roman" w:hAnsi="Times New Roman" w:eastAsia="Times New Roman"/>
          <w:i/>
          <w:sz w:val="24"/>
        </w:rPr>
        <w:t>Cancer Epidemiol Biomarkers Prev</w:t>
      </w:r>
      <w:r>
        <w:rPr>
          <w:rFonts w:ascii="Times New Roman" w:hAnsi="Times New Roman" w:eastAsia="Times New Roman"/>
          <w:sz w:val="24"/>
        </w:rPr>
        <w:t>, 21.2:305 - 318.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Gill, T. P., Rangan, A. M. and Webb K. L. (2006). The weight of evidence suggest that soft drinks are major issues in childhood and adolescent obesity. </w:t>
      </w:r>
      <w:r>
        <w:rPr>
          <w:rFonts w:ascii="Times New Roman" w:hAnsi="Times New Roman" w:eastAsia="Times New Roman"/>
          <w:i/>
          <w:sz w:val="24"/>
        </w:rPr>
        <w:t>Medical journal</w:t>
      </w:r>
      <w:r>
        <w:rPr>
          <w:rFonts w:ascii="Times New Roman" w:hAnsi="Times New Roman" w:eastAsia="Times New Roman"/>
          <w:sz w:val="24"/>
        </w:rPr>
        <w:t xml:space="preserve"> </w:t>
      </w:r>
      <w:r>
        <w:rPr>
          <w:rFonts w:ascii="Times New Roman" w:hAnsi="Times New Roman" w:eastAsia="Times New Roman"/>
          <w:i/>
          <w:sz w:val="24"/>
        </w:rPr>
        <w:t xml:space="preserve">of Australia. </w:t>
      </w:r>
      <w:r>
        <w:rPr>
          <w:rFonts w:ascii="Times New Roman" w:hAnsi="Times New Roman" w:eastAsia="Times New Roman"/>
          <w:sz w:val="24"/>
        </w:rPr>
        <w:t>184(6): 263-4.</w:t>
      </w:r>
    </w:p>
    <w:p>
      <w:pPr>
        <w:spacing w:line="200" w:lineRule="exact"/>
        <w:rPr>
          <w:rFonts w:ascii="Times New Roman" w:hAnsi="Times New Roman" w:eastAsia="Times New Roman"/>
        </w:rPr>
      </w:pPr>
    </w:p>
    <w:p>
      <w:pPr>
        <w:spacing w:line="287"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Glinsmann, W. H., Irausquin, H., Park, Y. K. (1986). Evaluation of health aspects of sugars contained in carbohydrate sweeteners. Report of Sugars Task Force. </w:t>
      </w:r>
      <w:r>
        <w:rPr>
          <w:rFonts w:ascii="Times New Roman" w:hAnsi="Times New Roman" w:eastAsia="Times New Roman"/>
          <w:i/>
          <w:sz w:val="24"/>
        </w:rPr>
        <w:t>J Nutr</w:t>
      </w:r>
      <w:r>
        <w:rPr>
          <w:rFonts w:ascii="Times New Roman" w:hAnsi="Times New Roman" w:eastAsia="Times New Roman"/>
          <w:sz w:val="24"/>
        </w:rPr>
        <w:t xml:space="preserve"> 116:S1–S216.</w:t>
      </w:r>
    </w:p>
    <w:p>
      <w:pPr>
        <w:spacing w:line="218"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Goerss, A. L., Wagner, G. C. and Hill, W. L. (2000). Acute effects of aspartame on aggression and neuro chemistry of rats. </w:t>
      </w:r>
      <w:r>
        <w:rPr>
          <w:rFonts w:ascii="Times New Roman" w:hAnsi="Times New Roman" w:eastAsia="Times New Roman"/>
          <w:i/>
          <w:sz w:val="24"/>
        </w:rPr>
        <w:t>Life Sci</w:t>
      </w:r>
      <w:r>
        <w:rPr>
          <w:rFonts w:ascii="Times New Roman" w:hAnsi="Times New Roman" w:eastAsia="Times New Roman"/>
          <w:sz w:val="24"/>
        </w:rPr>
        <w:t>. 67: 1325–1329.</w:t>
      </w:r>
    </w:p>
    <w:p>
      <w:pPr>
        <w:spacing w:line="290" w:lineRule="exact"/>
        <w:rPr>
          <w:rFonts w:ascii="Times New Roman" w:hAnsi="Times New Roman" w:eastAsia="Times New Roman"/>
        </w:rPr>
      </w:pPr>
    </w:p>
    <w:p>
      <w:pPr>
        <w:spacing w:line="236"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Gombos, K., Varjas, T., Orsós, Z., Polyák, E., Peredi, J., Varga, Z., Nowrasteh, G., Mucsi, G. and Ember, I. (2007). The effect of aspartame administration on oncogene and suppressor gene expressions. </w:t>
      </w:r>
      <w:r>
        <w:rPr>
          <w:rFonts w:ascii="Times New Roman" w:hAnsi="Times New Roman" w:eastAsia="Times New Roman"/>
          <w:i/>
          <w:sz w:val="24"/>
        </w:rPr>
        <w:t>In Vivo</w:t>
      </w:r>
      <w:r>
        <w:rPr>
          <w:rFonts w:ascii="Times New Roman" w:hAnsi="Times New Roman" w:eastAsia="Times New Roman"/>
          <w:sz w:val="24"/>
        </w:rPr>
        <w:t xml:space="preserve"> 21: 89–92.</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Gougeon, R., Spidel, M., Lee, K., and Field, C. J. (2004). Canadian diabetes association national nutrition committee technical review: Non-nutritive intense sweeteners in diabetes management. </w:t>
      </w:r>
      <w:r>
        <w:rPr>
          <w:rFonts w:ascii="Times New Roman" w:hAnsi="Times New Roman" w:eastAsia="Times New Roman"/>
          <w:i/>
          <w:sz w:val="24"/>
        </w:rPr>
        <w:t>Canadian Journal of Diabetes</w:t>
      </w:r>
      <w:r>
        <w:rPr>
          <w:rFonts w:ascii="Times New Roman" w:hAnsi="Times New Roman" w:eastAsia="Times New Roman"/>
          <w:sz w:val="24"/>
        </w:rPr>
        <w:t xml:space="preserve"> 28: 385–399.</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Graham, T. E. (2001). Caffeine and exercise: metabolism, endurance and performance.</w:t>
      </w:r>
    </w:p>
    <w:p>
      <w:pPr>
        <w:spacing w:line="237" w:lineRule="auto"/>
        <w:ind w:left="1380"/>
        <w:rPr>
          <w:rFonts w:ascii="Times New Roman" w:hAnsi="Times New Roman" w:eastAsia="Times New Roman"/>
          <w:sz w:val="24"/>
        </w:rPr>
      </w:pPr>
      <w:r>
        <w:rPr>
          <w:rFonts w:ascii="Times New Roman" w:hAnsi="Times New Roman" w:eastAsia="Times New Roman"/>
          <w:i/>
          <w:sz w:val="24"/>
        </w:rPr>
        <w:t>Sports Med</w:t>
      </w:r>
      <w:r>
        <w:rPr>
          <w:rFonts w:ascii="Times New Roman" w:hAnsi="Times New Roman" w:eastAsia="Times New Roman"/>
          <w:sz w:val="24"/>
        </w:rPr>
        <w:t>, 31: 785–807.</w:t>
      </w:r>
    </w:p>
    <w:p>
      <w:pPr>
        <w:spacing w:line="28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Gunter, T. E., Miller, L. M., Gavin, C. E., Eliseev, R., Salter, J., Buntinas, L., Alexandrov, A., Hammond, S. Gunter, K. K. (2004). Determination of oxidation state of manganese in brain, liver, heart mitochondria. </w:t>
      </w:r>
      <w:r>
        <w:rPr>
          <w:rFonts w:ascii="Times New Roman" w:hAnsi="Times New Roman" w:eastAsia="Times New Roman"/>
          <w:i/>
          <w:sz w:val="24"/>
        </w:rPr>
        <w:t>J. neurochem.,</w:t>
      </w:r>
      <w:r>
        <w:rPr>
          <w:rFonts w:ascii="Times New Roman" w:hAnsi="Times New Roman" w:eastAsia="Times New Roman"/>
          <w:sz w:val="24"/>
        </w:rPr>
        <w:t xml:space="preserve"> 88: 266-280.</w:t>
      </w:r>
    </w:p>
    <w:p>
      <w:pPr>
        <w:spacing w:line="200" w:lineRule="exact"/>
        <w:rPr>
          <w:rFonts w:ascii="Times New Roman" w:hAnsi="Times New Roman" w:eastAsia="Times New Roman"/>
        </w:rPr>
      </w:pPr>
    </w:p>
    <w:p>
      <w:pPr>
        <w:spacing w:line="282" w:lineRule="exact"/>
        <w:rPr>
          <w:rFonts w:ascii="Times New Roman" w:hAnsi="Times New Roman" w:eastAsia="Times New Roman"/>
        </w:rPr>
      </w:pPr>
    </w:p>
    <w:p>
      <w:pPr>
        <w:spacing w:line="0" w:lineRule="atLeast"/>
        <w:ind w:left="4800"/>
        <w:rPr>
          <w:sz w:val="22"/>
        </w:rPr>
      </w:pPr>
      <w:r>
        <w:rPr>
          <w:sz w:val="22"/>
        </w:rPr>
        <w:t>xcvi</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88" w:name="page97"/>
      <w:bookmarkEnd w:id="88"/>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Hamilton, I. M., Gilmore, W. S., Strain, J. J., (2000). Marginal copper deficiency and atherosclerosis. </w:t>
      </w:r>
      <w:r>
        <w:rPr>
          <w:rFonts w:ascii="Times New Roman" w:hAnsi="Times New Roman" w:eastAsia="Times New Roman"/>
          <w:i/>
          <w:sz w:val="24"/>
        </w:rPr>
        <w:t>Biol. Trace Elem. Res</w:t>
      </w:r>
      <w:r>
        <w:rPr>
          <w:rFonts w:ascii="Times New Roman" w:hAnsi="Times New Roman" w:eastAsia="Times New Roman"/>
          <w:sz w:val="24"/>
        </w:rPr>
        <w:t>. 78: 179–189.</w:t>
      </w:r>
    </w:p>
    <w:p>
      <w:pPr>
        <w:spacing w:line="290" w:lineRule="exact"/>
        <w:rPr>
          <w:rFonts w:ascii="Times New Roman" w:hAnsi="Times New Roman" w:eastAsia="Times New Roman"/>
        </w:rPr>
      </w:pPr>
    </w:p>
    <w:p>
      <w:pPr>
        <w:spacing w:line="236"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Hartley, T. R., Lovallo, W. R., Whitsett, T. L. (2004). Cardiovascular effects of caffeine in men and women. </w:t>
      </w:r>
      <w:r>
        <w:rPr>
          <w:rFonts w:ascii="Times New Roman" w:hAnsi="Times New Roman" w:eastAsia="Times New Roman"/>
          <w:i/>
          <w:sz w:val="24"/>
        </w:rPr>
        <w:t>Am J Cardiol,</w:t>
      </w:r>
      <w:r>
        <w:rPr>
          <w:rFonts w:ascii="Times New Roman" w:hAnsi="Times New Roman" w:eastAsia="Times New Roman"/>
          <w:sz w:val="24"/>
        </w:rPr>
        <w:t xml:space="preserve"> 93: 1022-6.</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i/>
          <w:sz w:val="24"/>
        </w:rPr>
      </w:pPr>
      <w:r>
        <w:rPr>
          <w:rFonts w:ascii="Times New Roman" w:hAnsi="Times New Roman" w:eastAsia="Times New Roman"/>
          <w:sz w:val="24"/>
        </w:rPr>
        <w:t xml:space="preserve">Haschemeyer, R. H. and Haschemeyer, A. E. V. (1973). </w:t>
      </w:r>
      <w:r>
        <w:rPr>
          <w:rFonts w:ascii="Times New Roman" w:hAnsi="Times New Roman" w:eastAsia="Times New Roman"/>
          <w:i/>
          <w:sz w:val="24"/>
        </w:rPr>
        <w:t>Proteins: A guide to study by</w:t>
      </w:r>
    </w:p>
    <w:p>
      <w:pPr>
        <w:spacing w:line="237" w:lineRule="auto"/>
        <w:ind w:left="1380"/>
        <w:rPr>
          <w:rFonts w:ascii="Times New Roman" w:hAnsi="Times New Roman" w:eastAsia="Times New Roman"/>
          <w:sz w:val="24"/>
        </w:rPr>
      </w:pPr>
      <w:r>
        <w:rPr>
          <w:rFonts w:ascii="Times New Roman" w:hAnsi="Times New Roman" w:eastAsia="Times New Roman"/>
          <w:i/>
          <w:sz w:val="24"/>
        </w:rPr>
        <w:t xml:space="preserve">physical and chemical methods </w:t>
      </w:r>
      <w:r>
        <w:rPr>
          <w:rFonts w:ascii="Times New Roman" w:hAnsi="Times New Roman" w:eastAsia="Times New Roman"/>
          <w:sz w:val="24"/>
        </w:rPr>
        <w:t>vol I (New York: John Wiley and Sons) pp 1–30</w:t>
      </w:r>
    </w:p>
    <w:p>
      <w:pPr>
        <w:spacing w:line="289"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Hasegawa, N. and Mori, M. (2000). Effect of powdered green tea and its caffeine content on lipogenesis and lipolysis in 3T3-L1 cell. </w:t>
      </w:r>
      <w:r>
        <w:rPr>
          <w:rFonts w:ascii="Times New Roman" w:hAnsi="Times New Roman" w:eastAsia="Times New Roman"/>
          <w:i/>
          <w:sz w:val="24"/>
        </w:rPr>
        <w:t>J Health Sci</w:t>
      </w:r>
      <w:r>
        <w:rPr>
          <w:rFonts w:ascii="Times New Roman" w:hAnsi="Times New Roman" w:eastAsia="Times New Roman"/>
          <w:sz w:val="24"/>
        </w:rPr>
        <w:t xml:space="preserve"> 46: 153–5.</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Hawkes, C. (2010). The worldwide battle against soft drinks in school. </w:t>
      </w:r>
      <w:r>
        <w:rPr>
          <w:rFonts w:ascii="Times New Roman" w:hAnsi="Times New Roman" w:eastAsia="Times New Roman"/>
          <w:i/>
          <w:sz w:val="24"/>
        </w:rPr>
        <w:t>Medical journal of</w:t>
      </w:r>
      <w:r>
        <w:rPr>
          <w:rFonts w:ascii="Times New Roman" w:hAnsi="Times New Roman" w:eastAsia="Times New Roman"/>
          <w:sz w:val="24"/>
        </w:rPr>
        <w:t xml:space="preserve"> </w:t>
      </w:r>
      <w:r>
        <w:rPr>
          <w:rFonts w:ascii="Times New Roman" w:hAnsi="Times New Roman" w:eastAsia="Times New Roman"/>
          <w:i/>
          <w:sz w:val="24"/>
        </w:rPr>
        <w:t xml:space="preserve">preventive medicine. </w:t>
      </w:r>
      <w:r>
        <w:rPr>
          <w:rFonts w:ascii="Times New Roman" w:hAnsi="Times New Roman" w:eastAsia="Times New Roman"/>
          <w:sz w:val="24"/>
        </w:rPr>
        <w:t>38(4): 457-61.</w:t>
      </w:r>
    </w:p>
    <w:p>
      <w:pPr>
        <w:spacing w:line="290" w:lineRule="exact"/>
        <w:rPr>
          <w:rFonts w:ascii="Times New Roman" w:hAnsi="Times New Roman" w:eastAsia="Times New Roman"/>
        </w:rPr>
      </w:pPr>
    </w:p>
    <w:p>
      <w:pPr>
        <w:tabs>
          <w:tab w:val="left" w:pos="1360"/>
        </w:tabs>
        <w:spacing w:line="236" w:lineRule="auto"/>
        <w:ind w:left="1380" w:hanging="810"/>
        <w:jc w:val="both"/>
        <w:rPr>
          <w:rFonts w:ascii="Times New Roman" w:hAnsi="Times New Roman" w:eastAsia="Times New Roman"/>
          <w:sz w:val="24"/>
        </w:rPr>
      </w:pPr>
      <w:r>
        <w:rPr>
          <w:rFonts w:ascii="Times New Roman" w:hAnsi="Times New Roman" w:eastAsia="Times New Roman"/>
          <w:sz w:val="24"/>
        </w:rPr>
        <w:t>Health</w:t>
      </w:r>
      <w:r>
        <w:rPr>
          <w:rFonts w:ascii="Times New Roman" w:hAnsi="Times New Roman" w:eastAsia="Times New Roman"/>
          <w:sz w:val="24"/>
        </w:rPr>
        <w:tab/>
      </w:r>
      <w:r>
        <w:rPr>
          <w:rFonts w:ascii="Times New Roman" w:hAnsi="Times New Roman" w:eastAsia="Times New Roman"/>
          <w:sz w:val="24"/>
        </w:rPr>
        <w:t xml:space="preserve">Canada. (2010). </w:t>
      </w:r>
      <w:r>
        <w:rPr>
          <w:rFonts w:ascii="Times New Roman" w:hAnsi="Times New Roman" w:eastAsia="Times New Roman"/>
          <w:i/>
          <w:sz w:val="24"/>
        </w:rPr>
        <w:t>Caffeine</w:t>
      </w:r>
      <w:r>
        <w:rPr>
          <w:rFonts w:ascii="Times New Roman" w:hAnsi="Times New Roman" w:eastAsia="Times New Roman"/>
          <w:sz w:val="24"/>
        </w:rPr>
        <w:t>. Retrieved from: http://www.hc-sc.gc.ca/hl-vs/iyh-vsv/food-aliment/caffeine-eng.php</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Heckman,</w:t>
      </w:r>
      <w:r>
        <w:rPr>
          <w:rFonts w:ascii="Times New Roman" w:hAnsi="Times New Roman" w:eastAsia="Times New Roman"/>
        </w:rPr>
        <w:t xml:space="preserve"> </w:t>
      </w:r>
      <w:r>
        <w:rPr>
          <w:rFonts w:ascii="Times New Roman" w:hAnsi="Times New Roman" w:eastAsia="Times New Roman"/>
          <w:sz w:val="24"/>
        </w:rPr>
        <w:t xml:space="preserve">M. A., Weil, J., Gonzalez de Mejia, E., (2010). Caffeine (1, 3, 7-trimethylxanthine) in foods: a comprehensive review on consumption, functionality, safety, and regulatory matters. </w:t>
      </w:r>
      <w:r>
        <w:rPr>
          <w:rFonts w:ascii="Times New Roman" w:hAnsi="Times New Roman" w:eastAsia="Times New Roman"/>
          <w:i/>
          <w:sz w:val="24"/>
        </w:rPr>
        <w:t>J. Food Sci.</w:t>
      </w:r>
      <w:r>
        <w:rPr>
          <w:rFonts w:ascii="Times New Roman" w:hAnsi="Times New Roman" w:eastAsia="Times New Roman"/>
          <w:sz w:val="24"/>
        </w:rPr>
        <w:t xml:space="preserve"> 75: R77–R87.</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Hodgson, J. M., Burke, V., Puddey, I. B. (2005). Acute effects of tea on fasting and postprandial vascular function and blood pressure in humans. </w:t>
      </w:r>
      <w:r>
        <w:rPr>
          <w:rFonts w:ascii="Times New Roman" w:hAnsi="Times New Roman" w:eastAsia="Times New Roman"/>
          <w:i/>
          <w:sz w:val="24"/>
        </w:rPr>
        <w:t>J Hypertens,</w:t>
      </w:r>
      <w:r>
        <w:rPr>
          <w:rFonts w:ascii="Times New Roman" w:hAnsi="Times New Roman" w:eastAsia="Times New Roman"/>
          <w:sz w:val="24"/>
        </w:rPr>
        <w:t xml:space="preserve"> 23: 47-54.</w:t>
      </w:r>
    </w:p>
    <w:p>
      <w:pPr>
        <w:spacing w:line="290" w:lineRule="exact"/>
        <w:rPr>
          <w:rFonts w:ascii="Times New Roman" w:hAnsi="Times New Roman" w:eastAsia="Times New Roman"/>
        </w:rPr>
      </w:pPr>
    </w:p>
    <w:p>
      <w:pPr>
        <w:tabs>
          <w:tab w:val="left" w:pos="1360"/>
        </w:tabs>
        <w:spacing w:line="236" w:lineRule="auto"/>
        <w:ind w:left="1380" w:hanging="810"/>
        <w:jc w:val="both"/>
        <w:rPr>
          <w:rFonts w:ascii="Times New Roman" w:hAnsi="Times New Roman" w:eastAsia="Times New Roman"/>
          <w:sz w:val="24"/>
        </w:rPr>
      </w:pPr>
      <w:r>
        <w:rPr>
          <w:rFonts w:ascii="Times New Roman" w:hAnsi="Times New Roman" w:eastAsia="Times New Roman"/>
          <w:sz w:val="24"/>
        </w:rPr>
        <w:t>Homler,</w:t>
      </w:r>
      <w:r>
        <w:rPr>
          <w:rFonts w:ascii="Times New Roman" w:hAnsi="Times New Roman" w:eastAsia="Times New Roman"/>
          <w:sz w:val="24"/>
        </w:rPr>
        <w:tab/>
      </w:r>
      <w:r>
        <w:rPr>
          <w:rFonts w:ascii="Times New Roman" w:hAnsi="Times New Roman" w:eastAsia="Times New Roman"/>
          <w:sz w:val="24"/>
        </w:rPr>
        <w:t xml:space="preserve">J. (1984). Aspartame: implications for the food scientist. In: Aspartame. Physiology and biochemistry. Eds Stegink .L D. and Filer L. </w:t>
      </w:r>
      <w:r>
        <w:rPr>
          <w:rFonts w:ascii="Times New Roman" w:hAnsi="Times New Roman" w:eastAsia="Times New Roman"/>
          <w:i/>
          <w:sz w:val="24"/>
        </w:rPr>
        <w:t>J. Jr. Marcel Dekker</w:t>
      </w:r>
      <w:r>
        <w:rPr>
          <w:rFonts w:ascii="Times New Roman" w:hAnsi="Times New Roman" w:eastAsia="Times New Roman"/>
          <w:sz w:val="24"/>
        </w:rPr>
        <w:t xml:space="preserve"> </w:t>
      </w:r>
      <w:r>
        <w:rPr>
          <w:rFonts w:ascii="Times New Roman" w:hAnsi="Times New Roman" w:eastAsia="Times New Roman"/>
          <w:i/>
          <w:sz w:val="24"/>
        </w:rPr>
        <w:t xml:space="preserve">Inc, New York, </w:t>
      </w:r>
      <w:r>
        <w:rPr>
          <w:rFonts w:ascii="Times New Roman" w:hAnsi="Times New Roman" w:eastAsia="Times New Roman"/>
          <w:sz w:val="24"/>
        </w:rPr>
        <w:t>USA. 247-262.</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Huxtable, R. J. (1992). Physiological actions of taurine. </w:t>
      </w:r>
      <w:r>
        <w:rPr>
          <w:rFonts w:ascii="Times New Roman" w:hAnsi="Times New Roman" w:eastAsia="Times New Roman"/>
          <w:i/>
          <w:sz w:val="24"/>
        </w:rPr>
        <w:t>Physiol Rev;</w:t>
      </w:r>
      <w:r>
        <w:rPr>
          <w:rFonts w:ascii="Times New Roman" w:hAnsi="Times New Roman" w:eastAsia="Times New Roman"/>
          <w:sz w:val="24"/>
        </w:rPr>
        <w:t xml:space="preserve"> 72:101–63.</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Imagawa, T. F., Hirano, I., Utsuki, K., Horie, M., Naka, A., Matsumoto, K., Imagawa, S. (2009). Caffeine and taurine enhance endurance performance. </w:t>
      </w:r>
      <w:r>
        <w:rPr>
          <w:rFonts w:ascii="Times New Roman" w:hAnsi="Times New Roman" w:eastAsia="Times New Roman"/>
          <w:i/>
          <w:sz w:val="24"/>
        </w:rPr>
        <w:t>Int J Sports Med</w:t>
      </w:r>
      <w:r>
        <w:rPr>
          <w:rFonts w:ascii="Times New Roman" w:hAnsi="Times New Roman" w:eastAsia="Times New Roman"/>
          <w:sz w:val="24"/>
        </w:rPr>
        <w:t>, 30: 485–8.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Institute of Medicine (2001). Food and Nutrition Board. Dietary Reference Intakes for Vitamin A, Vitamin K, Arsenic, Boron, Chromium, Copper, Iodine, Iron, Manganese, Molybdenum, Nickel, Silicon, Vanadium, and Zinc. Washington, DC: National Academy Press. Pp 7-30</w:t>
      </w:r>
    </w:p>
    <w:p>
      <w:pPr>
        <w:spacing w:line="280"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Iyadurai, S. J. and Chung, S. S. (2007). New-onset seizures in adults: possible association</w:t>
      </w:r>
    </w:p>
    <w:p>
      <w:pPr>
        <w:spacing w:line="2"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sz w:val="24"/>
        </w:rPr>
        <w:t xml:space="preserve">with consumption of popular energy drinks. </w:t>
      </w:r>
      <w:r>
        <w:rPr>
          <w:rFonts w:ascii="Times New Roman" w:hAnsi="Times New Roman" w:eastAsia="Times New Roman"/>
          <w:i/>
          <w:sz w:val="24"/>
        </w:rPr>
        <w:t>Epilepsy Behav</w:t>
      </w:r>
      <w:r>
        <w:rPr>
          <w:rFonts w:ascii="Times New Roman" w:hAnsi="Times New Roman" w:eastAsia="Times New Roman"/>
          <w:sz w:val="24"/>
        </w:rPr>
        <w:t>. 10(3): 504–508.</w:t>
      </w:r>
    </w:p>
    <w:p>
      <w:pPr>
        <w:spacing w:line="288"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Jacobson, M. (2005). Liquid candy: How soft drinks are harming American health. Center for science in the public interest. </w:t>
      </w:r>
      <w:r>
        <w:rPr>
          <w:rFonts w:ascii="Times New Roman" w:hAnsi="Times New Roman" w:eastAsia="Times New Roman"/>
          <w:i/>
          <w:sz w:val="24"/>
        </w:rPr>
        <w:t>J. Health Sci.</w:t>
      </w:r>
      <w:r>
        <w:rPr>
          <w:rFonts w:ascii="Times New Roman" w:hAnsi="Times New Roman" w:eastAsia="Times New Roman"/>
          <w:sz w:val="24"/>
        </w:rPr>
        <w:t xml:space="preserve"> 56-58.</w:t>
      </w:r>
    </w:p>
    <w:p>
      <w:pPr>
        <w:spacing w:line="200" w:lineRule="exact"/>
        <w:rPr>
          <w:rFonts w:ascii="Times New Roman" w:hAnsi="Times New Roman" w:eastAsia="Times New Roman"/>
        </w:rPr>
      </w:pPr>
    </w:p>
    <w:p>
      <w:pPr>
        <w:spacing w:line="253" w:lineRule="exact"/>
        <w:rPr>
          <w:rFonts w:ascii="Times New Roman" w:hAnsi="Times New Roman" w:eastAsia="Times New Roman"/>
        </w:rPr>
      </w:pPr>
    </w:p>
    <w:p>
      <w:pPr>
        <w:spacing w:line="0" w:lineRule="atLeast"/>
        <w:ind w:left="4780"/>
        <w:rPr>
          <w:sz w:val="22"/>
        </w:rPr>
      </w:pPr>
      <w:r>
        <w:rPr>
          <w:sz w:val="22"/>
        </w:rPr>
        <w:t>xcvii</w:t>
      </w:r>
    </w:p>
    <w:p>
      <w:pPr>
        <w:spacing w:line="0" w:lineRule="atLeast"/>
        <w:ind w:left="4780"/>
        <w:rPr>
          <w:sz w:val="22"/>
        </w:rPr>
        <w:sectPr>
          <w:pgSz w:w="12240" w:h="15840"/>
          <w:pgMar w:top="1440" w:right="1440" w:bottom="428" w:left="1440" w:header="0" w:footer="0" w:gutter="0"/>
          <w:cols w:equalWidth="0" w:num="1">
            <w:col w:w="9360"/>
          </w:cols>
          <w:docGrid w:linePitch="360" w:charSpace="0"/>
        </w:sectPr>
      </w:pPr>
    </w:p>
    <w:p>
      <w:pPr>
        <w:spacing w:line="276" w:lineRule="exact"/>
        <w:rPr>
          <w:rFonts w:ascii="Times New Roman" w:hAnsi="Times New Roman" w:eastAsia="Times New Roman"/>
        </w:rPr>
      </w:pPr>
      <w:bookmarkStart w:id="89" w:name="page98"/>
      <w:bookmarkEnd w:id="89"/>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James, J. E. (2004). Critical review of dietary caffeine and blood pressure: A relationship that should be taken more seriously. </w:t>
      </w:r>
      <w:r>
        <w:rPr>
          <w:rFonts w:ascii="Times New Roman" w:hAnsi="Times New Roman" w:eastAsia="Times New Roman"/>
          <w:i/>
          <w:sz w:val="24"/>
        </w:rPr>
        <w:t>Psychosom. Med</w:t>
      </w:r>
      <w:r>
        <w:rPr>
          <w:rFonts w:ascii="Times New Roman" w:hAnsi="Times New Roman" w:eastAsia="Times New Roman"/>
          <w:sz w:val="24"/>
        </w:rPr>
        <w:t>., 66:63–71.</w:t>
      </w:r>
    </w:p>
    <w:p>
      <w:pPr>
        <w:spacing w:line="291"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Jarup, L., Berglund, M. Elinder, C. Nordberg ,G. and Vahter, M. (1998). Health effects of cadmium exposure-a review of the literature and a risk estimate Scan</w:t>
      </w:r>
    </w:p>
    <w:p>
      <w:pPr>
        <w:spacing w:line="4"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i/>
          <w:sz w:val="24"/>
        </w:rPr>
        <w:t xml:space="preserve">.J.WorkEnviron.Health </w:t>
      </w:r>
      <w:r>
        <w:rPr>
          <w:rFonts w:ascii="Times New Roman" w:hAnsi="Times New Roman" w:eastAsia="Times New Roman"/>
          <w:sz w:val="24"/>
        </w:rPr>
        <w:t>24: 1-51.</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Jeganathan, P. S. and Namasivayam, A. (1998). Methanol induced biogenic amine changes in discrete areas of rat brain: Role of simultaneous ethanol administration. </w:t>
      </w:r>
      <w:r>
        <w:rPr>
          <w:rFonts w:ascii="Times New Roman" w:hAnsi="Times New Roman" w:eastAsia="Times New Roman"/>
          <w:i/>
          <w:sz w:val="24"/>
        </w:rPr>
        <w:t>Indian</w:t>
      </w:r>
      <w:r>
        <w:rPr>
          <w:rFonts w:ascii="Times New Roman" w:hAnsi="Times New Roman" w:eastAsia="Times New Roman"/>
          <w:sz w:val="24"/>
        </w:rPr>
        <w:t xml:space="preserve"> </w:t>
      </w:r>
      <w:r>
        <w:rPr>
          <w:rFonts w:ascii="Times New Roman" w:hAnsi="Times New Roman" w:eastAsia="Times New Roman"/>
          <w:i/>
          <w:sz w:val="24"/>
        </w:rPr>
        <w:t xml:space="preserve">J. Physiol. Pharmacol. </w:t>
      </w:r>
      <w:r>
        <w:rPr>
          <w:rFonts w:ascii="Times New Roman" w:hAnsi="Times New Roman" w:eastAsia="Times New Roman"/>
          <w:sz w:val="24"/>
        </w:rPr>
        <w:t>32: 1–10</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Jensdorttir, T., Arnadottir, B., Thordottir, I. Bardow, A. Gudmundsson, K. Theodor, A. and Holbrook, W. K. (2004). Relationship between dental erosion, soft drink consumption and gastro esophageal reflux among Icelanders. </w:t>
      </w:r>
      <w:r>
        <w:rPr>
          <w:rFonts w:ascii="Times New Roman" w:hAnsi="Times New Roman" w:eastAsia="Times New Roman"/>
          <w:i/>
          <w:sz w:val="24"/>
        </w:rPr>
        <w:t>Clinical oral</w:t>
      </w:r>
      <w:r>
        <w:rPr>
          <w:rFonts w:ascii="Times New Roman" w:hAnsi="Times New Roman" w:eastAsia="Times New Roman"/>
          <w:sz w:val="24"/>
        </w:rPr>
        <w:t xml:space="preserve"> </w:t>
      </w:r>
      <w:r>
        <w:rPr>
          <w:rFonts w:ascii="Times New Roman" w:hAnsi="Times New Roman" w:eastAsia="Times New Roman"/>
          <w:i/>
          <w:sz w:val="24"/>
        </w:rPr>
        <w:t xml:space="preserve">investigation. </w:t>
      </w:r>
      <w:r>
        <w:rPr>
          <w:rFonts w:ascii="Times New Roman" w:hAnsi="Times New Roman" w:eastAsia="Times New Roman"/>
          <w:sz w:val="24"/>
        </w:rPr>
        <w:t>8(2): 91-6.</w:t>
      </w:r>
    </w:p>
    <w:p>
      <w:pPr>
        <w:spacing w:line="293"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Johnson, R. K., Appel, L. J., Brands, M., (2009). Dietary sugars intake and cardiovascular health: a scientific statement from the American Heart Association. </w:t>
      </w:r>
      <w:r>
        <w:rPr>
          <w:rFonts w:ascii="Times New Roman" w:hAnsi="Times New Roman" w:eastAsia="Times New Roman"/>
          <w:i/>
          <w:sz w:val="24"/>
        </w:rPr>
        <w:t>Circulation.</w:t>
      </w:r>
      <w:r>
        <w:rPr>
          <w:rFonts w:ascii="Times New Roman" w:hAnsi="Times New Roman" w:eastAsia="Times New Roman"/>
          <w:sz w:val="24"/>
        </w:rPr>
        <w:t>; 120:1011-20.</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Kaminer,</w:t>
      </w:r>
      <w:r>
        <w:rPr>
          <w:rFonts w:ascii="Times New Roman" w:hAnsi="Times New Roman" w:eastAsia="Times New Roman"/>
        </w:rPr>
        <w:t xml:space="preserve"> </w:t>
      </w:r>
      <w:r>
        <w:rPr>
          <w:rFonts w:ascii="Times New Roman" w:hAnsi="Times New Roman" w:eastAsia="Times New Roman"/>
          <w:sz w:val="24"/>
        </w:rPr>
        <w:t xml:space="preserve">Y. (2010). Problematic use of energy drinks by adolescents. </w:t>
      </w:r>
      <w:r>
        <w:rPr>
          <w:rFonts w:ascii="Times New Roman" w:hAnsi="Times New Roman" w:eastAsia="Times New Roman"/>
          <w:i/>
          <w:sz w:val="24"/>
        </w:rPr>
        <w:t>Child and</w:t>
      </w:r>
      <w:r>
        <w:rPr>
          <w:rFonts w:ascii="Times New Roman" w:hAnsi="Times New Roman" w:eastAsia="Times New Roman"/>
          <w:sz w:val="24"/>
        </w:rPr>
        <w:t xml:space="preserve"> </w:t>
      </w:r>
      <w:r>
        <w:rPr>
          <w:rFonts w:ascii="Times New Roman" w:hAnsi="Times New Roman" w:eastAsia="Times New Roman"/>
          <w:i/>
          <w:sz w:val="24"/>
        </w:rPr>
        <w:t>Adolescent Psychiatric Clinics of North America</w:t>
      </w:r>
      <w:r>
        <w:rPr>
          <w:rFonts w:ascii="Times New Roman" w:hAnsi="Times New Roman" w:eastAsia="Times New Roman"/>
          <w:sz w:val="24"/>
        </w:rPr>
        <w:t>. 19(3): 643-650.</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Kanumakala, S., Boneh, A., and Zacharin, M., (2002). Pamidronate treatment improves bone mineral density in children with Menkes disease. </w:t>
      </w:r>
      <w:r>
        <w:rPr>
          <w:rFonts w:ascii="Times New Roman" w:hAnsi="Times New Roman" w:eastAsia="Times New Roman"/>
          <w:i/>
          <w:sz w:val="24"/>
        </w:rPr>
        <w:t>J. Inherit. Metab. Dis</w:t>
      </w:r>
      <w:r>
        <w:rPr>
          <w:rFonts w:ascii="Times New Roman" w:hAnsi="Times New Roman" w:eastAsia="Times New Roman"/>
          <w:sz w:val="24"/>
        </w:rPr>
        <w:t>. 25: 391–398.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Kaplan, G. B., Greenblatt, D. J., Ehrenberg, B. L., Goddard, J. E., Cotreau, M. M., Harmatz, J. S., and Shader, R. I. (1997). Dose-dependent, pharmacokinetics and psychomotor effects of caffeine in humans. Pp 608-620.</w:t>
      </w:r>
    </w:p>
    <w:p>
      <w:pPr>
        <w:spacing w:line="200" w:lineRule="exact"/>
        <w:rPr>
          <w:rFonts w:ascii="Times New Roman" w:hAnsi="Times New Roman" w:eastAsia="Times New Roman"/>
        </w:rPr>
      </w:pPr>
    </w:p>
    <w:p>
      <w:pPr>
        <w:spacing w:line="291"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Karatzis, E, Papaioannou, T. G, and Aznaouridis, K. (2005). Acute effects of caffeine on blood pressure and wave reflections in healthy subjects: should we consider morning central blood pressure? </w:t>
      </w:r>
      <w:r>
        <w:rPr>
          <w:rFonts w:ascii="Times New Roman" w:hAnsi="Times New Roman" w:eastAsia="Times New Roman"/>
          <w:i/>
          <w:sz w:val="24"/>
        </w:rPr>
        <w:t>Int J Cardiol,</w:t>
      </w:r>
      <w:r>
        <w:rPr>
          <w:rFonts w:ascii="Times New Roman" w:hAnsi="Times New Roman" w:eastAsia="Times New Roman"/>
          <w:sz w:val="24"/>
        </w:rPr>
        <w:t xml:space="preserve"> 98: 425-30.</w:t>
      </w:r>
    </w:p>
    <w:p>
      <w:pPr>
        <w:spacing w:line="286"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Kennedy D. O., and Scholey, A. B. (2004). A glucose-caffeine 'energy drink' ameliorates subjective and performance deficits during prolonged cognitive demand. </w:t>
      </w:r>
      <w:r>
        <w:rPr>
          <w:rFonts w:ascii="Times New Roman" w:hAnsi="Times New Roman" w:eastAsia="Times New Roman"/>
          <w:i/>
          <w:sz w:val="24"/>
        </w:rPr>
        <w:t>Appetite</w:t>
      </w:r>
      <w:r>
        <w:rPr>
          <w:rFonts w:ascii="Times New Roman" w:hAnsi="Times New Roman" w:eastAsia="Times New Roman"/>
          <w:sz w:val="24"/>
        </w:rPr>
        <w:t>; 42: 331-3.</w:t>
      </w:r>
    </w:p>
    <w:p>
      <w:pPr>
        <w:spacing w:line="290" w:lineRule="exact"/>
        <w:rPr>
          <w:rFonts w:ascii="Times New Roman" w:hAnsi="Times New Roman" w:eastAsia="Times New Roman"/>
        </w:rPr>
      </w:pPr>
    </w:p>
    <w:p>
      <w:pPr>
        <w:tabs>
          <w:tab w:val="left" w:pos="1340"/>
        </w:tabs>
        <w:spacing w:line="235" w:lineRule="auto"/>
        <w:ind w:left="1360" w:hanging="810"/>
        <w:jc w:val="both"/>
        <w:rPr>
          <w:rFonts w:ascii="Times New Roman" w:hAnsi="Times New Roman" w:eastAsia="Times New Roman"/>
          <w:sz w:val="24"/>
        </w:rPr>
      </w:pPr>
      <w:r>
        <w:rPr>
          <w:rFonts w:ascii="Times New Roman" w:hAnsi="Times New Roman" w:eastAsia="Times New Roman"/>
          <w:sz w:val="24"/>
        </w:rPr>
        <w:t>Khaw,</w:t>
      </w:r>
      <w:r>
        <w:rPr>
          <w:rFonts w:ascii="Times New Roman" w:hAnsi="Times New Roman" w:eastAsia="Times New Roman"/>
          <w:sz w:val="24"/>
        </w:rPr>
        <w:tab/>
      </w:r>
      <w:r>
        <w:rPr>
          <w:rFonts w:ascii="Times New Roman" w:hAnsi="Times New Roman" w:eastAsia="Times New Roman"/>
          <w:sz w:val="24"/>
        </w:rPr>
        <w:t xml:space="preserve">K. T., Barrett-Connor. (1984). Dietary Potassium and Blood Pressure in a Population. </w:t>
      </w:r>
      <w:r>
        <w:rPr>
          <w:rFonts w:ascii="Times New Roman" w:hAnsi="Times New Roman" w:eastAsia="Times New Roman"/>
          <w:i/>
          <w:sz w:val="24"/>
        </w:rPr>
        <w:t>Am J. Clin. Nutr.</w:t>
      </w:r>
      <w:r>
        <w:rPr>
          <w:rFonts w:ascii="Times New Roman" w:hAnsi="Times New Roman" w:eastAsia="Times New Roman"/>
          <w:sz w:val="24"/>
        </w:rPr>
        <w:t xml:space="preserve"> 39: 963-68</w:t>
      </w:r>
    </w:p>
    <w:p>
      <w:pPr>
        <w:spacing w:line="290" w:lineRule="exact"/>
        <w:rPr>
          <w:rFonts w:ascii="Times New Roman" w:hAnsi="Times New Roman" w:eastAsia="Times New Roman"/>
        </w:rPr>
      </w:pPr>
    </w:p>
    <w:p>
      <w:pPr>
        <w:spacing w:line="0" w:lineRule="atLeast"/>
        <w:ind w:left="1380" w:hanging="810"/>
        <w:jc w:val="both"/>
        <w:rPr>
          <w:rFonts w:ascii="Times New Roman" w:hAnsi="Times New Roman" w:eastAsia="Times New Roman"/>
          <w:sz w:val="24"/>
        </w:rPr>
      </w:pPr>
      <w:r>
        <w:rPr>
          <w:rFonts w:ascii="Times New Roman" w:hAnsi="Times New Roman" w:eastAsia="Times New Roman"/>
          <w:sz w:val="24"/>
        </w:rPr>
        <w:t>Krachler, B., Eliasson, M., Stenlund, H., Johansson, I., Hallmans,</w:t>
      </w:r>
      <w:r>
        <w:rPr>
          <w:rFonts w:ascii="Times New Roman" w:hAnsi="Times New Roman" w:eastAsia="Times New Roman"/>
        </w:rPr>
        <w:t xml:space="preserve"> </w:t>
      </w:r>
      <w:r>
        <w:rPr>
          <w:rFonts w:ascii="Times New Roman" w:hAnsi="Times New Roman" w:eastAsia="Times New Roman"/>
          <w:sz w:val="24"/>
        </w:rPr>
        <w:t xml:space="preserve">G. and Lindahl, B. (2006). Reported intake and distribution of body fat: A repeated cross section study. </w:t>
      </w:r>
      <w:r>
        <w:rPr>
          <w:rFonts w:ascii="Times New Roman" w:hAnsi="Times New Roman" w:eastAsia="Times New Roman"/>
          <w:i/>
          <w:sz w:val="24"/>
        </w:rPr>
        <w:t>Nutrition Journal.</w:t>
      </w:r>
      <w:r>
        <w:rPr>
          <w:rFonts w:ascii="Times New Roman" w:hAnsi="Times New Roman" w:eastAsia="Times New Roman"/>
          <w:sz w:val="24"/>
        </w:rPr>
        <w:t xml:space="preserve"> 5: 34.</w:t>
      </w:r>
    </w:p>
    <w:p>
      <w:pPr>
        <w:spacing w:line="200" w:lineRule="exact"/>
        <w:rPr>
          <w:rFonts w:ascii="Times New Roman" w:hAnsi="Times New Roman" w:eastAsia="Times New Roman"/>
        </w:rPr>
      </w:pPr>
    </w:p>
    <w:p>
      <w:pPr>
        <w:spacing w:line="313" w:lineRule="exact"/>
        <w:rPr>
          <w:rFonts w:ascii="Times New Roman" w:hAnsi="Times New Roman" w:eastAsia="Times New Roman"/>
        </w:rPr>
      </w:pPr>
    </w:p>
    <w:p>
      <w:pPr>
        <w:spacing w:line="0" w:lineRule="atLeast"/>
        <w:ind w:left="4740"/>
        <w:rPr>
          <w:sz w:val="22"/>
        </w:rPr>
      </w:pPr>
      <w:r>
        <w:rPr>
          <w:sz w:val="22"/>
        </w:rPr>
        <w:t>xcviii</w:t>
      </w:r>
    </w:p>
    <w:p>
      <w:pPr>
        <w:spacing w:line="0" w:lineRule="atLeast"/>
        <w:ind w:left="474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90" w:name="page99"/>
      <w:bookmarkEnd w:id="90"/>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Krejpcio, Z., Sıonkowski, S., Bartela, J. (2005). Safety of fresh fruits and juices available on the Polish market as determined by heavy metal residues. </w:t>
      </w:r>
      <w:r>
        <w:rPr>
          <w:rFonts w:ascii="Times New Roman" w:hAnsi="Times New Roman" w:eastAsia="Times New Roman"/>
          <w:i/>
          <w:sz w:val="24"/>
        </w:rPr>
        <w:t>Polish Journal of</w:t>
      </w:r>
      <w:r>
        <w:rPr>
          <w:rFonts w:ascii="Times New Roman" w:hAnsi="Times New Roman" w:eastAsia="Times New Roman"/>
          <w:sz w:val="24"/>
        </w:rPr>
        <w:t xml:space="preserve"> </w:t>
      </w:r>
      <w:r>
        <w:rPr>
          <w:rFonts w:ascii="Times New Roman" w:hAnsi="Times New Roman" w:eastAsia="Times New Roman"/>
          <w:i/>
          <w:sz w:val="24"/>
        </w:rPr>
        <w:t xml:space="preserve">Environmental Studies, </w:t>
      </w:r>
      <w:r>
        <w:rPr>
          <w:rFonts w:ascii="Times New Roman" w:hAnsi="Times New Roman" w:eastAsia="Times New Roman"/>
          <w:sz w:val="24"/>
        </w:rPr>
        <w:t>14: 877–81.</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Křižek, M., Senft, M., and Motan, J. (1997): Měď a lidske tělo. Časopis lekařů českych,</w:t>
      </w:r>
    </w:p>
    <w:p>
      <w:pPr>
        <w:spacing w:line="237" w:lineRule="auto"/>
        <w:ind w:left="1380"/>
        <w:rPr>
          <w:rFonts w:ascii="Times New Roman" w:hAnsi="Times New Roman" w:eastAsia="Times New Roman"/>
          <w:sz w:val="24"/>
        </w:rPr>
      </w:pPr>
      <w:r>
        <w:rPr>
          <w:rFonts w:ascii="Times New Roman" w:hAnsi="Times New Roman" w:eastAsia="Times New Roman"/>
          <w:sz w:val="24"/>
        </w:rPr>
        <w:t>136: 698–701.</w:t>
      </w:r>
    </w:p>
    <w:p>
      <w:pPr>
        <w:spacing w:line="28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Krul, C., and Hageman, G. 1998. Analysis of urinary caffeine metabolites to assess biotransformation enzyme activities by reversed-phase highperformance liquid chromatography. </w:t>
      </w:r>
      <w:r>
        <w:rPr>
          <w:rFonts w:ascii="Times New Roman" w:hAnsi="Times New Roman" w:eastAsia="Times New Roman"/>
          <w:i/>
          <w:sz w:val="24"/>
        </w:rPr>
        <w:t>J. Chromatogr B Biomed Sci. Appl</w:t>
      </w:r>
      <w:r>
        <w:rPr>
          <w:rFonts w:ascii="Times New Roman" w:hAnsi="Times New Roman" w:eastAsia="Times New Roman"/>
          <w:sz w:val="24"/>
        </w:rPr>
        <w:t>., 709: 27–34.</w:t>
      </w:r>
    </w:p>
    <w:p>
      <w:pPr>
        <w:spacing w:line="200" w:lineRule="exact"/>
        <w:rPr>
          <w:rFonts w:ascii="Times New Roman" w:hAnsi="Times New Roman" w:eastAsia="Times New Roman"/>
        </w:rPr>
      </w:pPr>
    </w:p>
    <w:p>
      <w:pPr>
        <w:spacing w:line="265"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Kruse, J. A. (1992). Methanol poisoning. </w:t>
      </w:r>
      <w:r>
        <w:rPr>
          <w:rFonts w:ascii="Times New Roman" w:hAnsi="Times New Roman" w:eastAsia="Times New Roman"/>
          <w:i/>
          <w:sz w:val="24"/>
        </w:rPr>
        <w:t>Intensive Care Med</w:t>
      </w:r>
      <w:r>
        <w:rPr>
          <w:rFonts w:ascii="Times New Roman" w:hAnsi="Times New Roman" w:eastAsia="Times New Roman"/>
          <w:sz w:val="24"/>
        </w:rPr>
        <w:t>. 18: 391–397</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Kusumi, E., Shoji, M., Endou, S., Kishi, Y., Shibata, T., Murashige, N., Hamaki, T., Matsumura, N., Yuji, K., Yoneyama, A., Kami, M. (2006). Prevelance of anemia among healthy women in metropolitan areas in Japan. </w:t>
      </w:r>
      <w:r>
        <w:rPr>
          <w:rFonts w:ascii="Times New Roman" w:hAnsi="Times New Roman" w:eastAsia="Times New Roman"/>
          <w:i/>
          <w:sz w:val="24"/>
        </w:rPr>
        <w:t>Int. J. Hematol.</w:t>
      </w:r>
      <w:r>
        <w:rPr>
          <w:rFonts w:ascii="Times New Roman" w:hAnsi="Times New Roman" w:eastAsia="Times New Roman"/>
          <w:sz w:val="24"/>
        </w:rPr>
        <w:t xml:space="preserve"> 84: 217-219.</w:t>
      </w:r>
    </w:p>
    <w:p>
      <w:pPr>
        <w:spacing w:line="280"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Lal, G. G. (2007). Getting specific with functional beverages. Food Technol 61(12):25–31.</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Larsson, S. C., Bergkvist, L., Wolk, A. (2006). Consumption of sugar and sugar-sweetened foods and the risk of pancreatic cancer in a prospective study. </w:t>
      </w:r>
      <w:r>
        <w:rPr>
          <w:rFonts w:ascii="Times New Roman" w:hAnsi="Times New Roman" w:eastAsia="Times New Roman"/>
          <w:i/>
          <w:sz w:val="24"/>
        </w:rPr>
        <w:t>Am J Clin Nutr</w:t>
      </w:r>
      <w:r>
        <w:rPr>
          <w:rFonts w:ascii="Times New Roman" w:hAnsi="Times New Roman" w:eastAsia="Times New Roman"/>
          <w:sz w:val="24"/>
        </w:rPr>
        <w:t>, 84:1171 - 1176.</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Lee, T. K., Johnke, R. M., Allison, P. R., Obrien, K. F., Dobbs L. (2005). Radioprotective potential of ginseng. </w:t>
      </w:r>
      <w:r>
        <w:rPr>
          <w:rFonts w:ascii="Times New Roman" w:hAnsi="Times New Roman" w:eastAsia="Times New Roman"/>
          <w:i/>
          <w:sz w:val="24"/>
        </w:rPr>
        <w:t>Mutagenesis</w:t>
      </w:r>
      <w:r>
        <w:rPr>
          <w:rFonts w:ascii="Times New Roman" w:hAnsi="Times New Roman" w:eastAsia="Times New Roman"/>
          <w:sz w:val="24"/>
        </w:rPr>
        <w:t>, 20:237–43.</w:t>
      </w:r>
    </w:p>
    <w:p>
      <w:pPr>
        <w:spacing w:line="290" w:lineRule="exact"/>
        <w:rPr>
          <w:rFonts w:ascii="Times New Roman" w:hAnsi="Times New Roman" w:eastAsia="Times New Roman"/>
        </w:rPr>
      </w:pPr>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Levy, G. and Tapsell, L. (2007). Shifts in purchasing pattern 0f non alcoholic water based beverages in Australia. </w:t>
      </w:r>
      <w:r>
        <w:rPr>
          <w:rFonts w:ascii="Times New Roman" w:hAnsi="Times New Roman" w:eastAsia="Times New Roman"/>
          <w:i/>
          <w:sz w:val="24"/>
        </w:rPr>
        <w:t>Nutrition diabetes.</w:t>
      </w:r>
      <w:r>
        <w:rPr>
          <w:rFonts w:ascii="Times New Roman" w:hAnsi="Times New Roman" w:eastAsia="Times New Roman"/>
          <w:sz w:val="24"/>
        </w:rPr>
        <w:t xml:space="preserve"> Vol (64)4.</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Lima, W. P., Carnevali, L. C., Eder, R., Fernando, L., Costa Rosa, B. P., Bacch,i E. M., Seelaender, M. C. L. (2005). Lipid metabolism in trained rats: effect of guarana (</w:t>
      </w:r>
      <w:r>
        <w:rPr>
          <w:rFonts w:ascii="Times New Roman" w:hAnsi="Times New Roman" w:eastAsia="Times New Roman"/>
          <w:i/>
          <w:sz w:val="24"/>
        </w:rPr>
        <w:t>Paullinia cupana Mart.</w:t>
      </w:r>
      <w:r>
        <w:rPr>
          <w:rFonts w:ascii="Times New Roman" w:hAnsi="Times New Roman" w:eastAsia="Times New Roman"/>
          <w:sz w:val="24"/>
        </w:rPr>
        <w:t xml:space="preserve">) supplementation. </w:t>
      </w:r>
      <w:r>
        <w:rPr>
          <w:rFonts w:ascii="Times New Roman" w:hAnsi="Times New Roman" w:eastAsia="Times New Roman"/>
          <w:i/>
          <w:sz w:val="24"/>
        </w:rPr>
        <w:t>Clin Nutr</w:t>
      </w:r>
      <w:r>
        <w:rPr>
          <w:rFonts w:ascii="Times New Roman" w:hAnsi="Times New Roman" w:eastAsia="Times New Roman"/>
          <w:sz w:val="24"/>
        </w:rPr>
        <w:t xml:space="preserve"> 24: 1019–28.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Lopez-Garcia, E., Van Dam, R. M., Rajpathak, S., Willett, W. C., Manson, J. E., and Hu, F. B. (2006). Changes in caffeine intake and long-term weight change in men and women. </w:t>
      </w:r>
      <w:r>
        <w:rPr>
          <w:rFonts w:ascii="Times New Roman" w:hAnsi="Times New Roman" w:eastAsia="Times New Roman"/>
          <w:i/>
          <w:sz w:val="24"/>
        </w:rPr>
        <w:t>Am J Clin Nutr</w:t>
      </w:r>
      <w:r>
        <w:rPr>
          <w:rFonts w:ascii="Times New Roman" w:hAnsi="Times New Roman" w:eastAsia="Times New Roman"/>
          <w:sz w:val="24"/>
        </w:rPr>
        <w:t>, 83:674–80.</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Lorist, M., and Tops, M. M. (2003). Caffeine, fatigue and cognition. </w:t>
      </w:r>
      <w:r>
        <w:rPr>
          <w:rFonts w:ascii="Times New Roman" w:hAnsi="Times New Roman" w:eastAsia="Times New Roman"/>
          <w:i/>
          <w:sz w:val="24"/>
        </w:rPr>
        <w:t>Brain Cogn</w:t>
      </w:r>
      <w:r>
        <w:rPr>
          <w:rFonts w:ascii="Times New Roman" w:hAnsi="Times New Roman" w:eastAsia="Times New Roman"/>
          <w:sz w:val="24"/>
        </w:rPr>
        <w:t xml:space="preserve"> 53: 82– 94.</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Lovett R., (2005). The Demon drink: </w:t>
      </w:r>
      <w:r>
        <w:rPr>
          <w:rFonts w:ascii="Times New Roman" w:hAnsi="Times New Roman" w:eastAsia="Times New Roman"/>
          <w:i/>
          <w:sz w:val="24"/>
        </w:rPr>
        <w:t>New Science</w:t>
      </w:r>
      <w:r>
        <w:rPr>
          <w:rFonts w:ascii="Times New Roman" w:hAnsi="Times New Roman" w:eastAsia="Times New Roman"/>
          <w:sz w:val="24"/>
        </w:rPr>
        <w:t>. 2518.</w:t>
      </w:r>
    </w:p>
    <w:p>
      <w:pPr>
        <w:spacing w:line="288"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Ludwig, D. S., Ebbeling, C. B.,</w:t>
      </w:r>
      <w:r>
        <w:rPr>
          <w:rFonts w:ascii="Times New Roman" w:hAnsi="Times New Roman" w:eastAsia="Times New Roman"/>
        </w:rPr>
        <w:t xml:space="preserve"> </w:t>
      </w:r>
      <w:r>
        <w:rPr>
          <w:rFonts w:ascii="Times New Roman" w:hAnsi="Times New Roman" w:eastAsia="Times New Roman"/>
          <w:sz w:val="24"/>
        </w:rPr>
        <w:t xml:space="preserve">Peterson, K. E. and Gprtmaker, S. L. (2004). Hard facts about soft drinks. </w:t>
      </w:r>
      <w:r>
        <w:rPr>
          <w:rFonts w:ascii="Times New Roman" w:hAnsi="Times New Roman" w:eastAsia="Times New Roman"/>
          <w:i/>
          <w:sz w:val="24"/>
        </w:rPr>
        <w:t>Archives and adolescent medicine.</w:t>
      </w:r>
      <w:r>
        <w:rPr>
          <w:rFonts w:ascii="Times New Roman" w:hAnsi="Times New Roman" w:eastAsia="Times New Roman"/>
          <w:sz w:val="24"/>
        </w:rPr>
        <w:t xml:space="preserve"> Vol 158(3): 290.</w:t>
      </w:r>
    </w:p>
    <w:p>
      <w:pPr>
        <w:spacing w:line="200" w:lineRule="exact"/>
        <w:rPr>
          <w:rFonts w:ascii="Times New Roman" w:hAnsi="Times New Roman" w:eastAsia="Times New Roman"/>
        </w:rPr>
      </w:pPr>
    </w:p>
    <w:p>
      <w:pPr>
        <w:spacing w:line="344" w:lineRule="exact"/>
        <w:rPr>
          <w:rFonts w:ascii="Times New Roman" w:hAnsi="Times New Roman" w:eastAsia="Times New Roman"/>
        </w:rPr>
      </w:pPr>
    </w:p>
    <w:p>
      <w:pPr>
        <w:spacing w:line="0" w:lineRule="atLeast"/>
        <w:ind w:left="4800"/>
        <w:rPr>
          <w:sz w:val="22"/>
        </w:rPr>
      </w:pPr>
      <w:r>
        <w:rPr>
          <w:sz w:val="22"/>
        </w:rPr>
        <w:t>xcix</w:t>
      </w:r>
    </w:p>
    <w:p>
      <w:pPr>
        <w:spacing w:line="0" w:lineRule="atLeast"/>
        <w:ind w:left="480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91" w:name="page100"/>
      <w:bookmarkEnd w:id="91"/>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Ludwig, D. S., Peterson, K. E. and Gprtmaker, S. L. (2001). Relationship between comsumption of sugar sweetened beverages and childhood obesity: a prospective observational analysis. </w:t>
      </w:r>
      <w:r>
        <w:rPr>
          <w:rFonts w:ascii="Times New Roman" w:hAnsi="Times New Roman" w:eastAsia="Times New Roman"/>
          <w:i/>
          <w:sz w:val="24"/>
        </w:rPr>
        <w:t>Lancet</w:t>
      </w:r>
      <w:r>
        <w:rPr>
          <w:rFonts w:ascii="Times New Roman" w:hAnsi="Times New Roman" w:eastAsia="Times New Roman"/>
          <w:sz w:val="24"/>
        </w:rPr>
        <w:t>. Vol 357: 505-8.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Mackenzie, R. and Erik, S. (2011). Simultaneous determination of aspartame, benzoic acid, caffeine, and saccharin in sugar-free beverages using HPLC. </w:t>
      </w:r>
      <w:r>
        <w:rPr>
          <w:rFonts w:ascii="Times New Roman" w:hAnsi="Times New Roman" w:eastAsia="Times New Roman"/>
          <w:i/>
          <w:sz w:val="24"/>
        </w:rPr>
        <w:t>Concordia</w:t>
      </w:r>
      <w:r>
        <w:rPr>
          <w:rFonts w:ascii="Times New Roman" w:hAnsi="Times New Roman" w:eastAsia="Times New Roman"/>
          <w:sz w:val="24"/>
        </w:rPr>
        <w:t xml:space="preserve"> </w:t>
      </w:r>
      <w:r>
        <w:rPr>
          <w:rFonts w:ascii="Times New Roman" w:hAnsi="Times New Roman" w:eastAsia="Times New Roman"/>
          <w:i/>
          <w:sz w:val="24"/>
        </w:rPr>
        <w:t xml:space="preserve">College Journal of Analytical Chemistry </w:t>
      </w:r>
      <w:r>
        <w:rPr>
          <w:rFonts w:ascii="Times New Roman" w:hAnsi="Times New Roman" w:eastAsia="Times New Roman"/>
          <w:sz w:val="24"/>
        </w:rPr>
        <w:t>I, 73-77.</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Maduabuchi, J. M. U., Nzegwu, C. N., Adıgba, E. O., Aloke, R. U., Ezomike, C. N., Okocha, C. E., Obi, E., and Orisakwe, O. E. (2006). Lead and cadmium exposures from canned and non-canned beverages in Nigeria: A public health concern. </w:t>
      </w:r>
      <w:r>
        <w:rPr>
          <w:rFonts w:ascii="Times New Roman" w:hAnsi="Times New Roman" w:eastAsia="Times New Roman"/>
          <w:i/>
          <w:sz w:val="24"/>
        </w:rPr>
        <w:t xml:space="preserve">Science Total of Environment, </w:t>
      </w:r>
      <w:r>
        <w:rPr>
          <w:rFonts w:ascii="Times New Roman" w:hAnsi="Times New Roman" w:eastAsia="Times New Roman"/>
          <w:sz w:val="24"/>
        </w:rPr>
        <w:t>366: 621–626.</w:t>
      </w:r>
    </w:p>
    <w:p>
      <w:pPr>
        <w:spacing w:line="292" w:lineRule="exact"/>
        <w:rPr>
          <w:rFonts w:ascii="Times New Roman" w:hAnsi="Times New Roman" w:eastAsia="Times New Roman"/>
        </w:rPr>
      </w:pPr>
    </w:p>
    <w:p>
      <w:pPr>
        <w:spacing w:line="238"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Maduabuchi, J. M. U., Nzegwu, C. N., Adıgba, E. O., Aloke, R. U., Ezomike, C. N., Okocha C. E., Obi, E., and Orisakwe, O. E. (2008). Iron, Manganese and Nickel exposures from canned and non-canned beverages in Nigeria: A public health concern. </w:t>
      </w:r>
      <w:r>
        <w:rPr>
          <w:rFonts w:ascii="Times New Roman" w:hAnsi="Times New Roman" w:eastAsia="Times New Roman"/>
          <w:i/>
          <w:sz w:val="24"/>
        </w:rPr>
        <w:t>Journal of public heath Science,</w:t>
      </w:r>
      <w:r>
        <w:rPr>
          <w:rFonts w:ascii="Times New Roman" w:hAnsi="Times New Roman" w:eastAsia="Times New Roman"/>
          <w:sz w:val="24"/>
        </w:rPr>
        <w:t xml:space="preserve"> 54(2)335-338</w:t>
      </w:r>
    </w:p>
    <w:p>
      <w:pPr>
        <w:spacing w:line="288"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MAFF (1998). Ministry of Agriculture, Fisheries and Food. Metals and other elements in beverages. Food Surveillance Information Sheet. Geneva. vol. 165.</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Maher, T. J. and Wurtman, R. J. (1987). Possible neurologic effects of aspartame, a widely used food additive. </w:t>
      </w:r>
      <w:r>
        <w:rPr>
          <w:rFonts w:ascii="Times New Roman" w:hAnsi="Times New Roman" w:eastAsia="Times New Roman"/>
          <w:i/>
          <w:sz w:val="24"/>
        </w:rPr>
        <w:t>Environ. Health Perspect.</w:t>
      </w:r>
      <w:r>
        <w:rPr>
          <w:rFonts w:ascii="Times New Roman" w:hAnsi="Times New Roman" w:eastAsia="Times New Roman"/>
          <w:sz w:val="24"/>
        </w:rPr>
        <w:t xml:space="preserve"> 75: 3–57</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Malik, V. S., Schulze, M. B., and Hu, F. B. (2006). Intake of sugar sweetened beverages and weight gain: a systematic review, </w:t>
      </w:r>
      <w:r>
        <w:rPr>
          <w:rFonts w:ascii="Times New Roman" w:hAnsi="Times New Roman" w:eastAsia="Times New Roman"/>
          <w:i/>
          <w:sz w:val="24"/>
        </w:rPr>
        <w:t>American Journal of Clinical Nutrition,</w:t>
      </w:r>
      <w:r>
        <w:rPr>
          <w:rFonts w:ascii="Times New Roman" w:hAnsi="Times New Roman" w:eastAsia="Times New Roman"/>
          <w:sz w:val="24"/>
        </w:rPr>
        <w:t xml:space="preserve"> Vol. 84(2): 274-88.</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Malinauskas, B. M., Aeby, V.G., Overton, R.F., Carpenter-Aeby, T., and Barber-Heidal, K. (2007). A survey of energy drinks consumption patterns among college students. </w:t>
      </w:r>
      <w:r>
        <w:rPr>
          <w:rFonts w:ascii="Times New Roman" w:hAnsi="Times New Roman" w:eastAsia="Times New Roman"/>
          <w:i/>
          <w:sz w:val="24"/>
        </w:rPr>
        <w:t>Nutritional Journal,</w:t>
      </w:r>
      <w:r>
        <w:rPr>
          <w:rFonts w:ascii="Times New Roman" w:hAnsi="Times New Roman" w:eastAsia="Times New Roman"/>
          <w:sz w:val="24"/>
        </w:rPr>
        <w:t xml:space="preserve"> 6: 1-7.</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Marschner,</w:t>
      </w:r>
      <w:r>
        <w:rPr>
          <w:rFonts w:ascii="Times New Roman" w:hAnsi="Times New Roman" w:eastAsia="Times New Roman"/>
        </w:rPr>
        <w:t xml:space="preserve"> </w:t>
      </w:r>
      <w:r>
        <w:rPr>
          <w:rFonts w:ascii="Times New Roman" w:hAnsi="Times New Roman" w:eastAsia="Times New Roman"/>
          <w:sz w:val="24"/>
        </w:rPr>
        <w:t xml:space="preserve">H. (1995). </w:t>
      </w:r>
      <w:r>
        <w:rPr>
          <w:rFonts w:ascii="Times New Roman" w:hAnsi="Times New Roman" w:eastAsia="Times New Roman"/>
          <w:i/>
          <w:sz w:val="24"/>
        </w:rPr>
        <w:t>Mineral nutrition of higher plants.</w:t>
      </w:r>
      <w:r>
        <w:rPr>
          <w:rFonts w:ascii="Times New Roman" w:hAnsi="Times New Roman" w:eastAsia="Times New Roman"/>
          <w:sz w:val="24"/>
        </w:rPr>
        <w:t xml:space="preserve"> Oxford University Press, London. 14: 13-20</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Marshall, T. A., S. M. Levy, B. Broffit, J. J. Warren, J. M. Eichenberger-Gilmore, T. L. Burns, and Stambo, P. J. (2003). Dental carries and beverage consumption in young children. </w:t>
      </w:r>
      <w:r>
        <w:rPr>
          <w:rFonts w:ascii="Times New Roman" w:hAnsi="Times New Roman" w:eastAsia="Times New Roman"/>
          <w:i/>
          <w:sz w:val="24"/>
        </w:rPr>
        <w:t>Pediatrics,</w:t>
      </w:r>
      <w:r>
        <w:rPr>
          <w:rFonts w:ascii="Times New Roman" w:hAnsi="Times New Roman" w:eastAsia="Times New Roman"/>
          <w:sz w:val="24"/>
        </w:rPr>
        <w:t xml:space="preserve"> 112: 184-189.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Matthews, D. M. (1984). Absorption of peptides, amino acids, and their methylated derivatives. In </w:t>
      </w:r>
      <w:r>
        <w:rPr>
          <w:rFonts w:ascii="Times New Roman" w:hAnsi="Times New Roman" w:eastAsia="Times New Roman"/>
          <w:i/>
          <w:sz w:val="24"/>
        </w:rPr>
        <w:t>Aspartame: Physiology and Biochemistry</w:t>
      </w:r>
      <w:r>
        <w:rPr>
          <w:rFonts w:ascii="Times New Roman" w:hAnsi="Times New Roman" w:eastAsia="Times New Roman"/>
          <w:sz w:val="24"/>
        </w:rPr>
        <w:t xml:space="preserve"> (L. D. Stegink and L. J. Filer Jr., Eds.). Marcel Dekker, New York, pp. 29–46.</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Maurice, S. M. (2010). </w:t>
      </w:r>
      <w:r>
        <w:rPr>
          <w:rFonts w:ascii="Times New Roman" w:hAnsi="Times New Roman" w:eastAsia="Times New Roman"/>
          <w:i/>
          <w:sz w:val="24"/>
        </w:rPr>
        <w:t>The soft drinks companion</w:t>
      </w:r>
      <w:r>
        <w:rPr>
          <w:rFonts w:ascii="Times New Roman" w:hAnsi="Times New Roman" w:eastAsia="Times New Roman"/>
          <w:sz w:val="24"/>
        </w:rPr>
        <w:t>: A technical handbook for the beverage industry, CRC Press. p. 45.</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6" w:lineRule="exact"/>
        <w:rPr>
          <w:rFonts w:ascii="Times New Roman" w:hAnsi="Times New Roman" w:eastAsia="Times New Roman"/>
        </w:rPr>
      </w:pPr>
    </w:p>
    <w:p>
      <w:pPr>
        <w:spacing w:line="0" w:lineRule="atLeast"/>
        <w:ind w:left="4920"/>
        <w:rPr>
          <w:sz w:val="22"/>
        </w:rPr>
      </w:pPr>
      <w:r>
        <w:rPr>
          <w:sz w:val="22"/>
        </w:rPr>
        <w:t>c</w:t>
      </w:r>
    </w:p>
    <w:p>
      <w:pPr>
        <w:spacing w:line="0" w:lineRule="atLeast"/>
        <w:ind w:left="492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92" w:name="page101"/>
      <w:bookmarkEnd w:id="92"/>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Meese, R. B. (1987). Epidemiologic Association between Dietary Calcium intake and Blood Pressure in Primary Hypertension. </w:t>
      </w:r>
      <w:r>
        <w:rPr>
          <w:rFonts w:ascii="Times New Roman" w:hAnsi="Times New Roman" w:eastAsia="Times New Roman"/>
          <w:i/>
          <w:sz w:val="24"/>
        </w:rPr>
        <w:t>Am. J. Med.sci.</w:t>
      </w:r>
      <w:r>
        <w:rPr>
          <w:rFonts w:ascii="Times New Roman" w:hAnsi="Times New Roman" w:eastAsia="Times New Roman"/>
          <w:sz w:val="24"/>
        </w:rPr>
        <w:t xml:space="preserve"> 29: 4219-24</w:t>
      </w:r>
    </w:p>
    <w:p>
      <w:pPr>
        <w:spacing w:line="290" w:lineRule="exact"/>
        <w:rPr>
          <w:rFonts w:ascii="Times New Roman" w:hAnsi="Times New Roman" w:eastAsia="Times New Roman"/>
        </w:rPr>
      </w:pPr>
    </w:p>
    <w:p>
      <w:pPr>
        <w:spacing w:line="238" w:lineRule="auto"/>
        <w:ind w:left="1380" w:hanging="810"/>
        <w:jc w:val="both"/>
        <w:rPr>
          <w:rFonts w:ascii="Times New Roman" w:hAnsi="Times New Roman" w:eastAsia="Times New Roman"/>
          <w:sz w:val="24"/>
        </w:rPr>
      </w:pPr>
      <w:r>
        <w:rPr>
          <w:rFonts w:ascii="Times New Roman" w:hAnsi="Times New Roman" w:eastAsia="Times New Roman"/>
          <w:sz w:val="24"/>
        </w:rPr>
        <w:t xml:space="preserve">Mei, M. A., Mawahib, E., Mawahib, Mohammed, I .T., Badawi, A. Z. and Abdalla, A. E. (2012). Determination of caffeine in Some Sudanese Beverages by High Performance Liquid Chromatography. </w:t>
      </w:r>
      <w:r>
        <w:rPr>
          <w:rFonts w:ascii="Times New Roman" w:hAnsi="Times New Roman" w:eastAsia="Times New Roman"/>
          <w:i/>
          <w:sz w:val="24"/>
        </w:rPr>
        <w:t>Pakistan Journal of Nutrition</w:t>
      </w:r>
      <w:r>
        <w:rPr>
          <w:rFonts w:ascii="Times New Roman" w:hAnsi="Times New Roman" w:eastAsia="Times New Roman"/>
          <w:sz w:val="24"/>
        </w:rPr>
        <w:t>. 11(4): 336-342.</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Miller, G. L. (1959). Use of dinitrosalicylate reagent for determination of reducing sugar.</w:t>
      </w:r>
    </w:p>
    <w:p>
      <w:pPr>
        <w:spacing w:line="237" w:lineRule="auto"/>
        <w:ind w:left="1380"/>
        <w:rPr>
          <w:rFonts w:ascii="Times New Roman" w:hAnsi="Times New Roman" w:eastAsia="Times New Roman"/>
          <w:sz w:val="24"/>
        </w:rPr>
      </w:pPr>
      <w:r>
        <w:rPr>
          <w:rFonts w:ascii="Times New Roman" w:hAnsi="Times New Roman" w:eastAsia="Times New Roman"/>
          <w:i/>
          <w:sz w:val="24"/>
        </w:rPr>
        <w:t>Annal Chem</w:t>
      </w:r>
      <w:r>
        <w:rPr>
          <w:rFonts w:ascii="Times New Roman" w:hAnsi="Times New Roman" w:eastAsia="Times New Roman"/>
          <w:sz w:val="24"/>
        </w:rPr>
        <w:t>., 31:  427- 431.</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Mohammed, S. G., Al-Hashimi, A. G. and Al-Hussainy, K. S. (2012). Determination of Caffeine and Trace Minerals Contents in Soft and Energy Drinks Available in Basrah Markets. </w:t>
      </w:r>
      <w:r>
        <w:rPr>
          <w:rFonts w:ascii="Times New Roman" w:hAnsi="Times New Roman" w:eastAsia="Times New Roman"/>
          <w:i/>
          <w:sz w:val="24"/>
        </w:rPr>
        <w:t>Pakistan Journal of Nutrition</w:t>
      </w:r>
      <w:r>
        <w:rPr>
          <w:rFonts w:ascii="Times New Roman" w:hAnsi="Times New Roman" w:eastAsia="Times New Roman"/>
          <w:sz w:val="24"/>
        </w:rPr>
        <w:t xml:space="preserve"> 11 (9): 747-750, 2012</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Mortada, W. I., Sobh, M. A., El-Defrawy, M. M., Farahat, S. E. (2001). Study of lead exposure from automobile exhaust as a risk for nephrotoxicity among traffic policemen. </w:t>
      </w:r>
      <w:r>
        <w:rPr>
          <w:rFonts w:ascii="Times New Roman" w:hAnsi="Times New Roman" w:eastAsia="Times New Roman"/>
          <w:i/>
          <w:sz w:val="24"/>
        </w:rPr>
        <w:t>Am J Nephrol</w:t>
      </w:r>
      <w:r>
        <w:rPr>
          <w:rFonts w:ascii="Times New Roman" w:hAnsi="Times New Roman" w:eastAsia="Times New Roman"/>
          <w:sz w:val="24"/>
        </w:rPr>
        <w:t>; 21: 274–9</w:t>
      </w:r>
    </w:p>
    <w:p>
      <w:pPr>
        <w:spacing w:line="290" w:lineRule="exact"/>
        <w:rPr>
          <w:rFonts w:ascii="Times New Roman" w:hAnsi="Times New Roman" w:eastAsia="Times New Roman"/>
        </w:rPr>
      </w:pPr>
    </w:p>
    <w:p>
      <w:pPr>
        <w:spacing w:line="0" w:lineRule="atLeast"/>
        <w:ind w:left="1380" w:hanging="810"/>
        <w:jc w:val="both"/>
        <w:rPr>
          <w:rFonts w:ascii="Times New Roman" w:hAnsi="Times New Roman" w:eastAsia="Times New Roman"/>
          <w:sz w:val="24"/>
        </w:rPr>
      </w:pPr>
      <w:r>
        <w:rPr>
          <w:rFonts w:ascii="Times New Roman" w:hAnsi="Times New Roman" w:eastAsia="Times New Roman"/>
          <w:sz w:val="24"/>
        </w:rPr>
        <w:t>Murray, R., Frankowski, B. and Taras, H. (2005). Are soft drinks a scape</w:t>
      </w:r>
      <w:r>
        <w:rPr>
          <w:rFonts w:ascii="Times New Roman" w:hAnsi="Times New Roman" w:eastAsia="Times New Roman"/>
        </w:rPr>
        <w:t xml:space="preserve"> </w:t>
      </w:r>
      <w:r>
        <w:rPr>
          <w:rFonts w:ascii="Times New Roman" w:hAnsi="Times New Roman" w:eastAsia="Times New Roman"/>
          <w:sz w:val="24"/>
        </w:rPr>
        <w:t xml:space="preserve">goat for childhood obeity? </w:t>
      </w:r>
      <w:r>
        <w:rPr>
          <w:rFonts w:ascii="Times New Roman" w:hAnsi="Times New Roman" w:eastAsia="Times New Roman"/>
          <w:i/>
          <w:sz w:val="24"/>
        </w:rPr>
        <w:t>Journal of pediatrics.</w:t>
      </w:r>
      <w:r>
        <w:rPr>
          <w:rFonts w:ascii="Times New Roman" w:hAnsi="Times New Roman" w:eastAsia="Times New Roman"/>
          <w:sz w:val="24"/>
        </w:rPr>
        <w:t xml:space="preserve"> Vol 146(5): 586-90.</w:t>
      </w:r>
    </w:p>
    <w:p>
      <w:pPr>
        <w:spacing w:line="200" w:lineRule="exact"/>
        <w:rPr>
          <w:rFonts w:ascii="Times New Roman" w:hAnsi="Times New Roman" w:eastAsia="Times New Roman"/>
        </w:rPr>
      </w:pPr>
    </w:p>
    <w:p>
      <w:pPr>
        <w:spacing w:line="343"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Nam, M. H., Kim, S. I., Liu, J. R., Yang, D. C., Lim, P. Y., Kwon, K. H., Yoo, J. S., Park,</w:t>
      </w:r>
    </w:p>
    <w:p>
      <w:pPr>
        <w:spacing w:line="10" w:lineRule="exact"/>
        <w:rPr>
          <w:rFonts w:ascii="Times New Roman" w:hAnsi="Times New Roman" w:eastAsia="Times New Roman"/>
        </w:rPr>
      </w:pPr>
    </w:p>
    <w:p>
      <w:pPr>
        <w:numPr>
          <w:ilvl w:val="0"/>
          <w:numId w:val="3"/>
        </w:numPr>
        <w:tabs>
          <w:tab w:val="left" w:pos="1677"/>
        </w:tabs>
        <w:spacing w:line="235" w:lineRule="auto"/>
        <w:ind w:left="1380" w:firstLine="8"/>
        <w:rPr>
          <w:rFonts w:ascii="Times New Roman" w:hAnsi="Times New Roman" w:eastAsia="Times New Roman"/>
          <w:sz w:val="24"/>
        </w:rPr>
      </w:pPr>
      <w:r>
        <w:rPr>
          <w:rFonts w:ascii="Times New Roman" w:hAnsi="Times New Roman" w:eastAsia="Times New Roman"/>
          <w:sz w:val="24"/>
        </w:rPr>
        <w:t>M. (2005). Proteomic analysis of Korean ginseng (</w:t>
      </w:r>
      <w:r>
        <w:rPr>
          <w:rFonts w:ascii="Times New Roman" w:hAnsi="Times New Roman" w:eastAsia="Times New Roman"/>
          <w:i/>
          <w:sz w:val="24"/>
        </w:rPr>
        <w:t>Panax ginseng</w:t>
      </w:r>
      <w:r>
        <w:rPr>
          <w:rFonts w:ascii="Times New Roman" w:hAnsi="Times New Roman" w:eastAsia="Times New Roman"/>
          <w:sz w:val="24"/>
        </w:rPr>
        <w:t xml:space="preserve"> C.A. Meyer). </w:t>
      </w:r>
      <w:r>
        <w:rPr>
          <w:rFonts w:ascii="Times New Roman" w:hAnsi="Times New Roman" w:eastAsia="Times New Roman"/>
          <w:i/>
          <w:sz w:val="24"/>
        </w:rPr>
        <w:t>J Chromatogr</w:t>
      </w:r>
      <w:r>
        <w:rPr>
          <w:rFonts w:ascii="Times New Roman" w:hAnsi="Times New Roman" w:eastAsia="Times New Roman"/>
          <w:sz w:val="24"/>
        </w:rPr>
        <w:t>; 815: 147–55.</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Nash, J. (1992). "Health Contenders." </w:t>
      </w:r>
      <w:r>
        <w:rPr>
          <w:rFonts w:ascii="Times New Roman" w:hAnsi="Times New Roman" w:eastAsia="Times New Roman"/>
          <w:i/>
          <w:sz w:val="24"/>
        </w:rPr>
        <w:t>Essence</w:t>
      </w:r>
      <w:r>
        <w:rPr>
          <w:rFonts w:ascii="Times New Roman" w:hAnsi="Times New Roman" w:eastAsia="Times New Roman"/>
          <w:sz w:val="24"/>
        </w:rPr>
        <w:t>. 23: 79-81.</w:t>
      </w:r>
    </w:p>
    <w:p>
      <w:pPr>
        <w:spacing w:line="276" w:lineRule="exact"/>
        <w:rPr>
          <w:rFonts w:ascii="Times New Roman" w:hAnsi="Times New Roman" w:eastAsia="Times New Roman"/>
        </w:rPr>
      </w:pPr>
    </w:p>
    <w:p>
      <w:pPr>
        <w:tabs>
          <w:tab w:val="left" w:pos="1520"/>
          <w:tab w:val="left" w:pos="1960"/>
          <w:tab w:val="left" w:pos="2840"/>
          <w:tab w:val="left" w:pos="3280"/>
          <w:tab w:val="left" w:pos="4480"/>
          <w:tab w:val="left" w:pos="4880"/>
          <w:tab w:val="left" w:pos="5920"/>
          <w:tab w:val="left" w:pos="6320"/>
          <w:tab w:val="left" w:pos="7700"/>
          <w:tab w:val="left" w:pos="8180"/>
          <w:tab w:val="left" w:pos="9060"/>
        </w:tabs>
        <w:spacing w:line="0" w:lineRule="atLeast"/>
        <w:ind w:left="580"/>
        <w:rPr>
          <w:rFonts w:ascii="Times New Roman" w:hAnsi="Times New Roman" w:eastAsia="Times New Roman"/>
          <w:sz w:val="22"/>
        </w:rPr>
      </w:pPr>
      <w:r>
        <w:rPr>
          <w:rFonts w:ascii="Times New Roman" w:hAnsi="Times New Roman" w:eastAsia="Times New Roman"/>
          <w:sz w:val="24"/>
        </w:rPr>
        <w:t>Nawrot,</w:t>
      </w:r>
      <w:r>
        <w:rPr>
          <w:rFonts w:ascii="Times New Roman" w:hAnsi="Times New Roman" w:eastAsia="Times New Roman"/>
          <w:sz w:val="24"/>
        </w:rPr>
        <w:tab/>
      </w:r>
      <w:r>
        <w:rPr>
          <w:rFonts w:ascii="Times New Roman" w:hAnsi="Times New Roman" w:eastAsia="Times New Roman"/>
          <w:sz w:val="24"/>
        </w:rPr>
        <w:t>P.,</w:t>
      </w:r>
      <w:r>
        <w:rPr>
          <w:rFonts w:ascii="Times New Roman" w:hAnsi="Times New Roman" w:eastAsia="Times New Roman"/>
          <w:sz w:val="24"/>
        </w:rPr>
        <w:tab/>
      </w:r>
      <w:r>
        <w:rPr>
          <w:rFonts w:ascii="Times New Roman" w:hAnsi="Times New Roman" w:eastAsia="Times New Roman"/>
          <w:sz w:val="24"/>
        </w:rPr>
        <w:t>Jordan,</w:t>
      </w:r>
      <w:r>
        <w:rPr>
          <w:rFonts w:ascii="Times New Roman" w:hAnsi="Times New Roman" w:eastAsia="Times New Roman"/>
          <w:sz w:val="24"/>
        </w:rPr>
        <w:tab/>
      </w:r>
      <w:r>
        <w:rPr>
          <w:rFonts w:ascii="Times New Roman" w:hAnsi="Times New Roman" w:eastAsia="Times New Roman"/>
          <w:sz w:val="24"/>
        </w:rPr>
        <w:t>S.,</w:t>
      </w:r>
      <w:r>
        <w:rPr>
          <w:rFonts w:ascii="Times New Roman" w:hAnsi="Times New Roman" w:eastAsia="Times New Roman"/>
          <w:sz w:val="24"/>
        </w:rPr>
        <w:tab/>
      </w:r>
      <w:r>
        <w:rPr>
          <w:rFonts w:ascii="Times New Roman" w:hAnsi="Times New Roman" w:eastAsia="Times New Roman"/>
          <w:sz w:val="24"/>
        </w:rPr>
        <w:t>Eastwood,</w:t>
      </w:r>
      <w:r>
        <w:rPr>
          <w:rFonts w:ascii="Times New Roman" w:hAnsi="Times New Roman" w:eastAsia="Times New Roman"/>
          <w:sz w:val="24"/>
        </w:rPr>
        <w:tab/>
      </w:r>
      <w:r>
        <w:rPr>
          <w:rFonts w:ascii="Times New Roman" w:hAnsi="Times New Roman" w:eastAsia="Times New Roman"/>
          <w:sz w:val="24"/>
        </w:rPr>
        <w:t>J.,</w:t>
      </w:r>
      <w:r>
        <w:rPr>
          <w:rFonts w:ascii="Times New Roman" w:hAnsi="Times New Roman" w:eastAsia="Times New Roman"/>
          <w:sz w:val="24"/>
        </w:rPr>
        <w:tab/>
      </w:r>
      <w:r>
        <w:rPr>
          <w:rFonts w:ascii="Times New Roman" w:hAnsi="Times New Roman" w:eastAsia="Times New Roman"/>
          <w:sz w:val="24"/>
        </w:rPr>
        <w:t>Rotstein,</w:t>
      </w:r>
      <w:r>
        <w:rPr>
          <w:rFonts w:ascii="Times New Roman" w:hAnsi="Times New Roman" w:eastAsia="Times New Roman"/>
          <w:sz w:val="24"/>
        </w:rPr>
        <w:tab/>
      </w:r>
      <w:r>
        <w:rPr>
          <w:rFonts w:ascii="Times New Roman" w:hAnsi="Times New Roman" w:eastAsia="Times New Roman"/>
          <w:sz w:val="24"/>
        </w:rPr>
        <w:t>J.,</w:t>
      </w:r>
      <w:r>
        <w:rPr>
          <w:rFonts w:ascii="Times New Roman" w:hAnsi="Times New Roman" w:eastAsia="Times New Roman"/>
          <w:sz w:val="24"/>
        </w:rPr>
        <w:tab/>
      </w:r>
      <w:r>
        <w:rPr>
          <w:rFonts w:ascii="Times New Roman" w:hAnsi="Times New Roman" w:eastAsia="Times New Roman"/>
          <w:sz w:val="24"/>
        </w:rPr>
        <w:t>Hugenholtz,</w:t>
      </w:r>
      <w:r>
        <w:rPr>
          <w:rFonts w:ascii="Times New Roman" w:hAnsi="Times New Roman" w:eastAsia="Times New Roman"/>
          <w:sz w:val="24"/>
        </w:rPr>
        <w:tab/>
      </w:r>
      <w:r>
        <w:rPr>
          <w:rFonts w:ascii="Times New Roman" w:hAnsi="Times New Roman" w:eastAsia="Times New Roman"/>
          <w:sz w:val="24"/>
        </w:rPr>
        <w:t>A.,</w:t>
      </w:r>
      <w:r>
        <w:rPr>
          <w:rFonts w:ascii="Times New Roman" w:hAnsi="Times New Roman" w:eastAsia="Times New Roman"/>
          <w:sz w:val="24"/>
        </w:rPr>
        <w:tab/>
      </w:r>
      <w:r>
        <w:rPr>
          <w:rFonts w:ascii="Times New Roman" w:hAnsi="Times New Roman" w:eastAsia="Times New Roman"/>
          <w:sz w:val="24"/>
        </w:rPr>
        <w:t>Feeley.</w:t>
      </w:r>
      <w:r>
        <w:rPr>
          <w:rFonts w:ascii="Times New Roman" w:hAnsi="Times New Roman" w:eastAsia="Times New Roman"/>
        </w:rPr>
        <w:tab/>
      </w:r>
      <w:r>
        <w:rPr>
          <w:rFonts w:ascii="Times New Roman" w:hAnsi="Times New Roman" w:eastAsia="Times New Roman"/>
          <w:sz w:val="22"/>
        </w:rPr>
        <w:t>M.</w:t>
      </w:r>
    </w:p>
    <w:p>
      <w:pPr>
        <w:spacing w:line="237" w:lineRule="auto"/>
        <w:ind w:left="1380"/>
        <w:rPr>
          <w:rFonts w:ascii="Times New Roman" w:hAnsi="Times New Roman" w:eastAsia="Times New Roman"/>
          <w:sz w:val="24"/>
        </w:rPr>
      </w:pPr>
      <w:r>
        <w:rPr>
          <w:rFonts w:ascii="Times New Roman" w:hAnsi="Times New Roman" w:eastAsia="Times New Roman"/>
          <w:sz w:val="24"/>
        </w:rPr>
        <w:t xml:space="preserve">(2003).Effects of caffeine on human health. </w:t>
      </w:r>
      <w:r>
        <w:rPr>
          <w:rFonts w:ascii="Times New Roman" w:hAnsi="Times New Roman" w:eastAsia="Times New Roman"/>
          <w:i/>
          <w:sz w:val="24"/>
        </w:rPr>
        <w:t>Food Addit Contam</w:t>
      </w:r>
      <w:r>
        <w:rPr>
          <w:rFonts w:ascii="Times New Roman" w:hAnsi="Times New Roman" w:eastAsia="Times New Roman"/>
          <w:sz w:val="24"/>
        </w:rPr>
        <w:t>; 20(1):1-30.</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Nestle, M. (2005). Preventing childhood diabetics: The need for public health intervention.</w:t>
      </w:r>
    </w:p>
    <w:p>
      <w:pPr>
        <w:spacing w:line="2"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i/>
          <w:sz w:val="24"/>
        </w:rPr>
        <w:t xml:space="preserve">Americam journal of public health. </w:t>
      </w:r>
      <w:r>
        <w:rPr>
          <w:rFonts w:ascii="Times New Roman" w:hAnsi="Times New Roman" w:eastAsia="Times New Roman"/>
          <w:sz w:val="24"/>
        </w:rPr>
        <w:t>95(9): 1497-9.</w:t>
      </w:r>
    </w:p>
    <w:p>
      <w:pPr>
        <w:spacing w:line="28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Newsome, R. L. (1986). Sweeteners: Nutritive and non-nutritive; in The Scientific status summaries of the Institute of Food Technologies Expert Panel on Food Safety and Nutrition (Chicago: Institutive of Food Technologies). Pp 180.</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Norbiato, G., Bevilacqua M., Merino R. (1984). Effects of Potassium supplementation on Insulin Binding Action in Human Obesity: Protein Modified fast and Feeding. </w:t>
      </w:r>
      <w:r>
        <w:rPr>
          <w:rFonts w:ascii="Times New Roman" w:hAnsi="Times New Roman" w:eastAsia="Times New Roman"/>
          <w:i/>
          <w:sz w:val="24"/>
        </w:rPr>
        <w:t xml:space="preserve">Europe J. Clin. Invest. </w:t>
      </w:r>
      <w:r>
        <w:rPr>
          <w:rFonts w:ascii="Times New Roman" w:hAnsi="Times New Roman" w:eastAsia="Times New Roman"/>
          <w:sz w:val="24"/>
        </w:rPr>
        <w:t>44: 414-19.</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Obuzor, G. U. and Ajaezi, N. E.</w:t>
      </w:r>
      <w:r>
        <w:rPr>
          <w:rFonts w:ascii="Times New Roman" w:hAnsi="Times New Roman" w:eastAsia="Times New Roman"/>
        </w:rPr>
        <w:t xml:space="preserve"> </w:t>
      </w:r>
      <w:r>
        <w:rPr>
          <w:rFonts w:ascii="Times New Roman" w:hAnsi="Times New Roman" w:eastAsia="Times New Roman"/>
          <w:sz w:val="24"/>
        </w:rPr>
        <w:t xml:space="preserve">(2010). Nutritional content of popular malt drinks produced in Nigeria. </w:t>
      </w:r>
      <w:r>
        <w:rPr>
          <w:rFonts w:ascii="Times New Roman" w:hAnsi="Times New Roman" w:eastAsia="Times New Roman"/>
          <w:i/>
          <w:sz w:val="24"/>
        </w:rPr>
        <w:t>African Journal of Food Science</w:t>
      </w:r>
      <w:r>
        <w:rPr>
          <w:rFonts w:ascii="Times New Roman" w:hAnsi="Times New Roman" w:eastAsia="Times New Roman"/>
          <w:sz w:val="24"/>
        </w:rPr>
        <w:t xml:space="preserve"> Vol. 4(9), pp. 585 – 590.</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5" w:lineRule="exact"/>
        <w:rPr>
          <w:rFonts w:ascii="Times New Roman" w:hAnsi="Times New Roman" w:eastAsia="Times New Roman"/>
        </w:rPr>
      </w:pPr>
    </w:p>
    <w:p>
      <w:pPr>
        <w:spacing w:line="0" w:lineRule="atLeast"/>
        <w:ind w:left="4900"/>
        <w:rPr>
          <w:sz w:val="22"/>
        </w:rPr>
      </w:pPr>
      <w:r>
        <w:rPr>
          <w:sz w:val="22"/>
        </w:rPr>
        <w:t>ci</w:t>
      </w:r>
    </w:p>
    <w:p>
      <w:pPr>
        <w:spacing w:line="0" w:lineRule="atLeast"/>
        <w:ind w:left="4900"/>
        <w:rPr>
          <w:sz w:val="22"/>
        </w:rPr>
        <w:sectPr>
          <w:pgSz w:w="12240" w:h="15840"/>
          <w:pgMar w:top="1440" w:right="1440" w:bottom="428" w:left="1440" w:header="0" w:footer="0" w:gutter="0"/>
          <w:cols w:equalWidth="0" w:num="1">
            <w:col w:w="9360"/>
          </w:cols>
          <w:docGrid w:linePitch="360" w:charSpace="0"/>
        </w:sectPr>
      </w:pPr>
    </w:p>
    <w:p>
      <w:pPr>
        <w:spacing w:line="0" w:lineRule="atLeast"/>
        <w:ind w:left="580"/>
        <w:rPr>
          <w:rFonts w:ascii="Times New Roman" w:hAnsi="Times New Roman" w:eastAsia="Times New Roman"/>
          <w:sz w:val="24"/>
        </w:rPr>
      </w:pPr>
      <w:bookmarkStart w:id="93" w:name="page102"/>
      <w:bookmarkEnd w:id="93"/>
      <w:r>
        <w:rPr>
          <w:rFonts w:ascii="Times New Roman" w:hAnsi="Times New Roman" w:eastAsia="Times New Roman"/>
          <w:sz w:val="24"/>
        </w:rPr>
        <w:t>O'Dea J. A. (2003). Consumption of nutritional supplements among adolescents: usage and</w:t>
      </w:r>
    </w:p>
    <w:p>
      <w:pPr>
        <w:spacing w:line="237" w:lineRule="auto"/>
        <w:ind w:left="1380"/>
        <w:rPr>
          <w:rFonts w:ascii="Times New Roman" w:hAnsi="Times New Roman" w:eastAsia="Times New Roman"/>
          <w:sz w:val="24"/>
        </w:rPr>
      </w:pPr>
      <w:r>
        <w:rPr>
          <w:rFonts w:ascii="Times New Roman" w:hAnsi="Times New Roman" w:eastAsia="Times New Roman"/>
          <w:sz w:val="24"/>
        </w:rPr>
        <w:t xml:space="preserve">perceived benefits. </w:t>
      </w:r>
      <w:r>
        <w:rPr>
          <w:rFonts w:ascii="Times New Roman" w:hAnsi="Times New Roman" w:eastAsia="Times New Roman"/>
          <w:i/>
          <w:sz w:val="24"/>
        </w:rPr>
        <w:t>Health Education Research</w:t>
      </w:r>
      <w:r>
        <w:rPr>
          <w:rFonts w:ascii="Times New Roman" w:hAnsi="Times New Roman" w:eastAsia="Times New Roman"/>
          <w:sz w:val="24"/>
        </w:rPr>
        <w:t>; 18: 98-107.</w:t>
      </w:r>
    </w:p>
    <w:p>
      <w:pPr>
        <w:spacing w:line="28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Olney, J. W., Labruyere, J. and De Gubareff, T. (1980). Brain damage in mice from voluntary ingestion of glutamate and aspartate. </w:t>
      </w:r>
      <w:r>
        <w:rPr>
          <w:rFonts w:ascii="Times New Roman" w:hAnsi="Times New Roman" w:eastAsia="Times New Roman"/>
          <w:i/>
          <w:sz w:val="24"/>
        </w:rPr>
        <w:t>Neurobehav. Toxicol</w:t>
      </w:r>
      <w:r>
        <w:rPr>
          <w:rFonts w:ascii="Times New Roman" w:hAnsi="Times New Roman" w:eastAsia="Times New Roman"/>
          <w:sz w:val="24"/>
        </w:rPr>
        <w:t>. 2: 125–129.</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Onianwa, P. C., Adeyemo, A. O., Idowu, E. O., Ogabiela, E. E. (2001). Copper and Zinc Content of Nigeria Food and Etsimate of the Adult Dictionary intakes. </w:t>
      </w:r>
      <w:r>
        <w:rPr>
          <w:rFonts w:ascii="Times New Roman" w:hAnsi="Times New Roman" w:eastAsia="Times New Roman"/>
          <w:i/>
          <w:sz w:val="24"/>
        </w:rPr>
        <w:t>Food</w:t>
      </w:r>
      <w:r>
        <w:rPr>
          <w:rFonts w:ascii="Times New Roman" w:hAnsi="Times New Roman" w:eastAsia="Times New Roman"/>
          <w:sz w:val="24"/>
        </w:rPr>
        <w:t xml:space="preserve"> </w:t>
      </w:r>
      <w:r>
        <w:rPr>
          <w:rFonts w:ascii="Times New Roman" w:hAnsi="Times New Roman" w:eastAsia="Times New Roman"/>
          <w:i/>
          <w:sz w:val="24"/>
        </w:rPr>
        <w:t xml:space="preserve">Chem. </w:t>
      </w:r>
      <w:r>
        <w:rPr>
          <w:rFonts w:ascii="Times New Roman" w:hAnsi="Times New Roman" w:eastAsia="Times New Roman"/>
          <w:sz w:val="24"/>
        </w:rPr>
        <w:t>72: 89</w:t>
      </w:r>
      <w:r>
        <w:rPr>
          <w:rFonts w:ascii="Times New Roman" w:hAnsi="Times New Roman" w:eastAsia="Times New Roman"/>
          <w:i/>
          <w:sz w:val="24"/>
        </w:rPr>
        <w:t xml:space="preserve"> </w:t>
      </w:r>
      <w:r>
        <w:rPr>
          <w:rFonts w:ascii="Times New Roman" w:hAnsi="Times New Roman" w:eastAsia="Times New Roman"/>
          <w:sz w:val="24"/>
        </w:rPr>
        <w:t>–</w:t>
      </w:r>
      <w:r>
        <w:rPr>
          <w:rFonts w:ascii="Times New Roman" w:hAnsi="Times New Roman" w:eastAsia="Times New Roman"/>
          <w:i/>
          <w:sz w:val="24"/>
        </w:rPr>
        <w:t xml:space="preserve"> </w:t>
      </w:r>
      <w:r>
        <w:rPr>
          <w:rFonts w:ascii="Times New Roman" w:hAnsi="Times New Roman" w:eastAsia="Times New Roman"/>
          <w:sz w:val="24"/>
        </w:rPr>
        <w:t>95.</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Onianwa, P. C., Adetol, I. G., Iwebue, C. M. A., Oto, M. F., Tella, O. O. (1999). Trace heavy metals composition of some Nigerian beverages and food drinks. </w:t>
      </w:r>
      <w:r>
        <w:rPr>
          <w:rFonts w:ascii="Times New Roman" w:hAnsi="Times New Roman" w:eastAsia="Times New Roman"/>
          <w:i/>
          <w:sz w:val="24"/>
        </w:rPr>
        <w:t>Food</w:t>
      </w:r>
      <w:r>
        <w:rPr>
          <w:rFonts w:ascii="Times New Roman" w:hAnsi="Times New Roman" w:eastAsia="Times New Roman"/>
          <w:sz w:val="24"/>
        </w:rPr>
        <w:t xml:space="preserve"> </w:t>
      </w:r>
      <w:r>
        <w:rPr>
          <w:rFonts w:ascii="Times New Roman" w:hAnsi="Times New Roman" w:eastAsia="Times New Roman"/>
          <w:i/>
          <w:sz w:val="24"/>
        </w:rPr>
        <w:t>Chemistry,</w:t>
      </w:r>
      <w:r>
        <w:rPr>
          <w:rFonts w:ascii="Times New Roman" w:hAnsi="Times New Roman" w:eastAsia="Times New Roman"/>
          <w:sz w:val="24"/>
        </w:rPr>
        <w:t>66: 275-279.</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Oppermann, J. A., Muldoon, E., and Ranney, R. E. (1973). Metabolism of aspartame in monkeys. </w:t>
      </w:r>
      <w:r>
        <w:rPr>
          <w:rFonts w:ascii="Times New Roman" w:hAnsi="Times New Roman" w:eastAsia="Times New Roman"/>
          <w:i/>
          <w:sz w:val="24"/>
        </w:rPr>
        <w:t>Journal of Nutrition</w:t>
      </w:r>
      <w:r>
        <w:rPr>
          <w:rFonts w:ascii="Times New Roman" w:hAnsi="Times New Roman" w:eastAsia="Times New Roman"/>
          <w:sz w:val="24"/>
        </w:rPr>
        <w:t xml:space="preserve"> 103: 1454–1459.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Pan-Hou H., Suda Y., Ohe Y., Sumi, M. and Yoshioka, M. (1990). Effect of aspartame on N-methyl-D-aspartate-sensitive L-[3H]glutamate binding sites in rat brain synaptic membranes. </w:t>
      </w:r>
      <w:r>
        <w:rPr>
          <w:rFonts w:ascii="Times New Roman" w:hAnsi="Times New Roman" w:eastAsia="Times New Roman"/>
          <w:i/>
          <w:sz w:val="24"/>
        </w:rPr>
        <w:t>Brain Res.</w:t>
      </w:r>
      <w:r>
        <w:rPr>
          <w:rFonts w:ascii="Times New Roman" w:hAnsi="Times New Roman" w:eastAsia="Times New Roman"/>
          <w:sz w:val="24"/>
        </w:rPr>
        <w:t xml:space="preserve"> 520: 351–353</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Penland, J. G., Johnson, P. E. (1993). Dietary Calcium and Manganese, Effects on Menstrual Cycle Symptoms. </w:t>
      </w:r>
      <w:r>
        <w:rPr>
          <w:rFonts w:ascii="Times New Roman" w:hAnsi="Times New Roman" w:eastAsia="Times New Roman"/>
          <w:i/>
          <w:sz w:val="24"/>
        </w:rPr>
        <w:t>Am Journ Obstet Gynecol. 168:</w:t>
      </w:r>
      <w:r>
        <w:rPr>
          <w:rFonts w:ascii="Times New Roman" w:hAnsi="Times New Roman" w:eastAsia="Times New Roman"/>
          <w:sz w:val="24"/>
        </w:rPr>
        <w:t xml:space="preserve"> 1417-23.</w:t>
      </w:r>
    </w:p>
    <w:p>
      <w:pPr>
        <w:spacing w:line="290" w:lineRule="exact"/>
        <w:rPr>
          <w:rFonts w:ascii="Times New Roman" w:hAnsi="Times New Roman" w:eastAsia="Times New Roman"/>
        </w:rPr>
      </w:pPr>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Pennay, A., Lubman, I. D., and Miller, P. (2011). Combining Energy Drinks and Alcohol. </w:t>
      </w:r>
      <w:r>
        <w:rPr>
          <w:rFonts w:ascii="Times New Roman" w:hAnsi="Times New Roman" w:eastAsia="Times New Roman"/>
          <w:i/>
          <w:sz w:val="24"/>
        </w:rPr>
        <w:t>Australian Family Physician</w:t>
      </w:r>
      <w:r>
        <w:rPr>
          <w:rFonts w:ascii="Times New Roman" w:hAnsi="Times New Roman" w:eastAsia="Times New Roman"/>
          <w:sz w:val="24"/>
        </w:rPr>
        <w:t>. 40: 104-105</w:t>
      </w:r>
    </w:p>
    <w:p>
      <w:pPr>
        <w:spacing w:line="290" w:lineRule="exact"/>
        <w:rPr>
          <w:rFonts w:ascii="Times New Roman" w:hAnsi="Times New Roman" w:eastAsia="Times New Roman"/>
        </w:rPr>
      </w:pPr>
    </w:p>
    <w:p>
      <w:pPr>
        <w:spacing w:line="236"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Pettenuzzo, L. F., Noschang, C., Von Pozzer Toigo, E., Fachin, A., Vendite, D., Dalmaz, C. (2008). Effects of chronic administration of caffeine and stress on feeding behavior of rats. </w:t>
      </w:r>
      <w:r>
        <w:rPr>
          <w:rFonts w:ascii="Times New Roman" w:hAnsi="Times New Roman" w:eastAsia="Times New Roman"/>
          <w:i/>
          <w:sz w:val="24"/>
        </w:rPr>
        <w:t>Physiol Behav.</w:t>
      </w:r>
      <w:r>
        <w:rPr>
          <w:rFonts w:ascii="Times New Roman" w:hAnsi="Times New Roman" w:eastAsia="Times New Roman"/>
          <w:sz w:val="24"/>
        </w:rPr>
        <w:t xml:space="preserve"> 95: 295–301.</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Prankerd, R. J. (2002). Aspartame. Analytical Profiles of Drug Substances and Excipients, 29: 7-55.</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Prasad, A. S. (1995). Zinc: an overview. </w:t>
      </w:r>
      <w:r>
        <w:rPr>
          <w:rFonts w:ascii="Times New Roman" w:hAnsi="Times New Roman" w:eastAsia="Times New Roman"/>
          <w:i/>
          <w:sz w:val="24"/>
        </w:rPr>
        <w:t>Nutrition</w:t>
      </w:r>
      <w:r>
        <w:rPr>
          <w:rFonts w:ascii="Times New Roman" w:hAnsi="Times New Roman" w:eastAsia="Times New Roman"/>
          <w:sz w:val="24"/>
        </w:rPr>
        <w:t>; 11: 93-99.</w:t>
      </w:r>
    </w:p>
    <w:p>
      <w:pPr>
        <w:spacing w:line="288" w:lineRule="exact"/>
        <w:rPr>
          <w:rFonts w:ascii="Times New Roman" w:hAnsi="Times New Roman" w:eastAsia="Times New Roman"/>
        </w:rPr>
      </w:pPr>
    </w:p>
    <w:p>
      <w:pPr>
        <w:spacing w:line="233" w:lineRule="auto"/>
        <w:ind w:left="580"/>
        <w:jc w:val="center"/>
        <w:rPr>
          <w:rFonts w:ascii="Times New Roman" w:hAnsi="Times New Roman" w:eastAsia="Times New Roman"/>
          <w:sz w:val="24"/>
        </w:rPr>
      </w:pPr>
      <w:r>
        <w:rPr>
          <w:rFonts w:ascii="Times New Roman" w:hAnsi="Times New Roman" w:eastAsia="Times New Roman"/>
          <w:sz w:val="24"/>
        </w:rPr>
        <w:t xml:space="preserve">Rabin,  O.,  Hegedus,  L.,  Bourre,  J.  M.,  Smith,  Q.  R.,  (1993).  Rapid  brain  uptake  of manganese(II) across the blood–brain barrier. </w:t>
      </w:r>
      <w:r>
        <w:rPr>
          <w:rFonts w:ascii="Times New Roman" w:hAnsi="Times New Roman" w:eastAsia="Times New Roman"/>
          <w:i/>
          <w:sz w:val="24"/>
        </w:rPr>
        <w:t>J. Neurochem.</w:t>
      </w:r>
      <w:r>
        <w:rPr>
          <w:rFonts w:ascii="Times New Roman" w:hAnsi="Times New Roman" w:eastAsia="Times New Roman"/>
          <w:sz w:val="24"/>
        </w:rPr>
        <w:t xml:space="preserve"> 61: 509–517.</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Rachel, R. M., Bruce, A. G., Edward, J. C. (2006). Caffeine Content of Energy Drinks, Carbonared Sodas and other Beverages. </w:t>
      </w:r>
      <w:r>
        <w:rPr>
          <w:rFonts w:ascii="Times New Roman" w:hAnsi="Times New Roman" w:eastAsia="Times New Roman"/>
          <w:i/>
          <w:sz w:val="24"/>
        </w:rPr>
        <w:t>Journal of analytical toxicology</w:t>
      </w:r>
      <w:r>
        <w:rPr>
          <w:rFonts w:ascii="Times New Roman" w:hAnsi="Times New Roman" w:eastAsia="Times New Roman"/>
          <w:sz w:val="24"/>
        </w:rPr>
        <w:t>. Vol. 30</w:t>
      </w:r>
    </w:p>
    <w:p>
      <w:pPr>
        <w:spacing w:line="290" w:lineRule="exact"/>
        <w:rPr>
          <w:rFonts w:ascii="Times New Roman" w:hAnsi="Times New Roman" w:eastAsia="Times New Roman"/>
        </w:rPr>
      </w:pPr>
    </w:p>
    <w:p>
      <w:pPr>
        <w:tabs>
          <w:tab w:val="left" w:pos="1360"/>
        </w:tabs>
        <w:spacing w:line="236" w:lineRule="auto"/>
        <w:ind w:left="1380" w:hanging="810"/>
        <w:jc w:val="both"/>
        <w:rPr>
          <w:rFonts w:ascii="Times New Roman" w:hAnsi="Times New Roman" w:eastAsia="Times New Roman"/>
          <w:sz w:val="24"/>
        </w:rPr>
      </w:pPr>
      <w:r>
        <w:rPr>
          <w:rFonts w:ascii="Times New Roman" w:hAnsi="Times New Roman" w:eastAsia="Times New Roman"/>
          <w:sz w:val="24"/>
        </w:rPr>
        <w:t>Rangan,</w:t>
      </w:r>
      <w:r>
        <w:rPr>
          <w:rFonts w:ascii="Times New Roman" w:hAnsi="Times New Roman" w:eastAsia="Times New Roman"/>
          <w:sz w:val="24"/>
        </w:rPr>
        <w:tab/>
      </w:r>
      <w:r>
        <w:rPr>
          <w:rFonts w:ascii="Times New Roman" w:hAnsi="Times New Roman" w:eastAsia="Times New Roman"/>
          <w:sz w:val="24"/>
        </w:rPr>
        <w:t xml:space="preserve">A. M., Randall, D., Hector, D. J., Gill, T. P. And Webb, K. L. (2008). Consumption of extra food by Australian children: types, quantities and contribution to energy and nutrients intake. </w:t>
      </w:r>
      <w:r>
        <w:rPr>
          <w:rFonts w:ascii="Times New Roman" w:hAnsi="Times New Roman" w:eastAsia="Times New Roman"/>
          <w:i/>
          <w:sz w:val="24"/>
        </w:rPr>
        <w:t>European Journal of clinical</w:t>
      </w:r>
      <w:r>
        <w:rPr>
          <w:rFonts w:ascii="Times New Roman" w:hAnsi="Times New Roman" w:eastAsia="Times New Roman"/>
          <w:sz w:val="24"/>
        </w:rPr>
        <w:t xml:space="preserve"> </w:t>
      </w:r>
      <w:r>
        <w:rPr>
          <w:rFonts w:ascii="Times New Roman" w:hAnsi="Times New Roman" w:eastAsia="Times New Roman"/>
          <w:i/>
          <w:sz w:val="24"/>
        </w:rPr>
        <w:t xml:space="preserve">Nutrition. </w:t>
      </w:r>
      <w:r>
        <w:rPr>
          <w:rFonts w:ascii="Times New Roman" w:hAnsi="Times New Roman" w:eastAsia="Times New Roman"/>
          <w:sz w:val="24"/>
        </w:rPr>
        <w:t>62(3): 356-64</w:t>
      </w:r>
    </w:p>
    <w:p>
      <w:pPr>
        <w:spacing w:line="200" w:lineRule="exact"/>
        <w:rPr>
          <w:rFonts w:ascii="Times New Roman" w:hAnsi="Times New Roman" w:eastAsia="Times New Roman"/>
        </w:rPr>
      </w:pPr>
    </w:p>
    <w:p>
      <w:pPr>
        <w:spacing w:line="255" w:lineRule="exact"/>
        <w:rPr>
          <w:rFonts w:ascii="Times New Roman" w:hAnsi="Times New Roman" w:eastAsia="Times New Roman"/>
        </w:rPr>
      </w:pPr>
    </w:p>
    <w:p>
      <w:pPr>
        <w:spacing w:line="0" w:lineRule="atLeast"/>
        <w:ind w:left="4880"/>
        <w:rPr>
          <w:sz w:val="22"/>
        </w:rPr>
      </w:pPr>
      <w:r>
        <w:rPr>
          <w:sz w:val="22"/>
        </w:rPr>
        <w:t>cii</w:t>
      </w:r>
    </w:p>
    <w:p>
      <w:pPr>
        <w:spacing w:line="0" w:lineRule="atLeast"/>
        <w:ind w:left="4880"/>
        <w:rPr>
          <w:sz w:val="22"/>
        </w:rPr>
        <w:sectPr>
          <w:pgSz w:w="12240" w:h="15840"/>
          <w:pgMar w:top="1430" w:right="1440" w:bottom="428" w:left="1440" w:header="0" w:footer="0" w:gutter="0"/>
          <w:cols w:equalWidth="0" w:num="1">
            <w:col w:w="9360"/>
          </w:cols>
          <w:docGrid w:linePitch="360" w:charSpace="0"/>
        </w:sectPr>
      </w:pPr>
    </w:p>
    <w:p>
      <w:pPr>
        <w:spacing w:line="276" w:lineRule="exact"/>
        <w:rPr>
          <w:rFonts w:ascii="Times New Roman" w:hAnsi="Times New Roman" w:eastAsia="Times New Roman"/>
        </w:rPr>
      </w:pPr>
      <w:bookmarkStart w:id="94" w:name="page103"/>
      <w:bookmarkEnd w:id="94"/>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Ranney, R. E., and Oppermann, J. A. (1979). A review of the metabolism of the aspartyl moiety of aspartame in experimental animals and man. </w:t>
      </w:r>
      <w:r>
        <w:rPr>
          <w:rFonts w:ascii="Times New Roman" w:hAnsi="Times New Roman" w:eastAsia="Times New Roman"/>
          <w:i/>
          <w:sz w:val="24"/>
        </w:rPr>
        <w:t>Journal of Environmental</w:t>
      </w:r>
      <w:r>
        <w:rPr>
          <w:rFonts w:ascii="Times New Roman" w:hAnsi="Times New Roman" w:eastAsia="Times New Roman"/>
          <w:sz w:val="24"/>
        </w:rPr>
        <w:t xml:space="preserve"> </w:t>
      </w:r>
      <w:r>
        <w:rPr>
          <w:rFonts w:ascii="Times New Roman" w:hAnsi="Times New Roman" w:eastAsia="Times New Roman"/>
          <w:i/>
          <w:sz w:val="24"/>
        </w:rPr>
        <w:t xml:space="preserve">Pathology and Toxicology </w:t>
      </w:r>
      <w:r>
        <w:rPr>
          <w:rFonts w:ascii="Times New Roman" w:hAnsi="Times New Roman" w:eastAsia="Times New Roman"/>
          <w:sz w:val="24"/>
        </w:rPr>
        <w:t>2: 979–</w:t>
      </w:r>
      <w:r>
        <w:rPr>
          <w:rFonts w:ascii="Times New Roman" w:hAnsi="Times New Roman" w:eastAsia="Times New Roman"/>
          <w:i/>
          <w:sz w:val="24"/>
        </w:rPr>
        <w:t xml:space="preserve"> </w:t>
      </w:r>
      <w:r>
        <w:rPr>
          <w:rFonts w:ascii="Times New Roman" w:hAnsi="Times New Roman" w:eastAsia="Times New Roman"/>
          <w:sz w:val="24"/>
        </w:rPr>
        <w:t>985.</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Rath, M. (2012). Energy drinks: What is all the hype? The dangers of energy drink consumption. </w:t>
      </w:r>
      <w:r>
        <w:rPr>
          <w:rFonts w:ascii="Times New Roman" w:hAnsi="Times New Roman" w:eastAsia="Times New Roman"/>
          <w:i/>
          <w:sz w:val="24"/>
        </w:rPr>
        <w:t>Journal Of The American Academy Of Nurse Practitioners</w:t>
      </w:r>
      <w:r>
        <w:rPr>
          <w:rFonts w:ascii="Times New Roman" w:hAnsi="Times New Roman" w:eastAsia="Times New Roman"/>
          <w:sz w:val="24"/>
        </w:rPr>
        <w:t>, 24(2): 70-76.</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Reid, I. R. (1995). Long Term Effects of Calcium Supplementation on Bone Loss and fractures I Post-Menopausal Women. A Randomized Control Trial</w:t>
      </w:r>
      <w:r>
        <w:rPr>
          <w:rFonts w:ascii="Times New Roman" w:hAnsi="Times New Roman" w:eastAsia="Times New Roman"/>
          <w:i/>
          <w:sz w:val="24"/>
        </w:rPr>
        <w:t>. Am. J. Med</w:t>
      </w:r>
      <w:r>
        <w:rPr>
          <w:rFonts w:ascii="Times New Roman" w:hAnsi="Times New Roman" w:eastAsia="Times New Roman"/>
          <w:sz w:val="24"/>
        </w:rPr>
        <w:t xml:space="preserve"> </w:t>
      </w:r>
      <w:r>
        <w:rPr>
          <w:rFonts w:ascii="Times New Roman" w:hAnsi="Times New Roman" w:eastAsia="Times New Roman"/>
          <w:i/>
          <w:sz w:val="24"/>
        </w:rPr>
        <w:t xml:space="preserve">Sci. </w:t>
      </w:r>
      <w:r>
        <w:rPr>
          <w:rFonts w:ascii="Times New Roman" w:hAnsi="Times New Roman" w:eastAsia="Times New Roman"/>
          <w:sz w:val="24"/>
        </w:rPr>
        <w:t>98: 331-35.</w:t>
      </w:r>
    </w:p>
    <w:p>
      <w:pPr>
        <w:spacing w:line="200" w:lineRule="exact"/>
        <w:rPr>
          <w:rFonts w:ascii="Times New Roman" w:hAnsi="Times New Roman" w:eastAsia="Times New Roman"/>
        </w:rPr>
      </w:pPr>
    </w:p>
    <w:p>
      <w:pPr>
        <w:spacing w:line="323"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Reissig, C. J., Strain, E. C., Griffiths, R. R. (2008). Caffeinated energy drinks – A growing</w:t>
      </w:r>
    </w:p>
    <w:p>
      <w:pPr>
        <w:spacing w:line="36"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sz w:val="24"/>
        </w:rPr>
        <w:t xml:space="preserve">problem. </w:t>
      </w:r>
      <w:r>
        <w:rPr>
          <w:rFonts w:ascii="Times New Roman" w:hAnsi="Times New Roman" w:eastAsia="Times New Roman"/>
          <w:i/>
          <w:sz w:val="24"/>
        </w:rPr>
        <w:t>Drug and Alcohol Dependence</w:t>
      </w:r>
      <w:r>
        <w:rPr>
          <w:rFonts w:ascii="Times New Roman" w:hAnsi="Times New Roman" w:eastAsia="Times New Roman"/>
          <w:sz w:val="24"/>
        </w:rPr>
        <w:t>. 99: 1-10.</w:t>
      </w:r>
    </w:p>
    <w:p>
      <w:pPr>
        <w:spacing w:line="26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Reyner, L. A., and Horne, J. A. (2002). Efficacy of a 'functional energy drink' in counteracting driver sleepiness. </w:t>
      </w:r>
      <w:r>
        <w:rPr>
          <w:rFonts w:ascii="Times New Roman" w:hAnsi="Times New Roman" w:eastAsia="Times New Roman"/>
          <w:i/>
          <w:sz w:val="24"/>
        </w:rPr>
        <w:t>Physiol Behav.</w:t>
      </w:r>
      <w:r>
        <w:rPr>
          <w:rFonts w:ascii="Times New Roman" w:hAnsi="Times New Roman" w:eastAsia="Times New Roman"/>
          <w:sz w:val="24"/>
        </w:rPr>
        <w:t>; 75: 331-5.</w:t>
      </w:r>
    </w:p>
    <w:p>
      <w:pPr>
        <w:spacing w:line="290"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Riesenhuber, A, Boehm, M, Posch, M, Aufricht, C. (2006). Diuretic potential of energy drinks. </w:t>
      </w:r>
      <w:r>
        <w:rPr>
          <w:rFonts w:ascii="Times New Roman" w:hAnsi="Times New Roman" w:eastAsia="Times New Roman"/>
          <w:i/>
          <w:sz w:val="24"/>
        </w:rPr>
        <w:t>Amino Acids</w:t>
      </w:r>
      <w:r>
        <w:rPr>
          <w:rFonts w:ascii="Times New Roman" w:hAnsi="Times New Roman" w:eastAsia="Times New Roman"/>
          <w:sz w:val="24"/>
        </w:rPr>
        <w:t>, 31: 81–3.</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Rubio, C., Hardisson, A., Reguera, J. I., Revert, C., Lafuente ,M. A., Gonzalez-Iglesias T. (2006). Cadmium dietary intake in the Canary Islands, Spain. </w:t>
      </w:r>
      <w:r>
        <w:rPr>
          <w:rFonts w:ascii="Times New Roman" w:hAnsi="Times New Roman" w:eastAsia="Times New Roman"/>
          <w:i/>
          <w:sz w:val="24"/>
        </w:rPr>
        <w:t>Environmental</w:t>
      </w:r>
      <w:r>
        <w:rPr>
          <w:rFonts w:ascii="Times New Roman" w:hAnsi="Times New Roman" w:eastAsia="Times New Roman"/>
          <w:sz w:val="24"/>
        </w:rPr>
        <w:t xml:space="preserve"> </w:t>
      </w:r>
      <w:r>
        <w:rPr>
          <w:rFonts w:ascii="Times New Roman" w:hAnsi="Times New Roman" w:eastAsia="Times New Roman"/>
          <w:i/>
          <w:sz w:val="24"/>
        </w:rPr>
        <w:t xml:space="preserve">Research, </w:t>
      </w:r>
      <w:r>
        <w:rPr>
          <w:rFonts w:ascii="Times New Roman" w:hAnsi="Times New Roman" w:eastAsia="Times New Roman"/>
          <w:sz w:val="24"/>
        </w:rPr>
        <w:t>100: 123–129.</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Ryan-Harshman, M., Aldoori, W. (2005). Health benefits of selected minerals, </w:t>
      </w:r>
      <w:r>
        <w:rPr>
          <w:rFonts w:ascii="Times New Roman" w:hAnsi="Times New Roman" w:eastAsia="Times New Roman"/>
          <w:i/>
          <w:sz w:val="24"/>
        </w:rPr>
        <w:t>Can. Fam</w:t>
      </w:r>
      <w:r>
        <w:rPr>
          <w:rFonts w:ascii="Times New Roman" w:hAnsi="Times New Roman" w:eastAsia="Times New Roman"/>
          <w:sz w:val="24"/>
        </w:rPr>
        <w:t xml:space="preserve"> </w:t>
      </w:r>
      <w:r>
        <w:rPr>
          <w:rFonts w:ascii="Times New Roman" w:hAnsi="Times New Roman" w:eastAsia="Times New Roman"/>
          <w:i/>
          <w:sz w:val="24"/>
        </w:rPr>
        <w:t xml:space="preserve">Physician. </w:t>
      </w:r>
      <w:r>
        <w:rPr>
          <w:rFonts w:ascii="Times New Roman" w:hAnsi="Times New Roman" w:eastAsia="Times New Roman"/>
          <w:sz w:val="24"/>
        </w:rPr>
        <w:t>51(5): 673–675.</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Satarug, S., and Moore, M. R. (2004). Adverse health effects of chronic exposure to low-level cadmium in foodstuffs and cigarette smoke. </w:t>
      </w:r>
      <w:r>
        <w:rPr>
          <w:rFonts w:ascii="Times New Roman" w:hAnsi="Times New Roman" w:eastAsia="Times New Roman"/>
          <w:i/>
          <w:sz w:val="24"/>
        </w:rPr>
        <w:t>Environ. Health Prespect.</w:t>
      </w:r>
      <w:r>
        <w:rPr>
          <w:rFonts w:ascii="Times New Roman" w:hAnsi="Times New Roman" w:eastAsia="Times New Roman"/>
          <w:sz w:val="24"/>
        </w:rPr>
        <w:t xml:space="preserve"> 112(10): 1099.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Savoca, M. R., Evans, C. D., Wilson, M. E., Harshfield, G. A., Ludwig, D. A. (2004). The association of caffeinated beverages with blood pressure in adolescents. </w:t>
      </w:r>
      <w:r>
        <w:rPr>
          <w:rFonts w:ascii="Times New Roman" w:hAnsi="Times New Roman" w:eastAsia="Times New Roman"/>
          <w:i/>
          <w:sz w:val="24"/>
        </w:rPr>
        <w:t>Arch</w:t>
      </w:r>
      <w:r>
        <w:rPr>
          <w:rFonts w:ascii="Times New Roman" w:hAnsi="Times New Roman" w:eastAsia="Times New Roman"/>
          <w:sz w:val="24"/>
        </w:rPr>
        <w:t xml:space="preserve"> </w:t>
      </w:r>
      <w:r>
        <w:rPr>
          <w:rFonts w:ascii="Times New Roman" w:hAnsi="Times New Roman" w:eastAsia="Times New Roman"/>
          <w:i/>
          <w:sz w:val="24"/>
        </w:rPr>
        <w:t>Pediatr Adolesc Med</w:t>
      </w:r>
      <w:r>
        <w:rPr>
          <w:rFonts w:ascii="Times New Roman" w:hAnsi="Times New Roman" w:eastAsia="Times New Roman"/>
          <w:sz w:val="24"/>
        </w:rPr>
        <w:t>.; 158: 473-7.</w:t>
      </w:r>
    </w:p>
    <w:p>
      <w:pPr>
        <w:spacing w:line="290" w:lineRule="exact"/>
        <w:rPr>
          <w:rFonts w:ascii="Times New Roman" w:hAnsi="Times New Roman" w:eastAsia="Times New Roman"/>
        </w:rPr>
      </w:pPr>
    </w:p>
    <w:p>
      <w:pPr>
        <w:spacing w:line="237" w:lineRule="auto"/>
        <w:ind w:left="1380" w:hanging="810"/>
        <w:jc w:val="both"/>
        <w:rPr>
          <w:rFonts w:ascii="Times New Roman" w:hAnsi="Times New Roman" w:eastAsia="Times New Roman"/>
          <w:sz w:val="24"/>
        </w:rPr>
      </w:pPr>
      <w:r>
        <w:rPr>
          <w:rFonts w:ascii="Times New Roman" w:hAnsi="Times New Roman" w:eastAsia="Times New Roman"/>
          <w:sz w:val="24"/>
        </w:rPr>
        <w:t xml:space="preserve">Schernhammer, E. S., Hu, F. B., Giovannuci, E., Michaud, D. S., Colditdz, G. A., Stampfer, M. J. and Fuchus, C. S. (2005). Sugar sweetened soft drinks consumption and risk of pancreatic cancer in two perspectives, </w:t>
      </w:r>
      <w:r>
        <w:rPr>
          <w:rFonts w:ascii="Times New Roman" w:hAnsi="Times New Roman" w:eastAsia="Times New Roman"/>
          <w:i/>
          <w:sz w:val="24"/>
        </w:rPr>
        <w:t>Cancer</w:t>
      </w:r>
      <w:r>
        <w:rPr>
          <w:rFonts w:ascii="Times New Roman" w:hAnsi="Times New Roman" w:eastAsia="Times New Roman"/>
          <w:sz w:val="24"/>
        </w:rPr>
        <w:t xml:space="preserve"> </w:t>
      </w:r>
      <w:r>
        <w:rPr>
          <w:rFonts w:ascii="Times New Roman" w:hAnsi="Times New Roman" w:eastAsia="Times New Roman"/>
          <w:i/>
          <w:sz w:val="24"/>
        </w:rPr>
        <w:t>epidemiology, Biomarkers and Prevention</w:t>
      </w:r>
      <w:r>
        <w:rPr>
          <w:rFonts w:ascii="Times New Roman" w:hAnsi="Times New Roman" w:eastAsia="Times New Roman"/>
          <w:sz w:val="24"/>
        </w:rPr>
        <w:t>. 14(7): 2098-105.</w:t>
      </w:r>
    </w:p>
    <w:p>
      <w:pPr>
        <w:spacing w:line="293"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Scholey, A. B., and Kennedy, D. O. (2004). Cognitive and physiological effects of an "energy drink": an evaluation of the whole drink and of glucose, caffeine and herbal flavouring fractions. </w:t>
      </w:r>
      <w:r>
        <w:rPr>
          <w:rFonts w:ascii="Times New Roman" w:hAnsi="Times New Roman" w:eastAsia="Times New Roman"/>
          <w:i/>
          <w:sz w:val="24"/>
        </w:rPr>
        <w:t>Psychopharmacology (Berl)</w:t>
      </w:r>
      <w:r>
        <w:rPr>
          <w:rFonts w:ascii="Times New Roman" w:hAnsi="Times New Roman" w:eastAsia="Times New Roman"/>
          <w:sz w:val="24"/>
        </w:rPr>
        <w:t>; 176: 320-30.</w:t>
      </w:r>
    </w:p>
    <w:p>
      <w:pPr>
        <w:spacing w:line="200" w:lineRule="exact"/>
        <w:rPr>
          <w:rFonts w:ascii="Times New Roman" w:hAnsi="Times New Roman" w:eastAsia="Times New Roman"/>
        </w:rPr>
      </w:pPr>
    </w:p>
    <w:p>
      <w:pPr>
        <w:spacing w:line="280" w:lineRule="exact"/>
        <w:rPr>
          <w:rFonts w:ascii="Times New Roman" w:hAnsi="Times New Roman" w:eastAsia="Times New Roman"/>
        </w:rPr>
      </w:pPr>
    </w:p>
    <w:p>
      <w:pPr>
        <w:spacing w:line="0" w:lineRule="atLeast"/>
        <w:ind w:left="4840"/>
        <w:rPr>
          <w:sz w:val="22"/>
        </w:rPr>
      </w:pPr>
      <w:r>
        <w:rPr>
          <w:sz w:val="22"/>
        </w:rPr>
        <w:t>ciii</w:t>
      </w:r>
    </w:p>
    <w:p>
      <w:pPr>
        <w:spacing w:line="0" w:lineRule="atLeast"/>
        <w:ind w:left="484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95" w:name="page104"/>
      <w:bookmarkEnd w:id="95"/>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Schulze, M. B., Manson, J. E., Ludwig, D. S., Colditz, G. A., Stampfer, M. J., Willett, W. C., Hu, F.B. (2004). Sugar-sweetened beverages, weight gain, and incidence of type 2 diabetes in young and middle-aged women. </w:t>
      </w:r>
      <w:r>
        <w:rPr>
          <w:rFonts w:ascii="Times New Roman" w:hAnsi="Times New Roman" w:eastAsia="Times New Roman"/>
          <w:i/>
          <w:sz w:val="24"/>
        </w:rPr>
        <w:t>JAMA</w:t>
      </w:r>
      <w:r>
        <w:rPr>
          <w:rFonts w:ascii="Times New Roman" w:hAnsi="Times New Roman" w:eastAsia="Times New Roman"/>
          <w:sz w:val="24"/>
        </w:rPr>
        <w:t>, 292(8): 927 - 934.</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Seidal, K., Jorgensen, N., Elinder, C. G., Sjogren, B., Vahter, M. (1993). Fatal cadmium-induced pneumonitis. </w:t>
      </w:r>
      <w:r>
        <w:rPr>
          <w:rFonts w:ascii="Times New Roman" w:hAnsi="Times New Roman" w:eastAsia="Times New Roman"/>
          <w:i/>
          <w:sz w:val="24"/>
        </w:rPr>
        <w:t>Scand J Work Environ Health</w:t>
      </w:r>
      <w:r>
        <w:rPr>
          <w:rFonts w:ascii="Times New Roman" w:hAnsi="Times New Roman" w:eastAsia="Times New Roman"/>
          <w:sz w:val="24"/>
        </w:rPr>
        <w:t>; 19: 429–31</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Senesse. P., Meance, S., Cottet, V., Faivre, J., Boutron-Ruault, M. C. (2004). High dietary iron and copper and risk of colorectal cancer: a case-control study in Burgundy, France. </w:t>
      </w:r>
      <w:r>
        <w:rPr>
          <w:rFonts w:ascii="Times New Roman" w:hAnsi="Times New Roman" w:eastAsia="Times New Roman"/>
          <w:i/>
          <w:sz w:val="24"/>
        </w:rPr>
        <w:t>Nutr. Cancer.</w:t>
      </w:r>
      <w:r>
        <w:rPr>
          <w:rFonts w:ascii="Times New Roman" w:hAnsi="Times New Roman" w:eastAsia="Times New Roman"/>
          <w:sz w:val="24"/>
        </w:rPr>
        <w:t xml:space="preserve"> 49: 66-71</w:t>
      </w:r>
    </w:p>
    <w:p>
      <w:pPr>
        <w:spacing w:line="290" w:lineRule="exact"/>
        <w:rPr>
          <w:rFonts w:ascii="Times New Roman" w:hAnsi="Times New Roman" w:eastAsia="Times New Roman"/>
        </w:rPr>
      </w:pPr>
    </w:p>
    <w:p>
      <w:pPr>
        <w:tabs>
          <w:tab w:val="left" w:pos="1360"/>
        </w:tabs>
        <w:spacing w:line="236" w:lineRule="auto"/>
        <w:ind w:left="1380" w:hanging="810"/>
        <w:jc w:val="both"/>
        <w:rPr>
          <w:rFonts w:ascii="Times New Roman" w:hAnsi="Times New Roman" w:eastAsia="Times New Roman"/>
          <w:color w:val="221E1F"/>
          <w:sz w:val="24"/>
        </w:rPr>
      </w:pPr>
      <w:r>
        <w:rPr>
          <w:rFonts w:ascii="Times New Roman" w:hAnsi="Times New Roman" w:eastAsia="Times New Roman"/>
          <w:color w:val="221E1F"/>
          <w:sz w:val="24"/>
        </w:rPr>
        <w:t>Serdar,</w:t>
      </w:r>
      <w:r>
        <w:rPr>
          <w:rFonts w:ascii="Times New Roman" w:hAnsi="Times New Roman" w:eastAsia="Times New Roman"/>
          <w:color w:val="221E1F"/>
          <w:sz w:val="24"/>
        </w:rPr>
        <w:tab/>
      </w:r>
      <w:r>
        <w:rPr>
          <w:rFonts w:ascii="Times New Roman" w:hAnsi="Times New Roman" w:eastAsia="Times New Roman"/>
          <w:color w:val="221E1F"/>
          <w:sz w:val="24"/>
        </w:rPr>
        <w:t xml:space="preserve">M. and Knežević, Z. (2011). Hplc determination of artifical sweeteners in beverages and special nutritional Products using high performance liquid Chromatography. </w:t>
      </w:r>
      <w:r>
        <w:rPr>
          <w:rFonts w:ascii="Times New Roman" w:hAnsi="Times New Roman" w:eastAsia="Times New Roman"/>
          <w:i/>
          <w:color w:val="221E1F"/>
          <w:sz w:val="24"/>
        </w:rPr>
        <w:t>Arh Hig Rada Toksikol;</w:t>
      </w:r>
      <w:r>
        <w:rPr>
          <w:rFonts w:ascii="Times New Roman" w:hAnsi="Times New Roman" w:eastAsia="Times New Roman"/>
          <w:color w:val="221E1F"/>
          <w:sz w:val="24"/>
        </w:rPr>
        <w:t xml:space="preserve"> 62: 169-173.</w:t>
      </w:r>
    </w:p>
    <w:p>
      <w:pPr>
        <w:spacing w:line="290" w:lineRule="exact"/>
        <w:rPr>
          <w:rFonts w:ascii="Times New Roman" w:hAnsi="Times New Roman" w:eastAsia="Times New Roman"/>
        </w:rPr>
      </w:pPr>
    </w:p>
    <w:p>
      <w:pPr>
        <w:spacing w:line="236" w:lineRule="auto"/>
        <w:ind w:left="1380" w:right="20" w:hanging="810"/>
        <w:jc w:val="both"/>
        <w:rPr>
          <w:rFonts w:ascii="Times New Roman" w:hAnsi="Times New Roman" w:eastAsia="Times New Roman"/>
          <w:sz w:val="24"/>
        </w:rPr>
      </w:pPr>
      <w:r>
        <w:rPr>
          <w:rFonts w:ascii="Times New Roman" w:hAnsi="Times New Roman" w:eastAsia="Times New Roman"/>
          <w:sz w:val="24"/>
        </w:rPr>
        <w:t>Shapiro. R. B. (1988). Statement for the labor and human resources committee, US Senate (Washington, DC, Government Printing Office). 12: 5-7</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Shenkin,</w:t>
      </w:r>
      <w:r>
        <w:rPr>
          <w:rFonts w:ascii="Times New Roman" w:hAnsi="Times New Roman" w:eastAsia="Times New Roman"/>
        </w:rPr>
        <w:t xml:space="preserve"> </w:t>
      </w:r>
      <w:r>
        <w:rPr>
          <w:rFonts w:ascii="Times New Roman" w:hAnsi="Times New Roman" w:eastAsia="Times New Roman"/>
          <w:sz w:val="24"/>
        </w:rPr>
        <w:t xml:space="preserve">J. D., Heller, K.E., Warren, J. J., and Marshal, T. A. (2003). Soft drink consumption and carries in children and adolescents. </w:t>
      </w:r>
      <w:r>
        <w:rPr>
          <w:rFonts w:ascii="Times New Roman" w:hAnsi="Times New Roman" w:eastAsia="Times New Roman"/>
          <w:i/>
          <w:sz w:val="24"/>
        </w:rPr>
        <w:t>General dentistry.</w:t>
      </w:r>
      <w:r>
        <w:rPr>
          <w:rFonts w:ascii="Times New Roman" w:hAnsi="Times New Roman" w:eastAsia="Times New Roman"/>
          <w:sz w:val="24"/>
        </w:rPr>
        <w:t xml:space="preserve"> 51(1): 30-6.</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 xml:space="preserve">Siegel R. K. (1979). Ginseng abuse syndrome. Problems with the panacea. </w:t>
      </w:r>
      <w:r>
        <w:rPr>
          <w:rFonts w:ascii="Times New Roman" w:hAnsi="Times New Roman" w:eastAsia="Times New Roman"/>
          <w:i/>
          <w:sz w:val="24"/>
        </w:rPr>
        <w:t>JAMA;</w:t>
      </w:r>
      <w:r>
        <w:rPr>
          <w:rFonts w:ascii="Times New Roman" w:hAnsi="Times New Roman" w:eastAsia="Times New Roman"/>
          <w:sz w:val="24"/>
        </w:rPr>
        <w:t xml:space="preserve"> 241:</w:t>
      </w:r>
    </w:p>
    <w:p>
      <w:pPr>
        <w:spacing w:line="237" w:lineRule="auto"/>
        <w:ind w:left="1380"/>
        <w:rPr>
          <w:rFonts w:ascii="Times New Roman" w:hAnsi="Times New Roman" w:eastAsia="Times New Roman"/>
          <w:sz w:val="24"/>
        </w:rPr>
      </w:pPr>
      <w:r>
        <w:rPr>
          <w:rFonts w:ascii="Times New Roman" w:hAnsi="Times New Roman" w:eastAsia="Times New Roman"/>
          <w:sz w:val="24"/>
        </w:rPr>
        <w:t>1614-5.</w:t>
      </w:r>
    </w:p>
    <w:p>
      <w:pPr>
        <w:spacing w:line="289"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Smith, H. J. and Rogers, P. J. (2002). Effects of energy drinks on mood and mental performance: critical methodology. </w:t>
      </w:r>
      <w:r>
        <w:rPr>
          <w:rFonts w:ascii="Times New Roman" w:hAnsi="Times New Roman" w:eastAsia="Times New Roman"/>
          <w:i/>
          <w:sz w:val="24"/>
        </w:rPr>
        <w:t>Food Qual Pref</w:t>
      </w:r>
      <w:r>
        <w:rPr>
          <w:rFonts w:ascii="Times New Roman" w:hAnsi="Times New Roman" w:eastAsia="Times New Roman"/>
          <w:sz w:val="24"/>
        </w:rPr>
        <w:t>, 13: 317–26.</w:t>
      </w:r>
    </w:p>
    <w:p>
      <w:pPr>
        <w:spacing w:line="200" w:lineRule="exact"/>
        <w:rPr>
          <w:rFonts w:ascii="Times New Roman" w:hAnsi="Times New Roman" w:eastAsia="Times New Roman"/>
        </w:rPr>
      </w:pPr>
    </w:p>
    <w:p>
      <w:pPr>
        <w:spacing w:line="292" w:lineRule="exact"/>
        <w:rPr>
          <w:rFonts w:ascii="Times New Roman" w:hAnsi="Times New Roman" w:eastAsia="Times New Roman"/>
        </w:rPr>
      </w:pPr>
    </w:p>
    <w:p>
      <w:pPr>
        <w:tabs>
          <w:tab w:val="left" w:pos="1360"/>
        </w:tabs>
        <w:spacing w:line="236" w:lineRule="auto"/>
        <w:ind w:left="1380" w:hanging="799"/>
        <w:jc w:val="both"/>
        <w:rPr>
          <w:rFonts w:ascii="Times New Roman" w:hAnsi="Times New Roman" w:eastAsia="Times New Roman"/>
          <w:sz w:val="24"/>
        </w:rPr>
      </w:pPr>
      <w:r>
        <w:rPr>
          <w:rFonts w:ascii="Times New Roman" w:hAnsi="Times New Roman" w:eastAsia="Times New Roman"/>
          <w:sz w:val="24"/>
        </w:rPr>
        <w:t>Sower,</w:t>
      </w:r>
      <w:r>
        <w:rPr>
          <w:rFonts w:ascii="Times New Roman" w:hAnsi="Times New Roman" w:eastAsia="Times New Roman"/>
          <w:sz w:val="24"/>
        </w:rPr>
        <w:tab/>
      </w:r>
      <w:r>
        <w:rPr>
          <w:rFonts w:ascii="Times New Roman" w:hAnsi="Times New Roman" w:eastAsia="Times New Roman"/>
          <w:sz w:val="24"/>
        </w:rPr>
        <w:t xml:space="preserve">J. R. (1989). Calcium and Hypertention. </w:t>
      </w:r>
      <w:r>
        <w:rPr>
          <w:rFonts w:ascii="Times New Roman" w:hAnsi="Times New Roman" w:eastAsia="Times New Roman"/>
          <w:i/>
          <w:sz w:val="24"/>
        </w:rPr>
        <w:t>Journal Lab Clin. Med.</w:t>
      </w:r>
      <w:r>
        <w:rPr>
          <w:rFonts w:ascii="Times New Roman" w:hAnsi="Times New Roman" w:eastAsia="Times New Roman"/>
          <w:sz w:val="24"/>
        </w:rPr>
        <w:t xml:space="preserve"> 114: 338-48Stegink, L. D., Brummel, M. C., Filer, L. J. and Baker, G. L. (1983). Blood methanol concentrations in one year old infants administered graded doses of aspartame. </w:t>
      </w:r>
      <w:r>
        <w:rPr>
          <w:rFonts w:ascii="Times New Roman" w:hAnsi="Times New Roman" w:eastAsia="Times New Roman"/>
          <w:i/>
          <w:sz w:val="24"/>
        </w:rPr>
        <w:t>J. Nutr.</w:t>
      </w:r>
      <w:r>
        <w:rPr>
          <w:rFonts w:ascii="Times New Roman" w:hAnsi="Times New Roman" w:eastAsia="Times New Roman"/>
          <w:sz w:val="24"/>
        </w:rPr>
        <w:t xml:space="preserve"> 113 1600–1606.</w:t>
      </w:r>
    </w:p>
    <w:p>
      <w:pPr>
        <w:spacing w:line="293"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 xml:space="preserve">Spiller, M. A. (1998). The Chemical Components of Coffee. In: </w:t>
      </w:r>
      <w:r>
        <w:rPr>
          <w:rFonts w:ascii="Times New Roman" w:hAnsi="Times New Roman" w:eastAsia="Times New Roman"/>
          <w:i/>
          <w:sz w:val="24"/>
        </w:rPr>
        <w:t>Caffeine</w:t>
      </w:r>
      <w:r>
        <w:rPr>
          <w:rFonts w:ascii="Times New Roman" w:hAnsi="Times New Roman" w:eastAsia="Times New Roman"/>
          <w:sz w:val="24"/>
        </w:rPr>
        <w:t>. Spiller, G. A., Ed., CRC Press, Boca Raton. 97–161.</w:t>
      </w:r>
    </w:p>
    <w:p>
      <w:pPr>
        <w:spacing w:line="273"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Stegink, L. D. (1987). The aspartame story: A model for the clinical testing of a food</w:t>
      </w:r>
    </w:p>
    <w:p>
      <w:pPr>
        <w:spacing w:line="2"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sz w:val="24"/>
        </w:rPr>
        <w:t xml:space="preserve">additive. </w:t>
      </w:r>
      <w:r>
        <w:rPr>
          <w:rFonts w:ascii="Times New Roman" w:hAnsi="Times New Roman" w:eastAsia="Times New Roman"/>
          <w:i/>
          <w:sz w:val="24"/>
        </w:rPr>
        <w:t>American Journal of Clinical Nutrition</w:t>
      </w:r>
      <w:r>
        <w:rPr>
          <w:rFonts w:ascii="Times New Roman" w:hAnsi="Times New Roman" w:eastAsia="Times New Roman"/>
          <w:sz w:val="24"/>
        </w:rPr>
        <w:t xml:space="preserve"> 46: 204–215.</w:t>
      </w:r>
    </w:p>
    <w:p>
      <w:pPr>
        <w:spacing w:line="276"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Stipanuk, M. H. (2004). Role of liver in the regulation of body cysteine and taurine levels:</w:t>
      </w:r>
    </w:p>
    <w:p>
      <w:pPr>
        <w:spacing w:line="237" w:lineRule="auto"/>
        <w:ind w:left="1380"/>
        <w:rPr>
          <w:rFonts w:ascii="Times New Roman" w:hAnsi="Times New Roman" w:eastAsia="Times New Roman"/>
          <w:sz w:val="24"/>
        </w:rPr>
      </w:pPr>
      <w:r>
        <w:rPr>
          <w:rFonts w:ascii="Times New Roman" w:hAnsi="Times New Roman" w:eastAsia="Times New Roman"/>
          <w:sz w:val="24"/>
        </w:rPr>
        <w:t xml:space="preserve">a brief review. </w:t>
      </w:r>
      <w:r>
        <w:rPr>
          <w:rFonts w:ascii="Times New Roman" w:hAnsi="Times New Roman" w:eastAsia="Times New Roman"/>
          <w:i/>
          <w:sz w:val="24"/>
        </w:rPr>
        <w:t>Neurochem Res</w:t>
      </w:r>
      <w:r>
        <w:rPr>
          <w:rFonts w:ascii="Times New Roman" w:hAnsi="Times New Roman" w:eastAsia="Times New Roman"/>
          <w:sz w:val="24"/>
        </w:rPr>
        <w:t>, 29:105–10.</w:t>
      </w:r>
    </w:p>
    <w:p>
      <w:pPr>
        <w:spacing w:line="289" w:lineRule="exact"/>
        <w:rPr>
          <w:rFonts w:ascii="Times New Roman" w:hAnsi="Times New Roman" w:eastAsia="Times New Roman"/>
        </w:rPr>
      </w:pPr>
    </w:p>
    <w:p>
      <w:pPr>
        <w:spacing w:line="237" w:lineRule="auto"/>
        <w:ind w:left="1380" w:hanging="810"/>
        <w:jc w:val="both"/>
        <w:rPr>
          <w:rFonts w:ascii="Times New Roman" w:hAnsi="Times New Roman" w:eastAsia="Times New Roman"/>
          <w:sz w:val="24"/>
        </w:rPr>
      </w:pPr>
      <w:r>
        <w:rPr>
          <w:rFonts w:ascii="Times New Roman" w:hAnsi="Times New Roman" w:eastAsia="Times New Roman"/>
          <w:sz w:val="24"/>
        </w:rPr>
        <w:t xml:space="preserve">Striegel-Moore, R. H, Thompson, D., Affenitto, S. G., Franko, D. L., Obarzanek, E., Barton, B. A., Daniels, S. R., Schmidt, M. and Crawford, P. B. (2006). Correlates of beverage intake in adolescent girls: The National Heart, Lung, and Blood Institute Growth and Health Study, </w:t>
      </w:r>
      <w:r>
        <w:rPr>
          <w:rFonts w:ascii="Times New Roman" w:hAnsi="Times New Roman" w:eastAsia="Times New Roman"/>
          <w:i/>
          <w:sz w:val="24"/>
        </w:rPr>
        <w:t>Journal of pediatrics.</w:t>
      </w:r>
      <w:r>
        <w:rPr>
          <w:rFonts w:ascii="Times New Roman" w:hAnsi="Times New Roman" w:eastAsia="Times New Roman"/>
          <w:sz w:val="24"/>
        </w:rPr>
        <w:t xml:space="preserve"> Vol. 148: 183-7.</w:t>
      </w:r>
    </w:p>
    <w:p>
      <w:pPr>
        <w:spacing w:line="254" w:lineRule="exact"/>
        <w:rPr>
          <w:rFonts w:ascii="Times New Roman" w:hAnsi="Times New Roman" w:eastAsia="Times New Roman"/>
        </w:rPr>
      </w:pPr>
    </w:p>
    <w:p>
      <w:pPr>
        <w:spacing w:line="0" w:lineRule="atLeast"/>
        <w:ind w:left="4840"/>
        <w:rPr>
          <w:sz w:val="22"/>
        </w:rPr>
      </w:pPr>
      <w:r>
        <w:rPr>
          <w:sz w:val="22"/>
        </w:rPr>
        <w:t>civ</w:t>
      </w:r>
    </w:p>
    <w:p>
      <w:pPr>
        <w:spacing w:line="0" w:lineRule="atLeast"/>
        <w:ind w:left="484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96" w:name="page105"/>
      <w:bookmarkEnd w:id="96"/>
    </w:p>
    <w:p>
      <w:pPr>
        <w:spacing w:line="233"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Takagi, I. (1991). Calcium Treatment of Essential Hypertension in Elderly Patients Evaluated by 24H Monitoring. </w:t>
      </w:r>
      <w:r>
        <w:rPr>
          <w:rFonts w:ascii="Times New Roman" w:hAnsi="Times New Roman" w:eastAsia="Times New Roman"/>
          <w:i/>
          <w:sz w:val="24"/>
        </w:rPr>
        <w:t>Am J. Hypertens.</w:t>
      </w:r>
      <w:r>
        <w:rPr>
          <w:rFonts w:ascii="Times New Roman" w:hAnsi="Times New Roman" w:eastAsia="Times New Roman"/>
          <w:sz w:val="24"/>
        </w:rPr>
        <w:t xml:space="preserve"> 4: 836-9</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Thys-Jocos,</w:t>
      </w:r>
      <w:r>
        <w:rPr>
          <w:rFonts w:ascii="Times New Roman" w:hAnsi="Times New Roman" w:eastAsia="Times New Roman"/>
        </w:rPr>
        <w:t xml:space="preserve"> </w:t>
      </w:r>
      <w:r>
        <w:rPr>
          <w:rFonts w:ascii="Times New Roman" w:hAnsi="Times New Roman" w:eastAsia="Times New Roman"/>
          <w:sz w:val="24"/>
        </w:rPr>
        <w:t xml:space="preserve">S. (1989). Calcium Supplementation in Pre-Menstrual Syndrome. A Randomized Cross Over trial. </w:t>
      </w:r>
      <w:r>
        <w:rPr>
          <w:rFonts w:ascii="Times New Roman" w:hAnsi="Times New Roman" w:eastAsia="Times New Roman"/>
          <w:i/>
          <w:sz w:val="24"/>
        </w:rPr>
        <w:t>Gen. Intern. Med.</w:t>
      </w:r>
      <w:r>
        <w:rPr>
          <w:rFonts w:ascii="Times New Roman" w:hAnsi="Times New Roman" w:eastAsia="Times New Roman"/>
          <w:sz w:val="24"/>
        </w:rPr>
        <w:t xml:space="preserve"> 4: 183-9</w:t>
      </w:r>
    </w:p>
    <w:p>
      <w:pPr>
        <w:spacing w:line="288" w:lineRule="exact"/>
        <w:rPr>
          <w:rFonts w:ascii="Times New Roman" w:hAnsi="Times New Roman" w:eastAsia="Times New Roman"/>
        </w:rPr>
      </w:pPr>
    </w:p>
    <w:p>
      <w:pPr>
        <w:spacing w:line="233" w:lineRule="auto"/>
        <w:ind w:left="1660" w:right="20" w:hanging="1079"/>
        <w:jc w:val="both"/>
        <w:rPr>
          <w:rFonts w:ascii="Times New Roman" w:hAnsi="Times New Roman" w:eastAsia="Times New Roman"/>
          <w:sz w:val="24"/>
        </w:rPr>
      </w:pPr>
      <w:r>
        <w:rPr>
          <w:rFonts w:ascii="Times New Roman" w:hAnsi="Times New Roman" w:eastAsia="Times New Roman"/>
          <w:sz w:val="24"/>
        </w:rPr>
        <w:t xml:space="preserve">Timbrell J. A., Seabra V., Waterfield C. J. (1995). The in vivo and in vitro protective properties of taurine. </w:t>
      </w:r>
      <w:r>
        <w:rPr>
          <w:rFonts w:ascii="Times New Roman" w:hAnsi="Times New Roman" w:eastAsia="Times New Roman"/>
          <w:i/>
          <w:sz w:val="24"/>
        </w:rPr>
        <w:t>Gen Pharmac</w:t>
      </w:r>
      <w:r>
        <w:rPr>
          <w:rFonts w:ascii="Times New Roman" w:hAnsi="Times New Roman" w:eastAsia="Times New Roman"/>
          <w:sz w:val="24"/>
        </w:rPr>
        <w:t>. 26:453–62.</w:t>
      </w:r>
    </w:p>
    <w:p>
      <w:pPr>
        <w:spacing w:line="290" w:lineRule="exact"/>
        <w:rPr>
          <w:rFonts w:ascii="Times New Roman" w:hAnsi="Times New Roman" w:eastAsia="Times New Roman"/>
        </w:rPr>
      </w:pPr>
    </w:p>
    <w:p>
      <w:pPr>
        <w:spacing w:line="235" w:lineRule="auto"/>
        <w:ind w:left="1380" w:right="20" w:hanging="810"/>
        <w:jc w:val="both"/>
        <w:rPr>
          <w:rFonts w:ascii="Times New Roman" w:hAnsi="Times New Roman" w:eastAsia="Times New Roman"/>
          <w:sz w:val="24"/>
        </w:rPr>
      </w:pPr>
      <w:r>
        <w:rPr>
          <w:rFonts w:ascii="Times New Roman" w:hAnsi="Times New Roman" w:eastAsia="Times New Roman"/>
          <w:sz w:val="24"/>
        </w:rPr>
        <w:t xml:space="preserve">Tremblay, A., Masson, E., Leduc, S., Houde, A., Despres, J. P. (1988). Caffeine reduces spontaneous energy intake in men but not in women. </w:t>
      </w:r>
      <w:r>
        <w:rPr>
          <w:rFonts w:ascii="Times New Roman" w:hAnsi="Times New Roman" w:eastAsia="Times New Roman"/>
          <w:i/>
          <w:sz w:val="24"/>
        </w:rPr>
        <w:t>Nutr Res</w:t>
      </w:r>
      <w:r>
        <w:rPr>
          <w:rFonts w:ascii="Times New Roman" w:hAnsi="Times New Roman" w:eastAsia="Times New Roman"/>
          <w:sz w:val="24"/>
        </w:rPr>
        <w:t xml:space="preserve"> 8: 553–8.</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(USEPA) (United State Environmental Protection Agency) (1985). Consumer fact sheet.</w:t>
      </w:r>
    </w:p>
    <w:p>
      <w:pPr>
        <w:spacing w:line="237" w:lineRule="auto"/>
        <w:ind w:left="1380"/>
        <w:rPr>
          <w:rFonts w:ascii="Times New Roman" w:hAnsi="Times New Roman" w:eastAsia="Times New Roman"/>
          <w:sz w:val="24"/>
        </w:rPr>
      </w:pPr>
      <w:r>
        <w:rPr>
          <w:rFonts w:ascii="Times New Roman" w:hAnsi="Times New Roman" w:eastAsia="Times New Roman"/>
          <w:sz w:val="24"/>
        </w:rPr>
        <w:t>Protection Agency, Environmental Criteria and Assessment Office. Pp 10-20.</w:t>
      </w:r>
    </w:p>
    <w:p>
      <w:pPr>
        <w:spacing w:line="277"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(USFDA)  (2010).  (United  State  Food  and  Drug  Administration  Overview  of  dietary</w:t>
      </w:r>
    </w:p>
    <w:p>
      <w:pPr>
        <w:spacing w:line="46" w:lineRule="exact"/>
        <w:rPr>
          <w:rFonts w:ascii="Times New Roman" w:hAnsi="Times New Roman" w:eastAsia="Times New Roman"/>
        </w:rPr>
      </w:pPr>
    </w:p>
    <w:p>
      <w:pPr>
        <w:tabs>
          <w:tab w:val="left" w:pos="5400"/>
          <w:tab w:val="left" w:pos="9100"/>
        </w:tabs>
        <w:spacing w:line="0" w:lineRule="atLeast"/>
        <w:ind w:left="1380"/>
        <w:rPr>
          <w:rFonts w:ascii="Times New Roman" w:hAnsi="Times New Roman" w:eastAsia="Times New Roman"/>
          <w:sz w:val="24"/>
        </w:rPr>
      </w:pPr>
      <w:r>
        <w:rPr>
          <w:rFonts w:ascii="Times New Roman" w:hAnsi="Times New Roman" w:eastAsia="Times New Roman"/>
          <w:sz w:val="24"/>
        </w:rPr>
        <w:t>supplements.</w:t>
      </w:r>
      <w:r>
        <w:rPr>
          <w:rFonts w:ascii="Times New Roman" w:hAnsi="Times New Roman" w:eastAsia="Times New Roman"/>
        </w:rPr>
        <w:tab/>
      </w:r>
      <w:r>
        <w:rPr>
          <w:rFonts w:ascii="Times New Roman" w:hAnsi="Times New Roman" w:eastAsia="Times New Roman"/>
          <w:sz w:val="24"/>
        </w:rPr>
        <w:t>Available</w:t>
      </w:r>
      <w:r>
        <w:rPr>
          <w:rFonts w:ascii="Times New Roman" w:hAnsi="Times New Roman" w:eastAsia="Times New Roman"/>
        </w:rPr>
        <w:tab/>
      </w:r>
      <w:r>
        <w:rPr>
          <w:rFonts w:ascii="Times New Roman" w:hAnsi="Times New Roman" w:eastAsia="Times New Roman"/>
          <w:sz w:val="24"/>
        </w:rPr>
        <w:t>at:</w:t>
      </w:r>
    </w:p>
    <w:p>
      <w:pPr>
        <w:spacing w:line="41" w:lineRule="exact"/>
        <w:rPr>
          <w:rFonts w:ascii="Times New Roman" w:hAnsi="Times New Roman" w:eastAsia="Times New Roman"/>
        </w:rPr>
      </w:pPr>
    </w:p>
    <w:p>
      <w:pPr>
        <w:spacing w:line="0" w:lineRule="atLeast"/>
        <w:ind w:left="1380"/>
        <w:rPr>
          <w:rFonts w:ascii="Times New Roman" w:hAnsi="Times New Roman" w:eastAsia="Times New Roman"/>
          <w:color w:val="0000FF"/>
          <w:sz w:val="24"/>
          <w:u w:val="single"/>
        </w:rPr>
      </w:pPr>
      <w:r>
        <w:fldChar w:fldCharType="begin"/>
      </w:r>
      <w:r>
        <w:instrText xml:space="preserve"> HYPERLINK "http://www.fda.gov/Food/DietarySupplements/ConsumerInformation/ucm110417.htm" </w:instrText>
      </w:r>
      <w:r>
        <w:fldChar w:fldCharType="separate"/>
      </w:r>
      <w:r>
        <w:rPr>
          <w:rFonts w:ascii="Times New Roman" w:hAnsi="Times New Roman" w:eastAsia="Times New Roman"/>
          <w:color w:val="0000FF"/>
          <w:sz w:val="24"/>
          <w:u w:val="single"/>
        </w:rPr>
        <w:t>www.fda.gov/Food/DietarySupplements/ConsumerInformation/ucm110417.htm</w:t>
      </w:r>
      <w:r>
        <w:rPr>
          <w:rFonts w:ascii="Times New Roman" w:hAnsi="Times New Roman" w:eastAsia="Times New Roman"/>
          <w:color w:val="0000FF"/>
          <w:sz w:val="24"/>
          <w:u w:val="single"/>
        </w:rPr>
        <w:fldChar w:fldCharType="end"/>
      </w:r>
    </w:p>
    <w:p>
      <w:pPr>
        <w:spacing w:line="36" w:lineRule="exact"/>
        <w:rPr>
          <w:rFonts w:ascii="Times New Roman" w:hAnsi="Times New Roman" w:eastAsia="Times New Roman"/>
        </w:rPr>
      </w:pPr>
    </w:p>
    <w:p>
      <w:pPr>
        <w:spacing w:line="0" w:lineRule="atLeast"/>
        <w:ind w:left="1380"/>
        <w:rPr>
          <w:rFonts w:ascii="Times New Roman" w:hAnsi="Times New Roman" w:eastAsia="Times New Roman"/>
          <w:sz w:val="24"/>
        </w:rPr>
      </w:pPr>
      <w:r>
        <w:rPr>
          <w:rFonts w:ascii="Times New Roman" w:hAnsi="Times New Roman" w:eastAsia="Times New Roman"/>
          <w:sz w:val="24"/>
        </w:rPr>
        <w:t>Accessed January 17, 2011</w:t>
      </w:r>
    </w:p>
    <w:p>
      <w:pPr>
        <w:spacing w:line="259"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USDA/HHS, (U.S. Department of Agriculture/U.S. Department of Health and Human Services). 2000. </w:t>
      </w:r>
      <w:r>
        <w:rPr>
          <w:rFonts w:ascii="Times New Roman" w:hAnsi="Times New Roman" w:eastAsia="Times New Roman"/>
          <w:i/>
          <w:sz w:val="24"/>
        </w:rPr>
        <w:t>Nutrition and Your Health: Dietary Guidelines for Americans</w:t>
      </w:r>
      <w:r>
        <w:rPr>
          <w:rFonts w:ascii="Times New Roman" w:hAnsi="Times New Roman" w:eastAsia="Times New Roman"/>
          <w:sz w:val="24"/>
        </w:rPr>
        <w:t>. Washington, DC: U.S. Government Printing Office. Home and Garden Bulletin No. 232.</w:t>
      </w:r>
    </w:p>
    <w:p>
      <w:pPr>
        <w:spacing w:line="292" w:lineRule="exact"/>
        <w:rPr>
          <w:rFonts w:ascii="Times New Roman" w:hAnsi="Times New Roman" w:eastAsia="Times New Roman"/>
        </w:rPr>
      </w:pPr>
    </w:p>
    <w:p>
      <w:pPr>
        <w:spacing w:line="235" w:lineRule="auto"/>
        <w:ind w:left="1380" w:hanging="810"/>
        <w:jc w:val="both"/>
        <w:rPr>
          <w:rFonts w:ascii="Times New Roman" w:hAnsi="Times New Roman" w:eastAsia="Times New Roman"/>
          <w:sz w:val="24"/>
        </w:rPr>
      </w:pPr>
      <w:r>
        <w:rPr>
          <w:rFonts w:ascii="Times New Roman" w:hAnsi="Times New Roman" w:eastAsia="Times New Roman"/>
          <w:sz w:val="24"/>
        </w:rPr>
        <w:t>Van den Eynde, F., Van Baelen, P. C., Portzky, M.</w:t>
      </w:r>
      <w:r>
        <w:rPr>
          <w:rFonts w:ascii="Times New Roman" w:hAnsi="Times New Roman" w:eastAsia="Times New Roman"/>
        </w:rPr>
        <w:t xml:space="preserve"> </w:t>
      </w:r>
      <w:r>
        <w:rPr>
          <w:rFonts w:ascii="Times New Roman" w:hAnsi="Times New Roman" w:eastAsia="Times New Roman"/>
          <w:sz w:val="24"/>
        </w:rPr>
        <w:t>Audenaert, K. (2008). The effects of energy drinks on cognitive performance.Psychiatric, 50(5): 273-281.</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Vartanian,</w:t>
      </w:r>
      <w:r>
        <w:rPr>
          <w:rFonts w:ascii="Times New Roman" w:hAnsi="Times New Roman" w:eastAsia="Times New Roman"/>
        </w:rPr>
        <w:t xml:space="preserve"> </w:t>
      </w:r>
      <w:r>
        <w:rPr>
          <w:rFonts w:ascii="Times New Roman" w:hAnsi="Times New Roman" w:eastAsia="Times New Roman"/>
          <w:sz w:val="24"/>
        </w:rPr>
        <w:t xml:space="preserve">L. R., Schwartz, M.B., Brownell, K.D. (2007). Effects of soft drink consumption on nutrition and health: A systematic review and meta-analysis. </w:t>
      </w:r>
      <w:r>
        <w:rPr>
          <w:rFonts w:ascii="Times New Roman" w:hAnsi="Times New Roman" w:eastAsia="Times New Roman"/>
          <w:i/>
          <w:sz w:val="24"/>
        </w:rPr>
        <w:t>Am J</w:t>
      </w:r>
      <w:r>
        <w:rPr>
          <w:rFonts w:ascii="Times New Roman" w:hAnsi="Times New Roman" w:eastAsia="Times New Roman"/>
          <w:sz w:val="24"/>
        </w:rPr>
        <w:t xml:space="preserve"> </w:t>
      </w:r>
      <w:r>
        <w:rPr>
          <w:rFonts w:ascii="Times New Roman" w:hAnsi="Times New Roman" w:eastAsia="Times New Roman"/>
          <w:i/>
          <w:sz w:val="24"/>
        </w:rPr>
        <w:t>Public Health</w:t>
      </w:r>
      <w:r>
        <w:rPr>
          <w:rFonts w:ascii="Times New Roman" w:hAnsi="Times New Roman" w:eastAsia="Times New Roman"/>
          <w:sz w:val="24"/>
        </w:rPr>
        <w:t>, 97, 667 - 675.</w:t>
      </w:r>
    </w:p>
    <w:p>
      <w:pPr>
        <w:spacing w:line="278" w:lineRule="exact"/>
        <w:rPr>
          <w:rFonts w:ascii="Times New Roman" w:hAnsi="Times New Roman" w:eastAsia="Times New Roman"/>
        </w:rPr>
      </w:pPr>
    </w:p>
    <w:p>
      <w:pPr>
        <w:spacing w:line="0" w:lineRule="atLeast"/>
        <w:ind w:left="580"/>
        <w:rPr>
          <w:rFonts w:ascii="Times New Roman" w:hAnsi="Times New Roman" w:eastAsia="Times New Roman"/>
          <w:i/>
          <w:sz w:val="24"/>
        </w:rPr>
      </w:pPr>
      <w:r>
        <w:rPr>
          <w:rFonts w:ascii="Times New Roman" w:hAnsi="Times New Roman" w:eastAsia="Times New Roman"/>
          <w:sz w:val="24"/>
        </w:rPr>
        <w:t xml:space="preserve">Wardlaw, G. M. and Smith, A. M. (2009). </w:t>
      </w:r>
      <w:r>
        <w:rPr>
          <w:rFonts w:ascii="Times New Roman" w:hAnsi="Times New Roman" w:eastAsia="Times New Roman"/>
          <w:i/>
          <w:sz w:val="24"/>
        </w:rPr>
        <w:t>Contemporary nutrition a functional approach.</w:t>
      </w:r>
    </w:p>
    <w:p>
      <w:pPr>
        <w:spacing w:line="237" w:lineRule="auto"/>
        <w:ind w:left="1380"/>
        <w:rPr>
          <w:rFonts w:ascii="Times New Roman" w:hAnsi="Times New Roman" w:eastAsia="Times New Roman"/>
          <w:sz w:val="24"/>
        </w:rPr>
      </w:pPr>
      <w:r>
        <w:rPr>
          <w:rFonts w:ascii="Times New Roman" w:hAnsi="Times New Roman" w:eastAsia="Times New Roman"/>
          <w:sz w:val="24"/>
        </w:rPr>
        <w:t>New York: McGraw-Hill. Pp 18-22.</w:t>
      </w:r>
    </w:p>
    <w:p>
      <w:pPr>
        <w:spacing w:line="290" w:lineRule="exact"/>
        <w:rPr>
          <w:rFonts w:ascii="Times New Roman" w:hAnsi="Times New Roman" w:eastAsia="Times New Roman"/>
        </w:rPr>
      </w:pPr>
    </w:p>
    <w:p>
      <w:pPr>
        <w:spacing w:line="233" w:lineRule="auto"/>
        <w:ind w:left="1380" w:hanging="810"/>
        <w:jc w:val="both"/>
        <w:rPr>
          <w:rFonts w:ascii="Times New Roman" w:hAnsi="Times New Roman" w:eastAsia="Times New Roman"/>
          <w:sz w:val="24"/>
        </w:rPr>
      </w:pPr>
      <w:r>
        <w:rPr>
          <w:rFonts w:ascii="Times New Roman" w:hAnsi="Times New Roman" w:eastAsia="Times New Roman"/>
          <w:sz w:val="24"/>
        </w:rPr>
        <w:t xml:space="preserve">WHO, (World Health Organization) (1995). </w:t>
      </w:r>
      <w:r>
        <w:rPr>
          <w:rFonts w:ascii="Times New Roman" w:hAnsi="Times New Roman" w:eastAsia="Times New Roman"/>
          <w:i/>
          <w:sz w:val="24"/>
        </w:rPr>
        <w:t>Lead:</w:t>
      </w:r>
      <w:r>
        <w:rPr>
          <w:rFonts w:ascii="Times New Roman" w:hAnsi="Times New Roman" w:eastAsia="Times New Roman"/>
          <w:sz w:val="24"/>
        </w:rPr>
        <w:t xml:space="preserve"> Environmental Health Criteria,: World Health Organization, Geneva. vol. 165.</w:t>
      </w:r>
    </w:p>
    <w:p>
      <w:pPr>
        <w:spacing w:line="290" w:lineRule="exact"/>
        <w:rPr>
          <w:rFonts w:ascii="Times New Roman" w:hAnsi="Times New Roman" w:eastAsia="Times New Roman"/>
        </w:rPr>
      </w:pPr>
    </w:p>
    <w:p>
      <w:pPr>
        <w:tabs>
          <w:tab w:val="left" w:pos="1340"/>
        </w:tabs>
        <w:spacing w:line="235" w:lineRule="auto"/>
        <w:ind w:left="1360" w:hanging="810"/>
        <w:jc w:val="both"/>
        <w:rPr>
          <w:rFonts w:ascii="Times New Roman" w:hAnsi="Times New Roman" w:eastAsia="Times New Roman"/>
          <w:sz w:val="24"/>
        </w:rPr>
      </w:pPr>
      <w:r>
        <w:rPr>
          <w:rFonts w:ascii="Times New Roman" w:hAnsi="Times New Roman" w:eastAsia="Times New Roman"/>
          <w:sz w:val="24"/>
        </w:rPr>
        <w:t>WHO,</w:t>
      </w:r>
      <w:r>
        <w:rPr>
          <w:rFonts w:ascii="Times New Roman" w:hAnsi="Times New Roman" w:eastAsia="Times New Roman"/>
          <w:sz w:val="24"/>
        </w:rPr>
        <w:tab/>
      </w:r>
      <w:r>
        <w:rPr>
          <w:rFonts w:ascii="Times New Roman" w:hAnsi="Times New Roman" w:eastAsia="Times New Roman"/>
          <w:sz w:val="24"/>
        </w:rPr>
        <w:t>(World Health Organization) (1993). Micronutrient deficiency. Battling iron deficiency anemia [online] Nutritional program. Geneva. vol. 16.</w:t>
      </w:r>
    </w:p>
    <w:p>
      <w:pPr>
        <w:spacing w:line="0" w:lineRule="atLeast"/>
        <w:ind w:left="580"/>
        <w:rPr>
          <w:rFonts w:ascii="Times New Roman" w:hAnsi="Times New Roman" w:eastAsia="Times New Roman"/>
          <w:sz w:val="24"/>
        </w:rPr>
      </w:pPr>
      <w:r>
        <w:rPr>
          <w:rFonts w:ascii="Times New Roman" w:hAnsi="Times New Roman" w:eastAsia="Times New Roman"/>
          <w:sz w:val="24"/>
        </w:rPr>
        <w:t>.</w:t>
      </w:r>
    </w:p>
    <w:p>
      <w:pPr>
        <w:spacing w:line="288"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Yokogoshi, H., Roberts, C. H., Caballero, B. and Wurtman, R. J.</w:t>
      </w:r>
      <w:r>
        <w:rPr>
          <w:rFonts w:ascii="Times New Roman" w:hAnsi="Times New Roman" w:eastAsia="Times New Roman"/>
        </w:rPr>
        <w:t xml:space="preserve"> </w:t>
      </w:r>
      <w:r>
        <w:rPr>
          <w:rFonts w:ascii="Times New Roman" w:hAnsi="Times New Roman" w:eastAsia="Times New Roman"/>
          <w:sz w:val="24"/>
        </w:rPr>
        <w:t xml:space="preserve">(1984). Effects of aspartame and glucose administration on brain and plasma levels of large neutral amino acids and brain 5-hydroxyindoles. </w:t>
      </w:r>
      <w:r>
        <w:rPr>
          <w:rFonts w:ascii="Times New Roman" w:hAnsi="Times New Roman" w:eastAsia="Times New Roman"/>
          <w:i/>
          <w:sz w:val="24"/>
        </w:rPr>
        <w:t>Am. J. Clin. Nutr.</w:t>
      </w:r>
      <w:r>
        <w:rPr>
          <w:rFonts w:ascii="Times New Roman" w:hAnsi="Times New Roman" w:eastAsia="Times New Roman"/>
          <w:sz w:val="24"/>
        </w:rPr>
        <w:t xml:space="preserve"> 40: 1–7.</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40" w:lineRule="exact"/>
        <w:rPr>
          <w:rFonts w:ascii="Times New Roman" w:hAnsi="Times New Roman" w:eastAsia="Times New Roman"/>
        </w:rPr>
      </w:pPr>
    </w:p>
    <w:p>
      <w:pPr>
        <w:spacing w:line="0" w:lineRule="atLeast"/>
        <w:ind w:left="4880"/>
        <w:rPr>
          <w:sz w:val="22"/>
        </w:rPr>
      </w:pPr>
      <w:r>
        <w:rPr>
          <w:sz w:val="22"/>
        </w:rPr>
        <w:t>cv</w:t>
      </w:r>
    </w:p>
    <w:p>
      <w:pPr>
        <w:spacing w:line="0" w:lineRule="atLeast"/>
        <w:ind w:left="4880"/>
        <w:rPr>
          <w:sz w:val="22"/>
        </w:rPr>
        <w:sectPr>
          <w:pgSz w:w="12240" w:h="15840"/>
          <w:pgMar w:top="1440" w:right="1440" w:bottom="428" w:left="1440" w:header="0" w:footer="0" w:gutter="0"/>
          <w:cols w:equalWidth="0" w:num="1">
            <w:col w:w="9360"/>
          </w:cols>
          <w:docGrid w:linePitch="360" w:charSpace="0"/>
        </w:sectPr>
      </w:pPr>
    </w:p>
    <w:p>
      <w:pPr>
        <w:spacing w:line="3" w:lineRule="exact"/>
        <w:rPr>
          <w:rFonts w:ascii="Times New Roman" w:hAnsi="Times New Roman" w:eastAsia="Times New Roman"/>
        </w:rPr>
      </w:pPr>
      <w:bookmarkStart w:id="97" w:name="page106"/>
      <w:bookmarkEnd w:id="97"/>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Zheng, G., Sayama, K., Okubo, T., Juneja, L. R., Oguni, I. (2004). Anti-obesity effects of three major components of green tea, catechins, caffeine and theanine, in mice. </w:t>
      </w:r>
      <w:r>
        <w:rPr>
          <w:rFonts w:ascii="Times New Roman" w:hAnsi="Times New Roman" w:eastAsia="Times New Roman"/>
          <w:i/>
          <w:sz w:val="24"/>
        </w:rPr>
        <w:t>In</w:t>
      </w:r>
      <w:r>
        <w:rPr>
          <w:rFonts w:ascii="Times New Roman" w:hAnsi="Times New Roman" w:eastAsia="Times New Roman"/>
          <w:sz w:val="24"/>
        </w:rPr>
        <w:t xml:space="preserve"> </w:t>
      </w:r>
      <w:r>
        <w:rPr>
          <w:rFonts w:ascii="Times New Roman" w:hAnsi="Times New Roman" w:eastAsia="Times New Roman"/>
          <w:i/>
          <w:sz w:val="24"/>
        </w:rPr>
        <w:t xml:space="preserve">Vivo, </w:t>
      </w:r>
      <w:r>
        <w:rPr>
          <w:rFonts w:ascii="Times New Roman" w:hAnsi="Times New Roman" w:eastAsia="Times New Roman"/>
          <w:sz w:val="24"/>
        </w:rPr>
        <w:t>18: 55–62.</w:t>
      </w:r>
    </w:p>
    <w:p>
      <w:pPr>
        <w:spacing w:line="290" w:lineRule="exact"/>
        <w:rPr>
          <w:rFonts w:ascii="Times New Roman" w:hAnsi="Times New Roman" w:eastAsia="Times New Roman"/>
        </w:rPr>
      </w:pPr>
    </w:p>
    <w:p>
      <w:pPr>
        <w:spacing w:line="236" w:lineRule="auto"/>
        <w:ind w:left="1380" w:hanging="810"/>
        <w:jc w:val="both"/>
        <w:rPr>
          <w:rFonts w:ascii="Times New Roman" w:hAnsi="Times New Roman" w:eastAsia="Times New Roman"/>
          <w:sz w:val="24"/>
        </w:rPr>
      </w:pPr>
      <w:r>
        <w:rPr>
          <w:rFonts w:ascii="Times New Roman" w:hAnsi="Times New Roman" w:eastAsia="Times New Roman"/>
          <w:sz w:val="24"/>
        </w:rPr>
        <w:t xml:space="preserve">Zołtaszek, R., Hanausek, M., Kilian´ska, Z. M., Walaszek, Z. (2008). The biological role of D-glucaric acid and its derivatives: potential use in medicine [in Polish]. </w:t>
      </w:r>
      <w:r>
        <w:rPr>
          <w:rFonts w:ascii="Times New Roman" w:hAnsi="Times New Roman" w:eastAsia="Times New Roman"/>
          <w:i/>
          <w:sz w:val="24"/>
        </w:rPr>
        <w:t>Postepy Hig Med Dosw (Online)</w:t>
      </w:r>
      <w:r>
        <w:rPr>
          <w:rFonts w:ascii="Times New Roman" w:hAnsi="Times New Roman" w:eastAsia="Times New Roman"/>
          <w:sz w:val="24"/>
        </w:rPr>
        <w:t>. 62: 451-462.</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17" w:lineRule="exact"/>
        <w:rPr>
          <w:rFonts w:ascii="Times New Roman" w:hAnsi="Times New Roman" w:eastAsia="Times New Roman"/>
        </w:rPr>
      </w:pPr>
    </w:p>
    <w:p>
      <w:pPr>
        <w:spacing w:line="0" w:lineRule="atLeast"/>
        <w:ind w:left="4840"/>
        <w:rPr>
          <w:sz w:val="22"/>
        </w:rPr>
      </w:pPr>
      <w:r>
        <w:rPr>
          <w:sz w:val="22"/>
        </w:rPr>
        <w:t>cvi</w:t>
      </w:r>
    </w:p>
    <w:p>
      <w:pPr>
        <w:spacing w:line="0" w:lineRule="atLeast"/>
        <w:ind w:left="4840"/>
        <w:rPr>
          <w:sz w:val="22"/>
        </w:rPr>
        <w:sectPr>
          <w:pgSz w:w="12240" w:h="15840"/>
          <w:pgMar w:top="1440" w:right="1440" w:bottom="428" w:left="1440" w:header="0" w:footer="0" w:gutter="0"/>
          <w:cols w:equalWidth="0" w:num="1">
            <w:col w:w="9360"/>
          </w:cols>
          <w:docGrid w:linePitch="360" w:charSpace="0"/>
        </w:sectPr>
      </w:pPr>
    </w:p>
    <w:p>
      <w:pPr>
        <w:spacing w:line="0" w:lineRule="atLeast"/>
        <w:ind w:left="3460"/>
        <w:rPr>
          <w:rFonts w:ascii="Times New Roman" w:hAnsi="Times New Roman" w:eastAsia="Times New Roman"/>
          <w:b/>
          <w:sz w:val="24"/>
        </w:rPr>
      </w:pPr>
      <w:bookmarkStart w:id="98" w:name="page107"/>
      <w:bookmarkEnd w:id="98"/>
      <w:r>
        <w:rPr>
          <w:rFonts w:ascii="Times New Roman" w:hAnsi="Times New Roman" w:eastAsia="Times New Roman"/>
          <w:b/>
          <w:sz w:val="24"/>
        </w:rPr>
        <w:t>APPENDICES</w:t>
      </w:r>
    </w:p>
    <w:p>
      <w:pPr>
        <w:spacing w:line="200" w:lineRule="exact"/>
        <w:rPr>
          <w:rFonts w:ascii="Times New Roman" w:hAnsi="Times New Roman" w:eastAsia="Times New Roman"/>
        </w:rPr>
      </w:pPr>
    </w:p>
    <w:p>
      <w:pPr>
        <w:spacing w:line="278" w:lineRule="exact"/>
        <w:rPr>
          <w:rFonts w:ascii="Times New Roman" w:hAnsi="Times New Roman" w:eastAsia="Times New Roman"/>
        </w:rPr>
      </w:pPr>
    </w:p>
    <w:p>
      <w:pPr>
        <w:spacing w:line="0" w:lineRule="atLeast"/>
        <w:ind w:left="580"/>
        <w:rPr>
          <w:rFonts w:ascii="Times New Roman" w:hAnsi="Times New Roman" w:eastAsia="Times New Roman"/>
          <w:b/>
          <w:sz w:val="24"/>
        </w:rPr>
      </w:pPr>
      <w:r>
        <w:rPr>
          <w:rFonts w:ascii="Times New Roman" w:hAnsi="Times New Roman" w:eastAsia="Times New Roman"/>
          <w:b/>
          <w:sz w:val="24"/>
        </w:rPr>
        <w:t>Appendix A: Classification of Carbohydrates According to their Chemical Structure</w:t>
      </w:r>
    </w:p>
    <w:p>
      <w:pPr>
        <w:spacing w:line="200" w:lineRule="exact"/>
        <w:rPr>
          <w:rFonts w:ascii="Times New Roman" w:hAnsi="Times New Roman" w:eastAsia="Times New Roman"/>
        </w:rPr>
      </w:pPr>
    </w:p>
    <w:p>
      <w:pPr>
        <w:spacing w:line="292" w:lineRule="exact"/>
        <w:rPr>
          <w:rFonts w:ascii="Times New Roman" w:hAnsi="Times New Roman" w:eastAsia="Times New Roman"/>
        </w:rPr>
      </w:pPr>
    </w:p>
    <w:tbl>
      <w:tblPr>
        <w:tblStyle w:val="3"/>
        <w:tblW w:w="0" w:type="auto"/>
        <w:tblInd w:w="470" w:type="dxa"/>
        <w:tblLayout w:type="fixed"/>
        <w:tblCellMar>
          <w:top w:w="0" w:type="dxa"/>
          <w:left w:w="0" w:type="dxa"/>
          <w:bottom w:w="0" w:type="dxa"/>
          <w:right w:w="0" w:type="dxa"/>
        </w:tblCellMar>
      </w:tblPr>
      <w:tblGrid>
        <w:gridCol w:w="3020"/>
        <w:gridCol w:w="3000"/>
        <w:gridCol w:w="3000"/>
      </w:tblGrid>
      <w:tr>
        <w:tblPrEx>
          <w:tblCellMar>
            <w:top w:w="0" w:type="dxa"/>
            <w:left w:w="0" w:type="dxa"/>
            <w:bottom w:w="0" w:type="dxa"/>
            <w:right w:w="0" w:type="dxa"/>
          </w:tblCellMar>
        </w:tblPrEx>
        <w:trPr>
          <w:trHeight w:val="280" w:hRule="atLeast"/>
        </w:trPr>
        <w:tc>
          <w:tcPr>
            <w:tcW w:w="3020" w:type="dxa"/>
            <w:tcBorders>
              <w:top w:val="single" w:color="auto" w:sz="8" w:space="0"/>
              <w:left w:val="single" w:color="auto" w:sz="8" w:space="0"/>
              <w:right w:val="single" w:color="auto" w:sz="8" w:space="0"/>
            </w:tcBorders>
            <w:shd w:val="clear" w:color="auto" w:fill="auto"/>
            <w:vAlign w:val="bottom"/>
          </w:tcPr>
          <w:p>
            <w:pPr>
              <w:spacing w:line="0" w:lineRule="atLeast"/>
              <w:jc w:val="center"/>
              <w:rPr>
                <w:rFonts w:ascii="Times New Roman" w:hAnsi="Times New Roman" w:eastAsia="Times New Roman"/>
                <w:b/>
                <w:w w:val="99"/>
                <w:sz w:val="24"/>
              </w:rPr>
            </w:pPr>
            <w:r>
              <w:rPr>
                <w:rFonts w:ascii="Times New Roman" w:hAnsi="Times New Roman" w:eastAsia="Times New Roman"/>
                <w:b/>
                <w:w w:val="99"/>
                <w:sz w:val="24"/>
              </w:rPr>
              <w:t>Class (DP*)</w:t>
            </w:r>
          </w:p>
        </w:tc>
        <w:tc>
          <w:tcPr>
            <w:tcW w:w="3000" w:type="dxa"/>
            <w:tcBorders>
              <w:top w:val="single" w:color="auto" w:sz="8" w:space="0"/>
              <w:right w:val="single" w:color="auto" w:sz="8" w:space="0"/>
            </w:tcBorders>
            <w:shd w:val="clear" w:color="auto" w:fill="auto"/>
            <w:vAlign w:val="bottom"/>
          </w:tcPr>
          <w:p>
            <w:pPr>
              <w:spacing w:line="0" w:lineRule="atLeast"/>
              <w:jc w:val="center"/>
              <w:rPr>
                <w:rFonts w:ascii="Times New Roman" w:hAnsi="Times New Roman" w:eastAsia="Times New Roman"/>
                <w:b/>
                <w:sz w:val="24"/>
              </w:rPr>
            </w:pPr>
            <w:r>
              <w:rPr>
                <w:rFonts w:ascii="Times New Roman" w:hAnsi="Times New Roman" w:eastAsia="Times New Roman"/>
                <w:b/>
                <w:sz w:val="24"/>
              </w:rPr>
              <w:t>Sub-Group</w:t>
            </w:r>
          </w:p>
        </w:tc>
        <w:tc>
          <w:tcPr>
            <w:tcW w:w="3000" w:type="dxa"/>
            <w:tcBorders>
              <w:top w:val="single" w:color="auto" w:sz="8" w:space="0"/>
              <w:right w:val="single" w:color="auto" w:sz="8" w:space="0"/>
            </w:tcBorders>
            <w:shd w:val="clear" w:color="auto" w:fill="auto"/>
            <w:vAlign w:val="bottom"/>
          </w:tcPr>
          <w:p>
            <w:pPr>
              <w:spacing w:line="0" w:lineRule="atLeast"/>
              <w:jc w:val="center"/>
              <w:rPr>
                <w:rFonts w:ascii="Times New Roman" w:hAnsi="Times New Roman" w:eastAsia="Times New Roman"/>
                <w:b/>
                <w:sz w:val="24"/>
              </w:rPr>
            </w:pPr>
            <w:r>
              <w:rPr>
                <w:rFonts w:ascii="Times New Roman" w:hAnsi="Times New Roman" w:eastAsia="Times New Roman"/>
                <w:b/>
                <w:sz w:val="24"/>
              </w:rPr>
              <w:t>Components</w:t>
            </w:r>
          </w:p>
        </w:tc>
      </w:tr>
      <w:tr>
        <w:tblPrEx>
          <w:tblCellMar>
            <w:top w:w="0" w:type="dxa"/>
            <w:left w:w="0" w:type="dxa"/>
            <w:bottom w:w="0" w:type="dxa"/>
            <w:right w:w="0" w:type="dxa"/>
          </w:tblCellMar>
        </w:tblPrEx>
        <w:trPr>
          <w:trHeight w:val="281"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Sugars (1-2)</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8"/>
                <w:sz w:val="24"/>
              </w:rPr>
            </w:pPr>
            <w:r>
              <w:rPr>
                <w:rFonts w:ascii="Times New Roman" w:hAnsi="Times New Roman" w:eastAsia="Times New Roman"/>
                <w:w w:val="98"/>
                <w:sz w:val="24"/>
              </w:rPr>
              <w:t>Monosaccharides</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Glucose, galactose, fructose,</w:t>
            </w:r>
          </w:p>
        </w:tc>
      </w:tr>
      <w:tr>
        <w:tblPrEx>
          <w:tblCellMar>
            <w:top w:w="0" w:type="dxa"/>
            <w:left w:w="0" w:type="dxa"/>
            <w:bottom w:w="0" w:type="dxa"/>
            <w:right w:w="0" w:type="dxa"/>
          </w:tblCellMar>
        </w:tblPrEx>
        <w:trPr>
          <w:trHeight w:val="552"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mannose, tagatose</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2"/>
              </w:rPr>
            </w:pP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Disaccharides</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Sucrose, lactose, trehalose,</w:t>
            </w:r>
          </w:p>
        </w:tc>
      </w:tr>
      <w:tr>
        <w:tblPrEx>
          <w:tblCellMar>
            <w:top w:w="0" w:type="dxa"/>
            <w:left w:w="0" w:type="dxa"/>
            <w:bottom w:w="0" w:type="dxa"/>
            <w:right w:w="0" w:type="dxa"/>
          </w:tblCellMar>
        </w:tblPrEx>
        <w:trPr>
          <w:trHeight w:val="552"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maltose, isomaltulose</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2"/>
              </w:rPr>
            </w:pP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7"/>
                <w:sz w:val="24"/>
              </w:rPr>
            </w:pPr>
            <w:r>
              <w:rPr>
                <w:rFonts w:ascii="Times New Roman" w:hAnsi="Times New Roman" w:eastAsia="Times New Roman"/>
                <w:w w:val="97"/>
                <w:sz w:val="24"/>
              </w:rPr>
              <w:t>Polyols</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Sorbitol, mannitol</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Oligosaccharides (3-9)</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Malto-oligosaccharides</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Maltodextrins</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2"/>
              </w:rPr>
            </w:pP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Other oligosaccharides</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Raffinose, stachyose, fructo-</w:t>
            </w:r>
          </w:p>
        </w:tc>
      </w:tr>
      <w:tr>
        <w:tblPrEx>
          <w:tblCellMar>
            <w:top w:w="0" w:type="dxa"/>
            <w:left w:w="0" w:type="dxa"/>
            <w:bottom w:w="0" w:type="dxa"/>
            <w:right w:w="0" w:type="dxa"/>
          </w:tblCellMar>
        </w:tblPrEx>
        <w:trPr>
          <w:trHeight w:val="552"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jc w:val="center"/>
              <w:rPr>
                <w:rFonts w:ascii="Times New Roman" w:hAnsi="Times New Roman" w:eastAsia="Times New Roman"/>
                <w:sz w:val="24"/>
              </w:rPr>
            </w:pPr>
            <w:r>
              <w:rPr>
                <w:rFonts w:ascii="Times New Roman" w:hAnsi="Times New Roman" w:eastAsia="Times New Roman"/>
                <w:sz w:val="24"/>
              </w:rPr>
              <w:t>oligosaccharides, galacto-</w:t>
            </w:r>
          </w:p>
        </w:tc>
      </w:tr>
      <w:tr>
        <w:tblPrEx>
          <w:tblCellMar>
            <w:top w:w="0" w:type="dxa"/>
            <w:left w:w="0" w:type="dxa"/>
            <w:bottom w:w="0" w:type="dxa"/>
            <w:right w:w="0" w:type="dxa"/>
          </w:tblCellMar>
        </w:tblPrEx>
        <w:trPr>
          <w:trHeight w:val="552"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oligosaccharides</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Polysaccharides (&gt;9)</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Starch</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Amylose, amylopectin,</w:t>
            </w:r>
          </w:p>
        </w:tc>
      </w:tr>
      <w:tr>
        <w:tblPrEx>
          <w:tblCellMar>
            <w:top w:w="0" w:type="dxa"/>
            <w:left w:w="0" w:type="dxa"/>
            <w:bottom w:w="0" w:type="dxa"/>
            <w:right w:w="0" w:type="dxa"/>
          </w:tblCellMar>
        </w:tblPrEx>
        <w:trPr>
          <w:trHeight w:val="552"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modified starches, glycogen</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r>
        <w:tblPrEx>
          <w:tblCellMar>
            <w:top w:w="0" w:type="dxa"/>
            <w:left w:w="0" w:type="dxa"/>
            <w:bottom w:w="0" w:type="dxa"/>
            <w:right w:w="0" w:type="dxa"/>
          </w:tblCellMar>
        </w:tblPrEx>
        <w:trPr>
          <w:trHeight w:val="256"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2"/>
              </w:rPr>
            </w:pP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sz w:val="24"/>
              </w:rPr>
            </w:pPr>
            <w:r>
              <w:rPr>
                <w:rFonts w:ascii="Times New Roman" w:hAnsi="Times New Roman" w:eastAsia="Times New Roman"/>
                <w:sz w:val="24"/>
              </w:rPr>
              <w:t>Non-starch polysaccharides</w:t>
            </w:r>
          </w:p>
        </w:tc>
        <w:tc>
          <w:tcPr>
            <w:tcW w:w="3000" w:type="dxa"/>
            <w:tcBorders>
              <w:right w:val="single" w:color="auto" w:sz="8" w:space="0"/>
            </w:tcBorders>
            <w:shd w:val="clear" w:color="auto" w:fill="auto"/>
            <w:vAlign w:val="bottom"/>
          </w:tcPr>
          <w:p>
            <w:pPr>
              <w:spacing w:line="256" w:lineRule="exact"/>
              <w:jc w:val="center"/>
              <w:rPr>
                <w:rFonts w:ascii="Times New Roman" w:hAnsi="Times New Roman" w:eastAsia="Times New Roman"/>
                <w:w w:val="99"/>
                <w:sz w:val="24"/>
              </w:rPr>
            </w:pPr>
            <w:r>
              <w:rPr>
                <w:rFonts w:ascii="Times New Roman" w:hAnsi="Times New Roman" w:eastAsia="Times New Roman"/>
                <w:w w:val="99"/>
                <w:sz w:val="24"/>
              </w:rPr>
              <w:t>Cellulose, hemicellulose,</w:t>
            </w:r>
          </w:p>
        </w:tc>
      </w:tr>
      <w:tr>
        <w:tblPrEx>
          <w:tblCellMar>
            <w:top w:w="0" w:type="dxa"/>
            <w:left w:w="0" w:type="dxa"/>
            <w:bottom w:w="0" w:type="dxa"/>
            <w:right w:w="0" w:type="dxa"/>
          </w:tblCellMar>
        </w:tblPrEx>
        <w:trPr>
          <w:trHeight w:val="552" w:hRule="atLeast"/>
        </w:trPr>
        <w:tc>
          <w:tcPr>
            <w:tcW w:w="3020" w:type="dxa"/>
            <w:tcBorders>
              <w:left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right w:val="single" w:color="auto" w:sz="8" w:space="0"/>
            </w:tcBorders>
            <w:shd w:val="clear" w:color="auto" w:fill="auto"/>
            <w:vAlign w:val="bottom"/>
          </w:tcPr>
          <w:p>
            <w:pPr>
              <w:spacing w:line="0" w:lineRule="atLeast"/>
              <w:jc w:val="center"/>
              <w:rPr>
                <w:rFonts w:ascii="Times New Roman" w:hAnsi="Times New Roman" w:eastAsia="Times New Roman"/>
                <w:w w:val="99"/>
                <w:sz w:val="24"/>
              </w:rPr>
            </w:pPr>
            <w:r>
              <w:rPr>
                <w:rFonts w:ascii="Times New Roman" w:hAnsi="Times New Roman" w:eastAsia="Times New Roman"/>
                <w:w w:val="99"/>
                <w:sz w:val="24"/>
              </w:rPr>
              <w:t>pectins, hydrocolloids</w:t>
            </w:r>
          </w:p>
        </w:tc>
      </w:tr>
      <w:tr>
        <w:tblPrEx>
          <w:tblCellMar>
            <w:top w:w="0" w:type="dxa"/>
            <w:left w:w="0" w:type="dxa"/>
            <w:bottom w:w="0" w:type="dxa"/>
            <w:right w:w="0" w:type="dxa"/>
          </w:tblCellMar>
        </w:tblPrEx>
        <w:trPr>
          <w:trHeight w:val="286" w:hRule="atLeast"/>
        </w:trPr>
        <w:tc>
          <w:tcPr>
            <w:tcW w:w="3020" w:type="dxa"/>
            <w:tcBorders>
              <w:left w:val="single" w:color="auto" w:sz="8" w:space="0"/>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c>
          <w:tcPr>
            <w:tcW w:w="3000" w:type="dxa"/>
            <w:tcBorders>
              <w:bottom w:val="single" w:color="auto" w:sz="8" w:space="0"/>
              <w:right w:val="single" w:color="auto" w:sz="8" w:space="0"/>
            </w:tcBorders>
            <w:shd w:val="clear" w:color="auto" w:fill="auto"/>
            <w:vAlign w:val="bottom"/>
          </w:tcPr>
          <w:p>
            <w:pPr>
              <w:spacing w:line="0" w:lineRule="atLeast"/>
              <w:rPr>
                <w:rFonts w:ascii="Times New Roman" w:hAnsi="Times New Roman" w:eastAsia="Times New Roman"/>
                <w:sz w:val="24"/>
              </w:rPr>
            </w:pPr>
          </w:p>
        </w:tc>
      </w:tr>
    </w:tbl>
    <w:p>
      <w:pPr>
        <w:spacing w:line="231" w:lineRule="auto"/>
        <w:ind w:left="580"/>
        <w:rPr>
          <w:rFonts w:ascii="Times New Roman" w:hAnsi="Times New Roman" w:eastAsia="Times New Roman"/>
          <w:sz w:val="24"/>
        </w:rPr>
      </w:pPr>
      <w:r>
        <w:rPr>
          <w:rFonts w:ascii="Times New Roman" w:hAnsi="Times New Roman" w:eastAsia="Times New Roman"/>
          <w:sz w:val="24"/>
        </w:rPr>
        <w:t>DP * = Degree of polymerization. Adapted from FAO Corporate Document Repository:</w:t>
      </w:r>
    </w:p>
    <w:p>
      <w:pPr>
        <w:spacing w:line="3" w:lineRule="exact"/>
        <w:rPr>
          <w:rFonts w:ascii="Times New Roman" w:hAnsi="Times New Roman" w:eastAsia="Times New Roman"/>
        </w:rPr>
      </w:pPr>
    </w:p>
    <w:p>
      <w:pPr>
        <w:spacing w:line="0" w:lineRule="atLeast"/>
        <w:ind w:left="580"/>
        <w:rPr>
          <w:rFonts w:ascii="Times New Roman" w:hAnsi="Times New Roman" w:eastAsia="Times New Roman"/>
          <w:sz w:val="24"/>
        </w:rPr>
      </w:pPr>
      <w:r>
        <w:rPr>
          <w:rFonts w:ascii="Times New Roman" w:hAnsi="Times New Roman" w:eastAsia="Times New Roman"/>
          <w:sz w:val="24"/>
        </w:rPr>
        <w:t>Carbohydrates in Nutrition</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40" w:lineRule="exact"/>
        <w:rPr>
          <w:rFonts w:ascii="Times New Roman" w:hAnsi="Times New Roman" w:eastAsia="Times New Roman"/>
        </w:rPr>
      </w:pPr>
    </w:p>
    <w:p>
      <w:pPr>
        <w:spacing w:line="0" w:lineRule="atLeast"/>
        <w:ind w:right="-459"/>
        <w:jc w:val="center"/>
        <w:rPr>
          <w:sz w:val="22"/>
        </w:rPr>
      </w:pPr>
      <w:r>
        <w:rPr>
          <w:sz w:val="22"/>
        </w:rPr>
        <w:t>cvii</w:t>
      </w:r>
    </w:p>
    <w:p>
      <w:pPr>
        <w:spacing w:line="0" w:lineRule="atLeast"/>
        <w:ind w:right="-459"/>
        <w:jc w:val="center"/>
        <w:rPr>
          <w:sz w:val="22"/>
        </w:rPr>
        <w:sectPr>
          <w:pgSz w:w="12240" w:h="15840"/>
          <w:pgMar w:top="1435" w:right="1320" w:bottom="428" w:left="1440" w:header="0" w:footer="0" w:gutter="0"/>
          <w:cols w:equalWidth="0" w:num="1">
            <w:col w:w="9480"/>
          </w:cols>
          <w:docGrid w:linePitch="360" w:charSpace="0"/>
        </w:sectPr>
      </w:pPr>
    </w:p>
    <w:p>
      <w:pPr>
        <w:spacing w:line="200" w:lineRule="exact"/>
        <w:rPr>
          <w:rFonts w:ascii="Times New Roman" w:hAnsi="Times New Roman" w:eastAsia="Times New Roman"/>
        </w:rPr>
      </w:pPr>
      <w:bookmarkStart w:id="99" w:name="page108"/>
      <w:bookmarkEnd w:id="99"/>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0" w:lineRule="exact"/>
        <w:rPr>
          <w:rFonts w:ascii="Times New Roman" w:hAnsi="Times New Roman" w:eastAsia="Times New Roman"/>
        </w:rPr>
      </w:pPr>
    </w:p>
    <w:tbl>
      <w:tblPr>
        <w:tblStyle w:val="3"/>
        <w:tblW w:w="0" w:type="auto"/>
        <w:tblInd w:w="818" w:type="dxa"/>
        <w:tblLayout w:type="fixed"/>
        <w:tblCellMar>
          <w:top w:w="0" w:type="dxa"/>
          <w:left w:w="0" w:type="dxa"/>
          <w:bottom w:w="0" w:type="dxa"/>
          <w:right w:w="0" w:type="dxa"/>
        </w:tblCellMar>
      </w:tblPr>
      <w:tblGrid>
        <w:gridCol w:w="244"/>
      </w:tblGrid>
      <w:tr>
        <w:tblPrEx>
          <w:tblCellMar>
            <w:top w:w="0" w:type="dxa"/>
            <w:left w:w="0" w:type="dxa"/>
            <w:bottom w:w="0" w:type="dxa"/>
            <w:right w:w="0" w:type="dxa"/>
          </w:tblCellMar>
        </w:tblPrEx>
        <w:trPr>
          <w:trHeight w:val="400" w:hRule="atLeast"/>
        </w:trPr>
        <w:tc>
          <w:tcPr>
            <w:tcW w:w="244" w:type="dxa"/>
            <w:shd w:val="clear" w:color="auto" w:fill="auto"/>
            <w:textDirection w:val="btLr"/>
            <w:vAlign w:val="bottom"/>
          </w:tcPr>
          <w:p>
            <w:pPr>
              <w:spacing w:line="0" w:lineRule="atLeast"/>
              <w:rPr>
                <w:b/>
              </w:rPr>
            </w:pPr>
            <w:r>
              <w:rPr>
                <w:b/>
              </w:rPr>
              <w:t>Area</w:t>
            </w:r>
          </w:p>
        </w:tc>
      </w:tr>
    </w:tbl>
    <w:p>
      <w:pPr>
        <w:spacing w:line="200" w:lineRule="exact"/>
        <w:rPr>
          <w:rFonts w:ascii="Times New Roman" w:hAnsi="Times New Roman" w:eastAsia="Times New Roman"/>
        </w:rPr>
      </w:pPr>
      <w:r>
        <w:rPr>
          <w:b/>
        </w:rPr>
        <w:br w:type="column"/>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39" w:lineRule="exact"/>
        <w:rPr>
          <w:rFonts w:ascii="Times New Roman" w:hAnsi="Times New Roman" w:eastAsia="Times New Roman"/>
        </w:rPr>
      </w:pPr>
    </w:p>
    <w:p>
      <w:pPr>
        <w:spacing w:line="0" w:lineRule="atLeast"/>
      </w:pPr>
      <w:r>
        <w:t>8000000</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pPr>
      <w:r>
        <w:t>7000000</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pPr>
      <w:r>
        <w:t>6000000</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spacing w:line="0" w:lineRule="atLeast"/>
      </w:pPr>
      <w:r>
        <w:t>5000000</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pPr>
      <w:r>
        <w:t>4000000</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pPr>
      <w:r>
        <w:t>3000000</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pPr>
      <w:r>
        <w:t>2000000</w:t>
      </w:r>
    </w:p>
    <w:p>
      <w:pPr>
        <w:spacing w:line="200" w:lineRule="exact"/>
        <w:rPr>
          <w:rFonts w:ascii="Times New Roman" w:hAnsi="Times New Roman" w:eastAsia="Times New Roman"/>
        </w:rPr>
      </w:pPr>
    </w:p>
    <w:p>
      <w:pPr>
        <w:spacing w:line="367" w:lineRule="exact"/>
        <w:rPr>
          <w:rFonts w:ascii="Times New Roman" w:hAnsi="Times New Roman" w:eastAsia="Times New Roman"/>
        </w:rPr>
      </w:pPr>
    </w:p>
    <w:p>
      <w:pPr>
        <w:spacing w:line="0" w:lineRule="atLeast"/>
      </w:pPr>
      <w:r>
        <w:t>1000000</w:t>
      </w:r>
    </w:p>
    <w:p>
      <w:pPr>
        <w:spacing w:line="200" w:lineRule="exact"/>
        <w:rPr>
          <w:rFonts w:ascii="Times New Roman" w:hAnsi="Times New Roman" w:eastAsia="Times New Roman"/>
        </w:rPr>
      </w:pPr>
    </w:p>
    <w:p>
      <w:pPr>
        <w:spacing w:line="366" w:lineRule="exact"/>
        <w:rPr>
          <w:rFonts w:ascii="Times New Roman" w:hAnsi="Times New Roman" w:eastAsia="Times New Roman"/>
        </w:rPr>
      </w:pPr>
    </w:p>
    <w:p>
      <w:pPr>
        <w:spacing w:line="0" w:lineRule="atLeast"/>
        <w:jc w:val="right"/>
      </w:pPr>
      <w:r>
        <w:t>0</w:t>
      </w:r>
    </w:p>
    <w:p>
      <w:pPr>
        <w:spacing w:line="200" w:lineRule="exact"/>
        <w:rPr>
          <w:rFonts w:ascii="Times New Roman" w:hAnsi="Times New Roman" w:eastAsia="Times New Roman"/>
        </w:rPr>
      </w:pPr>
      <w:r>
        <w:br w:type="column"/>
      </w:r>
    </w:p>
    <w:p>
      <w:pPr>
        <w:spacing w:line="200" w:lineRule="exact"/>
        <w:rPr>
          <w:rFonts w:ascii="Times New Roman" w:hAnsi="Times New Roman" w:eastAsia="Times New Roman"/>
        </w:rPr>
      </w:pPr>
    </w:p>
    <w:p>
      <w:pPr>
        <w:spacing w:line="380" w:lineRule="exact"/>
        <w:rPr>
          <w:rFonts w:ascii="Times New Roman" w:hAnsi="Times New Roman" w:eastAsia="Times New Roman"/>
        </w:rPr>
      </w:pPr>
    </w:p>
    <w:p>
      <w:pPr>
        <w:spacing w:line="0" w:lineRule="atLeast"/>
        <w:ind w:left="6400"/>
      </w:pPr>
      <w:r>
        <w:t>y = 2E+08x</w:t>
      </w:r>
    </w:p>
    <w:p>
      <w:pPr>
        <w:spacing w:line="20" w:lineRule="exact"/>
        <w:rPr>
          <w:rFonts w:ascii="Times New Roman" w:hAnsi="Times New Roman" w:eastAsia="Times New Roman"/>
        </w:rPr>
      </w:pPr>
      <w:r>
        <w:pict>
          <v:line id="_x0000_s1034" o:spid="_x0000_s1034" o:spt="20" style="position:absolute;left:0pt;margin-left:1.95pt;margin-top:-2.7pt;height:327.65pt;width:0pt;z-index:-251657216;mso-width-relative:page;mso-height-relative:page;" o:userdrawn="t" stroked="t" coordsize="21600,21600">
            <v:path arrowok="t"/>
            <v:fill focussize="0,0"/>
            <v:stroke weight="0.72pt" color="#868686"/>
            <v:imagedata o:title=""/>
            <o:lock v:ext="edit"/>
          </v:line>
        </w:pict>
      </w:r>
      <w:r>
        <w:pict>
          <v:line id="_x0000_s1035" o:spid="_x0000_s1035" o:spt="20" style="position:absolute;left:0pt;margin-left:-1.15pt;margin-top:-2.35pt;height:0pt;width:3.45pt;z-index:-251657216;mso-width-relative:page;mso-height-relative:page;" o:userdrawn="t" stroked="t" coordsize="21600,21600">
            <v:path arrowok="t"/>
            <v:fill focussize="0,0"/>
            <v:stroke weight="0.72pt" color="#868686"/>
            <v:imagedata o:title=""/>
            <o:lock v:ext="edit"/>
          </v:line>
        </w:pict>
      </w:r>
    </w:p>
    <w:p>
      <w:pPr>
        <w:spacing w:line="0" w:lineRule="atLeast"/>
        <w:ind w:left="6420"/>
      </w:pPr>
      <w:r>
        <w:t>R² = 0.979</w:t>
      </w:r>
    </w:p>
    <w:p>
      <w:pPr>
        <w:spacing w:line="20" w:lineRule="exact"/>
        <w:rPr>
          <w:rFonts w:ascii="Times New Roman" w:hAnsi="Times New Roman" w:eastAsia="Times New Roman"/>
        </w:rPr>
      </w:pPr>
      <w:r>
        <w:pict>
          <v:line id="_x0000_s1036" o:spid="_x0000_s1036" o:spt="20" style="position:absolute;left:0pt;margin-left:-1.15pt;margin-top:309.6pt;height:0pt;width:353.85pt;z-index:-251657216;mso-width-relative:page;mso-height-relative:page;" o:userdrawn="t" stroked="t" coordsize="21600,21600">
            <v:path arrowok="t"/>
            <v:fill focussize="0,0"/>
            <v:stroke weight="0.72pt" color="#868686"/>
            <v:imagedata o:title=""/>
            <o:lock v:ext="edit"/>
          </v:line>
        </w:pict>
      </w:r>
      <w:r>
        <w:pict>
          <v:shape id="_x0000_s1037" o:spid="_x0000_s1037" o:spt="75" type="#_x0000_t75" style="position:absolute;left:0pt;margin-left:-1.1pt;margin-top:10.55pt;height:302.15pt;width:353.9pt;z-index:-251657216;mso-width-relative:page;mso-height-relative:page;" filled="f" o:preferrelative="t" stroked="f" coordsize="21600,21600">
            <v:path/>
            <v:fill on="f" focussize="0,0"/>
            <v:stroke on="f" joinstyle="miter"/>
            <v:imagedata r:id="rId15" o:title=""/>
            <o:lock v:ext="edit" aspectratio="t"/>
          </v:shap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6" w:lineRule="exact"/>
        <w:rPr>
          <w:rFonts w:ascii="Times New Roman" w:hAnsi="Times New Roman" w:eastAsia="Times New Roman"/>
        </w:rPr>
      </w:pPr>
    </w:p>
    <w:p>
      <w:pPr>
        <w:tabs>
          <w:tab w:val="left" w:pos="800"/>
          <w:tab w:val="left" w:pos="1840"/>
          <w:tab w:val="left" w:pos="2800"/>
          <w:tab w:val="left" w:pos="3840"/>
          <w:tab w:val="left" w:pos="4800"/>
          <w:tab w:val="left" w:pos="5860"/>
          <w:tab w:val="left" w:pos="6800"/>
        </w:tabs>
        <w:spacing w:line="0" w:lineRule="atLeast"/>
      </w:pPr>
      <w:r>
        <w:t>0</w:t>
      </w:r>
      <w:r>
        <w:rPr>
          <w:rFonts w:ascii="Times New Roman" w:hAnsi="Times New Roman" w:eastAsia="Times New Roman"/>
        </w:rPr>
        <w:tab/>
      </w:r>
      <w:r>
        <w:t>0.005</w:t>
      </w:r>
      <w:r>
        <w:rPr>
          <w:rFonts w:ascii="Times New Roman" w:hAnsi="Times New Roman" w:eastAsia="Times New Roman"/>
        </w:rPr>
        <w:tab/>
      </w:r>
      <w:r>
        <w:t>0.01</w:t>
      </w:r>
      <w:r>
        <w:rPr>
          <w:rFonts w:ascii="Times New Roman" w:hAnsi="Times New Roman" w:eastAsia="Times New Roman"/>
        </w:rPr>
        <w:tab/>
      </w:r>
      <w:r>
        <w:t>0.015</w:t>
      </w:r>
      <w:r>
        <w:rPr>
          <w:rFonts w:ascii="Times New Roman" w:hAnsi="Times New Roman" w:eastAsia="Times New Roman"/>
        </w:rPr>
        <w:tab/>
      </w:r>
      <w:r>
        <w:t>0.02</w:t>
      </w:r>
      <w:r>
        <w:rPr>
          <w:rFonts w:ascii="Times New Roman" w:hAnsi="Times New Roman" w:eastAsia="Times New Roman"/>
        </w:rPr>
        <w:tab/>
      </w:r>
      <w:r>
        <w:t>0.025</w:t>
      </w:r>
      <w:r>
        <w:rPr>
          <w:rFonts w:ascii="Times New Roman" w:hAnsi="Times New Roman" w:eastAsia="Times New Roman"/>
        </w:rPr>
        <w:tab/>
      </w:r>
      <w:r>
        <w:t>0.03</w:t>
      </w:r>
      <w:r>
        <w:rPr>
          <w:rFonts w:ascii="Times New Roman" w:hAnsi="Times New Roman" w:eastAsia="Times New Roman"/>
        </w:rPr>
        <w:tab/>
      </w:r>
      <w:r>
        <w:t>0.035</w:t>
      </w:r>
    </w:p>
    <w:p>
      <w:pPr>
        <w:spacing w:line="150" w:lineRule="exact"/>
        <w:rPr>
          <w:rFonts w:ascii="Times New Roman" w:hAnsi="Times New Roman" w:eastAsia="Times New Roman"/>
        </w:rPr>
      </w:pPr>
    </w:p>
    <w:p>
      <w:pPr>
        <w:spacing w:line="0" w:lineRule="atLeast"/>
        <w:ind w:right="180"/>
        <w:jc w:val="center"/>
        <w:rPr>
          <w:b/>
        </w:rPr>
      </w:pPr>
      <w:r>
        <w:rPr>
          <w:b/>
        </w:rPr>
        <w:t>Concentration</w:t>
      </w:r>
    </w:p>
    <w:p>
      <w:pPr>
        <w:spacing w:line="0" w:lineRule="atLeast"/>
        <w:ind w:right="180"/>
        <w:jc w:val="center"/>
        <w:rPr>
          <w:b/>
        </w:rPr>
        <w:sectPr>
          <w:pgSz w:w="12240" w:h="15840"/>
          <w:pgMar w:top="1440" w:right="1200" w:bottom="428" w:left="1440" w:header="0" w:footer="0" w:gutter="0"/>
          <w:cols w:equalWidth="0" w:num="3">
            <w:col w:w="1062" w:space="398"/>
            <w:col w:w="720" w:space="140"/>
            <w:col w:w="7280"/>
          </w:cols>
          <w:docGrid w:linePitch="360" w:charSpace="0"/>
        </w:sect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93" w:lineRule="exact"/>
        <w:rPr>
          <w:rFonts w:ascii="Times New Roman" w:hAnsi="Times New Roman" w:eastAsia="Times New Roman"/>
        </w:rPr>
      </w:pPr>
    </w:p>
    <w:p>
      <w:pPr>
        <w:spacing w:line="0" w:lineRule="atLeast"/>
        <w:ind w:left="3020"/>
        <w:rPr>
          <w:rFonts w:ascii="Times New Roman" w:hAnsi="Times New Roman" w:eastAsia="Times New Roman"/>
          <w:b/>
          <w:sz w:val="23"/>
        </w:rPr>
      </w:pPr>
      <w:r>
        <w:rPr>
          <w:rFonts w:ascii="Times New Roman" w:hAnsi="Times New Roman" w:eastAsia="Times New Roman"/>
          <w:b/>
          <w:sz w:val="23"/>
        </w:rPr>
        <w:t>Appendix B: Calibration curve obtained for caffeine</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98" w:lineRule="exact"/>
        <w:rPr>
          <w:rFonts w:ascii="Times New Roman" w:hAnsi="Times New Roman" w:eastAsia="Times New Roman"/>
        </w:rPr>
      </w:pPr>
    </w:p>
    <w:p>
      <w:pPr>
        <w:spacing w:line="0" w:lineRule="atLeast"/>
        <w:ind w:right="-339"/>
        <w:jc w:val="center"/>
        <w:rPr>
          <w:sz w:val="22"/>
        </w:rPr>
      </w:pPr>
      <w:r>
        <w:rPr>
          <w:sz w:val="22"/>
        </w:rPr>
        <w:t>cviii</w:t>
      </w:r>
    </w:p>
    <w:p>
      <w:pPr>
        <w:spacing w:line="0" w:lineRule="atLeast"/>
        <w:ind w:right="-339"/>
        <w:jc w:val="center"/>
        <w:rPr>
          <w:sz w:val="22"/>
        </w:rPr>
        <w:sectPr>
          <w:type w:val="continuous"/>
          <w:pgSz w:w="12240" w:h="15840"/>
          <w:pgMar w:top="1440" w:right="1200" w:bottom="428" w:left="1440" w:header="0" w:footer="0" w:gutter="0"/>
          <w:cols w:equalWidth="0" w:num="1">
            <w:col w:w="9600"/>
          </w:cols>
          <w:docGrid w:linePitch="360" w:charSpace="0"/>
        </w:sectPr>
      </w:pPr>
    </w:p>
    <w:p>
      <w:pPr>
        <w:spacing w:line="200" w:lineRule="exact"/>
        <w:rPr>
          <w:rFonts w:ascii="Times New Roman" w:hAnsi="Times New Roman" w:eastAsia="Times New Roman"/>
        </w:rPr>
      </w:pPr>
      <w:bookmarkStart w:id="100" w:name="page109"/>
      <w:bookmarkEnd w:id="100"/>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60" w:lineRule="exact"/>
        <w:rPr>
          <w:rFonts w:ascii="Times New Roman" w:hAnsi="Times New Roman" w:eastAsia="Times New Roman"/>
        </w:rPr>
      </w:pPr>
    </w:p>
    <w:tbl>
      <w:tblPr>
        <w:tblStyle w:val="3"/>
        <w:tblW w:w="0" w:type="auto"/>
        <w:tblInd w:w="818" w:type="dxa"/>
        <w:tblLayout w:type="fixed"/>
        <w:tblCellMar>
          <w:top w:w="0" w:type="dxa"/>
          <w:left w:w="0" w:type="dxa"/>
          <w:bottom w:w="0" w:type="dxa"/>
          <w:right w:w="0" w:type="dxa"/>
        </w:tblCellMar>
      </w:tblPr>
      <w:tblGrid>
        <w:gridCol w:w="232"/>
      </w:tblGrid>
      <w:tr>
        <w:tblPrEx>
          <w:tblCellMar>
            <w:top w:w="0" w:type="dxa"/>
            <w:left w:w="0" w:type="dxa"/>
            <w:bottom w:w="0" w:type="dxa"/>
            <w:right w:w="0" w:type="dxa"/>
          </w:tblCellMar>
        </w:tblPrEx>
        <w:trPr>
          <w:trHeight w:val="380" w:hRule="atLeast"/>
        </w:trPr>
        <w:tc>
          <w:tcPr>
            <w:tcW w:w="232" w:type="dxa"/>
            <w:shd w:val="clear" w:color="auto" w:fill="auto"/>
            <w:textDirection w:val="btLr"/>
            <w:vAlign w:val="bottom"/>
          </w:tcPr>
          <w:p>
            <w:pPr>
              <w:spacing w:line="0" w:lineRule="atLeast"/>
              <w:rPr>
                <w:b/>
                <w:sz w:val="19"/>
              </w:rPr>
            </w:pPr>
            <w:r>
              <w:rPr>
                <w:b/>
                <w:sz w:val="19"/>
              </w:rPr>
              <w:t>Area</w:t>
            </w:r>
          </w:p>
        </w:tc>
      </w:tr>
    </w:tbl>
    <w:p>
      <w:pPr>
        <w:spacing w:line="200" w:lineRule="exact"/>
        <w:rPr>
          <w:rFonts w:ascii="Times New Roman" w:hAnsi="Times New Roman" w:eastAsia="Times New Roman"/>
        </w:rPr>
      </w:pPr>
      <w:r>
        <w:rPr>
          <w:b/>
          <w:sz w:val="19"/>
        </w:rPr>
        <w:br w:type="column"/>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14" w:lineRule="exact"/>
        <w:rPr>
          <w:rFonts w:ascii="Times New Roman" w:hAnsi="Times New Roman" w:eastAsia="Times New Roman"/>
        </w:rPr>
      </w:pPr>
    </w:p>
    <w:p>
      <w:pPr>
        <w:spacing w:line="0" w:lineRule="atLeast"/>
      </w:pPr>
      <w:r>
        <w:t>3000000</w:t>
      </w:r>
    </w:p>
    <w:p>
      <w:pPr>
        <w:spacing w:line="20" w:lineRule="exact"/>
        <w:rPr>
          <w:rFonts w:ascii="Times New Roman" w:hAnsi="Times New Roman" w:eastAsia="Times New Roman"/>
        </w:rPr>
      </w:pPr>
      <w:r>
        <w:pict>
          <v:line id="_x0000_s1038" o:spid="_x0000_s1038" o:spt="20" style="position:absolute;left:0pt;margin-left:44.95pt;margin-top:-5.8pt;height:313.55pt;width:0pt;z-index:-251657216;mso-width-relative:page;mso-height-relative:page;" o:userdrawn="t" stroked="t" coordsize="21600,21600">
            <v:path arrowok="t"/>
            <v:fill focussize="0,0"/>
            <v:stroke weight="0.72pt" color="#868686"/>
            <v:imagedata o:title=""/>
            <o:lock v:ext="edit"/>
          </v:line>
        </w:pict>
      </w:r>
      <w:r>
        <w:pict>
          <v:line id="_x0000_s1039" o:spid="_x0000_s1039" o:spt="20" style="position:absolute;left:0pt;margin-left:41.8pt;margin-top:-5.45pt;height:0pt;width:3.5pt;z-index:-251657216;mso-width-relative:page;mso-height-relative:page;" o:userdrawn="t" stroked="t" coordsize="21600,21600">
            <v:path arrowok="t"/>
            <v:fill focussize="0,0"/>
            <v:stroke weight="0.72pt" color="#868686"/>
            <v:imagedata o:title=""/>
            <o:lock v:ext="edit"/>
          </v:line>
        </w:pict>
      </w:r>
    </w:p>
    <w:p>
      <w:pPr>
        <w:spacing w:line="120" w:lineRule="exact"/>
        <w:rPr>
          <w:rFonts w:ascii="Times New Roman" w:hAnsi="Times New Roman" w:eastAsia="Times New Roman"/>
        </w:rPr>
      </w:pPr>
    </w:p>
    <w:p>
      <w:pPr>
        <w:spacing w:line="0" w:lineRule="atLeast"/>
        <w:ind w:left="7020"/>
      </w:pPr>
      <w:r>
        <w:t>y = 5E+07x</w:t>
      </w:r>
    </w:p>
    <w:p>
      <w:pPr>
        <w:spacing w:line="20" w:lineRule="exact"/>
        <w:rPr>
          <w:rFonts w:ascii="Times New Roman" w:hAnsi="Times New Roman" w:eastAsia="Times New Roman"/>
        </w:rPr>
      </w:pPr>
      <w:r>
        <w:pict>
          <v:shape id="_x0000_s1040" o:spid="_x0000_s1040" o:spt="75" type="#_x0000_t75" style="position:absolute;left:0pt;margin-left:94.9pt;margin-top:-2.55pt;height:237.1pt;width:228.7pt;z-index:-251657216;mso-width-relative:page;mso-height-relative:page;" filled="f" o:preferrelative="t" stroked="f" coordsize="21600,21600">
            <v:path/>
            <v:fill on="f" focussize="0,0"/>
            <v:stroke on="f" joinstyle="miter"/>
            <v:imagedata r:id="rId16" o:title=""/>
            <o:lock v:ext="edit" aspectratio="t"/>
          </v:shape>
        </w:pict>
      </w:r>
    </w:p>
    <w:p>
      <w:pPr>
        <w:spacing w:line="0" w:lineRule="atLeast"/>
        <w:ind w:left="7040"/>
      </w:pPr>
      <w:r>
        <w:t>R² = 0.992</w:t>
      </w:r>
    </w:p>
    <w:p>
      <w:pPr>
        <w:spacing w:line="160" w:lineRule="exact"/>
        <w:rPr>
          <w:rFonts w:ascii="Times New Roman" w:hAnsi="Times New Roman" w:eastAsia="Times New Roman"/>
        </w:rPr>
      </w:pPr>
    </w:p>
    <w:p>
      <w:pPr>
        <w:spacing w:line="0" w:lineRule="atLeast"/>
      </w:pPr>
      <w:r>
        <w:t>2500000</w:t>
      </w:r>
    </w:p>
    <w:p>
      <w:pPr>
        <w:spacing w:line="20" w:lineRule="exact"/>
        <w:rPr>
          <w:rFonts w:ascii="Times New Roman" w:hAnsi="Times New Roman" w:eastAsia="Times New Roman"/>
        </w:rPr>
      </w:pPr>
      <w:r>
        <w:pict>
          <v:line id="_x0000_s1041" o:spid="_x0000_s1041" o:spt="20" style="position:absolute;left:0pt;margin-left:41.8pt;margin-top:-5.5pt;height:0pt;width:3.5pt;z-index:-251657216;mso-width-relative:page;mso-height-relative:page;" o:userdrawn="t" stroked="t" coordsize="21600,21600">
            <v:path arrowok="t"/>
            <v:fill focussize="0,0"/>
            <v:stroke weight="0.72pt" color="#868686"/>
            <v:imagedata o:title=""/>
            <o:lock v:ext="edit"/>
          </v:lin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9" w:lineRule="exact"/>
        <w:rPr>
          <w:rFonts w:ascii="Times New Roman" w:hAnsi="Times New Roman" w:eastAsia="Times New Roman"/>
        </w:rPr>
      </w:pPr>
    </w:p>
    <w:p>
      <w:pPr>
        <w:spacing w:line="0" w:lineRule="atLeast"/>
      </w:pPr>
      <w:r>
        <w:t>2000000</w:t>
      </w:r>
    </w:p>
    <w:p>
      <w:pPr>
        <w:spacing w:line="20" w:lineRule="exact"/>
        <w:rPr>
          <w:rFonts w:ascii="Times New Roman" w:hAnsi="Times New Roman" w:eastAsia="Times New Roman"/>
        </w:rPr>
      </w:pPr>
      <w:r>
        <w:pict>
          <v:line id="_x0000_s1042" o:spid="_x0000_s1042" o:spt="20" style="position:absolute;left:0pt;margin-left:41.8pt;margin-top:-5.6pt;height:0pt;width:3.5pt;z-index:-251657216;mso-width-relative:page;mso-height-relative:page;" o:userdrawn="t" stroked="t" coordsize="21600,21600">
            <v:path arrowok="t"/>
            <v:fill focussize="0,0"/>
            <v:stroke weight="0.72pt" color="#868686"/>
            <v:imagedata o:title=""/>
            <o:lock v:ext="edit"/>
          </v:lin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0" w:lineRule="atLeast"/>
      </w:pPr>
      <w:r>
        <w:t>1500000</w:t>
      </w:r>
    </w:p>
    <w:p>
      <w:pPr>
        <w:spacing w:line="20" w:lineRule="exact"/>
        <w:rPr>
          <w:rFonts w:ascii="Times New Roman" w:hAnsi="Times New Roman" w:eastAsia="Times New Roman"/>
        </w:rPr>
      </w:pPr>
      <w:r>
        <w:pict>
          <v:line id="_x0000_s1043" o:spid="_x0000_s1043" o:spt="20" style="position:absolute;left:0pt;margin-left:41.8pt;margin-top:-5.65pt;height:0pt;width:3.5pt;z-index:-251657216;mso-width-relative:page;mso-height-relative:page;" o:userdrawn="t" stroked="t" coordsize="21600,21600">
            <v:path arrowok="t"/>
            <v:fill focussize="0,0"/>
            <v:stroke weight="0.72pt" color="#868686"/>
            <v:imagedata o:title=""/>
            <o:lock v:ext="edit"/>
          </v:lin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9" w:lineRule="exact"/>
        <w:rPr>
          <w:rFonts w:ascii="Times New Roman" w:hAnsi="Times New Roman" w:eastAsia="Times New Roman"/>
        </w:rPr>
      </w:pPr>
    </w:p>
    <w:p>
      <w:pPr>
        <w:spacing w:line="0" w:lineRule="atLeast"/>
      </w:pPr>
      <w:r>
        <w:t>1000000</w:t>
      </w:r>
    </w:p>
    <w:p>
      <w:pPr>
        <w:spacing w:line="20" w:lineRule="exact"/>
        <w:rPr>
          <w:rFonts w:ascii="Times New Roman" w:hAnsi="Times New Roman" w:eastAsia="Times New Roman"/>
        </w:rPr>
      </w:pPr>
      <w:r>
        <w:pict>
          <v:line id="_x0000_s1044" o:spid="_x0000_s1044" o:spt="20" style="position:absolute;left:0pt;margin-left:41.8pt;margin-top:-5.5pt;height:0pt;width:3.5pt;z-index:-251657216;mso-width-relative:page;mso-height-relative:page;" o:userdrawn="t" stroked="t" coordsize="21600,21600">
            <v:path arrowok="t"/>
            <v:fill focussize="0,0"/>
            <v:stroke weight="0.72pt" color="#868686"/>
            <v:imagedata o:title=""/>
            <o:lock v:ext="edit"/>
          </v:lin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70" w:lineRule="exact"/>
        <w:rPr>
          <w:rFonts w:ascii="Times New Roman" w:hAnsi="Times New Roman" w:eastAsia="Times New Roman"/>
        </w:rPr>
      </w:pPr>
    </w:p>
    <w:p>
      <w:pPr>
        <w:spacing w:line="0" w:lineRule="atLeast"/>
        <w:ind w:left="100"/>
      </w:pPr>
      <w:r>
        <w:t>500000</w:t>
      </w:r>
    </w:p>
    <w:p>
      <w:pPr>
        <w:spacing w:line="20" w:lineRule="exact"/>
        <w:rPr>
          <w:rFonts w:ascii="Times New Roman" w:hAnsi="Times New Roman" w:eastAsia="Times New Roman"/>
        </w:rPr>
      </w:pPr>
      <w:r>
        <w:pict>
          <v:line id="_x0000_s1045" o:spid="_x0000_s1045" o:spt="20" style="position:absolute;left:0pt;margin-left:41.8pt;margin-top:-5.6pt;height:0pt;width:3.5pt;z-index:-251657216;mso-width-relative:page;mso-height-relative:page;" o:userdrawn="t" stroked="t" coordsize="21600,21600">
            <v:path arrowok="t"/>
            <v:fill focussize="0,0"/>
            <v:stroke weight="0.72pt" color="#868686"/>
            <v:imagedata o:title=""/>
            <o:lock v:ext="edit"/>
          </v:lin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69" w:lineRule="exact"/>
        <w:rPr>
          <w:rFonts w:ascii="Times New Roman" w:hAnsi="Times New Roman" w:eastAsia="Times New Roman"/>
        </w:rPr>
      </w:pPr>
    </w:p>
    <w:p>
      <w:pPr>
        <w:spacing w:line="0" w:lineRule="atLeast"/>
        <w:ind w:left="620"/>
      </w:pPr>
      <w:r>
        <w:t>0</w:t>
      </w:r>
    </w:p>
    <w:p>
      <w:pPr>
        <w:spacing w:line="20" w:lineRule="exact"/>
        <w:rPr>
          <w:rFonts w:ascii="Times New Roman" w:hAnsi="Times New Roman" w:eastAsia="Times New Roman"/>
        </w:rPr>
      </w:pPr>
      <w:r>
        <w:pict>
          <v:line id="_x0000_s1046" o:spid="_x0000_s1046" o:spt="20" style="position:absolute;left:0pt;margin-left:41.8pt;margin-top:-5.65pt;height:0pt;width:336.15pt;z-index:-251657216;mso-width-relative:page;mso-height-relative:page;" o:userdrawn="t" stroked="t" coordsize="21600,21600">
            <v:path arrowok="t"/>
            <v:fill focussize="0,0"/>
            <v:stroke weight="0.72pt" color="#868686"/>
            <v:imagedata o:title=""/>
            <o:lock v:ext="edit"/>
          </v:line>
        </w:pict>
      </w:r>
      <w:r>
        <w:pict>
          <v:line id="_x0000_s1047" o:spid="_x0000_s1047" o:spt="20" style="position:absolute;left:0pt;margin-left:92.45pt;margin-top:-6pt;height:3.7pt;width:0pt;z-index:-251657216;mso-width-relative:page;mso-height-relative:page;" o:userdrawn="t" stroked="t" coordsize="21600,21600">
            <v:path arrowok="t"/>
            <v:fill focussize="0,0"/>
            <v:stroke weight="0.72pt" color="#868686"/>
            <v:imagedata o:title=""/>
            <o:lock v:ext="edit"/>
          </v:line>
        </w:pict>
      </w:r>
      <w:r>
        <w:pict>
          <v:line id="_x0000_s1048" o:spid="_x0000_s1048" o:spt="20" style="position:absolute;left:0pt;margin-left:140pt;margin-top:-6pt;height:3.7pt;width:0pt;z-index:-251657216;mso-width-relative:page;mso-height-relative:page;" o:userdrawn="t" stroked="t" coordsize="21600,21600">
            <v:path arrowok="t"/>
            <v:fill focussize="0,0"/>
            <v:stroke weight="0.72pt" color="#868686"/>
            <v:imagedata o:title=""/>
            <o:lock v:ext="edit"/>
          </v:line>
        </w:pict>
      </w:r>
      <w:r>
        <w:pict>
          <v:line id="_x0000_s1049" o:spid="_x0000_s1049" o:spt="20" style="position:absolute;left:0pt;margin-left:187.5pt;margin-top:-6pt;height:3.7pt;width:0pt;z-index:-251657216;mso-width-relative:page;mso-height-relative:page;" o:userdrawn="t" stroked="t" coordsize="21600,21600">
            <v:path arrowok="t"/>
            <v:fill focussize="0,0"/>
            <v:stroke weight="0.72pt" color="#868686"/>
            <v:imagedata o:title=""/>
            <o:lock v:ext="edit"/>
          </v:line>
        </w:pict>
      </w:r>
      <w:r>
        <w:pict>
          <v:line id="_x0000_s1050" o:spid="_x0000_s1050" o:spt="20" style="position:absolute;left:0pt;margin-left:235pt;margin-top:-6pt;height:3.7pt;width:0pt;z-index:-251657216;mso-width-relative:page;mso-height-relative:page;" o:userdrawn="t" stroked="t" coordsize="21600,21600">
            <v:path arrowok="t"/>
            <v:fill focussize="0,0"/>
            <v:stroke weight="0.72pt" color="#868686"/>
            <v:imagedata o:title=""/>
            <o:lock v:ext="edit"/>
          </v:line>
        </w:pict>
      </w:r>
      <w:r>
        <w:pict>
          <v:line id="_x0000_s1051" o:spid="_x0000_s1051" o:spt="20" style="position:absolute;left:0pt;margin-left:282.55pt;margin-top:-6pt;height:3.7pt;width:0pt;z-index:-251657216;mso-width-relative:page;mso-height-relative:page;" o:userdrawn="t" stroked="t" coordsize="21600,21600">
            <v:path arrowok="t"/>
            <v:fill focussize="0,0"/>
            <v:stroke weight="0.72pt" color="#868686"/>
            <v:imagedata o:title=""/>
            <o:lock v:ext="edit"/>
          </v:line>
        </w:pict>
      </w:r>
      <w:r>
        <w:pict>
          <v:line id="_x0000_s1052" o:spid="_x0000_s1052" o:spt="20" style="position:absolute;left:0pt;margin-left:330.05pt;margin-top:-6pt;height:3.7pt;width:0pt;z-index:-251657216;mso-width-relative:page;mso-height-relative:page;" o:userdrawn="t" stroked="t" coordsize="21600,21600">
            <v:path arrowok="t"/>
            <v:fill focussize="0,0"/>
            <v:stroke weight="0.72pt" color="#868686"/>
            <v:imagedata o:title=""/>
            <o:lock v:ext="edit"/>
          </v:line>
        </w:pict>
      </w:r>
      <w:r>
        <w:pict>
          <v:line id="_x0000_s1053" o:spid="_x0000_s1053" o:spt="20" style="position:absolute;left:0pt;margin-left:377.55pt;margin-top:-6pt;height:3.7pt;width:0pt;z-index:-251657216;mso-width-relative:page;mso-height-relative:page;" o:userdrawn="t" stroked="t" coordsize="21600,21600">
            <v:path arrowok="t"/>
            <v:fill focussize="0,0"/>
            <v:stroke weight="0.72pt" color="#868686"/>
            <v:imagedata o:title=""/>
            <o:lock v:ext="edit"/>
          </v:line>
        </w:pict>
      </w:r>
    </w:p>
    <w:p>
      <w:pPr>
        <w:spacing w:line="55" w:lineRule="exact"/>
        <w:rPr>
          <w:rFonts w:ascii="Times New Roman" w:hAnsi="Times New Roman" w:eastAsia="Times New Roman"/>
        </w:rPr>
      </w:pPr>
    </w:p>
    <w:p>
      <w:pPr>
        <w:tabs>
          <w:tab w:val="left" w:pos="1660"/>
          <w:tab w:val="left" w:pos="2600"/>
          <w:tab w:val="left" w:pos="3560"/>
          <w:tab w:val="left" w:pos="4500"/>
          <w:tab w:val="left" w:pos="5460"/>
          <w:tab w:val="left" w:pos="6400"/>
          <w:tab w:val="left" w:pos="7360"/>
        </w:tabs>
        <w:spacing w:line="0" w:lineRule="atLeast"/>
        <w:ind w:left="860"/>
      </w:pPr>
      <w:r>
        <w:t>0</w:t>
      </w:r>
      <w:r>
        <w:rPr>
          <w:rFonts w:ascii="Times New Roman" w:hAnsi="Times New Roman" w:eastAsia="Times New Roman"/>
        </w:rPr>
        <w:tab/>
      </w:r>
      <w:r>
        <w:t>0.01</w:t>
      </w:r>
      <w:r>
        <w:rPr>
          <w:rFonts w:ascii="Times New Roman" w:hAnsi="Times New Roman" w:eastAsia="Times New Roman"/>
        </w:rPr>
        <w:tab/>
      </w:r>
      <w:r>
        <w:t>0.02</w:t>
      </w:r>
      <w:r>
        <w:rPr>
          <w:rFonts w:ascii="Times New Roman" w:hAnsi="Times New Roman" w:eastAsia="Times New Roman"/>
        </w:rPr>
        <w:tab/>
      </w:r>
      <w:r>
        <w:t>0.03</w:t>
      </w:r>
      <w:r>
        <w:rPr>
          <w:rFonts w:ascii="Times New Roman" w:hAnsi="Times New Roman" w:eastAsia="Times New Roman"/>
        </w:rPr>
        <w:tab/>
      </w:r>
      <w:r>
        <w:t>0.04</w:t>
      </w:r>
      <w:r>
        <w:rPr>
          <w:rFonts w:ascii="Times New Roman" w:hAnsi="Times New Roman" w:eastAsia="Times New Roman"/>
        </w:rPr>
        <w:tab/>
      </w:r>
      <w:r>
        <w:t>0.05</w:t>
      </w:r>
      <w:r>
        <w:rPr>
          <w:rFonts w:ascii="Times New Roman" w:hAnsi="Times New Roman" w:eastAsia="Times New Roman"/>
        </w:rPr>
        <w:tab/>
      </w:r>
      <w:r>
        <w:t>0.06</w:t>
      </w:r>
      <w:r>
        <w:rPr>
          <w:rFonts w:ascii="Times New Roman" w:hAnsi="Times New Roman" w:eastAsia="Times New Roman"/>
        </w:rPr>
        <w:tab/>
      </w:r>
      <w:r>
        <w:t>0.07</w:t>
      </w:r>
    </w:p>
    <w:p>
      <w:pPr>
        <w:spacing w:line="150" w:lineRule="exact"/>
        <w:rPr>
          <w:rFonts w:ascii="Times New Roman" w:hAnsi="Times New Roman" w:eastAsia="Times New Roman"/>
        </w:rPr>
      </w:pPr>
    </w:p>
    <w:p>
      <w:pPr>
        <w:spacing w:line="0" w:lineRule="atLeast"/>
        <w:ind w:left="3640"/>
        <w:rPr>
          <w:b/>
        </w:rPr>
      </w:pPr>
      <w:r>
        <w:rPr>
          <w:b/>
        </w:rPr>
        <w:t>Concentration</w:t>
      </w:r>
    </w:p>
    <w:p>
      <w:pPr>
        <w:spacing w:line="0" w:lineRule="atLeast"/>
        <w:ind w:left="3640"/>
        <w:rPr>
          <w:b/>
        </w:rPr>
        <w:sectPr>
          <w:pgSz w:w="12240" w:h="15840"/>
          <w:pgMar w:top="1440" w:right="1440" w:bottom="428" w:left="1440" w:header="0" w:footer="0" w:gutter="0"/>
          <w:cols w:equalWidth="0" w:num="2">
            <w:col w:w="1050" w:space="410"/>
            <w:col w:w="7900"/>
          </w:cols>
          <w:docGrid w:linePitch="360" w:charSpace="0"/>
        </w:sect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3" w:lineRule="exact"/>
        <w:rPr>
          <w:rFonts w:ascii="Times New Roman" w:hAnsi="Times New Roman" w:eastAsia="Times New Roman"/>
        </w:rPr>
      </w:pPr>
    </w:p>
    <w:p>
      <w:pPr>
        <w:spacing w:line="0" w:lineRule="atLeast"/>
        <w:ind w:left="2340"/>
        <w:rPr>
          <w:rFonts w:ascii="Times New Roman" w:hAnsi="Times New Roman" w:eastAsia="Times New Roman"/>
          <w:b/>
          <w:sz w:val="24"/>
        </w:rPr>
      </w:pPr>
      <w:r>
        <w:rPr>
          <w:rFonts w:ascii="Times New Roman" w:hAnsi="Times New Roman" w:eastAsia="Times New Roman"/>
          <w:b/>
          <w:sz w:val="24"/>
        </w:rPr>
        <w:t>Appendix C: Calibration curve obtained for Aspartame</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87" w:lineRule="exact"/>
        <w:rPr>
          <w:rFonts w:ascii="Times New Roman" w:hAnsi="Times New Roman" w:eastAsia="Times New Roman"/>
        </w:rPr>
      </w:pPr>
    </w:p>
    <w:p>
      <w:pPr>
        <w:spacing w:line="0" w:lineRule="atLeast"/>
        <w:ind w:left="4860"/>
        <w:rPr>
          <w:sz w:val="22"/>
        </w:rPr>
      </w:pPr>
      <w:r>
        <w:rPr>
          <w:sz w:val="22"/>
        </w:rPr>
        <w:t>cix</w:t>
      </w:r>
    </w:p>
    <w:p>
      <w:pPr>
        <w:spacing w:line="0" w:lineRule="atLeast"/>
        <w:ind w:left="4860"/>
        <w:rPr>
          <w:sz w:val="22"/>
        </w:rPr>
        <w:sectPr>
          <w:type w:val="continuous"/>
          <w:pgSz w:w="12240" w:h="15840"/>
          <w:pgMar w:top="1440" w:right="1440" w:bottom="428" w:left="1440" w:header="0" w:footer="0" w:gutter="0"/>
          <w:cols w:equalWidth="0" w:num="1">
            <w:col w:w="9360"/>
          </w:cols>
          <w:docGrid w:linePitch="360" w:charSpace="0"/>
        </w:sectPr>
      </w:pPr>
    </w:p>
    <w:p>
      <w:pPr>
        <w:spacing w:line="200" w:lineRule="exact"/>
        <w:rPr>
          <w:rFonts w:ascii="Times New Roman" w:hAnsi="Times New Roman" w:eastAsia="Times New Roman"/>
        </w:rPr>
      </w:pPr>
      <w:bookmarkStart w:id="101" w:name="page110"/>
      <w:bookmarkEnd w:id="101"/>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400" w:lineRule="exact"/>
        <w:rPr>
          <w:rFonts w:ascii="Times New Roman" w:hAnsi="Times New Roman" w:eastAsia="Times New Roman"/>
        </w:rPr>
      </w:pPr>
    </w:p>
    <w:tbl>
      <w:tblPr>
        <w:tblStyle w:val="3"/>
        <w:tblW w:w="0" w:type="auto"/>
        <w:tblInd w:w="1808" w:type="dxa"/>
        <w:tblLayout w:type="fixed"/>
        <w:tblCellMar>
          <w:top w:w="0" w:type="dxa"/>
          <w:left w:w="0" w:type="dxa"/>
          <w:bottom w:w="0" w:type="dxa"/>
          <w:right w:w="0" w:type="dxa"/>
        </w:tblCellMar>
      </w:tblPr>
      <w:tblGrid>
        <w:gridCol w:w="232"/>
      </w:tblGrid>
      <w:tr>
        <w:tblPrEx>
          <w:tblCellMar>
            <w:top w:w="0" w:type="dxa"/>
            <w:left w:w="0" w:type="dxa"/>
            <w:bottom w:w="0" w:type="dxa"/>
            <w:right w:w="0" w:type="dxa"/>
          </w:tblCellMar>
        </w:tblPrEx>
        <w:trPr>
          <w:trHeight w:val="1480" w:hRule="atLeast"/>
        </w:trPr>
        <w:tc>
          <w:tcPr>
            <w:tcW w:w="232" w:type="dxa"/>
            <w:shd w:val="clear" w:color="auto" w:fill="auto"/>
            <w:textDirection w:val="btLr"/>
            <w:vAlign w:val="bottom"/>
          </w:tcPr>
          <w:p>
            <w:pPr>
              <w:spacing w:line="0" w:lineRule="atLeast"/>
              <w:rPr>
                <w:b/>
                <w:sz w:val="19"/>
              </w:rPr>
            </w:pPr>
            <w:r>
              <w:rPr>
                <w:b/>
                <w:sz w:val="19"/>
              </w:rPr>
              <w:t>AV. ABSORBANCE</w:t>
            </w:r>
          </w:p>
        </w:tc>
      </w:tr>
    </w:tbl>
    <w:p>
      <w:pPr>
        <w:spacing w:line="87" w:lineRule="exact"/>
        <w:rPr>
          <w:rFonts w:ascii="Times New Roman" w:hAnsi="Times New Roman" w:eastAsia="Times New Roman"/>
        </w:rPr>
      </w:pPr>
      <w:r>
        <w:rPr>
          <w:b/>
          <w:sz w:val="19"/>
        </w:rPr>
        <w:br w:type="column"/>
      </w:r>
    </w:p>
    <w:p>
      <w:pPr>
        <w:spacing w:line="0" w:lineRule="atLeast"/>
      </w:pPr>
      <w:r>
        <w:t>1.2</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38" w:lineRule="exact"/>
        <w:rPr>
          <w:rFonts w:ascii="Times New Roman" w:hAnsi="Times New Roman" w:eastAsia="Times New Roman"/>
        </w:rPr>
      </w:pPr>
    </w:p>
    <w:p>
      <w:pPr>
        <w:spacing w:line="0" w:lineRule="atLeast"/>
        <w:ind w:left="160"/>
        <w:rPr>
          <w:sz w:val="19"/>
        </w:rPr>
      </w:pPr>
      <w:r>
        <w:rPr>
          <w:sz w:val="19"/>
        </w:rPr>
        <w:t>1</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5" w:lineRule="exact"/>
        <w:rPr>
          <w:rFonts w:ascii="Times New Roman" w:hAnsi="Times New Roman" w:eastAsia="Times New Roman"/>
        </w:rPr>
      </w:pPr>
    </w:p>
    <w:p>
      <w:pPr>
        <w:spacing w:line="0" w:lineRule="atLeast"/>
      </w:pPr>
      <w:r>
        <w:t>0.8</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5" w:lineRule="exact"/>
        <w:rPr>
          <w:rFonts w:ascii="Times New Roman" w:hAnsi="Times New Roman" w:eastAsia="Times New Roman"/>
        </w:rPr>
      </w:pPr>
    </w:p>
    <w:p>
      <w:pPr>
        <w:spacing w:line="0" w:lineRule="atLeast"/>
      </w:pPr>
      <w:r>
        <w:t>0.6</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5" w:lineRule="exact"/>
        <w:rPr>
          <w:rFonts w:ascii="Times New Roman" w:hAnsi="Times New Roman" w:eastAsia="Times New Roman"/>
        </w:rPr>
      </w:pPr>
    </w:p>
    <w:p>
      <w:pPr>
        <w:spacing w:line="0" w:lineRule="atLeast"/>
      </w:pPr>
      <w:r>
        <w:t>0.4</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25" w:lineRule="exact"/>
        <w:rPr>
          <w:rFonts w:ascii="Times New Roman" w:hAnsi="Times New Roman" w:eastAsia="Times New Roman"/>
        </w:rPr>
      </w:pPr>
    </w:p>
    <w:p>
      <w:pPr>
        <w:spacing w:line="0" w:lineRule="atLeast"/>
      </w:pPr>
      <w:r>
        <w:t>0.2</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38" w:lineRule="exact"/>
        <w:rPr>
          <w:rFonts w:ascii="Times New Roman" w:hAnsi="Times New Roman" w:eastAsia="Times New Roman"/>
        </w:rPr>
      </w:pPr>
    </w:p>
    <w:p>
      <w:pPr>
        <w:spacing w:line="0" w:lineRule="atLeast"/>
        <w:ind w:left="160"/>
        <w:rPr>
          <w:sz w:val="19"/>
        </w:rPr>
      </w:pPr>
      <w:r>
        <w:rPr>
          <w:sz w:val="19"/>
        </w:rPr>
        <w:t>0</w:t>
      </w:r>
    </w:p>
    <w:p>
      <w:pPr>
        <w:spacing w:line="200" w:lineRule="exact"/>
        <w:rPr>
          <w:rFonts w:ascii="Times New Roman" w:hAnsi="Times New Roman" w:eastAsia="Times New Roman"/>
        </w:rPr>
      </w:pPr>
      <w:r>
        <w:rPr>
          <w:sz w:val="19"/>
        </w:rPr>
        <w:br w:type="column"/>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03" w:lineRule="exact"/>
        <w:rPr>
          <w:rFonts w:ascii="Times New Roman" w:hAnsi="Times New Roman" w:eastAsia="Times New Roman"/>
        </w:rPr>
      </w:pPr>
    </w:p>
    <w:p>
      <w:pPr>
        <w:spacing w:line="0" w:lineRule="atLeast"/>
        <w:ind w:left="6280"/>
        <w:rPr>
          <w:sz w:val="19"/>
        </w:rPr>
      </w:pPr>
      <w:r>
        <w:rPr>
          <w:sz w:val="19"/>
        </w:rPr>
        <w:t>y = 0.010x</w:t>
      </w:r>
    </w:p>
    <w:p>
      <w:pPr>
        <w:spacing w:line="20" w:lineRule="exact"/>
        <w:rPr>
          <w:rFonts w:ascii="Times New Roman" w:hAnsi="Times New Roman" w:eastAsia="Times New Roman"/>
        </w:rPr>
      </w:pPr>
      <w:r>
        <w:rPr>
          <w:sz w:val="19"/>
        </w:rPr>
        <w:pict>
          <v:shape id="_x0000_s1054" o:spid="_x0000_s1054" o:spt="75" type="#_x0000_t75" style="position:absolute;left:0pt;margin-left:2pt;margin-top:-45.55pt;height:351pt;width:285.95pt;z-index:-251657216;mso-width-relative:page;mso-height-relative:page;" filled="f" o:preferrelative="t" stroked="f" coordsize="21600,21600">
            <v:path/>
            <v:fill on="f" focussize="0,0"/>
            <v:stroke on="f" joinstyle="miter"/>
            <v:imagedata r:id="rId17" o:title=""/>
            <o:lock v:ext="edit" aspectratio="t"/>
          </v:shape>
        </w:pict>
      </w:r>
    </w:p>
    <w:p>
      <w:pPr>
        <w:spacing w:line="0" w:lineRule="atLeast"/>
        <w:ind w:left="6280"/>
        <w:rPr>
          <w:sz w:val="19"/>
        </w:rPr>
      </w:pPr>
      <w:r>
        <w:rPr>
          <w:sz w:val="19"/>
        </w:rPr>
        <w:t>R² = 0.993</w:t>
      </w:r>
    </w:p>
    <w:p>
      <w:pPr>
        <w:spacing w:line="20" w:lineRule="exact"/>
        <w:rPr>
          <w:rFonts w:ascii="Times New Roman" w:hAnsi="Times New Roman" w:eastAsia="Times New Roman"/>
        </w:rPr>
      </w:pPr>
      <w:r>
        <w:rPr>
          <w:sz w:val="19"/>
        </w:rPr>
        <w:pict>
          <v:line id="_x0000_s1055" o:spid="_x0000_s1055" o:spt="20" style="position:absolute;left:0pt;margin-left:2pt;margin-top:292.8pt;height:0pt;width:337.05pt;z-index:-251657216;mso-width-relative:page;mso-height-relative:page;" o:userdrawn="t" stroked="t" coordsize="21600,21600">
            <v:path arrowok="t"/>
            <v:fill focussize="0,0"/>
            <v:stroke weight="0.72pt" color="#868686"/>
            <v:imagedata o:title=""/>
            <o:lock v:ext="edit"/>
          </v:line>
        </w:pic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22" w:lineRule="exact"/>
        <w:rPr>
          <w:rFonts w:ascii="Times New Roman" w:hAnsi="Times New Roman" w:eastAsia="Times New Roman"/>
        </w:rPr>
      </w:pPr>
    </w:p>
    <w:p>
      <w:pPr>
        <w:tabs>
          <w:tab w:val="left" w:pos="1060"/>
          <w:tab w:val="left" w:pos="2180"/>
          <w:tab w:val="left" w:pos="3300"/>
          <w:tab w:val="left" w:pos="4420"/>
          <w:tab w:val="left" w:pos="5500"/>
          <w:tab w:val="left" w:pos="6620"/>
        </w:tabs>
        <w:spacing w:line="0" w:lineRule="atLeast"/>
        <w:rPr>
          <w:sz w:val="19"/>
        </w:rPr>
      </w:pPr>
      <w:r>
        <w:t>0</w:t>
      </w:r>
      <w:r>
        <w:rPr>
          <w:rFonts w:ascii="Times New Roman" w:hAnsi="Times New Roman" w:eastAsia="Times New Roman"/>
        </w:rPr>
        <w:tab/>
      </w:r>
      <w:r>
        <w:t>20</w:t>
      </w:r>
      <w:r>
        <w:rPr>
          <w:rFonts w:ascii="Times New Roman" w:hAnsi="Times New Roman" w:eastAsia="Times New Roman"/>
        </w:rPr>
        <w:tab/>
      </w:r>
      <w:r>
        <w:t>40</w:t>
      </w:r>
      <w:r>
        <w:rPr>
          <w:rFonts w:ascii="Times New Roman" w:hAnsi="Times New Roman" w:eastAsia="Times New Roman"/>
        </w:rPr>
        <w:tab/>
      </w:r>
      <w:r>
        <w:t>60</w:t>
      </w:r>
      <w:r>
        <w:rPr>
          <w:rFonts w:ascii="Times New Roman" w:hAnsi="Times New Roman" w:eastAsia="Times New Roman"/>
        </w:rPr>
        <w:tab/>
      </w:r>
      <w:r>
        <w:t>80</w:t>
      </w:r>
      <w:r>
        <w:rPr>
          <w:rFonts w:ascii="Times New Roman" w:hAnsi="Times New Roman" w:eastAsia="Times New Roman"/>
        </w:rPr>
        <w:tab/>
      </w:r>
      <w:r>
        <w:t>100</w:t>
      </w:r>
      <w:r>
        <w:rPr>
          <w:rFonts w:ascii="Times New Roman" w:hAnsi="Times New Roman" w:eastAsia="Times New Roman"/>
        </w:rPr>
        <w:tab/>
      </w:r>
      <w:r>
        <w:rPr>
          <w:sz w:val="19"/>
        </w:rPr>
        <w:t>120</w:t>
      </w:r>
    </w:p>
    <w:p>
      <w:pPr>
        <w:spacing w:line="150" w:lineRule="exact"/>
        <w:rPr>
          <w:rFonts w:ascii="Times New Roman" w:hAnsi="Times New Roman" w:eastAsia="Times New Roman"/>
        </w:rPr>
      </w:pPr>
    </w:p>
    <w:p>
      <w:pPr>
        <w:spacing w:line="0" w:lineRule="atLeast"/>
        <w:ind w:right="260"/>
        <w:jc w:val="center"/>
        <w:rPr>
          <w:b/>
        </w:rPr>
      </w:pPr>
      <w:r>
        <w:rPr>
          <w:b/>
        </w:rPr>
        <w:t>CONCENTRATION</w:t>
      </w:r>
    </w:p>
    <w:p>
      <w:pPr>
        <w:spacing w:line="0" w:lineRule="atLeast"/>
        <w:ind w:right="260"/>
        <w:jc w:val="center"/>
        <w:rPr>
          <w:b/>
        </w:rPr>
        <w:sectPr>
          <w:pgSz w:w="12240" w:h="15840"/>
          <w:pgMar w:top="1440" w:right="1100" w:bottom="428" w:left="1440" w:header="0" w:footer="0" w:gutter="0"/>
          <w:cols w:equalWidth="0" w:num="3">
            <w:col w:w="2040" w:space="160"/>
            <w:col w:w="260" w:space="140"/>
            <w:col w:w="7100"/>
          </w:cols>
          <w:docGrid w:linePitch="360" w:charSpace="0"/>
        </w:sect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359" w:lineRule="exact"/>
        <w:rPr>
          <w:rFonts w:ascii="Times New Roman" w:hAnsi="Times New Roman" w:eastAsia="Times New Roman"/>
        </w:rPr>
      </w:pPr>
    </w:p>
    <w:p>
      <w:pPr>
        <w:spacing w:line="0" w:lineRule="atLeast"/>
        <w:ind w:left="3080"/>
        <w:rPr>
          <w:rFonts w:ascii="Times New Roman" w:hAnsi="Times New Roman" w:eastAsia="Times New Roman"/>
          <w:b/>
          <w:sz w:val="21"/>
        </w:rPr>
      </w:pPr>
      <w:r>
        <w:rPr>
          <w:rFonts w:ascii="Times New Roman" w:hAnsi="Times New Roman" w:eastAsia="Times New Roman"/>
          <w:b/>
          <w:sz w:val="21"/>
        </w:rPr>
        <w:t>Appendix D: Calibration curve obtained for Sugar</w:t>
      </w: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00" w:lineRule="exact"/>
        <w:rPr>
          <w:rFonts w:ascii="Times New Roman" w:hAnsi="Times New Roman" w:eastAsia="Times New Roman"/>
        </w:rPr>
      </w:pPr>
    </w:p>
    <w:p>
      <w:pPr>
        <w:spacing w:line="277" w:lineRule="exact"/>
        <w:rPr>
          <w:rFonts w:ascii="Times New Roman" w:hAnsi="Times New Roman" w:eastAsia="Times New Roman"/>
        </w:rPr>
      </w:pPr>
    </w:p>
    <w:p>
      <w:pPr>
        <w:spacing w:line="0" w:lineRule="atLeast"/>
        <w:ind w:right="-239"/>
        <w:jc w:val="center"/>
        <w:rPr>
          <w:sz w:val="22"/>
        </w:rPr>
      </w:pPr>
      <w:r>
        <w:rPr>
          <w:sz w:val="22"/>
        </w:rPr>
        <w:t>cx</w:t>
      </w:r>
    </w:p>
    <w:sectPr>
      <w:type w:val="continuous"/>
      <w:pgSz w:w="12240" w:h="15840"/>
      <w:pgMar w:top="1440" w:right="1100" w:bottom="428" w:left="1440" w:header="0" w:footer="0" w:gutter="0"/>
      <w:cols w:equalWidth="0" w:num="1">
        <w:col w:w="9700"/>
      </w:cols>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1"/>
      <w:numFmt w:val="lowerLetter"/>
      <w:lvlText w:val="%1."/>
      <w:lvlJc w:val="left"/>
    </w:lvl>
    <w:lvl w:ilvl="1" w:tentative="0">
      <w:start w:val="1"/>
      <w:numFmt w:val="bullet"/>
      <w:lvlText w:val=""/>
      <w:lvlJc w:val="left"/>
    </w:lvl>
    <w:lvl w:ilvl="2" w:tentative="0">
      <w:start w:val="1"/>
      <w:numFmt w:val="bullet"/>
      <w:lvlText w:val=""/>
      <w:lvlJc w:val="left"/>
    </w:lvl>
    <w:lvl w:ilvl="3" w:tentative="0">
      <w:start w:val="1"/>
      <w:numFmt w:val="bullet"/>
      <w:lvlText w:val=""/>
      <w:lvlJc w:val="left"/>
    </w:lvl>
    <w:lvl w:ilvl="4" w:tentative="0">
      <w:start w:val="1"/>
      <w:numFmt w:val="bullet"/>
      <w:lvlText w:val=""/>
      <w:lvlJc w:val="left"/>
    </w:lvl>
    <w:lvl w:ilvl="5" w:tentative="0">
      <w:start w:val="1"/>
      <w:numFmt w:val="bullet"/>
      <w:lvlText w:val=""/>
      <w:lvlJc w:val="left"/>
    </w:lvl>
    <w:lvl w:ilvl="6" w:tentative="0">
      <w:start w:val="1"/>
      <w:numFmt w:val="bullet"/>
      <w:lvlText w:val=""/>
      <w:lvlJc w:val="left"/>
    </w:lvl>
    <w:lvl w:ilvl="7" w:tentative="0">
      <w:start w:val="1"/>
      <w:numFmt w:val="bullet"/>
      <w:lvlText w:val=""/>
      <w:lvlJc w:val="left"/>
    </w:lvl>
    <w:lvl w:ilvl="8" w:tentative="0">
      <w:start w:val="1"/>
      <w:numFmt w:val="bullet"/>
      <w:lvlText w:val=""/>
      <w:lvlJc w:val="left"/>
    </w:lvl>
  </w:abstractNum>
  <w:abstractNum w:abstractNumId="1">
    <w:nsid w:val="00000003"/>
    <w:multiLevelType w:val="multilevel"/>
    <w:tmpl w:val="00000003"/>
    <w:lvl w:ilvl="0" w:tentative="0">
      <w:start w:val="1"/>
      <w:numFmt w:val="bullet"/>
      <w:lvlText w:val="-"/>
      <w:lvlJc w:val="left"/>
    </w:lvl>
    <w:lvl w:ilvl="1" w:tentative="0">
      <w:start w:val="1"/>
      <w:numFmt w:val="bullet"/>
      <w:lvlText w:val=""/>
      <w:lvlJc w:val="left"/>
    </w:lvl>
    <w:lvl w:ilvl="2" w:tentative="0">
      <w:start w:val="1"/>
      <w:numFmt w:val="bullet"/>
      <w:lvlText w:val=""/>
      <w:lvlJc w:val="left"/>
    </w:lvl>
    <w:lvl w:ilvl="3" w:tentative="0">
      <w:start w:val="1"/>
      <w:numFmt w:val="bullet"/>
      <w:lvlText w:val=""/>
      <w:lvlJc w:val="left"/>
    </w:lvl>
    <w:lvl w:ilvl="4" w:tentative="0">
      <w:start w:val="1"/>
      <w:numFmt w:val="bullet"/>
      <w:lvlText w:val=""/>
      <w:lvlJc w:val="left"/>
    </w:lvl>
    <w:lvl w:ilvl="5" w:tentative="0">
      <w:start w:val="1"/>
      <w:numFmt w:val="bullet"/>
      <w:lvlText w:val=""/>
      <w:lvlJc w:val="left"/>
    </w:lvl>
    <w:lvl w:ilvl="6" w:tentative="0">
      <w:start w:val="1"/>
      <w:numFmt w:val="bullet"/>
      <w:lvlText w:val=""/>
      <w:lvlJc w:val="left"/>
    </w:lvl>
    <w:lvl w:ilvl="7" w:tentative="0">
      <w:start w:val="1"/>
      <w:numFmt w:val="bullet"/>
      <w:lvlText w:val=""/>
      <w:lvlJc w:val="left"/>
    </w:lvl>
    <w:lvl w:ilvl="8" w:tentative="0">
      <w:start w:val="1"/>
      <w:numFmt w:val="bullet"/>
      <w:lvlText w:val=""/>
      <w:lvlJc w:val="left"/>
    </w:lvl>
  </w:abstractNum>
  <w:abstractNum w:abstractNumId="2">
    <w:nsid w:val="00000004"/>
    <w:multiLevelType w:val="multilevel"/>
    <w:tmpl w:val="00000004"/>
    <w:lvl w:ilvl="0" w:tentative="0">
      <w:start w:val="25"/>
      <w:numFmt w:val="upperLetter"/>
      <w:lvlText w:val="%1."/>
      <w:lvlJc w:val="left"/>
    </w:lvl>
    <w:lvl w:ilvl="1" w:tentative="0">
      <w:start w:val="1"/>
      <w:numFmt w:val="bullet"/>
      <w:lvlText w:val=""/>
      <w:lvlJc w:val="left"/>
    </w:lvl>
    <w:lvl w:ilvl="2" w:tentative="0">
      <w:start w:val="1"/>
      <w:numFmt w:val="bullet"/>
      <w:lvlText w:val=""/>
      <w:lvlJc w:val="left"/>
    </w:lvl>
    <w:lvl w:ilvl="3" w:tentative="0">
      <w:start w:val="1"/>
      <w:numFmt w:val="bullet"/>
      <w:lvlText w:val=""/>
      <w:lvlJc w:val="left"/>
    </w:lvl>
    <w:lvl w:ilvl="4" w:tentative="0">
      <w:start w:val="1"/>
      <w:numFmt w:val="bullet"/>
      <w:lvlText w:val=""/>
      <w:lvlJc w:val="left"/>
    </w:lvl>
    <w:lvl w:ilvl="5" w:tentative="0">
      <w:start w:val="1"/>
      <w:numFmt w:val="bullet"/>
      <w:lvlText w:val=""/>
      <w:lvlJc w:val="left"/>
    </w:lvl>
    <w:lvl w:ilvl="6" w:tentative="0">
      <w:start w:val="1"/>
      <w:numFmt w:val="bullet"/>
      <w:lvlText w:val=""/>
      <w:lvlJc w:val="left"/>
    </w:lvl>
    <w:lvl w:ilvl="7" w:tentative="0">
      <w:start w:val="1"/>
      <w:numFmt w:val="bullet"/>
      <w:lvlText w:val=""/>
      <w:lvlJc w:val="left"/>
    </w:lvl>
    <w:lvl w:ilvl="8" w:tentative="0">
      <w:start w:val="1"/>
      <w:numFmt w:val="bullet"/>
      <w:lvlText w:val=""/>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TrackMoves/>
  <w:documentProtection w:enforcement="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1FF3"/>
    <w:rsid w:val="000D32B7"/>
    <w:rsid w:val="001E262D"/>
    <w:rsid w:val="00834840"/>
    <w:rsid w:val="00892A86"/>
    <w:rsid w:val="008B3DCA"/>
    <w:rsid w:val="00AF41BF"/>
    <w:rsid w:val="00EB3BDC"/>
    <w:rsid w:val="00F41FF3"/>
    <w:rsid w:val="00F91A42"/>
    <w:rsid w:val="00FE7758"/>
    <w:rsid w:val="1D583075"/>
    <w:rsid w:val="203F6EF4"/>
    <w:rsid w:val="48FA26E2"/>
    <w:rsid w:val="557B66CE"/>
    <w:rsid w:val="5C8515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Calibri" w:cs="Arial"/>
      <w:lang w:val="en-US"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103</Pages>
  <Words>22413</Words>
  <Characters>127758</Characters>
  <Lines>1064</Lines>
  <Paragraphs>299</Paragraphs>
  <TotalTime>3</TotalTime>
  <ScaleCrop>false</ScaleCrop>
  <LinksUpToDate>false</LinksUpToDate>
  <CharactersWithSpaces>149872</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2019-06-26T15:35:00Z</dcterms:created>
  <dc:creator>Igwe Prince</dc:creator>
  <cp:lastModifiedBy>user</cp:lastModifiedBy>
  <dcterms:modified xsi:type="dcterms:W3CDTF">2023-11-21T05:32:09Z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14CE9484DBAF45CA9B43D7E75C7A4DAB</vt:lpwstr>
  </property>
</Properties>
</file>