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275"/>
        <w:rPr>
          <w:rFonts w:ascii="Times New Roman"/>
          <w:sz w:val="30"/>
        </w:rPr>
      </w:pPr>
    </w:p>
    <w:p>
      <w:pPr>
        <w:spacing w:line="242" w:lineRule="auto" w:before="0"/>
        <w:ind w:left="307" w:right="691" w:firstLine="0"/>
        <w:jc w:val="center"/>
        <w:rPr>
          <w:b/>
          <w:sz w:val="30"/>
        </w:rPr>
      </w:pPr>
      <w:r>
        <w:rPr>
          <w:b/>
          <w:sz w:val="30"/>
        </w:rPr>
        <w:t>AN</w:t>
      </w:r>
      <w:r>
        <w:rPr>
          <w:b/>
          <w:spacing w:val="-4"/>
          <w:sz w:val="30"/>
        </w:rPr>
        <w:t> </w:t>
      </w:r>
      <w:r>
        <w:rPr>
          <w:b/>
          <w:sz w:val="30"/>
        </w:rPr>
        <w:t>APPRAISAL</w:t>
      </w:r>
      <w:r>
        <w:rPr>
          <w:b/>
          <w:spacing w:val="-6"/>
          <w:sz w:val="30"/>
        </w:rPr>
        <w:t> </w:t>
      </w:r>
      <w:r>
        <w:rPr>
          <w:b/>
          <w:sz w:val="30"/>
        </w:rPr>
        <w:t>OF EMPLOYEES’</w:t>
      </w:r>
      <w:r>
        <w:rPr>
          <w:b/>
          <w:spacing w:val="-3"/>
          <w:sz w:val="30"/>
        </w:rPr>
        <w:t> </w:t>
      </w:r>
      <w:r>
        <w:rPr>
          <w:b/>
          <w:sz w:val="30"/>
        </w:rPr>
        <w:t>COMPENSATION UNDER NIGERIAN LAW</w:t>
      </w: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spacing w:before="3"/>
        <w:rPr>
          <w:b/>
          <w:sz w:val="30"/>
        </w:rPr>
      </w:pPr>
    </w:p>
    <w:p>
      <w:pPr>
        <w:spacing w:before="0"/>
        <w:ind w:left="307" w:right="683" w:firstLine="0"/>
        <w:jc w:val="center"/>
        <w:rPr>
          <w:b/>
          <w:sz w:val="30"/>
        </w:rPr>
      </w:pPr>
      <w:r>
        <w:rPr>
          <w:b/>
          <w:spacing w:val="-5"/>
          <w:sz w:val="30"/>
        </w:rPr>
        <w:t>BY</w:t>
      </w: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spacing w:before="4"/>
        <w:rPr>
          <w:b/>
          <w:sz w:val="30"/>
        </w:rPr>
      </w:pPr>
    </w:p>
    <w:p>
      <w:pPr>
        <w:spacing w:line="242" w:lineRule="auto" w:before="0"/>
        <w:ind w:left="2092" w:right="2469" w:firstLine="2"/>
        <w:jc w:val="center"/>
        <w:rPr>
          <w:b/>
          <w:sz w:val="30"/>
        </w:rPr>
      </w:pPr>
      <w:r>
        <w:rPr>
          <w:b/>
          <w:sz w:val="30"/>
        </w:rPr>
        <w:t>Daniel PETER LLM/LAW/12995/2010</w:t>
      </w:r>
      <w:r>
        <w:rPr>
          <w:b/>
          <w:spacing w:val="-17"/>
          <w:sz w:val="30"/>
        </w:rPr>
        <w:t> </w:t>
      </w:r>
      <w:r>
        <w:rPr>
          <w:b/>
          <w:sz w:val="30"/>
        </w:rPr>
        <w:t>–</w:t>
      </w:r>
      <w:r>
        <w:rPr>
          <w:b/>
          <w:spacing w:val="-12"/>
          <w:sz w:val="30"/>
        </w:rPr>
        <w:t> </w:t>
      </w:r>
      <w:r>
        <w:rPr>
          <w:b/>
          <w:sz w:val="30"/>
        </w:rPr>
        <w:t>2011</w:t>
      </w: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spacing w:before="3"/>
        <w:rPr>
          <w:b/>
          <w:sz w:val="30"/>
        </w:rPr>
      </w:pPr>
    </w:p>
    <w:p>
      <w:pPr>
        <w:spacing w:before="1"/>
        <w:ind w:left="307" w:right="683" w:firstLine="0"/>
        <w:jc w:val="center"/>
        <w:rPr>
          <w:b/>
          <w:sz w:val="30"/>
        </w:rPr>
      </w:pPr>
      <w:r>
        <w:rPr>
          <w:b/>
          <w:sz w:val="30"/>
        </w:rPr>
        <w:t>JULY,</w:t>
      </w:r>
      <w:r>
        <w:rPr>
          <w:b/>
          <w:spacing w:val="-2"/>
          <w:sz w:val="30"/>
        </w:rPr>
        <w:t> </w:t>
      </w:r>
      <w:r>
        <w:rPr>
          <w:b/>
          <w:spacing w:val="-4"/>
          <w:sz w:val="30"/>
        </w:rPr>
        <w:t>2014</w:t>
      </w:r>
    </w:p>
    <w:p>
      <w:pPr>
        <w:spacing w:after="0"/>
        <w:jc w:val="center"/>
        <w:rPr>
          <w:sz w:val="30"/>
        </w:rPr>
        <w:sectPr>
          <w:type w:val="continuous"/>
          <w:pgSz w:w="12240" w:h="15840"/>
          <w:pgMar w:top="1820" w:bottom="280" w:left="1680" w:right="1320"/>
        </w:sectPr>
      </w:pPr>
    </w:p>
    <w:p>
      <w:pPr>
        <w:pStyle w:val="BodyText"/>
        <w:spacing w:before="161"/>
        <w:rPr>
          <w:b/>
          <w:sz w:val="22"/>
        </w:rPr>
      </w:pPr>
    </w:p>
    <w:p>
      <w:pPr>
        <w:spacing w:before="0"/>
        <w:ind w:left="307" w:right="692" w:firstLine="0"/>
        <w:jc w:val="center"/>
        <w:rPr>
          <w:b/>
          <w:sz w:val="22"/>
        </w:rPr>
      </w:pPr>
      <w:r>
        <w:rPr>
          <w:b/>
          <w:sz w:val="22"/>
        </w:rPr>
        <w:t>AN</w:t>
      </w:r>
      <w:r>
        <w:rPr>
          <w:b/>
          <w:spacing w:val="18"/>
          <w:sz w:val="22"/>
        </w:rPr>
        <w:t> </w:t>
      </w:r>
      <w:r>
        <w:rPr>
          <w:b/>
          <w:sz w:val="22"/>
        </w:rPr>
        <w:t>APPRAISAL</w:t>
      </w:r>
      <w:r>
        <w:rPr>
          <w:b/>
          <w:spacing w:val="26"/>
          <w:sz w:val="22"/>
        </w:rPr>
        <w:t> </w:t>
      </w:r>
      <w:r>
        <w:rPr>
          <w:b/>
          <w:sz w:val="22"/>
        </w:rPr>
        <w:t>OF</w:t>
      </w:r>
      <w:r>
        <w:rPr>
          <w:b/>
          <w:spacing w:val="17"/>
          <w:sz w:val="22"/>
        </w:rPr>
        <w:t> </w:t>
      </w:r>
      <w:r>
        <w:rPr>
          <w:b/>
          <w:sz w:val="22"/>
        </w:rPr>
        <w:t>EMPLOYEES’</w:t>
      </w:r>
      <w:r>
        <w:rPr>
          <w:b/>
          <w:spacing w:val="20"/>
          <w:sz w:val="22"/>
        </w:rPr>
        <w:t> </w:t>
      </w:r>
      <w:r>
        <w:rPr>
          <w:b/>
          <w:sz w:val="22"/>
        </w:rPr>
        <w:t>COMPENSATION</w:t>
      </w:r>
      <w:r>
        <w:rPr>
          <w:b/>
          <w:spacing w:val="19"/>
          <w:sz w:val="22"/>
        </w:rPr>
        <w:t> </w:t>
      </w:r>
      <w:r>
        <w:rPr>
          <w:b/>
          <w:sz w:val="22"/>
        </w:rPr>
        <w:t>UNDER</w:t>
      </w:r>
      <w:r>
        <w:rPr>
          <w:b/>
          <w:spacing w:val="18"/>
          <w:sz w:val="22"/>
        </w:rPr>
        <w:t> </w:t>
      </w:r>
      <w:r>
        <w:rPr>
          <w:b/>
          <w:sz w:val="22"/>
        </w:rPr>
        <w:t>NIGERIAN</w:t>
      </w:r>
      <w:r>
        <w:rPr>
          <w:b/>
          <w:spacing w:val="19"/>
          <w:sz w:val="22"/>
        </w:rPr>
        <w:t> </w:t>
      </w:r>
      <w:r>
        <w:rPr>
          <w:b/>
          <w:spacing w:val="-5"/>
          <w:sz w:val="22"/>
        </w:rPr>
        <w:t>LAW</w:t>
      </w: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spacing w:before="71"/>
        <w:rPr>
          <w:b/>
          <w:sz w:val="22"/>
        </w:rPr>
      </w:pPr>
    </w:p>
    <w:p>
      <w:pPr>
        <w:spacing w:before="0"/>
        <w:ind w:left="0" w:right="379" w:firstLine="0"/>
        <w:jc w:val="center"/>
        <w:rPr>
          <w:b/>
          <w:sz w:val="22"/>
        </w:rPr>
      </w:pPr>
      <w:r>
        <w:rPr>
          <w:b/>
          <w:spacing w:val="-5"/>
          <w:sz w:val="22"/>
        </w:rPr>
        <w:t>BY</w:t>
      </w:r>
    </w:p>
    <w:p>
      <w:pPr>
        <w:pStyle w:val="BodyText"/>
        <w:rPr>
          <w:b/>
          <w:sz w:val="22"/>
        </w:rPr>
      </w:pPr>
    </w:p>
    <w:p>
      <w:pPr>
        <w:pStyle w:val="BodyText"/>
        <w:rPr>
          <w:b/>
          <w:sz w:val="22"/>
        </w:rPr>
      </w:pPr>
    </w:p>
    <w:p>
      <w:pPr>
        <w:pStyle w:val="BodyText"/>
        <w:rPr>
          <w:b/>
          <w:sz w:val="22"/>
        </w:rPr>
      </w:pPr>
    </w:p>
    <w:p>
      <w:pPr>
        <w:pStyle w:val="BodyText"/>
        <w:rPr>
          <w:b/>
          <w:sz w:val="22"/>
        </w:rPr>
      </w:pPr>
    </w:p>
    <w:p>
      <w:pPr>
        <w:pStyle w:val="BodyText"/>
        <w:spacing w:before="39"/>
        <w:rPr>
          <w:b/>
          <w:sz w:val="22"/>
        </w:rPr>
      </w:pPr>
    </w:p>
    <w:p>
      <w:pPr>
        <w:spacing w:line="247" w:lineRule="auto" w:before="0"/>
        <w:ind w:left="2673" w:right="3051" w:firstLine="1"/>
        <w:jc w:val="center"/>
        <w:rPr>
          <w:b/>
          <w:sz w:val="22"/>
        </w:rPr>
      </w:pPr>
      <w:r>
        <w:rPr>
          <w:b/>
          <w:sz w:val="22"/>
        </w:rPr>
        <w:t>Daniel PETER LLM/LAW/12995/2010 – 2011</w:t>
      </w: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spacing w:before="50"/>
        <w:rPr>
          <w:b/>
          <w:sz w:val="22"/>
        </w:rPr>
      </w:pPr>
    </w:p>
    <w:p>
      <w:pPr>
        <w:spacing w:line="247" w:lineRule="auto" w:before="0"/>
        <w:ind w:left="268" w:right="645" w:firstLine="3"/>
        <w:jc w:val="center"/>
        <w:rPr>
          <w:b/>
          <w:sz w:val="22"/>
        </w:rPr>
      </w:pPr>
      <w:r>
        <w:rPr>
          <w:b/>
          <w:sz w:val="22"/>
        </w:rPr>
        <w:t>Being a Thesis Submitted to the Faculty of Law, Ahmadu Bello University, Zaria in Partial Fulfilment of the Requirements for the Award of Master of Laws Degree</w:t>
      </w:r>
      <w:r>
        <w:rPr>
          <w:b/>
          <w:spacing w:val="40"/>
          <w:sz w:val="22"/>
        </w:rPr>
        <w:t> </w:t>
      </w:r>
      <w:r>
        <w:rPr>
          <w:b/>
          <w:sz w:val="22"/>
        </w:rPr>
        <w:t>--LLM.</w:t>
      </w: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rPr>
          <w:b/>
          <w:sz w:val="22"/>
        </w:rPr>
      </w:pPr>
    </w:p>
    <w:p>
      <w:pPr>
        <w:pStyle w:val="BodyText"/>
        <w:spacing w:before="47"/>
        <w:rPr>
          <w:b/>
          <w:sz w:val="22"/>
        </w:rPr>
      </w:pPr>
    </w:p>
    <w:p>
      <w:pPr>
        <w:spacing w:before="0"/>
        <w:ind w:left="307" w:right="685" w:firstLine="0"/>
        <w:jc w:val="center"/>
        <w:rPr>
          <w:b/>
          <w:sz w:val="22"/>
        </w:rPr>
      </w:pPr>
      <w:r>
        <w:rPr>
          <w:b/>
          <w:sz w:val="22"/>
        </w:rPr>
        <w:t>JULY,</w:t>
      </w:r>
      <w:r>
        <w:rPr>
          <w:b/>
          <w:spacing w:val="16"/>
          <w:sz w:val="22"/>
        </w:rPr>
        <w:t> </w:t>
      </w:r>
      <w:r>
        <w:rPr>
          <w:b/>
          <w:spacing w:val="-4"/>
          <w:sz w:val="22"/>
        </w:rPr>
        <w:t>2014</w:t>
      </w:r>
    </w:p>
    <w:p>
      <w:pPr>
        <w:spacing w:after="0"/>
        <w:jc w:val="center"/>
        <w:rPr>
          <w:sz w:val="22"/>
        </w:rPr>
        <w:sectPr>
          <w:footerReference w:type="default" r:id="rId5"/>
          <w:pgSz w:w="12240" w:h="15840"/>
          <w:pgMar w:header="0" w:footer="1009" w:top="1820" w:bottom="1200" w:left="1680" w:right="1320"/>
          <w:pgNumType w:start="2"/>
        </w:sectPr>
      </w:pPr>
    </w:p>
    <w:p>
      <w:pPr>
        <w:spacing w:before="94"/>
        <w:ind w:left="307" w:right="683" w:firstLine="0"/>
        <w:jc w:val="center"/>
        <w:rPr>
          <w:b/>
          <w:sz w:val="22"/>
        </w:rPr>
      </w:pPr>
      <w:r>
        <w:rPr>
          <w:b/>
          <w:spacing w:val="-2"/>
          <w:sz w:val="22"/>
        </w:rPr>
        <w:t>DECLARATION</w:t>
      </w:r>
    </w:p>
    <w:p>
      <w:pPr>
        <w:pStyle w:val="BodyText"/>
        <w:spacing w:before="16"/>
        <w:rPr>
          <w:b/>
          <w:sz w:val="22"/>
        </w:rPr>
      </w:pPr>
    </w:p>
    <w:p>
      <w:pPr>
        <w:spacing w:line="489" w:lineRule="auto" w:before="0"/>
        <w:ind w:left="187" w:right="561" w:firstLine="0"/>
        <w:jc w:val="both"/>
        <w:rPr>
          <w:sz w:val="22"/>
        </w:rPr>
      </w:pPr>
      <w:r>
        <w:rPr>
          <w:sz w:val="22"/>
        </w:rPr>
        <w:t>I hereby declare that this work is original and same has not been presented or published</w:t>
      </w:r>
      <w:r>
        <w:rPr>
          <w:spacing w:val="40"/>
          <w:sz w:val="22"/>
        </w:rPr>
        <w:t> </w:t>
      </w:r>
      <w:r>
        <w:rPr>
          <w:sz w:val="22"/>
        </w:rPr>
        <w:t>anywhere,</w:t>
      </w:r>
      <w:r>
        <w:rPr>
          <w:spacing w:val="40"/>
          <w:sz w:val="22"/>
        </w:rPr>
        <w:t> </w:t>
      </w:r>
      <w:r>
        <w:rPr>
          <w:sz w:val="22"/>
        </w:rPr>
        <w:t>anytime</w:t>
      </w:r>
      <w:r>
        <w:rPr>
          <w:spacing w:val="40"/>
          <w:sz w:val="22"/>
        </w:rPr>
        <w:t> </w:t>
      </w:r>
      <w:r>
        <w:rPr>
          <w:sz w:val="22"/>
        </w:rPr>
        <w:t>by</w:t>
      </w:r>
      <w:r>
        <w:rPr>
          <w:spacing w:val="40"/>
          <w:sz w:val="22"/>
        </w:rPr>
        <w:t> </w:t>
      </w:r>
      <w:r>
        <w:rPr>
          <w:sz w:val="22"/>
        </w:rPr>
        <w:t>anybody,</w:t>
      </w:r>
      <w:r>
        <w:rPr>
          <w:spacing w:val="40"/>
          <w:sz w:val="22"/>
        </w:rPr>
        <w:t> </w:t>
      </w:r>
      <w:r>
        <w:rPr>
          <w:sz w:val="22"/>
        </w:rPr>
        <w:t>institution</w:t>
      </w:r>
      <w:r>
        <w:rPr>
          <w:spacing w:val="40"/>
          <w:sz w:val="22"/>
        </w:rPr>
        <w:t> </w:t>
      </w:r>
      <w:r>
        <w:rPr>
          <w:sz w:val="22"/>
        </w:rPr>
        <w:t>or organisation.</w:t>
      </w:r>
      <w:r>
        <w:rPr>
          <w:spacing w:val="40"/>
          <w:sz w:val="22"/>
        </w:rPr>
        <w:t> </w:t>
      </w:r>
      <w:r>
        <w:rPr>
          <w:sz w:val="22"/>
        </w:rPr>
        <w:t>All</w:t>
      </w:r>
      <w:r>
        <w:rPr>
          <w:spacing w:val="40"/>
          <w:sz w:val="22"/>
        </w:rPr>
        <w:t> </w:t>
      </w:r>
      <w:r>
        <w:rPr>
          <w:sz w:val="22"/>
        </w:rPr>
        <w:t>published and unpublished works therein have been acknowledged.</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44"/>
        <w:rPr>
          <w:sz w:val="20"/>
        </w:rPr>
      </w:pPr>
      <w:r>
        <w:rPr/>
        <mc:AlternateContent>
          <mc:Choice Requires="wps">
            <w:drawing>
              <wp:anchor distT="0" distB="0" distL="0" distR="0" allowOverlap="1" layoutInCell="1" locked="0" behindDoc="1" simplePos="0" relativeHeight="487587840">
                <wp:simplePos x="0" y="0"/>
                <wp:positionH relativeFrom="page">
                  <wp:posOffset>1185672</wp:posOffset>
                </wp:positionH>
                <wp:positionV relativeFrom="paragraph">
                  <wp:posOffset>260555</wp:posOffset>
                </wp:positionV>
                <wp:extent cx="1827530" cy="1270"/>
                <wp:effectExtent l="0" t="0" r="0" b="0"/>
                <wp:wrapTopAndBottom/>
                <wp:docPr id="2" name="Graphic 2"/>
                <wp:cNvGraphicFramePr>
                  <a:graphicFrameLocks/>
                </wp:cNvGraphicFramePr>
                <a:graphic>
                  <a:graphicData uri="http://schemas.microsoft.com/office/word/2010/wordprocessingShape">
                    <wps:wsp>
                      <wps:cNvPr id="2" name="Graphic 2"/>
                      <wps:cNvSpPr/>
                      <wps:spPr>
                        <a:xfrm>
                          <a:off x="0" y="0"/>
                          <a:ext cx="1827530" cy="1270"/>
                        </a:xfrm>
                        <a:custGeom>
                          <a:avLst/>
                          <a:gdLst/>
                          <a:ahLst/>
                          <a:cxnLst/>
                          <a:rect l="l" t="t" r="r" b="b"/>
                          <a:pathLst>
                            <a:path w="1827530" h="0">
                              <a:moveTo>
                                <a:pt x="0" y="0"/>
                              </a:moveTo>
                              <a:lnTo>
                                <a:pt x="1827293" y="0"/>
                              </a:lnTo>
                            </a:path>
                          </a:pathLst>
                        </a:custGeom>
                        <a:ln w="14012">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3.360001pt;margin-top:20.516203pt;width:143.9pt;height:.1pt;mso-position-horizontal-relative:page;mso-position-vertical-relative:paragraph;z-index:-15728640;mso-wrap-distance-left:0;mso-wrap-distance-right:0" id="docshape2" coordorigin="1867,410" coordsize="2878,0" path="m1867,410l4745,410e" filled="false" stroked="true" strokeweight="1.10334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352">
                <wp:simplePos x="0" y="0"/>
                <wp:positionH relativeFrom="page">
                  <wp:posOffset>5483352</wp:posOffset>
                </wp:positionH>
                <wp:positionV relativeFrom="paragraph">
                  <wp:posOffset>260555</wp:posOffset>
                </wp:positionV>
                <wp:extent cx="913765" cy="1270"/>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913765" cy="1270"/>
                        </a:xfrm>
                        <a:custGeom>
                          <a:avLst/>
                          <a:gdLst/>
                          <a:ahLst/>
                          <a:cxnLst/>
                          <a:rect l="l" t="t" r="r" b="b"/>
                          <a:pathLst>
                            <a:path w="913765" h="0">
                              <a:moveTo>
                                <a:pt x="0" y="0"/>
                              </a:moveTo>
                              <a:lnTo>
                                <a:pt x="913483" y="0"/>
                              </a:lnTo>
                            </a:path>
                          </a:pathLst>
                        </a:custGeom>
                        <a:ln w="14012">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1.76001pt;margin-top:20.516203pt;width:71.95pt;height:.1pt;mso-position-horizontal-relative:page;mso-position-vertical-relative:paragraph;z-index:-15728128;mso-wrap-distance-left:0;mso-wrap-distance-right:0" id="docshape3" coordorigin="8635,410" coordsize="1439,0" path="m8635,410l10074,410e" filled="false" stroked="true" strokeweight="1.10334pt" strokecolor="#000000">
                <v:path arrowok="t"/>
                <v:stroke dashstyle="solid"/>
                <w10:wrap type="topAndBottom"/>
              </v:shape>
            </w:pict>
          </mc:Fallback>
        </mc:AlternateContent>
      </w:r>
    </w:p>
    <w:p>
      <w:pPr>
        <w:tabs>
          <w:tab w:pos="6955" w:val="left" w:leader="none"/>
        </w:tabs>
        <w:spacing w:before="11"/>
        <w:ind w:left="187" w:right="0" w:firstLine="0"/>
        <w:jc w:val="left"/>
        <w:rPr>
          <w:sz w:val="22"/>
        </w:rPr>
      </w:pPr>
      <w:r>
        <w:rPr>
          <w:b/>
          <w:sz w:val="22"/>
        </w:rPr>
        <w:t>Daniel</w:t>
      </w:r>
      <w:r>
        <w:rPr>
          <w:b/>
          <w:spacing w:val="20"/>
          <w:sz w:val="22"/>
        </w:rPr>
        <w:t> </w:t>
      </w:r>
      <w:r>
        <w:rPr>
          <w:b/>
          <w:spacing w:val="-4"/>
          <w:sz w:val="22"/>
        </w:rPr>
        <w:t>PETER</w:t>
      </w:r>
      <w:r>
        <w:rPr>
          <w:b/>
          <w:sz w:val="22"/>
        </w:rPr>
        <w:tab/>
      </w:r>
      <w:r>
        <w:rPr>
          <w:spacing w:val="-4"/>
          <w:sz w:val="22"/>
        </w:rPr>
        <w:t>Date</w:t>
      </w:r>
    </w:p>
    <w:p>
      <w:pPr>
        <w:spacing w:after="0"/>
        <w:jc w:val="left"/>
        <w:rPr>
          <w:sz w:val="22"/>
        </w:rPr>
        <w:sectPr>
          <w:pgSz w:w="12240" w:h="15840"/>
          <w:pgMar w:header="0" w:footer="1009" w:top="1260" w:bottom="1200" w:left="1680" w:right="1320"/>
        </w:sectPr>
      </w:pPr>
    </w:p>
    <w:p>
      <w:pPr>
        <w:spacing w:before="94"/>
        <w:ind w:left="307" w:right="688" w:firstLine="0"/>
        <w:jc w:val="center"/>
        <w:rPr>
          <w:b/>
          <w:sz w:val="22"/>
        </w:rPr>
      </w:pPr>
      <w:r>
        <w:rPr>
          <w:b/>
          <w:spacing w:val="-2"/>
          <w:sz w:val="22"/>
        </w:rPr>
        <w:t>CERTIFICATION</w:t>
      </w:r>
    </w:p>
    <w:p>
      <w:pPr>
        <w:pStyle w:val="BodyText"/>
        <w:spacing w:before="16"/>
        <w:rPr>
          <w:b/>
          <w:sz w:val="22"/>
        </w:rPr>
      </w:pPr>
    </w:p>
    <w:p>
      <w:pPr>
        <w:spacing w:line="491" w:lineRule="auto" w:before="0"/>
        <w:ind w:left="187" w:right="564" w:firstLine="0"/>
        <w:jc w:val="both"/>
        <w:rPr>
          <w:sz w:val="22"/>
        </w:rPr>
      </w:pPr>
      <w:r>
        <w:rPr>
          <w:sz w:val="22"/>
        </w:rPr>
        <w:t>This thesis, entitled</w:t>
      </w:r>
      <w:r>
        <w:rPr>
          <w:spacing w:val="30"/>
          <w:sz w:val="22"/>
        </w:rPr>
        <w:t> </w:t>
      </w:r>
      <w:r>
        <w:rPr>
          <w:sz w:val="22"/>
        </w:rPr>
        <w:t>“An Appraisal of Employees’</w:t>
      </w:r>
      <w:r>
        <w:rPr>
          <w:spacing w:val="30"/>
          <w:sz w:val="22"/>
        </w:rPr>
        <w:t> </w:t>
      </w:r>
      <w:r>
        <w:rPr>
          <w:sz w:val="22"/>
        </w:rPr>
        <w:t>Compensation under</w:t>
      </w:r>
      <w:r>
        <w:rPr>
          <w:spacing w:val="30"/>
          <w:sz w:val="22"/>
        </w:rPr>
        <w:t> </w:t>
      </w:r>
      <w:r>
        <w:rPr>
          <w:sz w:val="22"/>
        </w:rPr>
        <w:t>Nigerian</w:t>
      </w:r>
      <w:r>
        <w:rPr>
          <w:spacing w:val="34"/>
          <w:sz w:val="22"/>
        </w:rPr>
        <w:t> </w:t>
      </w:r>
      <w:r>
        <w:rPr>
          <w:sz w:val="22"/>
        </w:rPr>
        <w:t>Law” by Daniel</w:t>
      </w:r>
      <w:r>
        <w:rPr>
          <w:spacing w:val="21"/>
          <w:sz w:val="22"/>
        </w:rPr>
        <w:t> </w:t>
      </w:r>
      <w:r>
        <w:rPr>
          <w:sz w:val="22"/>
        </w:rPr>
        <w:t>PETER meets the</w:t>
      </w:r>
      <w:r>
        <w:rPr>
          <w:spacing w:val="21"/>
          <w:sz w:val="22"/>
        </w:rPr>
        <w:t> </w:t>
      </w:r>
      <w:r>
        <w:rPr>
          <w:sz w:val="22"/>
        </w:rPr>
        <w:t>regulations governing the award of the Degree of Master of Laws of the Ahmadu Bello University and is approved for its contribution to knowledge and literary presentation.</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1"/>
        <w:rPr>
          <w:sz w:val="20"/>
        </w:rPr>
      </w:pPr>
      <w:r>
        <w:rPr/>
        <mc:AlternateContent>
          <mc:Choice Requires="wps">
            <w:drawing>
              <wp:anchor distT="0" distB="0" distL="0" distR="0" allowOverlap="1" layoutInCell="1" locked="0" behindDoc="1" simplePos="0" relativeHeight="487588864">
                <wp:simplePos x="0" y="0"/>
                <wp:positionH relativeFrom="page">
                  <wp:posOffset>1185672</wp:posOffset>
                </wp:positionH>
                <wp:positionV relativeFrom="paragraph">
                  <wp:posOffset>233159</wp:posOffset>
                </wp:positionV>
                <wp:extent cx="2110740" cy="127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2110740" cy="1270"/>
                        </a:xfrm>
                        <a:custGeom>
                          <a:avLst/>
                          <a:gdLst/>
                          <a:ahLst/>
                          <a:cxnLst/>
                          <a:rect l="l" t="t" r="r" b="b"/>
                          <a:pathLst>
                            <a:path w="2110740" h="0">
                              <a:moveTo>
                                <a:pt x="0" y="0"/>
                              </a:moveTo>
                              <a:lnTo>
                                <a:pt x="2110569"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3.360001pt;margin-top:18.358978pt;width:166.2pt;height:.1pt;mso-position-horizontal-relative:page;mso-position-vertical-relative:paragraph;z-index:-15727616;mso-wrap-distance-left:0;mso-wrap-distance-right:0" id="docshape4" coordorigin="1867,367" coordsize="3324,0" path="m1867,367l5191,367e" filled="false" stroked="true" strokeweight=".70929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9376">
                <wp:simplePos x="0" y="0"/>
                <wp:positionH relativeFrom="page">
                  <wp:posOffset>5483352</wp:posOffset>
                </wp:positionH>
                <wp:positionV relativeFrom="paragraph">
                  <wp:posOffset>233159</wp:posOffset>
                </wp:positionV>
                <wp:extent cx="782320" cy="1270"/>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782320" cy="1270"/>
                        </a:xfrm>
                        <a:custGeom>
                          <a:avLst/>
                          <a:gdLst/>
                          <a:ahLst/>
                          <a:cxnLst/>
                          <a:rect l="l" t="t" r="r" b="b"/>
                          <a:pathLst>
                            <a:path w="782320" h="0">
                              <a:moveTo>
                                <a:pt x="0" y="0"/>
                              </a:moveTo>
                              <a:lnTo>
                                <a:pt x="781963"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1.76001pt;margin-top:18.358978pt;width:61.6pt;height:.1pt;mso-position-horizontal-relative:page;mso-position-vertical-relative:paragraph;z-index:-15727104;mso-wrap-distance-left:0;mso-wrap-distance-right:0" id="docshape5" coordorigin="8635,367" coordsize="1232,0" path="m8635,367l9867,367e" filled="false" stroked="true" strokeweight=".70929pt" strokecolor="#000000">
                <v:path arrowok="t"/>
                <v:stroke dashstyle="solid"/>
                <w10:wrap type="topAndBottom"/>
              </v:shape>
            </w:pict>
          </mc:Fallback>
        </mc:AlternateContent>
      </w:r>
    </w:p>
    <w:p>
      <w:pPr>
        <w:tabs>
          <w:tab w:pos="6955" w:val="left" w:leader="none"/>
        </w:tabs>
        <w:spacing w:before="20"/>
        <w:ind w:left="187" w:right="0" w:firstLine="0"/>
        <w:jc w:val="left"/>
        <w:rPr>
          <w:sz w:val="22"/>
        </w:rPr>
      </w:pPr>
      <w:r>
        <w:rPr>
          <w:b/>
          <w:sz w:val="22"/>
        </w:rPr>
        <w:t>Prof.</w:t>
      </w:r>
      <w:r>
        <w:rPr>
          <w:b/>
          <w:spacing w:val="16"/>
          <w:sz w:val="22"/>
        </w:rPr>
        <w:t> </w:t>
      </w:r>
      <w:r>
        <w:rPr>
          <w:b/>
          <w:sz w:val="22"/>
        </w:rPr>
        <w:t>(Mrs)</w:t>
      </w:r>
      <w:r>
        <w:rPr>
          <w:b/>
          <w:spacing w:val="14"/>
          <w:sz w:val="22"/>
        </w:rPr>
        <w:t> </w:t>
      </w:r>
      <w:r>
        <w:rPr>
          <w:b/>
          <w:sz w:val="22"/>
        </w:rPr>
        <w:t>J.A.M.</w:t>
      </w:r>
      <w:r>
        <w:rPr>
          <w:b/>
          <w:spacing w:val="10"/>
          <w:sz w:val="22"/>
        </w:rPr>
        <w:t> </w:t>
      </w:r>
      <w:r>
        <w:rPr>
          <w:b/>
          <w:spacing w:val="-4"/>
          <w:sz w:val="22"/>
        </w:rPr>
        <w:t>Audi</w:t>
      </w:r>
      <w:r>
        <w:rPr>
          <w:b/>
          <w:sz w:val="22"/>
        </w:rPr>
        <w:tab/>
      </w:r>
      <w:r>
        <w:rPr>
          <w:spacing w:val="-4"/>
          <w:sz w:val="22"/>
        </w:rPr>
        <w:t>Date</w:t>
      </w:r>
    </w:p>
    <w:p>
      <w:pPr>
        <w:spacing w:before="8"/>
        <w:ind w:left="187" w:right="0" w:firstLine="0"/>
        <w:jc w:val="left"/>
        <w:rPr>
          <w:sz w:val="22"/>
        </w:rPr>
      </w:pPr>
      <w:r>
        <w:rPr>
          <w:sz w:val="22"/>
        </w:rPr>
        <w:t>Chairman,</w:t>
      </w:r>
      <w:r>
        <w:rPr>
          <w:spacing w:val="24"/>
          <w:sz w:val="22"/>
        </w:rPr>
        <w:t> </w:t>
      </w:r>
      <w:r>
        <w:rPr>
          <w:sz w:val="22"/>
        </w:rPr>
        <w:t>Supervisory</w:t>
      </w:r>
      <w:r>
        <w:rPr>
          <w:spacing w:val="17"/>
          <w:sz w:val="22"/>
        </w:rPr>
        <w:t> </w:t>
      </w:r>
      <w:r>
        <w:rPr>
          <w:spacing w:val="-2"/>
          <w:sz w:val="22"/>
        </w:rPr>
        <w:t>Committee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72"/>
        <w:rPr>
          <w:sz w:val="20"/>
        </w:rPr>
      </w:pPr>
      <w:r>
        <w:rPr/>
        <mc:AlternateContent>
          <mc:Choice Requires="wps">
            <w:drawing>
              <wp:anchor distT="0" distB="0" distL="0" distR="0" allowOverlap="1" layoutInCell="1" locked="0" behindDoc="1" simplePos="0" relativeHeight="487589888">
                <wp:simplePos x="0" y="0"/>
                <wp:positionH relativeFrom="page">
                  <wp:posOffset>1185672</wp:posOffset>
                </wp:positionH>
                <wp:positionV relativeFrom="paragraph">
                  <wp:posOffset>278241</wp:posOffset>
                </wp:positionV>
                <wp:extent cx="2110740" cy="127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2110740" cy="1270"/>
                        </a:xfrm>
                        <a:custGeom>
                          <a:avLst/>
                          <a:gdLst/>
                          <a:ahLst/>
                          <a:cxnLst/>
                          <a:rect l="l" t="t" r="r" b="b"/>
                          <a:pathLst>
                            <a:path w="2110740" h="0">
                              <a:moveTo>
                                <a:pt x="0" y="0"/>
                              </a:moveTo>
                              <a:lnTo>
                                <a:pt x="2110569"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3.360001pt;margin-top:21.908777pt;width:166.2pt;height:.1pt;mso-position-horizontal-relative:page;mso-position-vertical-relative:paragraph;z-index:-15726592;mso-wrap-distance-left:0;mso-wrap-distance-right:0" id="docshape6" coordorigin="1867,438" coordsize="3324,0" path="m1867,438l5191,438e" filled="false" stroked="true" strokeweight=".70929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0400">
                <wp:simplePos x="0" y="0"/>
                <wp:positionH relativeFrom="page">
                  <wp:posOffset>5483352</wp:posOffset>
                </wp:positionH>
                <wp:positionV relativeFrom="paragraph">
                  <wp:posOffset>278241</wp:posOffset>
                </wp:positionV>
                <wp:extent cx="782320" cy="127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782320" cy="1270"/>
                        </a:xfrm>
                        <a:custGeom>
                          <a:avLst/>
                          <a:gdLst/>
                          <a:ahLst/>
                          <a:cxnLst/>
                          <a:rect l="l" t="t" r="r" b="b"/>
                          <a:pathLst>
                            <a:path w="782320" h="0">
                              <a:moveTo>
                                <a:pt x="0" y="0"/>
                              </a:moveTo>
                              <a:lnTo>
                                <a:pt x="781963"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1.76001pt;margin-top:21.908777pt;width:61.6pt;height:.1pt;mso-position-horizontal-relative:page;mso-position-vertical-relative:paragraph;z-index:-15726080;mso-wrap-distance-left:0;mso-wrap-distance-right:0" id="docshape7" coordorigin="8635,438" coordsize="1232,0" path="m8635,438l9867,438e" filled="false" stroked="true" strokeweight=".70929pt" strokecolor="#000000">
                <v:path arrowok="t"/>
                <v:stroke dashstyle="solid"/>
                <w10:wrap type="topAndBottom"/>
              </v:shape>
            </w:pict>
          </mc:Fallback>
        </mc:AlternateContent>
      </w:r>
    </w:p>
    <w:p>
      <w:pPr>
        <w:tabs>
          <w:tab w:pos="6955" w:val="left" w:leader="none"/>
        </w:tabs>
        <w:spacing w:before="16"/>
        <w:ind w:left="187" w:right="0" w:firstLine="0"/>
        <w:jc w:val="left"/>
        <w:rPr>
          <w:sz w:val="22"/>
        </w:rPr>
      </w:pPr>
      <w:r>
        <w:rPr>
          <w:b/>
          <w:sz w:val="22"/>
        </w:rPr>
        <w:t>Dr</w:t>
      </w:r>
      <w:r>
        <w:rPr>
          <w:b/>
          <w:spacing w:val="9"/>
          <w:sz w:val="22"/>
        </w:rPr>
        <w:t> </w:t>
      </w:r>
      <w:r>
        <w:rPr>
          <w:b/>
          <w:sz w:val="22"/>
        </w:rPr>
        <w:t>(Mrs)</w:t>
      </w:r>
      <w:r>
        <w:rPr>
          <w:b/>
          <w:spacing w:val="4"/>
          <w:sz w:val="22"/>
        </w:rPr>
        <w:t> </w:t>
      </w:r>
      <w:r>
        <w:rPr>
          <w:b/>
          <w:sz w:val="22"/>
        </w:rPr>
        <w:t>I.F.</w:t>
      </w:r>
      <w:r>
        <w:rPr>
          <w:b/>
          <w:spacing w:val="13"/>
          <w:sz w:val="22"/>
        </w:rPr>
        <w:t> </w:t>
      </w:r>
      <w:r>
        <w:rPr>
          <w:b/>
          <w:spacing w:val="-2"/>
          <w:sz w:val="22"/>
        </w:rPr>
        <w:t>Akande</w:t>
      </w:r>
      <w:r>
        <w:rPr>
          <w:b/>
          <w:sz w:val="22"/>
        </w:rPr>
        <w:tab/>
      </w:r>
      <w:r>
        <w:rPr>
          <w:spacing w:val="-4"/>
          <w:sz w:val="22"/>
        </w:rPr>
        <w:t>Date</w:t>
      </w:r>
    </w:p>
    <w:p>
      <w:pPr>
        <w:spacing w:before="12"/>
        <w:ind w:left="187" w:right="0" w:firstLine="0"/>
        <w:jc w:val="left"/>
        <w:rPr>
          <w:sz w:val="22"/>
        </w:rPr>
      </w:pPr>
      <w:r>
        <w:rPr>
          <w:sz w:val="22"/>
        </w:rPr>
        <w:t>Member,</w:t>
      </w:r>
      <w:r>
        <w:rPr>
          <w:spacing w:val="24"/>
          <w:sz w:val="22"/>
        </w:rPr>
        <w:t> </w:t>
      </w:r>
      <w:r>
        <w:rPr>
          <w:sz w:val="22"/>
        </w:rPr>
        <w:t>Supervisory</w:t>
      </w:r>
      <w:r>
        <w:rPr>
          <w:spacing w:val="16"/>
          <w:sz w:val="22"/>
        </w:rPr>
        <w:t> </w:t>
      </w:r>
      <w:r>
        <w:rPr>
          <w:spacing w:val="-2"/>
          <w:sz w:val="22"/>
        </w:rPr>
        <w:t>Committee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67"/>
        <w:rPr>
          <w:sz w:val="20"/>
        </w:rPr>
      </w:pPr>
      <w:r>
        <w:rPr/>
        <mc:AlternateContent>
          <mc:Choice Requires="wps">
            <w:drawing>
              <wp:anchor distT="0" distB="0" distL="0" distR="0" allowOverlap="1" layoutInCell="1" locked="0" behindDoc="1" simplePos="0" relativeHeight="487590912">
                <wp:simplePos x="0" y="0"/>
                <wp:positionH relativeFrom="page">
                  <wp:posOffset>1185672</wp:posOffset>
                </wp:positionH>
                <wp:positionV relativeFrom="paragraph">
                  <wp:posOffset>275193</wp:posOffset>
                </wp:positionV>
                <wp:extent cx="2110740" cy="127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2110740" cy="1270"/>
                        </a:xfrm>
                        <a:custGeom>
                          <a:avLst/>
                          <a:gdLst/>
                          <a:ahLst/>
                          <a:cxnLst/>
                          <a:rect l="l" t="t" r="r" b="b"/>
                          <a:pathLst>
                            <a:path w="2110740" h="0">
                              <a:moveTo>
                                <a:pt x="0" y="0"/>
                              </a:moveTo>
                              <a:lnTo>
                                <a:pt x="2110569"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3.360001pt;margin-top:21.668787pt;width:166.2pt;height:.1pt;mso-position-horizontal-relative:page;mso-position-vertical-relative:paragraph;z-index:-15725568;mso-wrap-distance-left:0;mso-wrap-distance-right:0" id="docshape8" coordorigin="1867,433" coordsize="3324,0" path="m1867,433l5191,433e" filled="false" stroked="true" strokeweight=".70929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1424">
                <wp:simplePos x="0" y="0"/>
                <wp:positionH relativeFrom="page">
                  <wp:posOffset>5483352</wp:posOffset>
                </wp:positionH>
                <wp:positionV relativeFrom="paragraph">
                  <wp:posOffset>275193</wp:posOffset>
                </wp:positionV>
                <wp:extent cx="782320" cy="127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782320" cy="1270"/>
                        </a:xfrm>
                        <a:custGeom>
                          <a:avLst/>
                          <a:gdLst/>
                          <a:ahLst/>
                          <a:cxnLst/>
                          <a:rect l="l" t="t" r="r" b="b"/>
                          <a:pathLst>
                            <a:path w="782320" h="0">
                              <a:moveTo>
                                <a:pt x="0" y="0"/>
                              </a:moveTo>
                              <a:lnTo>
                                <a:pt x="781963"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1.76001pt;margin-top:21.668787pt;width:61.6pt;height:.1pt;mso-position-horizontal-relative:page;mso-position-vertical-relative:paragraph;z-index:-15725056;mso-wrap-distance-left:0;mso-wrap-distance-right:0" id="docshape9" coordorigin="8635,433" coordsize="1232,0" path="m8635,433l9867,433e" filled="false" stroked="true" strokeweight=".70929pt" strokecolor="#000000">
                <v:path arrowok="t"/>
                <v:stroke dashstyle="solid"/>
                <w10:wrap type="topAndBottom"/>
              </v:shape>
            </w:pict>
          </mc:Fallback>
        </mc:AlternateContent>
      </w:r>
    </w:p>
    <w:p>
      <w:pPr>
        <w:tabs>
          <w:tab w:pos="6955" w:val="left" w:leader="none"/>
        </w:tabs>
        <w:spacing w:before="25"/>
        <w:ind w:left="187" w:right="0" w:firstLine="0"/>
        <w:jc w:val="left"/>
        <w:rPr>
          <w:sz w:val="22"/>
        </w:rPr>
      </w:pPr>
      <w:r>
        <w:rPr>
          <w:b/>
          <w:sz w:val="22"/>
        </w:rPr>
        <w:t>Dr</w:t>
      </w:r>
      <w:r>
        <w:rPr>
          <w:b/>
          <w:spacing w:val="11"/>
          <w:sz w:val="22"/>
        </w:rPr>
        <w:t> </w:t>
      </w:r>
      <w:r>
        <w:rPr>
          <w:b/>
          <w:sz w:val="22"/>
        </w:rPr>
        <w:t>K.M.</w:t>
      </w:r>
      <w:r>
        <w:rPr>
          <w:b/>
          <w:spacing w:val="8"/>
          <w:sz w:val="22"/>
        </w:rPr>
        <w:t> </w:t>
      </w:r>
      <w:r>
        <w:rPr>
          <w:b/>
          <w:spacing w:val="-2"/>
          <w:sz w:val="22"/>
        </w:rPr>
        <w:t>Danladi</w:t>
      </w:r>
      <w:r>
        <w:rPr>
          <w:b/>
          <w:sz w:val="22"/>
        </w:rPr>
        <w:tab/>
      </w:r>
      <w:r>
        <w:rPr>
          <w:spacing w:val="-4"/>
          <w:sz w:val="22"/>
        </w:rPr>
        <w:t>Date</w:t>
      </w:r>
    </w:p>
    <w:p>
      <w:pPr>
        <w:spacing w:before="3"/>
        <w:ind w:left="187" w:right="0" w:firstLine="0"/>
        <w:jc w:val="left"/>
        <w:rPr>
          <w:sz w:val="22"/>
        </w:rPr>
      </w:pPr>
      <w:r>
        <w:rPr>
          <w:sz w:val="22"/>
        </w:rPr>
        <w:t>Head</w:t>
      </w:r>
      <w:r>
        <w:rPr>
          <w:spacing w:val="9"/>
          <w:sz w:val="22"/>
        </w:rPr>
        <w:t> </w:t>
      </w:r>
      <w:r>
        <w:rPr>
          <w:sz w:val="22"/>
        </w:rPr>
        <w:t>of</w:t>
      </w:r>
      <w:r>
        <w:rPr>
          <w:spacing w:val="10"/>
          <w:sz w:val="22"/>
        </w:rPr>
        <w:t> </w:t>
      </w:r>
      <w:r>
        <w:rPr>
          <w:spacing w:val="-2"/>
          <w:sz w:val="22"/>
        </w:rPr>
        <w:t>Department</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40"/>
        <w:rPr>
          <w:sz w:val="20"/>
        </w:rPr>
      </w:pPr>
      <w:r>
        <w:rPr/>
        <mc:AlternateContent>
          <mc:Choice Requires="wps">
            <w:drawing>
              <wp:anchor distT="0" distB="0" distL="0" distR="0" allowOverlap="1" layoutInCell="1" locked="0" behindDoc="1" simplePos="0" relativeHeight="487591936">
                <wp:simplePos x="0" y="0"/>
                <wp:positionH relativeFrom="page">
                  <wp:posOffset>1185672</wp:posOffset>
                </wp:positionH>
                <wp:positionV relativeFrom="paragraph">
                  <wp:posOffset>257798</wp:posOffset>
                </wp:positionV>
                <wp:extent cx="2110740" cy="1270"/>
                <wp:effectExtent l="0" t="0" r="0" b="0"/>
                <wp:wrapTopAndBottom/>
                <wp:docPr id="10" name="Graphic 10"/>
                <wp:cNvGraphicFramePr>
                  <a:graphicFrameLocks/>
                </wp:cNvGraphicFramePr>
                <a:graphic>
                  <a:graphicData uri="http://schemas.microsoft.com/office/word/2010/wordprocessingShape">
                    <wps:wsp>
                      <wps:cNvPr id="10" name="Graphic 10"/>
                      <wps:cNvSpPr/>
                      <wps:spPr>
                        <a:xfrm>
                          <a:off x="0" y="0"/>
                          <a:ext cx="2110740" cy="1270"/>
                        </a:xfrm>
                        <a:custGeom>
                          <a:avLst/>
                          <a:gdLst/>
                          <a:ahLst/>
                          <a:cxnLst/>
                          <a:rect l="l" t="t" r="r" b="b"/>
                          <a:pathLst>
                            <a:path w="2110740" h="0">
                              <a:moveTo>
                                <a:pt x="0" y="0"/>
                              </a:moveTo>
                              <a:lnTo>
                                <a:pt x="2110569"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3.360001pt;margin-top:20.299097pt;width:166.2pt;height:.1pt;mso-position-horizontal-relative:page;mso-position-vertical-relative:paragraph;z-index:-15724544;mso-wrap-distance-left:0;mso-wrap-distance-right:0" id="docshape10" coordorigin="1867,406" coordsize="3324,0" path="m1867,406l5191,406e" filled="false" stroked="true" strokeweight=".70929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2448">
                <wp:simplePos x="0" y="0"/>
                <wp:positionH relativeFrom="page">
                  <wp:posOffset>5483352</wp:posOffset>
                </wp:positionH>
                <wp:positionV relativeFrom="paragraph">
                  <wp:posOffset>257798</wp:posOffset>
                </wp:positionV>
                <wp:extent cx="782320" cy="1270"/>
                <wp:effectExtent l="0" t="0" r="0" b="0"/>
                <wp:wrapTopAndBottom/>
                <wp:docPr id="11" name="Graphic 11"/>
                <wp:cNvGraphicFramePr>
                  <a:graphicFrameLocks/>
                </wp:cNvGraphicFramePr>
                <a:graphic>
                  <a:graphicData uri="http://schemas.microsoft.com/office/word/2010/wordprocessingShape">
                    <wps:wsp>
                      <wps:cNvPr id="11" name="Graphic 11"/>
                      <wps:cNvSpPr/>
                      <wps:spPr>
                        <a:xfrm>
                          <a:off x="0" y="0"/>
                          <a:ext cx="782320" cy="1270"/>
                        </a:xfrm>
                        <a:custGeom>
                          <a:avLst/>
                          <a:gdLst/>
                          <a:ahLst/>
                          <a:cxnLst/>
                          <a:rect l="l" t="t" r="r" b="b"/>
                          <a:pathLst>
                            <a:path w="782320" h="0">
                              <a:moveTo>
                                <a:pt x="0" y="0"/>
                              </a:moveTo>
                              <a:lnTo>
                                <a:pt x="781963" y="0"/>
                              </a:lnTo>
                            </a:path>
                          </a:pathLst>
                        </a:custGeom>
                        <a:ln w="900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1.76001pt;margin-top:20.299097pt;width:61.6pt;height:.1pt;mso-position-horizontal-relative:page;mso-position-vertical-relative:paragraph;z-index:-15724032;mso-wrap-distance-left:0;mso-wrap-distance-right:0" id="docshape11" coordorigin="8635,406" coordsize="1232,0" path="m8635,406l9867,406e" filled="false" stroked="true" strokeweight=".70929pt" strokecolor="#000000">
                <v:path arrowok="t"/>
                <v:stroke dashstyle="solid"/>
                <w10:wrap type="topAndBottom"/>
              </v:shape>
            </w:pict>
          </mc:Fallback>
        </mc:AlternateContent>
      </w:r>
    </w:p>
    <w:p>
      <w:pPr>
        <w:tabs>
          <w:tab w:pos="6955" w:val="left" w:leader="none"/>
        </w:tabs>
        <w:spacing w:before="20"/>
        <w:ind w:left="187" w:right="0" w:firstLine="0"/>
        <w:jc w:val="left"/>
        <w:rPr>
          <w:sz w:val="22"/>
        </w:rPr>
      </w:pPr>
      <w:r>
        <w:rPr>
          <w:b/>
          <w:sz w:val="22"/>
        </w:rPr>
        <w:t>Prof.</w:t>
      </w:r>
      <w:r>
        <w:rPr>
          <w:b/>
          <w:spacing w:val="12"/>
          <w:sz w:val="22"/>
        </w:rPr>
        <w:t> </w:t>
      </w:r>
      <w:r>
        <w:rPr>
          <w:b/>
          <w:sz w:val="22"/>
        </w:rPr>
        <w:t>A.A.</w:t>
      </w:r>
      <w:r>
        <w:rPr>
          <w:b/>
          <w:spacing w:val="7"/>
          <w:sz w:val="22"/>
        </w:rPr>
        <w:t> </w:t>
      </w:r>
      <w:r>
        <w:rPr>
          <w:b/>
          <w:spacing w:val="-2"/>
          <w:sz w:val="22"/>
        </w:rPr>
        <w:t>Joshua</w:t>
      </w:r>
      <w:r>
        <w:rPr>
          <w:b/>
          <w:sz w:val="22"/>
        </w:rPr>
        <w:tab/>
      </w:r>
      <w:r>
        <w:rPr>
          <w:spacing w:val="-4"/>
          <w:sz w:val="22"/>
        </w:rPr>
        <w:t>Date</w:t>
      </w:r>
    </w:p>
    <w:p>
      <w:pPr>
        <w:spacing w:before="8"/>
        <w:ind w:left="187" w:right="0" w:firstLine="0"/>
        <w:jc w:val="left"/>
        <w:rPr>
          <w:sz w:val="22"/>
        </w:rPr>
      </w:pPr>
      <w:r>
        <w:rPr>
          <w:sz w:val="22"/>
        </w:rPr>
        <w:t>Dean,</w:t>
      </w:r>
      <w:r>
        <w:rPr>
          <w:spacing w:val="14"/>
          <w:sz w:val="22"/>
        </w:rPr>
        <w:t> </w:t>
      </w:r>
      <w:r>
        <w:rPr>
          <w:sz w:val="22"/>
        </w:rPr>
        <w:t>School</w:t>
      </w:r>
      <w:r>
        <w:rPr>
          <w:spacing w:val="11"/>
          <w:sz w:val="22"/>
        </w:rPr>
        <w:t> </w:t>
      </w:r>
      <w:r>
        <w:rPr>
          <w:sz w:val="22"/>
        </w:rPr>
        <w:t>of</w:t>
      </w:r>
      <w:r>
        <w:rPr>
          <w:spacing w:val="10"/>
          <w:sz w:val="22"/>
        </w:rPr>
        <w:t> </w:t>
      </w:r>
      <w:r>
        <w:rPr>
          <w:sz w:val="22"/>
        </w:rPr>
        <w:t>Postgraduate</w:t>
      </w:r>
      <w:r>
        <w:rPr>
          <w:spacing w:val="23"/>
          <w:sz w:val="22"/>
        </w:rPr>
        <w:t> </w:t>
      </w:r>
      <w:r>
        <w:rPr>
          <w:spacing w:val="-2"/>
          <w:sz w:val="22"/>
        </w:rPr>
        <w:t>Studies</w:t>
      </w:r>
    </w:p>
    <w:p>
      <w:pPr>
        <w:spacing w:after="0"/>
        <w:jc w:val="left"/>
        <w:rPr>
          <w:sz w:val="22"/>
        </w:rPr>
        <w:sectPr>
          <w:pgSz w:w="12240" w:h="15840"/>
          <w:pgMar w:header="0" w:footer="1009" w:top="1260" w:bottom="1200" w:left="1680" w:right="1320"/>
        </w:sectPr>
      </w:pPr>
    </w:p>
    <w:p>
      <w:pPr>
        <w:spacing w:before="94"/>
        <w:ind w:left="307" w:right="687" w:firstLine="0"/>
        <w:jc w:val="center"/>
        <w:rPr>
          <w:b/>
          <w:sz w:val="22"/>
        </w:rPr>
      </w:pPr>
      <w:r>
        <w:rPr>
          <w:b/>
          <w:spacing w:val="-2"/>
          <w:sz w:val="22"/>
        </w:rPr>
        <w:t>DEDICATION</w:t>
      </w:r>
    </w:p>
    <w:p>
      <w:pPr>
        <w:pStyle w:val="BodyText"/>
        <w:spacing w:before="16"/>
        <w:rPr>
          <w:b/>
          <w:sz w:val="22"/>
        </w:rPr>
      </w:pPr>
    </w:p>
    <w:p>
      <w:pPr>
        <w:spacing w:before="0"/>
        <w:ind w:left="864" w:right="0" w:firstLine="0"/>
        <w:jc w:val="left"/>
        <w:rPr>
          <w:sz w:val="22"/>
        </w:rPr>
      </w:pPr>
      <w:r>
        <w:rPr>
          <w:sz w:val="22"/>
        </w:rPr>
        <w:t>This</w:t>
      </w:r>
      <w:r>
        <w:rPr>
          <w:spacing w:val="11"/>
          <w:sz w:val="22"/>
        </w:rPr>
        <w:t> </w:t>
      </w:r>
      <w:r>
        <w:rPr>
          <w:sz w:val="22"/>
        </w:rPr>
        <w:t>thesis</w:t>
      </w:r>
      <w:r>
        <w:rPr>
          <w:spacing w:val="5"/>
          <w:sz w:val="22"/>
        </w:rPr>
        <w:t> </w:t>
      </w:r>
      <w:r>
        <w:rPr>
          <w:sz w:val="22"/>
        </w:rPr>
        <w:t>is</w:t>
      </w:r>
      <w:r>
        <w:rPr>
          <w:spacing w:val="11"/>
          <w:sz w:val="22"/>
        </w:rPr>
        <w:t> </w:t>
      </w:r>
      <w:r>
        <w:rPr>
          <w:sz w:val="22"/>
        </w:rPr>
        <w:t>dedicated</w:t>
      </w:r>
      <w:r>
        <w:rPr>
          <w:spacing w:val="11"/>
          <w:sz w:val="22"/>
        </w:rPr>
        <w:t> </w:t>
      </w:r>
      <w:r>
        <w:rPr>
          <w:sz w:val="22"/>
        </w:rPr>
        <w:t>to</w:t>
      </w:r>
      <w:r>
        <w:rPr>
          <w:spacing w:val="13"/>
          <w:sz w:val="22"/>
        </w:rPr>
        <w:t> </w:t>
      </w:r>
      <w:r>
        <w:rPr>
          <w:sz w:val="22"/>
        </w:rPr>
        <w:t>the</w:t>
      </w:r>
      <w:r>
        <w:rPr>
          <w:spacing w:val="18"/>
          <w:sz w:val="22"/>
        </w:rPr>
        <w:t> </w:t>
      </w:r>
      <w:r>
        <w:rPr>
          <w:sz w:val="22"/>
        </w:rPr>
        <w:t>Almighty</w:t>
      </w:r>
      <w:r>
        <w:rPr>
          <w:spacing w:val="3"/>
          <w:sz w:val="22"/>
        </w:rPr>
        <w:t> </w:t>
      </w:r>
      <w:r>
        <w:rPr>
          <w:sz w:val="22"/>
        </w:rPr>
        <w:t>God</w:t>
      </w:r>
      <w:r>
        <w:rPr>
          <w:spacing w:val="11"/>
          <w:sz w:val="22"/>
        </w:rPr>
        <w:t> </w:t>
      </w:r>
      <w:r>
        <w:rPr>
          <w:sz w:val="22"/>
        </w:rPr>
        <w:t>for</w:t>
      </w:r>
      <w:r>
        <w:rPr>
          <w:spacing w:val="11"/>
          <w:sz w:val="22"/>
        </w:rPr>
        <w:t> </w:t>
      </w:r>
      <w:r>
        <w:rPr>
          <w:sz w:val="22"/>
        </w:rPr>
        <w:t>His</w:t>
      </w:r>
      <w:r>
        <w:rPr>
          <w:spacing w:val="6"/>
          <w:sz w:val="22"/>
        </w:rPr>
        <w:t> </w:t>
      </w:r>
      <w:r>
        <w:rPr>
          <w:sz w:val="22"/>
        </w:rPr>
        <w:t>mercies</w:t>
      </w:r>
      <w:r>
        <w:rPr>
          <w:spacing w:val="5"/>
          <w:sz w:val="22"/>
        </w:rPr>
        <w:t> </w:t>
      </w:r>
      <w:r>
        <w:rPr>
          <w:sz w:val="22"/>
        </w:rPr>
        <w:t>and</w:t>
      </w:r>
      <w:r>
        <w:rPr>
          <w:spacing w:val="6"/>
          <w:sz w:val="22"/>
        </w:rPr>
        <w:t> </w:t>
      </w:r>
      <w:r>
        <w:rPr>
          <w:spacing w:val="-2"/>
          <w:sz w:val="22"/>
        </w:rPr>
        <w:t>kindness.</w:t>
      </w:r>
    </w:p>
    <w:p>
      <w:pPr>
        <w:spacing w:after="0"/>
        <w:jc w:val="left"/>
        <w:rPr>
          <w:sz w:val="22"/>
        </w:rPr>
        <w:sectPr>
          <w:pgSz w:w="12240" w:h="15840"/>
          <w:pgMar w:header="0" w:footer="1009" w:top="1260" w:bottom="1200" w:left="1680" w:right="1320"/>
        </w:sectPr>
      </w:pPr>
    </w:p>
    <w:p>
      <w:pPr>
        <w:spacing w:before="94"/>
        <w:ind w:left="307" w:right="685" w:firstLine="0"/>
        <w:jc w:val="center"/>
        <w:rPr>
          <w:b/>
          <w:sz w:val="22"/>
        </w:rPr>
      </w:pPr>
      <w:r>
        <w:rPr>
          <w:b/>
          <w:spacing w:val="-2"/>
          <w:sz w:val="22"/>
        </w:rPr>
        <w:t>ACKNOWLEDGEMENT</w:t>
      </w:r>
    </w:p>
    <w:p>
      <w:pPr>
        <w:pStyle w:val="BodyText"/>
        <w:spacing w:before="16"/>
        <w:rPr>
          <w:b/>
          <w:sz w:val="22"/>
        </w:rPr>
      </w:pPr>
    </w:p>
    <w:p>
      <w:pPr>
        <w:spacing w:line="491" w:lineRule="auto" w:before="0"/>
        <w:ind w:left="187" w:right="559" w:firstLine="0"/>
        <w:jc w:val="both"/>
        <w:rPr>
          <w:sz w:val="22"/>
        </w:rPr>
      </w:pPr>
      <w:r>
        <w:rPr>
          <w:sz w:val="22"/>
        </w:rPr>
        <w:t>My profound gratitude goes to my first supervisor, Prof. (Mrs.) J.AM. Audi for her scholarly guidance in the course of this research. Her financial assistance will also never be forgotten. She has touched my life in a</w:t>
      </w:r>
      <w:r>
        <w:rPr>
          <w:spacing w:val="34"/>
          <w:sz w:val="22"/>
        </w:rPr>
        <w:t> </w:t>
      </w:r>
      <w:r>
        <w:rPr>
          <w:sz w:val="22"/>
        </w:rPr>
        <w:t>significant way. May the</w:t>
      </w:r>
      <w:r>
        <w:rPr>
          <w:spacing w:val="39"/>
          <w:sz w:val="22"/>
        </w:rPr>
        <w:t> </w:t>
      </w:r>
      <w:r>
        <w:rPr>
          <w:sz w:val="22"/>
        </w:rPr>
        <w:t>Almighty God richly reward her. I remain grateful.</w:t>
      </w:r>
    </w:p>
    <w:p>
      <w:pPr>
        <w:pStyle w:val="BodyText"/>
        <w:spacing w:before="5"/>
        <w:rPr>
          <w:sz w:val="22"/>
        </w:rPr>
      </w:pPr>
    </w:p>
    <w:p>
      <w:pPr>
        <w:spacing w:line="491" w:lineRule="auto" w:before="0"/>
        <w:ind w:left="187" w:right="559" w:firstLine="0"/>
        <w:jc w:val="both"/>
        <w:rPr>
          <w:sz w:val="22"/>
        </w:rPr>
      </w:pPr>
      <w:r>
        <w:rPr>
          <w:sz w:val="22"/>
        </w:rPr>
        <w:t>A heartfelt gratitude of mine goes to my second supervisor, Dr (Mrs.) I.F. Akande, whose academic and moral supports led to the smooth completion of this research.</w:t>
      </w:r>
      <w:r>
        <w:rPr>
          <w:spacing w:val="40"/>
          <w:sz w:val="22"/>
        </w:rPr>
        <w:t> </w:t>
      </w:r>
      <w:r>
        <w:rPr>
          <w:sz w:val="22"/>
        </w:rPr>
        <w:t>Her timely advice propelled me</w:t>
      </w:r>
      <w:r>
        <w:rPr>
          <w:spacing w:val="30"/>
          <w:sz w:val="22"/>
        </w:rPr>
        <w:t> </w:t>
      </w:r>
      <w:r>
        <w:rPr>
          <w:sz w:val="22"/>
        </w:rPr>
        <w:t>to</w:t>
      </w:r>
      <w:r>
        <w:rPr>
          <w:spacing w:val="31"/>
          <w:sz w:val="22"/>
        </w:rPr>
        <w:t> </w:t>
      </w:r>
      <w:r>
        <w:rPr>
          <w:sz w:val="22"/>
        </w:rPr>
        <w:t>work hard. May the</w:t>
      </w:r>
      <w:r>
        <w:rPr>
          <w:spacing w:val="37"/>
          <w:sz w:val="22"/>
        </w:rPr>
        <w:t> </w:t>
      </w:r>
      <w:r>
        <w:rPr>
          <w:sz w:val="22"/>
        </w:rPr>
        <w:t>Almighty God reward</w:t>
      </w:r>
      <w:r>
        <w:rPr>
          <w:spacing w:val="28"/>
          <w:sz w:val="22"/>
        </w:rPr>
        <w:t> </w:t>
      </w:r>
      <w:r>
        <w:rPr>
          <w:sz w:val="22"/>
        </w:rPr>
        <w:t>her.</w:t>
      </w:r>
    </w:p>
    <w:p>
      <w:pPr>
        <w:pStyle w:val="BodyText"/>
        <w:spacing w:before="7"/>
        <w:rPr>
          <w:sz w:val="22"/>
        </w:rPr>
      </w:pPr>
    </w:p>
    <w:p>
      <w:pPr>
        <w:spacing w:line="491" w:lineRule="auto" w:before="0"/>
        <w:ind w:left="187" w:right="560" w:firstLine="72"/>
        <w:jc w:val="both"/>
        <w:rPr>
          <w:sz w:val="22"/>
        </w:rPr>
      </w:pPr>
      <w:r>
        <w:rPr>
          <w:sz w:val="22"/>
        </w:rPr>
        <w:t>In</w:t>
      </w:r>
      <w:r>
        <w:rPr>
          <w:spacing w:val="33"/>
          <w:sz w:val="22"/>
        </w:rPr>
        <w:t> </w:t>
      </w:r>
      <w:r>
        <w:rPr>
          <w:sz w:val="22"/>
        </w:rPr>
        <w:t>the</w:t>
      </w:r>
      <w:r>
        <w:rPr>
          <w:spacing w:val="40"/>
          <w:sz w:val="22"/>
        </w:rPr>
        <w:t> </w:t>
      </w:r>
      <w:r>
        <w:rPr>
          <w:sz w:val="22"/>
        </w:rPr>
        <w:t>same</w:t>
      </w:r>
      <w:r>
        <w:rPr>
          <w:spacing w:val="35"/>
          <w:sz w:val="22"/>
        </w:rPr>
        <w:t> </w:t>
      </w:r>
      <w:r>
        <w:rPr>
          <w:sz w:val="22"/>
        </w:rPr>
        <w:t>vein,</w:t>
      </w:r>
      <w:r>
        <w:rPr>
          <w:spacing w:val="33"/>
          <w:sz w:val="22"/>
        </w:rPr>
        <w:t> </w:t>
      </w:r>
      <w:r>
        <w:rPr>
          <w:sz w:val="22"/>
        </w:rPr>
        <w:t>I</w:t>
      </w:r>
      <w:r>
        <w:rPr>
          <w:spacing w:val="36"/>
          <w:sz w:val="22"/>
        </w:rPr>
        <w:t> </w:t>
      </w:r>
      <w:r>
        <w:rPr>
          <w:sz w:val="22"/>
        </w:rPr>
        <w:t>remain</w:t>
      </w:r>
      <w:r>
        <w:rPr>
          <w:spacing w:val="33"/>
          <w:sz w:val="22"/>
        </w:rPr>
        <w:t> </w:t>
      </w:r>
      <w:r>
        <w:rPr>
          <w:sz w:val="22"/>
        </w:rPr>
        <w:t>my learned Internal</w:t>
      </w:r>
      <w:r>
        <w:rPr>
          <w:spacing w:val="35"/>
          <w:sz w:val="22"/>
        </w:rPr>
        <w:t> </w:t>
      </w:r>
      <w:r>
        <w:rPr>
          <w:sz w:val="22"/>
        </w:rPr>
        <w:t>Examiners,.</w:t>
      </w:r>
      <w:r>
        <w:rPr>
          <w:spacing w:val="33"/>
          <w:sz w:val="22"/>
        </w:rPr>
        <w:t> </w:t>
      </w:r>
      <w:r>
        <w:rPr>
          <w:sz w:val="22"/>
        </w:rPr>
        <w:t>Dr.Yusuf</w:t>
      </w:r>
      <w:r>
        <w:rPr>
          <w:spacing w:val="34"/>
          <w:sz w:val="22"/>
        </w:rPr>
        <w:t> </w:t>
      </w:r>
      <w:r>
        <w:rPr>
          <w:sz w:val="22"/>
        </w:rPr>
        <w:t>Dankofa</w:t>
      </w:r>
      <w:r>
        <w:rPr>
          <w:spacing w:val="31"/>
          <w:sz w:val="22"/>
        </w:rPr>
        <w:t> </w:t>
      </w:r>
      <w:r>
        <w:rPr>
          <w:sz w:val="22"/>
        </w:rPr>
        <w:t>and Dr. A.M. Madaki</w:t>
      </w:r>
      <w:r>
        <w:rPr>
          <w:spacing w:val="40"/>
          <w:sz w:val="22"/>
        </w:rPr>
        <w:t> </w:t>
      </w:r>
      <w:r>
        <w:rPr>
          <w:sz w:val="22"/>
        </w:rPr>
        <w:t>whose contributions were quite instrumental in enriching this work. May God richly reward them.</w:t>
      </w:r>
    </w:p>
    <w:p>
      <w:pPr>
        <w:pStyle w:val="BodyText"/>
        <w:spacing w:before="12"/>
        <w:rPr>
          <w:sz w:val="22"/>
        </w:rPr>
      </w:pPr>
    </w:p>
    <w:p>
      <w:pPr>
        <w:spacing w:line="491" w:lineRule="auto" w:before="0"/>
        <w:ind w:left="187" w:right="561" w:firstLine="0"/>
        <w:jc w:val="both"/>
        <w:rPr>
          <w:sz w:val="22"/>
        </w:rPr>
      </w:pPr>
      <w:r>
        <w:rPr>
          <w:sz w:val="22"/>
        </w:rPr>
        <w:t>I</w:t>
      </w:r>
      <w:r>
        <w:rPr>
          <w:spacing w:val="40"/>
          <w:sz w:val="22"/>
        </w:rPr>
        <w:t> </w:t>
      </w:r>
      <w:r>
        <w:rPr>
          <w:sz w:val="22"/>
        </w:rPr>
        <w:t>sincerely</w:t>
      </w:r>
      <w:r>
        <w:rPr>
          <w:spacing w:val="40"/>
          <w:sz w:val="22"/>
        </w:rPr>
        <w:t> </w:t>
      </w:r>
      <w:r>
        <w:rPr>
          <w:sz w:val="22"/>
        </w:rPr>
        <w:t>appreciate</w:t>
      </w:r>
      <w:r>
        <w:rPr>
          <w:spacing w:val="40"/>
          <w:sz w:val="22"/>
        </w:rPr>
        <w:t> </w:t>
      </w:r>
      <w:r>
        <w:rPr>
          <w:sz w:val="22"/>
        </w:rPr>
        <w:t>the</w:t>
      </w:r>
      <w:r>
        <w:rPr>
          <w:spacing w:val="40"/>
          <w:sz w:val="22"/>
        </w:rPr>
        <w:t> </w:t>
      </w:r>
      <w:r>
        <w:rPr>
          <w:sz w:val="22"/>
        </w:rPr>
        <w:t>efforts</w:t>
      </w:r>
      <w:r>
        <w:rPr>
          <w:spacing w:val="40"/>
          <w:sz w:val="22"/>
        </w:rPr>
        <w:t> </w:t>
      </w:r>
      <w:r>
        <w:rPr>
          <w:sz w:val="22"/>
        </w:rPr>
        <w:t>of</w:t>
      </w:r>
      <w:r>
        <w:rPr>
          <w:spacing w:val="40"/>
          <w:sz w:val="22"/>
        </w:rPr>
        <w:t> </w:t>
      </w:r>
      <w:r>
        <w:rPr>
          <w:sz w:val="22"/>
        </w:rPr>
        <w:t>the</w:t>
      </w:r>
      <w:r>
        <w:rPr>
          <w:spacing w:val="40"/>
          <w:sz w:val="22"/>
        </w:rPr>
        <w:t> </w:t>
      </w:r>
      <w:r>
        <w:rPr>
          <w:sz w:val="22"/>
        </w:rPr>
        <w:t>Dean,</w:t>
      </w:r>
      <w:r>
        <w:rPr>
          <w:spacing w:val="40"/>
          <w:sz w:val="22"/>
        </w:rPr>
        <w:t> </w:t>
      </w:r>
      <w:r>
        <w:rPr>
          <w:sz w:val="22"/>
        </w:rPr>
        <w:t>Faculty</w:t>
      </w:r>
      <w:r>
        <w:rPr>
          <w:spacing w:val="40"/>
          <w:sz w:val="22"/>
        </w:rPr>
        <w:t> </w:t>
      </w:r>
      <w:r>
        <w:rPr>
          <w:sz w:val="22"/>
        </w:rPr>
        <w:t>of</w:t>
      </w:r>
      <w:r>
        <w:rPr>
          <w:spacing w:val="40"/>
          <w:sz w:val="22"/>
        </w:rPr>
        <w:t> </w:t>
      </w:r>
      <w:r>
        <w:rPr>
          <w:sz w:val="22"/>
        </w:rPr>
        <w:t>Law,</w:t>
      </w:r>
      <w:r>
        <w:rPr>
          <w:spacing w:val="40"/>
          <w:sz w:val="22"/>
        </w:rPr>
        <w:t> </w:t>
      </w:r>
      <w:r>
        <w:rPr>
          <w:sz w:val="22"/>
        </w:rPr>
        <w:t>A.B.U.,</w:t>
      </w:r>
      <w:r>
        <w:rPr>
          <w:spacing w:val="40"/>
          <w:sz w:val="22"/>
        </w:rPr>
        <w:t> </w:t>
      </w:r>
      <w:r>
        <w:rPr>
          <w:sz w:val="22"/>
        </w:rPr>
        <w:t>Zaria, Professor</w:t>
      </w:r>
      <w:r>
        <w:rPr>
          <w:spacing w:val="40"/>
          <w:sz w:val="22"/>
        </w:rPr>
        <w:t> </w:t>
      </w:r>
      <w:r>
        <w:rPr>
          <w:sz w:val="22"/>
        </w:rPr>
        <w:t>Y.Y.</w:t>
      </w:r>
      <w:r>
        <w:rPr>
          <w:spacing w:val="40"/>
          <w:sz w:val="22"/>
        </w:rPr>
        <w:t> </w:t>
      </w:r>
      <w:r>
        <w:rPr>
          <w:sz w:val="22"/>
        </w:rPr>
        <w:t>Bambale</w:t>
      </w:r>
      <w:r>
        <w:rPr>
          <w:spacing w:val="40"/>
          <w:sz w:val="22"/>
        </w:rPr>
        <w:t> </w:t>
      </w:r>
      <w:r>
        <w:rPr>
          <w:sz w:val="22"/>
        </w:rPr>
        <w:t>for</w:t>
      </w:r>
      <w:r>
        <w:rPr>
          <w:spacing w:val="40"/>
          <w:sz w:val="22"/>
        </w:rPr>
        <w:t> </w:t>
      </w:r>
      <w:r>
        <w:rPr>
          <w:sz w:val="22"/>
        </w:rPr>
        <w:t>encouraging</w:t>
      </w:r>
      <w:r>
        <w:rPr>
          <w:spacing w:val="40"/>
          <w:sz w:val="22"/>
        </w:rPr>
        <w:t> </w:t>
      </w:r>
      <w:r>
        <w:rPr>
          <w:sz w:val="22"/>
        </w:rPr>
        <w:t>our</w:t>
      </w:r>
      <w:r>
        <w:rPr>
          <w:spacing w:val="40"/>
          <w:sz w:val="22"/>
        </w:rPr>
        <w:t> </w:t>
      </w:r>
      <w:r>
        <w:rPr>
          <w:sz w:val="22"/>
        </w:rPr>
        <w:t>graduation</w:t>
      </w:r>
      <w:r>
        <w:rPr>
          <w:spacing w:val="40"/>
          <w:sz w:val="22"/>
        </w:rPr>
        <w:t> </w:t>
      </w:r>
      <w:r>
        <w:rPr>
          <w:sz w:val="22"/>
        </w:rPr>
        <w:t>within</w:t>
      </w:r>
      <w:r>
        <w:rPr>
          <w:spacing w:val="40"/>
          <w:sz w:val="22"/>
        </w:rPr>
        <w:t> </w:t>
      </w:r>
      <w:r>
        <w:rPr>
          <w:sz w:val="22"/>
        </w:rPr>
        <w:t>time.</w:t>
      </w:r>
      <w:r>
        <w:rPr>
          <w:spacing w:val="40"/>
          <w:sz w:val="22"/>
        </w:rPr>
        <w:t> </w:t>
      </w:r>
      <w:r>
        <w:rPr>
          <w:sz w:val="22"/>
        </w:rPr>
        <w:t>May</w:t>
      </w:r>
      <w:r>
        <w:rPr>
          <w:spacing w:val="40"/>
          <w:sz w:val="22"/>
        </w:rPr>
        <w:t> </w:t>
      </w:r>
      <w:r>
        <w:rPr>
          <w:sz w:val="22"/>
        </w:rPr>
        <w:t>the Almighty</w:t>
      </w:r>
      <w:r>
        <w:rPr>
          <w:spacing w:val="40"/>
          <w:sz w:val="22"/>
        </w:rPr>
        <w:t> </w:t>
      </w:r>
      <w:r>
        <w:rPr>
          <w:sz w:val="22"/>
        </w:rPr>
        <w:t>God</w:t>
      </w:r>
      <w:r>
        <w:rPr>
          <w:spacing w:val="40"/>
          <w:sz w:val="22"/>
        </w:rPr>
        <w:t> </w:t>
      </w:r>
      <w:r>
        <w:rPr>
          <w:sz w:val="22"/>
        </w:rPr>
        <w:t>richly</w:t>
      </w:r>
      <w:r>
        <w:rPr>
          <w:spacing w:val="40"/>
          <w:sz w:val="22"/>
        </w:rPr>
        <w:t> </w:t>
      </w:r>
      <w:r>
        <w:rPr>
          <w:sz w:val="22"/>
        </w:rPr>
        <w:t>reward</w:t>
      </w:r>
      <w:r>
        <w:rPr>
          <w:spacing w:val="40"/>
          <w:sz w:val="22"/>
        </w:rPr>
        <w:t> </w:t>
      </w:r>
      <w:r>
        <w:rPr>
          <w:sz w:val="22"/>
        </w:rPr>
        <w:t>him.</w:t>
      </w:r>
      <w:r>
        <w:rPr>
          <w:spacing w:val="40"/>
          <w:sz w:val="22"/>
        </w:rPr>
        <w:t> </w:t>
      </w:r>
      <w:r>
        <w:rPr>
          <w:sz w:val="22"/>
        </w:rPr>
        <w:t>In</w:t>
      </w:r>
      <w:r>
        <w:rPr>
          <w:spacing w:val="40"/>
          <w:sz w:val="22"/>
        </w:rPr>
        <w:t> </w:t>
      </w:r>
      <w:r>
        <w:rPr>
          <w:sz w:val="22"/>
        </w:rPr>
        <w:t>the</w:t>
      </w:r>
      <w:r>
        <w:rPr>
          <w:spacing w:val="40"/>
          <w:sz w:val="22"/>
        </w:rPr>
        <w:t> </w:t>
      </w:r>
      <w:r>
        <w:rPr>
          <w:sz w:val="22"/>
        </w:rPr>
        <w:t>same</w:t>
      </w:r>
      <w:r>
        <w:rPr>
          <w:spacing w:val="40"/>
          <w:sz w:val="22"/>
        </w:rPr>
        <w:t> </w:t>
      </w:r>
      <w:r>
        <w:rPr>
          <w:sz w:val="22"/>
        </w:rPr>
        <w:t>vein,</w:t>
      </w:r>
      <w:r>
        <w:rPr>
          <w:spacing w:val="40"/>
          <w:sz w:val="22"/>
        </w:rPr>
        <w:t> </w:t>
      </w:r>
      <w:r>
        <w:rPr>
          <w:sz w:val="22"/>
        </w:rPr>
        <w:t>I</w:t>
      </w:r>
      <w:r>
        <w:rPr>
          <w:spacing w:val="40"/>
          <w:sz w:val="22"/>
        </w:rPr>
        <w:t> </w:t>
      </w:r>
      <w:r>
        <w:rPr>
          <w:sz w:val="22"/>
        </w:rPr>
        <w:t>remain</w:t>
      </w:r>
      <w:r>
        <w:rPr>
          <w:spacing w:val="40"/>
          <w:sz w:val="22"/>
        </w:rPr>
        <w:t> </w:t>
      </w:r>
      <w:r>
        <w:rPr>
          <w:sz w:val="22"/>
        </w:rPr>
        <w:t>grateful</w:t>
      </w:r>
      <w:r>
        <w:rPr>
          <w:spacing w:val="40"/>
          <w:sz w:val="22"/>
        </w:rPr>
        <w:t> </w:t>
      </w:r>
      <w:r>
        <w:rPr>
          <w:sz w:val="22"/>
        </w:rPr>
        <w:t>to</w:t>
      </w:r>
      <w:r>
        <w:rPr>
          <w:spacing w:val="40"/>
          <w:sz w:val="22"/>
        </w:rPr>
        <w:t> </w:t>
      </w:r>
      <w:r>
        <w:rPr>
          <w:sz w:val="22"/>
        </w:rPr>
        <w:t>all</w:t>
      </w:r>
      <w:r>
        <w:rPr>
          <w:spacing w:val="40"/>
          <w:sz w:val="22"/>
        </w:rPr>
        <w:t> </w:t>
      </w:r>
      <w:r>
        <w:rPr>
          <w:sz w:val="22"/>
        </w:rPr>
        <w:t>the learned lecturers</w:t>
      </w:r>
      <w:r>
        <w:rPr>
          <w:spacing w:val="40"/>
          <w:sz w:val="22"/>
        </w:rPr>
        <w:t> </w:t>
      </w:r>
      <w:r>
        <w:rPr>
          <w:sz w:val="22"/>
        </w:rPr>
        <w:t>of the</w:t>
      </w:r>
      <w:r>
        <w:rPr>
          <w:spacing w:val="40"/>
          <w:sz w:val="22"/>
        </w:rPr>
        <w:t> </w:t>
      </w:r>
      <w:r>
        <w:rPr>
          <w:sz w:val="22"/>
        </w:rPr>
        <w:t>Faculty</w:t>
      </w:r>
      <w:r>
        <w:rPr>
          <w:spacing w:val="40"/>
          <w:sz w:val="22"/>
        </w:rPr>
        <w:t> </w:t>
      </w:r>
      <w:r>
        <w:rPr>
          <w:sz w:val="22"/>
        </w:rPr>
        <w:t>of</w:t>
      </w:r>
      <w:r>
        <w:rPr>
          <w:spacing w:val="40"/>
          <w:sz w:val="22"/>
        </w:rPr>
        <w:t> </w:t>
      </w:r>
      <w:r>
        <w:rPr>
          <w:sz w:val="22"/>
        </w:rPr>
        <w:t>Law,</w:t>
      </w:r>
      <w:r>
        <w:rPr>
          <w:spacing w:val="40"/>
          <w:sz w:val="22"/>
        </w:rPr>
        <w:t> </w:t>
      </w:r>
      <w:r>
        <w:rPr>
          <w:sz w:val="22"/>
        </w:rPr>
        <w:t>A.B.U</w:t>
      </w:r>
      <w:r>
        <w:rPr>
          <w:spacing w:val="40"/>
          <w:sz w:val="22"/>
        </w:rPr>
        <w:t> </w:t>
      </w:r>
      <w:r>
        <w:rPr>
          <w:sz w:val="22"/>
        </w:rPr>
        <w:t>Zaria,</w:t>
      </w:r>
      <w:r>
        <w:rPr>
          <w:spacing w:val="40"/>
          <w:sz w:val="22"/>
        </w:rPr>
        <w:t> </w:t>
      </w:r>
      <w:r>
        <w:rPr>
          <w:sz w:val="22"/>
        </w:rPr>
        <w:t>for</w:t>
      </w:r>
      <w:r>
        <w:rPr>
          <w:spacing w:val="40"/>
          <w:sz w:val="22"/>
        </w:rPr>
        <w:t> </w:t>
      </w:r>
      <w:r>
        <w:rPr>
          <w:sz w:val="22"/>
        </w:rPr>
        <w:t>teaching</w:t>
      </w:r>
      <w:r>
        <w:rPr>
          <w:spacing w:val="40"/>
          <w:sz w:val="22"/>
        </w:rPr>
        <w:t> </w:t>
      </w:r>
      <w:r>
        <w:rPr>
          <w:sz w:val="22"/>
        </w:rPr>
        <w:t>me</w:t>
      </w:r>
      <w:r>
        <w:rPr>
          <w:spacing w:val="40"/>
          <w:sz w:val="22"/>
        </w:rPr>
        <w:t> </w:t>
      </w:r>
      <w:r>
        <w:rPr>
          <w:sz w:val="22"/>
        </w:rPr>
        <w:t>Law</w:t>
      </w:r>
      <w:r>
        <w:rPr>
          <w:spacing w:val="40"/>
          <w:sz w:val="22"/>
        </w:rPr>
        <w:t> </w:t>
      </w:r>
      <w:r>
        <w:rPr>
          <w:sz w:val="22"/>
        </w:rPr>
        <w:t>and scholarly research.</w:t>
      </w:r>
    </w:p>
    <w:p>
      <w:pPr>
        <w:pStyle w:val="BodyText"/>
        <w:spacing w:before="7"/>
        <w:rPr>
          <w:sz w:val="22"/>
        </w:rPr>
      </w:pPr>
    </w:p>
    <w:p>
      <w:pPr>
        <w:spacing w:line="491" w:lineRule="auto" w:before="1"/>
        <w:ind w:left="187" w:right="559" w:firstLine="0"/>
        <w:jc w:val="both"/>
        <w:rPr>
          <w:sz w:val="22"/>
        </w:rPr>
      </w:pPr>
      <w:r>
        <w:rPr>
          <w:sz w:val="22"/>
        </w:rPr>
        <w:t>My dear father, Mr. Peter Mamman, dear mother, Mary Peter and all my beloved siblings deserve special acknowledgement for always standing by me. Their patience and kindness towards me will never be forgotten. May the Lord bless them with longevity in order to enjoy the fruits of their labour.</w:t>
      </w:r>
    </w:p>
    <w:p>
      <w:pPr>
        <w:spacing w:after="0" w:line="491" w:lineRule="auto"/>
        <w:jc w:val="both"/>
        <w:rPr>
          <w:sz w:val="22"/>
        </w:rPr>
        <w:sectPr>
          <w:pgSz w:w="12240" w:h="15840"/>
          <w:pgMar w:header="0" w:footer="1009" w:top="1260" w:bottom="1200" w:left="1680" w:right="1320"/>
        </w:sectPr>
      </w:pPr>
    </w:p>
    <w:p>
      <w:pPr>
        <w:spacing w:line="491" w:lineRule="auto" w:before="94"/>
        <w:ind w:left="187" w:right="563" w:firstLine="0"/>
        <w:jc w:val="both"/>
        <w:rPr>
          <w:sz w:val="22"/>
        </w:rPr>
      </w:pPr>
      <w:r>
        <w:rPr>
          <w:sz w:val="22"/>
        </w:rPr>
        <w:t>I</w:t>
      </w:r>
      <w:r>
        <w:rPr>
          <w:spacing w:val="40"/>
          <w:sz w:val="22"/>
        </w:rPr>
        <w:t> </w:t>
      </w:r>
      <w:r>
        <w:rPr>
          <w:sz w:val="22"/>
        </w:rPr>
        <w:t>appreciate</w:t>
      </w:r>
      <w:r>
        <w:rPr>
          <w:spacing w:val="40"/>
          <w:sz w:val="22"/>
        </w:rPr>
        <w:t> </w:t>
      </w:r>
      <w:r>
        <w:rPr>
          <w:sz w:val="22"/>
        </w:rPr>
        <w:t>the</w:t>
      </w:r>
      <w:r>
        <w:rPr>
          <w:spacing w:val="40"/>
          <w:sz w:val="22"/>
        </w:rPr>
        <w:t> </w:t>
      </w:r>
      <w:r>
        <w:rPr>
          <w:sz w:val="22"/>
        </w:rPr>
        <w:t>efforts</w:t>
      </w:r>
      <w:r>
        <w:rPr>
          <w:spacing w:val="40"/>
          <w:sz w:val="22"/>
        </w:rPr>
        <w:t> </w:t>
      </w:r>
      <w:r>
        <w:rPr>
          <w:sz w:val="22"/>
        </w:rPr>
        <w:t>and</w:t>
      </w:r>
      <w:r>
        <w:rPr>
          <w:spacing w:val="40"/>
          <w:sz w:val="22"/>
        </w:rPr>
        <w:t> </w:t>
      </w:r>
      <w:r>
        <w:rPr>
          <w:sz w:val="22"/>
        </w:rPr>
        <w:t>contributions of</w:t>
      </w:r>
      <w:r>
        <w:rPr>
          <w:spacing w:val="40"/>
          <w:sz w:val="22"/>
        </w:rPr>
        <w:t> </w:t>
      </w:r>
      <w:r>
        <w:rPr>
          <w:sz w:val="22"/>
        </w:rPr>
        <w:t>Barr.</w:t>
      </w:r>
      <w:r>
        <w:rPr>
          <w:spacing w:val="40"/>
          <w:sz w:val="22"/>
        </w:rPr>
        <w:t> </w:t>
      </w:r>
      <w:r>
        <w:rPr>
          <w:sz w:val="22"/>
        </w:rPr>
        <w:t>Isaac</w:t>
      </w:r>
      <w:r>
        <w:rPr>
          <w:spacing w:val="40"/>
          <w:sz w:val="22"/>
        </w:rPr>
        <w:t> </w:t>
      </w:r>
      <w:r>
        <w:rPr>
          <w:sz w:val="22"/>
        </w:rPr>
        <w:t>Ameh,</w:t>
      </w:r>
      <w:r>
        <w:rPr>
          <w:spacing w:val="40"/>
          <w:sz w:val="22"/>
        </w:rPr>
        <w:t> </w:t>
      </w:r>
      <w:r>
        <w:rPr>
          <w:sz w:val="22"/>
        </w:rPr>
        <w:t>Mrs.</w:t>
      </w:r>
      <w:r>
        <w:rPr>
          <w:spacing w:val="40"/>
          <w:sz w:val="22"/>
        </w:rPr>
        <w:t> </w:t>
      </w:r>
      <w:r>
        <w:rPr>
          <w:sz w:val="22"/>
        </w:rPr>
        <w:t>Laah,</w:t>
      </w:r>
      <w:r>
        <w:rPr>
          <w:spacing w:val="40"/>
          <w:sz w:val="22"/>
        </w:rPr>
        <w:t> </w:t>
      </w:r>
      <w:r>
        <w:rPr>
          <w:sz w:val="22"/>
        </w:rPr>
        <w:t>Miss Basirat, Mrs Sunday all of Faculty of Law, Ahmadu Bello University, towards my</w:t>
      </w:r>
      <w:r>
        <w:rPr>
          <w:spacing w:val="40"/>
          <w:sz w:val="22"/>
        </w:rPr>
        <w:t> </w:t>
      </w:r>
      <w:r>
        <w:rPr>
          <w:sz w:val="22"/>
        </w:rPr>
        <w:t>studies. May God</w:t>
      </w:r>
      <w:r>
        <w:rPr>
          <w:spacing w:val="40"/>
          <w:sz w:val="22"/>
        </w:rPr>
        <w:t> </w:t>
      </w:r>
      <w:r>
        <w:rPr>
          <w:sz w:val="22"/>
        </w:rPr>
        <w:t>reward</w:t>
      </w:r>
      <w:r>
        <w:rPr>
          <w:spacing w:val="40"/>
          <w:sz w:val="22"/>
        </w:rPr>
        <w:t> </w:t>
      </w:r>
      <w:r>
        <w:rPr>
          <w:sz w:val="22"/>
        </w:rPr>
        <w:t>them. I</w:t>
      </w:r>
      <w:r>
        <w:rPr>
          <w:spacing w:val="40"/>
          <w:sz w:val="22"/>
        </w:rPr>
        <w:t> </w:t>
      </w:r>
      <w:r>
        <w:rPr>
          <w:sz w:val="22"/>
        </w:rPr>
        <w:t>also</w:t>
      </w:r>
      <w:r>
        <w:rPr>
          <w:spacing w:val="40"/>
          <w:sz w:val="22"/>
        </w:rPr>
        <w:t> </w:t>
      </w:r>
      <w:r>
        <w:rPr>
          <w:sz w:val="22"/>
        </w:rPr>
        <w:t>thank all</w:t>
      </w:r>
      <w:r>
        <w:rPr>
          <w:spacing w:val="40"/>
          <w:sz w:val="22"/>
        </w:rPr>
        <w:t> </w:t>
      </w:r>
      <w:r>
        <w:rPr>
          <w:sz w:val="22"/>
        </w:rPr>
        <w:t>other</w:t>
      </w:r>
      <w:r>
        <w:rPr>
          <w:spacing w:val="40"/>
          <w:sz w:val="22"/>
        </w:rPr>
        <w:t> </w:t>
      </w:r>
      <w:r>
        <w:rPr>
          <w:sz w:val="22"/>
        </w:rPr>
        <w:t>non-academic</w:t>
      </w:r>
      <w:r>
        <w:rPr>
          <w:spacing w:val="40"/>
          <w:sz w:val="22"/>
        </w:rPr>
        <w:t> </w:t>
      </w:r>
      <w:r>
        <w:rPr>
          <w:sz w:val="22"/>
        </w:rPr>
        <w:t>staff</w:t>
      </w:r>
      <w:r>
        <w:rPr>
          <w:spacing w:val="40"/>
          <w:sz w:val="22"/>
        </w:rPr>
        <w:t> </w:t>
      </w:r>
      <w:r>
        <w:rPr>
          <w:sz w:val="22"/>
        </w:rPr>
        <w:t>of</w:t>
      </w:r>
      <w:r>
        <w:rPr>
          <w:spacing w:val="40"/>
          <w:sz w:val="22"/>
        </w:rPr>
        <w:t> </w:t>
      </w:r>
      <w:r>
        <w:rPr>
          <w:sz w:val="22"/>
        </w:rPr>
        <w:t>the Faculty whose names are not stated here.</w:t>
      </w:r>
    </w:p>
    <w:p>
      <w:pPr>
        <w:pStyle w:val="BodyText"/>
        <w:spacing w:before="10"/>
        <w:rPr>
          <w:sz w:val="22"/>
        </w:rPr>
      </w:pPr>
    </w:p>
    <w:p>
      <w:pPr>
        <w:spacing w:line="489" w:lineRule="auto" w:before="0"/>
        <w:ind w:left="187" w:right="561" w:firstLine="0"/>
        <w:jc w:val="both"/>
        <w:rPr>
          <w:sz w:val="22"/>
        </w:rPr>
      </w:pPr>
      <w:r>
        <w:rPr>
          <w:sz w:val="22"/>
        </w:rPr>
        <w:t>I appreciate the supports of all my friends and well-wishers. May God richly reward </w:t>
      </w:r>
      <w:r>
        <w:rPr>
          <w:spacing w:val="-2"/>
          <w:sz w:val="22"/>
        </w:rPr>
        <w:t>them.</w:t>
      </w:r>
    </w:p>
    <w:p>
      <w:pPr>
        <w:pStyle w:val="BodyText"/>
        <w:spacing w:before="9"/>
        <w:rPr>
          <w:sz w:val="22"/>
        </w:rPr>
      </w:pPr>
    </w:p>
    <w:p>
      <w:pPr>
        <w:spacing w:before="0"/>
        <w:ind w:left="6278" w:right="0" w:firstLine="0"/>
        <w:jc w:val="left"/>
        <w:rPr>
          <w:b/>
          <w:sz w:val="22"/>
        </w:rPr>
      </w:pPr>
      <w:r>
        <w:rPr>
          <w:b/>
          <w:sz w:val="22"/>
        </w:rPr>
        <w:t>Daniel</w:t>
      </w:r>
      <w:r>
        <w:rPr>
          <w:b/>
          <w:spacing w:val="20"/>
          <w:sz w:val="22"/>
        </w:rPr>
        <w:t> </w:t>
      </w:r>
      <w:r>
        <w:rPr>
          <w:b/>
          <w:spacing w:val="-4"/>
          <w:sz w:val="22"/>
        </w:rPr>
        <w:t>PETER</w:t>
      </w:r>
    </w:p>
    <w:p>
      <w:pPr>
        <w:spacing w:before="8"/>
        <w:ind w:left="6278" w:right="0" w:firstLine="0"/>
        <w:jc w:val="left"/>
        <w:rPr>
          <w:sz w:val="22"/>
        </w:rPr>
      </w:pPr>
      <w:r>
        <w:rPr>
          <w:sz w:val="22"/>
        </w:rPr>
        <w:t>JULY,</w:t>
      </w:r>
      <w:r>
        <w:rPr>
          <w:spacing w:val="11"/>
          <w:sz w:val="22"/>
        </w:rPr>
        <w:t> </w:t>
      </w:r>
      <w:r>
        <w:rPr>
          <w:spacing w:val="-4"/>
          <w:sz w:val="22"/>
        </w:rPr>
        <w:t>2014</w:t>
      </w:r>
    </w:p>
    <w:p>
      <w:pPr>
        <w:spacing w:after="0"/>
        <w:jc w:val="left"/>
        <w:rPr>
          <w:sz w:val="22"/>
        </w:rPr>
        <w:sectPr>
          <w:pgSz w:w="12240" w:h="15840"/>
          <w:pgMar w:header="0" w:footer="1009" w:top="1260" w:bottom="1200" w:left="1680" w:right="1320"/>
        </w:sectPr>
      </w:pPr>
    </w:p>
    <w:p>
      <w:pPr>
        <w:spacing w:before="83"/>
        <w:ind w:left="307" w:right="685" w:firstLine="0"/>
        <w:jc w:val="center"/>
        <w:rPr>
          <w:b/>
          <w:sz w:val="22"/>
        </w:rPr>
      </w:pPr>
      <w:r>
        <w:rPr>
          <w:b/>
          <w:sz w:val="22"/>
        </w:rPr>
        <w:t>TABLE</w:t>
      </w:r>
      <w:r>
        <w:rPr>
          <w:b/>
          <w:spacing w:val="14"/>
          <w:sz w:val="22"/>
        </w:rPr>
        <w:t> </w:t>
      </w:r>
      <w:r>
        <w:rPr>
          <w:b/>
          <w:sz w:val="22"/>
        </w:rPr>
        <w:t>OF</w:t>
      </w:r>
      <w:r>
        <w:rPr>
          <w:b/>
          <w:spacing w:val="12"/>
          <w:sz w:val="22"/>
        </w:rPr>
        <w:t> </w:t>
      </w:r>
      <w:r>
        <w:rPr>
          <w:b/>
          <w:spacing w:val="-2"/>
          <w:sz w:val="22"/>
        </w:rPr>
        <w:t>STATUTES</w:t>
      </w:r>
    </w:p>
    <w:p>
      <w:pPr>
        <w:pStyle w:val="BodyText"/>
        <w:spacing w:before="16"/>
        <w:rPr>
          <w:b/>
          <w:sz w:val="22"/>
        </w:rPr>
      </w:pPr>
    </w:p>
    <w:p>
      <w:pPr>
        <w:spacing w:before="0"/>
        <w:ind w:left="0" w:right="746" w:firstLine="0"/>
        <w:jc w:val="right"/>
        <w:rPr>
          <w:b/>
          <w:sz w:val="22"/>
        </w:rPr>
      </w:pPr>
      <w:r>
        <w:rPr>
          <w:b/>
          <w:spacing w:val="-2"/>
          <w:sz w:val="22"/>
        </w:rPr>
        <w:t>Pages</w:t>
      </w:r>
    </w:p>
    <w:p>
      <w:pPr>
        <w:pStyle w:val="BodyText"/>
        <w:spacing w:before="16"/>
        <w:rPr>
          <w:b/>
          <w:sz w:val="22"/>
        </w:rPr>
      </w:pPr>
    </w:p>
    <w:p>
      <w:pPr>
        <w:pStyle w:val="ListParagraph"/>
        <w:numPr>
          <w:ilvl w:val="0"/>
          <w:numId w:val="1"/>
        </w:numPr>
        <w:tabs>
          <w:tab w:pos="863" w:val="left" w:leader="none"/>
        </w:tabs>
        <w:spacing w:line="240" w:lineRule="auto" w:before="0" w:after="0"/>
        <w:ind w:left="863" w:right="0" w:hanging="676"/>
        <w:jc w:val="left"/>
        <w:rPr>
          <w:sz w:val="22"/>
        </w:rPr>
      </w:pPr>
      <w:r>
        <w:rPr>
          <w:sz w:val="22"/>
        </w:rPr>
        <w:t>Armed</w:t>
      </w:r>
      <w:r>
        <w:rPr>
          <w:spacing w:val="12"/>
          <w:sz w:val="22"/>
        </w:rPr>
        <w:t> </w:t>
      </w:r>
      <w:r>
        <w:rPr>
          <w:sz w:val="22"/>
        </w:rPr>
        <w:t>Forces</w:t>
      </w:r>
      <w:r>
        <w:rPr>
          <w:spacing w:val="12"/>
          <w:sz w:val="22"/>
        </w:rPr>
        <w:t> </w:t>
      </w:r>
      <w:r>
        <w:rPr>
          <w:sz w:val="22"/>
        </w:rPr>
        <w:t>Act,</w:t>
      </w:r>
      <w:r>
        <w:rPr>
          <w:spacing w:val="11"/>
          <w:sz w:val="22"/>
        </w:rPr>
        <w:t> </w:t>
      </w:r>
      <w:r>
        <w:rPr>
          <w:sz w:val="22"/>
        </w:rPr>
        <w:t>Cap</w:t>
      </w:r>
      <w:r>
        <w:rPr>
          <w:spacing w:val="12"/>
          <w:sz w:val="22"/>
        </w:rPr>
        <w:t> </w:t>
      </w:r>
      <w:r>
        <w:rPr>
          <w:sz w:val="22"/>
        </w:rPr>
        <w:t>A20,</w:t>
      </w:r>
      <w:r>
        <w:rPr>
          <w:spacing w:val="5"/>
          <w:sz w:val="22"/>
        </w:rPr>
        <w:t> </w:t>
      </w:r>
      <w:r>
        <w:rPr>
          <w:sz w:val="22"/>
        </w:rPr>
        <w:t>Laws</w:t>
      </w:r>
      <w:r>
        <w:rPr>
          <w:spacing w:val="7"/>
          <w:sz w:val="22"/>
        </w:rPr>
        <w:t> </w:t>
      </w:r>
      <w:r>
        <w:rPr>
          <w:sz w:val="22"/>
        </w:rPr>
        <w:t>of</w:t>
      </w:r>
      <w:r>
        <w:rPr>
          <w:spacing w:val="6"/>
          <w:sz w:val="22"/>
        </w:rPr>
        <w:t> </w:t>
      </w:r>
      <w:r>
        <w:rPr>
          <w:sz w:val="22"/>
        </w:rPr>
        <w:t>the</w:t>
      </w:r>
      <w:r>
        <w:rPr>
          <w:spacing w:val="14"/>
          <w:sz w:val="22"/>
        </w:rPr>
        <w:t> </w:t>
      </w:r>
      <w:r>
        <w:rPr>
          <w:sz w:val="22"/>
        </w:rPr>
        <w:t>Federation</w:t>
      </w:r>
      <w:r>
        <w:rPr>
          <w:spacing w:val="11"/>
          <w:sz w:val="22"/>
        </w:rPr>
        <w:t> </w:t>
      </w:r>
      <w:r>
        <w:rPr>
          <w:spacing w:val="-5"/>
          <w:sz w:val="22"/>
        </w:rPr>
        <w:t>of</w:t>
      </w:r>
    </w:p>
    <w:p>
      <w:pPr>
        <w:tabs>
          <w:tab w:pos="3571" w:val="left" w:leader="none"/>
          <w:tab w:pos="4247" w:val="left" w:leader="none"/>
          <w:tab w:pos="4924" w:val="left" w:leader="none"/>
          <w:tab w:pos="5601" w:val="left" w:leader="none"/>
          <w:tab w:pos="6278" w:val="left" w:leader="none"/>
          <w:tab w:pos="7631" w:val="left" w:leader="none"/>
        </w:tabs>
        <w:spacing w:before="3"/>
        <w:ind w:left="936" w:right="0" w:firstLine="0"/>
        <w:jc w:val="left"/>
        <w:rPr>
          <w:sz w:val="22"/>
        </w:rPr>
      </w:pPr>
      <w:r>
        <w:rPr>
          <w:sz w:val="22"/>
        </w:rPr>
        <w:t>Nigeria,</w:t>
      </w:r>
      <w:r>
        <w:rPr>
          <w:spacing w:val="13"/>
          <w:sz w:val="22"/>
        </w:rPr>
        <w:t> </w:t>
      </w:r>
      <w:r>
        <w:rPr>
          <w:spacing w:val="-4"/>
          <w:sz w:val="22"/>
        </w:rPr>
        <w:t>2004</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t>43,</w:t>
      </w:r>
      <w:r>
        <w:rPr>
          <w:spacing w:val="10"/>
          <w:sz w:val="22"/>
        </w:rPr>
        <w:t> </w:t>
      </w:r>
      <w:r>
        <w:rPr>
          <w:spacing w:val="-5"/>
          <w:sz w:val="22"/>
        </w:rPr>
        <w:t>44</w:t>
      </w:r>
    </w:p>
    <w:p>
      <w:pPr>
        <w:pStyle w:val="BodyText"/>
        <w:spacing w:before="16"/>
        <w:rPr>
          <w:sz w:val="22"/>
        </w:rPr>
      </w:pPr>
    </w:p>
    <w:p>
      <w:pPr>
        <w:pStyle w:val="ListParagraph"/>
        <w:numPr>
          <w:ilvl w:val="0"/>
          <w:numId w:val="1"/>
        </w:numPr>
        <w:tabs>
          <w:tab w:pos="863" w:val="left" w:leader="none"/>
        </w:tabs>
        <w:spacing w:line="240" w:lineRule="auto" w:before="0" w:after="0"/>
        <w:ind w:left="863" w:right="0" w:hanging="676"/>
        <w:jc w:val="left"/>
        <w:rPr>
          <w:sz w:val="22"/>
        </w:rPr>
      </w:pPr>
      <w:r>
        <w:rPr>
          <w:sz w:val="22"/>
        </w:rPr>
        <w:t>Armed</w:t>
      </w:r>
      <w:r>
        <w:rPr>
          <w:spacing w:val="12"/>
          <w:sz w:val="22"/>
        </w:rPr>
        <w:t> </w:t>
      </w:r>
      <w:r>
        <w:rPr>
          <w:sz w:val="22"/>
        </w:rPr>
        <w:t>Forces</w:t>
      </w:r>
      <w:r>
        <w:rPr>
          <w:spacing w:val="13"/>
          <w:sz w:val="22"/>
        </w:rPr>
        <w:t> </w:t>
      </w:r>
      <w:r>
        <w:rPr>
          <w:sz w:val="22"/>
        </w:rPr>
        <w:t>Pension</w:t>
      </w:r>
      <w:r>
        <w:rPr>
          <w:spacing w:val="12"/>
          <w:sz w:val="22"/>
        </w:rPr>
        <w:t> </w:t>
      </w:r>
      <w:r>
        <w:rPr>
          <w:sz w:val="22"/>
        </w:rPr>
        <w:t>Act,</w:t>
      </w:r>
      <w:r>
        <w:rPr>
          <w:spacing w:val="11"/>
          <w:sz w:val="22"/>
        </w:rPr>
        <w:t> </w:t>
      </w:r>
      <w:r>
        <w:rPr>
          <w:sz w:val="22"/>
        </w:rPr>
        <w:t>Cap</w:t>
      </w:r>
      <w:r>
        <w:rPr>
          <w:spacing w:val="15"/>
          <w:sz w:val="22"/>
        </w:rPr>
        <w:t> </w:t>
      </w:r>
      <w:r>
        <w:rPr>
          <w:sz w:val="22"/>
        </w:rPr>
        <w:t>A23,</w:t>
      </w:r>
      <w:r>
        <w:rPr>
          <w:spacing w:val="12"/>
          <w:sz w:val="22"/>
        </w:rPr>
        <w:t> </w:t>
      </w:r>
      <w:r>
        <w:rPr>
          <w:sz w:val="22"/>
        </w:rPr>
        <w:t>Laws</w:t>
      </w:r>
      <w:r>
        <w:rPr>
          <w:spacing w:val="7"/>
          <w:sz w:val="22"/>
        </w:rPr>
        <w:t> </w:t>
      </w:r>
      <w:r>
        <w:rPr>
          <w:sz w:val="22"/>
        </w:rPr>
        <w:t>of</w:t>
      </w:r>
      <w:r>
        <w:rPr>
          <w:spacing w:val="7"/>
          <w:sz w:val="22"/>
        </w:rPr>
        <w:t> </w:t>
      </w:r>
      <w:r>
        <w:rPr>
          <w:sz w:val="22"/>
        </w:rPr>
        <w:t>the</w:t>
      </w:r>
      <w:r>
        <w:rPr>
          <w:spacing w:val="14"/>
          <w:sz w:val="22"/>
        </w:rPr>
        <w:t> </w:t>
      </w:r>
      <w:r>
        <w:rPr>
          <w:sz w:val="22"/>
        </w:rPr>
        <w:t>Federation</w:t>
      </w:r>
      <w:r>
        <w:rPr>
          <w:spacing w:val="6"/>
          <w:sz w:val="22"/>
        </w:rPr>
        <w:t> </w:t>
      </w:r>
      <w:r>
        <w:rPr>
          <w:spacing w:val="-5"/>
          <w:sz w:val="22"/>
        </w:rPr>
        <w:t>of</w:t>
      </w:r>
    </w:p>
    <w:p>
      <w:pPr>
        <w:tabs>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8"/>
        <w:ind w:left="864" w:right="0" w:firstLine="0"/>
        <w:jc w:val="left"/>
        <w:rPr>
          <w:sz w:val="22"/>
        </w:rPr>
      </w:pPr>
      <w:r>
        <w:rPr>
          <w:sz w:val="22"/>
        </w:rPr>
        <w:t>Nigeria,</w:t>
      </w:r>
      <w:r>
        <w:rPr>
          <w:spacing w:val="13"/>
          <w:sz w:val="22"/>
        </w:rPr>
        <w:t> </w:t>
      </w:r>
      <w:r>
        <w:rPr>
          <w:spacing w:val="-4"/>
          <w:sz w:val="22"/>
        </w:rPr>
        <w:t>2004</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2"/>
          <w:sz w:val="22"/>
        </w:rPr>
        <w:t>43,44</w:t>
      </w:r>
    </w:p>
    <w:p>
      <w:pPr>
        <w:pStyle w:val="BodyText"/>
        <w:spacing w:before="12"/>
        <w:rPr>
          <w:sz w:val="22"/>
        </w:rPr>
      </w:pPr>
    </w:p>
    <w:p>
      <w:pPr>
        <w:pStyle w:val="ListParagraph"/>
        <w:numPr>
          <w:ilvl w:val="0"/>
          <w:numId w:val="1"/>
        </w:numPr>
        <w:tabs>
          <w:tab w:pos="863" w:val="left" w:leader="none"/>
        </w:tabs>
        <w:spacing w:line="240" w:lineRule="auto" w:before="0" w:after="0"/>
        <w:ind w:left="863" w:right="0" w:hanging="676"/>
        <w:jc w:val="left"/>
        <w:rPr>
          <w:sz w:val="22"/>
        </w:rPr>
      </w:pPr>
      <w:r>
        <w:rPr>
          <w:sz w:val="22"/>
        </w:rPr>
        <w:t>Constitution</w:t>
      </w:r>
      <w:r>
        <w:rPr>
          <w:spacing w:val="7"/>
          <w:sz w:val="22"/>
        </w:rPr>
        <w:t> </w:t>
      </w:r>
      <w:r>
        <w:rPr>
          <w:sz w:val="22"/>
        </w:rPr>
        <w:t>of</w:t>
      </w:r>
      <w:r>
        <w:rPr>
          <w:spacing w:val="9"/>
          <w:sz w:val="22"/>
        </w:rPr>
        <w:t> </w:t>
      </w:r>
      <w:r>
        <w:rPr>
          <w:sz w:val="22"/>
        </w:rPr>
        <w:t>the</w:t>
      </w:r>
      <w:r>
        <w:rPr>
          <w:spacing w:val="16"/>
          <w:sz w:val="22"/>
        </w:rPr>
        <w:t> </w:t>
      </w:r>
      <w:r>
        <w:rPr>
          <w:sz w:val="22"/>
        </w:rPr>
        <w:t>Federal</w:t>
      </w:r>
      <w:r>
        <w:rPr>
          <w:spacing w:val="16"/>
          <w:sz w:val="22"/>
        </w:rPr>
        <w:t> </w:t>
      </w:r>
      <w:r>
        <w:rPr>
          <w:sz w:val="22"/>
        </w:rPr>
        <w:t>Republic</w:t>
      </w:r>
      <w:r>
        <w:rPr>
          <w:spacing w:val="11"/>
          <w:sz w:val="22"/>
        </w:rPr>
        <w:t> </w:t>
      </w:r>
      <w:r>
        <w:rPr>
          <w:sz w:val="22"/>
        </w:rPr>
        <w:t>of</w:t>
      </w:r>
      <w:r>
        <w:rPr>
          <w:spacing w:val="9"/>
          <w:sz w:val="22"/>
        </w:rPr>
        <w:t> </w:t>
      </w:r>
      <w:r>
        <w:rPr>
          <w:sz w:val="22"/>
        </w:rPr>
        <w:t>Nigeria</w:t>
      </w:r>
      <w:r>
        <w:rPr>
          <w:spacing w:val="11"/>
          <w:sz w:val="22"/>
        </w:rPr>
        <w:t> </w:t>
      </w:r>
      <w:r>
        <w:rPr>
          <w:sz w:val="22"/>
        </w:rPr>
        <w:t>1999</w:t>
      </w:r>
      <w:r>
        <w:rPr>
          <w:spacing w:val="16"/>
          <w:sz w:val="22"/>
        </w:rPr>
        <w:t> </w:t>
      </w:r>
      <w:r>
        <w:rPr>
          <w:spacing w:val="-5"/>
          <w:sz w:val="22"/>
        </w:rPr>
        <w:t>(as</w:t>
      </w:r>
    </w:p>
    <w:p>
      <w:pPr>
        <w:tabs>
          <w:tab w:pos="2217" w:val="left" w:leader="none"/>
          <w:tab w:pos="2894" w:val="left" w:leader="none"/>
          <w:tab w:pos="3571" w:val="left" w:leader="none"/>
          <w:tab w:pos="4247" w:val="left" w:leader="none"/>
          <w:tab w:pos="4924" w:val="left" w:leader="none"/>
          <w:tab w:pos="5601" w:val="left" w:leader="none"/>
          <w:tab w:pos="6350" w:val="left" w:leader="none"/>
          <w:tab w:pos="7027" w:val="left" w:leader="none"/>
        </w:tabs>
        <w:spacing w:before="8"/>
        <w:ind w:left="864" w:right="0" w:firstLine="0"/>
        <w:jc w:val="left"/>
        <w:rPr>
          <w:sz w:val="22"/>
        </w:rPr>
      </w:pPr>
      <w:r>
        <w:rPr>
          <w:spacing w:val="-2"/>
          <w:sz w:val="22"/>
        </w:rPr>
        <w:t>amended).</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2"/>
          <w:sz w:val="22"/>
        </w:rPr>
        <w:t>91,103,110</w:t>
      </w:r>
    </w:p>
    <w:p>
      <w:pPr>
        <w:pStyle w:val="BodyText"/>
        <w:spacing w:before="11"/>
        <w:rPr>
          <w:sz w:val="22"/>
        </w:rPr>
      </w:pPr>
    </w:p>
    <w:p>
      <w:pPr>
        <w:tabs>
          <w:tab w:pos="863" w:val="left" w:leader="none"/>
          <w:tab w:pos="5884" w:val="left" w:leader="none"/>
        </w:tabs>
        <w:spacing w:before="0"/>
        <w:ind w:left="187" w:right="0" w:firstLine="0"/>
        <w:jc w:val="left"/>
        <w:rPr>
          <w:sz w:val="22"/>
        </w:rPr>
      </w:pPr>
      <w:r>
        <w:rPr>
          <w:spacing w:val="-10"/>
          <w:sz w:val="22"/>
        </w:rPr>
        <w:t>-</w:t>
      </w:r>
      <w:r>
        <w:rPr>
          <w:sz w:val="22"/>
        </w:rPr>
        <w:tab/>
        <w:t>Employees’</w:t>
      </w:r>
      <w:r>
        <w:rPr>
          <w:spacing w:val="10"/>
          <w:sz w:val="22"/>
        </w:rPr>
        <w:t> </w:t>
      </w:r>
      <w:r>
        <w:rPr>
          <w:sz w:val="22"/>
        </w:rPr>
        <w:t>Compensation</w:t>
      </w:r>
      <w:r>
        <w:rPr>
          <w:spacing w:val="21"/>
          <w:sz w:val="22"/>
        </w:rPr>
        <w:t> </w:t>
      </w:r>
      <w:r>
        <w:rPr>
          <w:sz w:val="22"/>
        </w:rPr>
        <w:t>Act</w:t>
      </w:r>
      <w:r>
        <w:rPr>
          <w:spacing w:val="18"/>
          <w:sz w:val="22"/>
        </w:rPr>
        <w:t> </w:t>
      </w:r>
      <w:r>
        <w:rPr>
          <w:sz w:val="22"/>
        </w:rPr>
        <w:t>No.</w:t>
      </w:r>
      <w:r>
        <w:rPr>
          <w:spacing w:val="15"/>
          <w:sz w:val="22"/>
        </w:rPr>
        <w:t> </w:t>
      </w:r>
      <w:r>
        <w:rPr>
          <w:sz w:val="22"/>
        </w:rPr>
        <w:t>13,</w:t>
      </w:r>
      <w:r>
        <w:rPr>
          <w:spacing w:val="10"/>
          <w:sz w:val="22"/>
        </w:rPr>
        <w:t> </w:t>
      </w:r>
      <w:r>
        <w:rPr>
          <w:spacing w:val="-4"/>
          <w:sz w:val="22"/>
        </w:rPr>
        <w:t>2010.</w:t>
      </w:r>
      <w:r>
        <w:rPr>
          <w:sz w:val="22"/>
        </w:rPr>
        <w:tab/>
        <w:t>9,10,11,12,13,20-</w:t>
      </w:r>
      <w:r>
        <w:rPr>
          <w:spacing w:val="-5"/>
          <w:sz w:val="22"/>
        </w:rPr>
        <w:t>136</w:t>
      </w:r>
    </w:p>
    <w:p>
      <w:pPr>
        <w:pStyle w:val="BodyText"/>
        <w:rPr>
          <w:sz w:val="20"/>
        </w:rPr>
      </w:pPr>
    </w:p>
    <w:p>
      <w:pPr>
        <w:pStyle w:val="BodyText"/>
        <w:spacing w:before="67"/>
        <w:rPr>
          <w:sz w:val="20"/>
        </w:rPr>
      </w:pPr>
    </w:p>
    <w:tbl>
      <w:tblPr>
        <w:tblW w:w="0" w:type="auto"/>
        <w:jc w:val="left"/>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894"/>
        <w:gridCol w:w="2966"/>
        <w:gridCol w:w="1002"/>
      </w:tblGrid>
      <w:tr>
        <w:trPr>
          <w:trHeight w:val="407" w:hRule="atLeast"/>
        </w:trPr>
        <w:tc>
          <w:tcPr>
            <w:tcW w:w="3894" w:type="dxa"/>
          </w:tcPr>
          <w:p>
            <w:pPr>
              <w:pStyle w:val="TableParagraph"/>
              <w:tabs>
                <w:tab w:pos="726" w:val="left" w:leader="none"/>
              </w:tabs>
              <w:ind w:left="50"/>
              <w:rPr>
                <w:sz w:val="22"/>
              </w:rPr>
            </w:pPr>
            <w:r>
              <w:rPr>
                <w:spacing w:val="-10"/>
                <w:sz w:val="22"/>
              </w:rPr>
              <w:t>-</w:t>
            </w:r>
            <w:r>
              <w:rPr>
                <w:sz w:val="22"/>
              </w:rPr>
              <w:tab/>
              <w:t>Employees’</w:t>
            </w:r>
            <w:r>
              <w:rPr>
                <w:spacing w:val="13"/>
                <w:sz w:val="22"/>
              </w:rPr>
              <w:t> </w:t>
            </w:r>
            <w:r>
              <w:rPr>
                <w:sz w:val="22"/>
              </w:rPr>
              <w:t>Liability</w:t>
            </w:r>
            <w:r>
              <w:rPr>
                <w:spacing w:val="12"/>
                <w:sz w:val="22"/>
              </w:rPr>
              <w:t> </w:t>
            </w:r>
            <w:r>
              <w:rPr>
                <w:sz w:val="22"/>
              </w:rPr>
              <w:t>Act,</w:t>
            </w:r>
            <w:r>
              <w:rPr>
                <w:spacing w:val="18"/>
                <w:sz w:val="22"/>
              </w:rPr>
              <w:t> </w:t>
            </w:r>
            <w:r>
              <w:rPr>
                <w:spacing w:val="-4"/>
                <w:sz w:val="22"/>
              </w:rPr>
              <w:t>1880</w:t>
            </w:r>
          </w:p>
        </w:tc>
        <w:tc>
          <w:tcPr>
            <w:tcW w:w="2966" w:type="dxa"/>
          </w:tcPr>
          <w:p>
            <w:pPr>
              <w:pStyle w:val="TableParagraph"/>
              <w:tabs>
                <w:tab w:pos="893" w:val="left" w:leader="none"/>
                <w:tab w:pos="1570" w:val="left" w:leader="none"/>
                <w:tab w:pos="2247" w:val="left" w:leader="none"/>
              </w:tabs>
              <w:ind w:left="216"/>
              <w:rPr>
                <w:sz w:val="22"/>
              </w:rPr>
            </w:pP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p>
        </w:tc>
        <w:tc>
          <w:tcPr>
            <w:tcW w:w="1002" w:type="dxa"/>
          </w:tcPr>
          <w:p>
            <w:pPr>
              <w:pStyle w:val="TableParagraph"/>
              <w:ind w:right="50"/>
              <w:jc w:val="right"/>
              <w:rPr>
                <w:sz w:val="22"/>
              </w:rPr>
            </w:pPr>
            <w:r>
              <w:rPr>
                <w:spacing w:val="-5"/>
                <w:sz w:val="22"/>
              </w:rPr>
              <w:t>24</w:t>
            </w:r>
          </w:p>
        </w:tc>
      </w:tr>
      <w:tr>
        <w:trPr>
          <w:trHeight w:val="407" w:hRule="atLeast"/>
        </w:trPr>
        <w:tc>
          <w:tcPr>
            <w:tcW w:w="3894" w:type="dxa"/>
          </w:tcPr>
          <w:p>
            <w:pPr>
              <w:pStyle w:val="TableParagraph"/>
              <w:tabs>
                <w:tab w:pos="726" w:val="left" w:leader="none"/>
              </w:tabs>
              <w:spacing w:line="247" w:lineRule="exact" w:before="140"/>
              <w:ind w:left="50"/>
              <w:rPr>
                <w:sz w:val="22"/>
              </w:rPr>
            </w:pPr>
            <w:r>
              <w:rPr>
                <w:spacing w:val="-10"/>
                <w:sz w:val="22"/>
              </w:rPr>
              <w:t>-</w:t>
            </w:r>
            <w:r>
              <w:rPr>
                <w:sz w:val="22"/>
              </w:rPr>
              <w:tab/>
              <w:t>Employees’</w:t>
            </w:r>
            <w:r>
              <w:rPr>
                <w:spacing w:val="13"/>
                <w:sz w:val="22"/>
              </w:rPr>
              <w:t> </w:t>
            </w:r>
            <w:r>
              <w:rPr>
                <w:sz w:val="22"/>
              </w:rPr>
              <w:t>Liability</w:t>
            </w:r>
            <w:r>
              <w:rPr>
                <w:spacing w:val="12"/>
                <w:sz w:val="22"/>
              </w:rPr>
              <w:t> </w:t>
            </w:r>
            <w:r>
              <w:rPr>
                <w:sz w:val="22"/>
              </w:rPr>
              <w:t>Act,</w:t>
            </w:r>
            <w:r>
              <w:rPr>
                <w:spacing w:val="18"/>
                <w:sz w:val="22"/>
              </w:rPr>
              <w:t> </w:t>
            </w:r>
            <w:r>
              <w:rPr>
                <w:spacing w:val="-4"/>
                <w:sz w:val="22"/>
              </w:rPr>
              <w:t>1908</w:t>
            </w:r>
          </w:p>
        </w:tc>
        <w:tc>
          <w:tcPr>
            <w:tcW w:w="2966" w:type="dxa"/>
          </w:tcPr>
          <w:p>
            <w:pPr>
              <w:pStyle w:val="TableParagraph"/>
              <w:tabs>
                <w:tab w:pos="893" w:val="left" w:leader="none"/>
                <w:tab w:pos="1570" w:val="left" w:leader="none"/>
                <w:tab w:pos="2247" w:val="left" w:leader="none"/>
              </w:tabs>
              <w:spacing w:line="247" w:lineRule="exact" w:before="140"/>
              <w:ind w:left="216"/>
              <w:rPr>
                <w:sz w:val="22"/>
              </w:rPr>
            </w:pP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p>
        </w:tc>
        <w:tc>
          <w:tcPr>
            <w:tcW w:w="1002" w:type="dxa"/>
          </w:tcPr>
          <w:p>
            <w:pPr>
              <w:pStyle w:val="TableParagraph"/>
              <w:spacing w:line="247" w:lineRule="exact" w:before="140"/>
              <w:ind w:right="117"/>
              <w:jc w:val="right"/>
              <w:rPr>
                <w:sz w:val="22"/>
              </w:rPr>
            </w:pPr>
            <w:r>
              <w:rPr>
                <w:spacing w:val="-5"/>
                <w:sz w:val="22"/>
              </w:rPr>
              <w:t>24</w:t>
            </w:r>
          </w:p>
        </w:tc>
      </w:tr>
    </w:tbl>
    <w:p>
      <w:pPr>
        <w:pStyle w:val="BodyText"/>
        <w:spacing w:before="10"/>
        <w:rPr>
          <w:sz w:val="22"/>
        </w:rPr>
      </w:pPr>
    </w:p>
    <w:p>
      <w:pPr>
        <w:pStyle w:val="ListParagraph"/>
        <w:numPr>
          <w:ilvl w:val="0"/>
          <w:numId w:val="1"/>
        </w:numPr>
        <w:tabs>
          <w:tab w:pos="863" w:val="left" w:leader="none"/>
          <w:tab w:pos="7703" w:val="left" w:leader="none"/>
        </w:tabs>
        <w:spacing w:line="240" w:lineRule="auto" w:before="1" w:after="0"/>
        <w:ind w:left="863" w:right="0" w:hanging="676"/>
        <w:jc w:val="left"/>
        <w:rPr>
          <w:sz w:val="22"/>
        </w:rPr>
      </w:pPr>
      <w:r>
        <w:rPr>
          <w:sz w:val="22"/>
        </w:rPr>
        <w:t>Labour</w:t>
      </w:r>
      <w:r>
        <w:rPr>
          <w:spacing w:val="7"/>
          <w:sz w:val="22"/>
        </w:rPr>
        <w:t> </w:t>
      </w:r>
      <w:r>
        <w:rPr>
          <w:sz w:val="22"/>
        </w:rPr>
        <w:t>Act,</w:t>
      </w:r>
      <w:r>
        <w:rPr>
          <w:spacing w:val="12"/>
          <w:sz w:val="22"/>
        </w:rPr>
        <w:t> </w:t>
      </w:r>
      <w:r>
        <w:rPr>
          <w:sz w:val="22"/>
        </w:rPr>
        <w:t>Cap</w:t>
      </w:r>
      <w:r>
        <w:rPr>
          <w:spacing w:val="8"/>
          <w:sz w:val="22"/>
        </w:rPr>
        <w:t> </w:t>
      </w:r>
      <w:r>
        <w:rPr>
          <w:sz w:val="22"/>
        </w:rPr>
        <w:t>L1,</w:t>
      </w:r>
      <w:r>
        <w:rPr>
          <w:spacing w:val="12"/>
          <w:sz w:val="22"/>
        </w:rPr>
        <w:t> </w:t>
      </w:r>
      <w:r>
        <w:rPr>
          <w:sz w:val="22"/>
        </w:rPr>
        <w:t>Laws</w:t>
      </w:r>
      <w:r>
        <w:rPr>
          <w:spacing w:val="7"/>
          <w:sz w:val="22"/>
        </w:rPr>
        <w:t> </w:t>
      </w:r>
      <w:r>
        <w:rPr>
          <w:sz w:val="22"/>
        </w:rPr>
        <w:t>of</w:t>
      </w:r>
      <w:r>
        <w:rPr>
          <w:spacing w:val="8"/>
          <w:sz w:val="22"/>
        </w:rPr>
        <w:t> </w:t>
      </w:r>
      <w:r>
        <w:rPr>
          <w:sz w:val="22"/>
        </w:rPr>
        <w:t>the</w:t>
      </w:r>
      <w:r>
        <w:rPr>
          <w:spacing w:val="14"/>
          <w:sz w:val="22"/>
        </w:rPr>
        <w:t> </w:t>
      </w:r>
      <w:r>
        <w:rPr>
          <w:sz w:val="22"/>
        </w:rPr>
        <w:t>Federation</w:t>
      </w:r>
      <w:r>
        <w:rPr>
          <w:spacing w:val="12"/>
          <w:sz w:val="22"/>
        </w:rPr>
        <w:t> </w:t>
      </w:r>
      <w:r>
        <w:rPr>
          <w:sz w:val="22"/>
        </w:rPr>
        <w:t>of</w:t>
      </w:r>
      <w:r>
        <w:rPr>
          <w:spacing w:val="7"/>
          <w:sz w:val="22"/>
        </w:rPr>
        <w:t> </w:t>
      </w:r>
      <w:r>
        <w:rPr>
          <w:sz w:val="22"/>
        </w:rPr>
        <w:t>Nigeria,</w:t>
      </w:r>
      <w:r>
        <w:rPr>
          <w:spacing w:val="7"/>
          <w:sz w:val="22"/>
        </w:rPr>
        <w:t> </w:t>
      </w:r>
      <w:r>
        <w:rPr>
          <w:spacing w:val="-2"/>
          <w:sz w:val="22"/>
        </w:rPr>
        <w:t>2004.</w:t>
      </w:r>
      <w:r>
        <w:rPr>
          <w:sz w:val="22"/>
        </w:rPr>
        <w:tab/>
      </w:r>
      <w:r>
        <w:rPr>
          <w:spacing w:val="-5"/>
          <w:sz w:val="22"/>
        </w:rPr>
        <w:t>45</w:t>
      </w:r>
    </w:p>
    <w:p>
      <w:pPr>
        <w:pStyle w:val="BodyText"/>
        <w:spacing w:before="15"/>
        <w:rPr>
          <w:sz w:val="22"/>
        </w:rPr>
      </w:pPr>
    </w:p>
    <w:p>
      <w:pPr>
        <w:pStyle w:val="ListParagraph"/>
        <w:numPr>
          <w:ilvl w:val="0"/>
          <w:numId w:val="1"/>
        </w:numPr>
        <w:tabs>
          <w:tab w:pos="863" w:val="left" w:leader="none"/>
          <w:tab w:pos="5601" w:val="left" w:leader="none"/>
          <w:tab w:pos="6278" w:val="left" w:leader="none"/>
          <w:tab w:pos="6955" w:val="left" w:leader="none"/>
          <w:tab w:pos="7631" w:val="left" w:leader="none"/>
        </w:tabs>
        <w:spacing w:line="240" w:lineRule="auto" w:before="1" w:after="0"/>
        <w:ind w:left="863" w:right="0" w:hanging="676"/>
        <w:jc w:val="left"/>
        <w:rPr>
          <w:sz w:val="22"/>
        </w:rPr>
      </w:pPr>
      <w:r>
        <w:rPr>
          <w:sz w:val="22"/>
        </w:rPr>
        <w:t>National</w:t>
      </w:r>
      <w:r>
        <w:rPr>
          <w:spacing w:val="12"/>
          <w:sz w:val="22"/>
        </w:rPr>
        <w:t> </w:t>
      </w:r>
      <w:r>
        <w:rPr>
          <w:sz w:val="22"/>
        </w:rPr>
        <w:t>Industrial</w:t>
      </w:r>
      <w:r>
        <w:rPr>
          <w:spacing w:val="19"/>
          <w:sz w:val="22"/>
        </w:rPr>
        <w:t> </w:t>
      </w:r>
      <w:r>
        <w:rPr>
          <w:sz w:val="22"/>
        </w:rPr>
        <w:t>Court</w:t>
      </w:r>
      <w:r>
        <w:rPr>
          <w:spacing w:val="7"/>
          <w:sz w:val="22"/>
        </w:rPr>
        <w:t> </w:t>
      </w:r>
      <w:r>
        <w:rPr>
          <w:sz w:val="22"/>
        </w:rPr>
        <w:t>Act,</w:t>
      </w:r>
      <w:r>
        <w:rPr>
          <w:spacing w:val="15"/>
          <w:sz w:val="22"/>
        </w:rPr>
        <w:t> </w:t>
      </w:r>
      <w:r>
        <w:rPr>
          <w:sz w:val="22"/>
        </w:rPr>
        <w:t>No.</w:t>
      </w:r>
      <w:r>
        <w:rPr>
          <w:spacing w:val="5"/>
          <w:sz w:val="22"/>
        </w:rPr>
        <w:t> </w:t>
      </w:r>
      <w:r>
        <w:rPr>
          <w:sz w:val="22"/>
        </w:rPr>
        <w:t>1,</w:t>
      </w:r>
      <w:r>
        <w:rPr>
          <w:spacing w:val="5"/>
          <w:sz w:val="22"/>
        </w:rPr>
        <w:t> </w:t>
      </w:r>
      <w:r>
        <w:rPr>
          <w:spacing w:val="-4"/>
          <w:sz w:val="22"/>
        </w:rPr>
        <w:t>2006.</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110</w:t>
      </w:r>
    </w:p>
    <w:p>
      <w:pPr>
        <w:pStyle w:val="BodyText"/>
        <w:spacing w:before="16"/>
        <w:rPr>
          <w:sz w:val="22"/>
        </w:rPr>
      </w:pPr>
    </w:p>
    <w:p>
      <w:pPr>
        <w:pStyle w:val="ListParagraph"/>
        <w:numPr>
          <w:ilvl w:val="0"/>
          <w:numId w:val="1"/>
        </w:numPr>
        <w:tabs>
          <w:tab w:pos="863" w:val="left" w:leader="none"/>
          <w:tab w:pos="4924" w:val="left" w:leader="none"/>
          <w:tab w:pos="5601" w:val="left" w:leader="none"/>
          <w:tab w:pos="6278" w:val="left" w:leader="none"/>
          <w:tab w:pos="7238" w:val="left" w:leader="none"/>
        </w:tabs>
        <w:spacing w:line="240" w:lineRule="auto" w:before="0" w:after="0"/>
        <w:ind w:left="863" w:right="0" w:hanging="676"/>
        <w:jc w:val="left"/>
        <w:rPr>
          <w:sz w:val="22"/>
        </w:rPr>
      </w:pPr>
      <w:r>
        <w:rPr>
          <w:sz w:val="22"/>
        </w:rPr>
        <w:t>Pension</w:t>
      </w:r>
      <w:r>
        <w:rPr>
          <w:spacing w:val="11"/>
          <w:sz w:val="22"/>
        </w:rPr>
        <w:t> </w:t>
      </w:r>
      <w:r>
        <w:rPr>
          <w:sz w:val="22"/>
        </w:rPr>
        <w:t>Reform</w:t>
      </w:r>
      <w:r>
        <w:rPr>
          <w:spacing w:val="6"/>
          <w:sz w:val="22"/>
        </w:rPr>
        <w:t> </w:t>
      </w:r>
      <w:r>
        <w:rPr>
          <w:sz w:val="22"/>
        </w:rPr>
        <w:t>Act,</w:t>
      </w:r>
      <w:r>
        <w:rPr>
          <w:spacing w:val="12"/>
          <w:sz w:val="22"/>
        </w:rPr>
        <w:t> </w:t>
      </w:r>
      <w:r>
        <w:rPr>
          <w:sz w:val="22"/>
        </w:rPr>
        <w:t>No.</w:t>
      </w:r>
      <w:r>
        <w:rPr>
          <w:spacing w:val="6"/>
          <w:sz w:val="22"/>
        </w:rPr>
        <w:t> </w:t>
      </w:r>
      <w:r>
        <w:rPr>
          <w:sz w:val="22"/>
        </w:rPr>
        <w:t>2,</w:t>
      </w:r>
      <w:r>
        <w:rPr>
          <w:spacing w:val="5"/>
          <w:sz w:val="22"/>
        </w:rPr>
        <w:t> </w:t>
      </w:r>
      <w:r>
        <w:rPr>
          <w:sz w:val="22"/>
        </w:rPr>
        <w:t>2005</w:t>
      </w:r>
      <w:r>
        <w:rPr>
          <w:spacing w:val="79"/>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2"/>
          <w:sz w:val="22"/>
        </w:rPr>
        <w:t>4,81,84</w:t>
      </w:r>
    </w:p>
    <w:p>
      <w:pPr>
        <w:pStyle w:val="BodyText"/>
        <w:spacing w:before="6"/>
        <w:rPr>
          <w:sz w:val="22"/>
        </w:rPr>
      </w:pPr>
    </w:p>
    <w:p>
      <w:pPr>
        <w:pStyle w:val="ListParagraph"/>
        <w:numPr>
          <w:ilvl w:val="0"/>
          <w:numId w:val="1"/>
        </w:numPr>
        <w:tabs>
          <w:tab w:pos="863" w:val="left" w:leader="none"/>
        </w:tabs>
        <w:spacing w:line="240" w:lineRule="auto" w:before="0" w:after="0"/>
        <w:ind w:left="863" w:right="0" w:hanging="676"/>
        <w:jc w:val="left"/>
        <w:rPr>
          <w:sz w:val="22"/>
        </w:rPr>
      </w:pPr>
      <w:r>
        <w:rPr>
          <w:sz w:val="22"/>
        </w:rPr>
        <w:t>Workmen’s</w:t>
      </w:r>
      <w:r>
        <w:rPr>
          <w:spacing w:val="7"/>
          <w:sz w:val="22"/>
        </w:rPr>
        <w:t> </w:t>
      </w:r>
      <w:r>
        <w:rPr>
          <w:sz w:val="22"/>
        </w:rPr>
        <w:t>Compensation</w:t>
      </w:r>
      <w:r>
        <w:rPr>
          <w:spacing w:val="19"/>
          <w:sz w:val="22"/>
        </w:rPr>
        <w:t> </w:t>
      </w:r>
      <w:r>
        <w:rPr>
          <w:sz w:val="22"/>
        </w:rPr>
        <w:t>Act</w:t>
      </w:r>
      <w:r>
        <w:rPr>
          <w:spacing w:val="20"/>
          <w:sz w:val="22"/>
        </w:rPr>
        <w:t> </w:t>
      </w:r>
      <w:r>
        <w:rPr>
          <w:sz w:val="22"/>
        </w:rPr>
        <w:t>Cap.</w:t>
      </w:r>
      <w:r>
        <w:rPr>
          <w:spacing w:val="12"/>
          <w:sz w:val="22"/>
        </w:rPr>
        <w:t> </w:t>
      </w:r>
      <w:r>
        <w:rPr>
          <w:sz w:val="22"/>
        </w:rPr>
        <w:t>W6</w:t>
      </w:r>
      <w:r>
        <w:rPr>
          <w:spacing w:val="11"/>
          <w:sz w:val="22"/>
        </w:rPr>
        <w:t> </w:t>
      </w:r>
      <w:r>
        <w:rPr>
          <w:sz w:val="22"/>
        </w:rPr>
        <w:t>Laws</w:t>
      </w:r>
      <w:r>
        <w:rPr>
          <w:spacing w:val="7"/>
          <w:sz w:val="22"/>
        </w:rPr>
        <w:t> </w:t>
      </w:r>
      <w:r>
        <w:rPr>
          <w:sz w:val="22"/>
        </w:rPr>
        <w:t>of</w:t>
      </w:r>
      <w:r>
        <w:rPr>
          <w:spacing w:val="8"/>
          <w:sz w:val="22"/>
        </w:rPr>
        <w:t> </w:t>
      </w:r>
      <w:r>
        <w:rPr>
          <w:spacing w:val="-5"/>
          <w:sz w:val="22"/>
        </w:rPr>
        <w:t>the</w:t>
      </w:r>
    </w:p>
    <w:p>
      <w:pPr>
        <w:tabs>
          <w:tab w:pos="4247" w:val="left" w:leader="none"/>
          <w:tab w:pos="4924" w:val="left" w:leader="none"/>
          <w:tab w:pos="5601" w:val="left" w:leader="none"/>
          <w:tab w:pos="6278" w:val="left" w:leader="none"/>
          <w:tab w:pos="6955" w:val="left" w:leader="none"/>
          <w:tab w:pos="7631" w:val="left" w:leader="none"/>
        </w:tabs>
        <w:spacing w:before="13"/>
        <w:ind w:left="864" w:right="0" w:firstLine="0"/>
        <w:jc w:val="left"/>
        <w:rPr>
          <w:sz w:val="22"/>
        </w:rPr>
      </w:pPr>
      <w:r>
        <w:rPr>
          <w:sz w:val="22"/>
        </w:rPr>
        <w:t>Federation</w:t>
      </w:r>
      <w:r>
        <w:rPr>
          <w:spacing w:val="9"/>
          <w:sz w:val="22"/>
        </w:rPr>
        <w:t> </w:t>
      </w:r>
      <w:r>
        <w:rPr>
          <w:sz w:val="22"/>
        </w:rPr>
        <w:t>of</w:t>
      </w:r>
      <w:r>
        <w:rPr>
          <w:spacing w:val="16"/>
          <w:sz w:val="22"/>
        </w:rPr>
        <w:t> </w:t>
      </w:r>
      <w:r>
        <w:rPr>
          <w:sz w:val="22"/>
        </w:rPr>
        <w:t>Nigeria,</w:t>
      </w:r>
      <w:r>
        <w:rPr>
          <w:spacing w:val="16"/>
          <w:sz w:val="22"/>
        </w:rPr>
        <w:t> </w:t>
      </w:r>
      <w:r>
        <w:rPr>
          <w:spacing w:val="-4"/>
          <w:sz w:val="22"/>
        </w:rPr>
        <w:t>2004.</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4"/>
          <w:sz w:val="22"/>
        </w:rPr>
        <w:t>7,11</w:t>
      </w:r>
    </w:p>
    <w:p>
      <w:pPr>
        <w:spacing w:after="0"/>
        <w:jc w:val="left"/>
        <w:rPr>
          <w:sz w:val="22"/>
        </w:rPr>
        <w:sectPr>
          <w:pgSz w:w="12240" w:h="15840"/>
          <w:pgMar w:header="0" w:footer="1009" w:top="1540" w:bottom="1200" w:left="1680" w:right="1320"/>
        </w:sectPr>
      </w:pPr>
    </w:p>
    <w:p>
      <w:pPr>
        <w:spacing w:before="94"/>
        <w:ind w:left="297" w:right="0" w:firstLine="0"/>
        <w:jc w:val="center"/>
        <w:rPr>
          <w:b/>
          <w:sz w:val="22"/>
        </w:rPr>
      </w:pPr>
      <w:r>
        <w:rPr>
          <w:b/>
          <w:sz w:val="22"/>
        </w:rPr>
        <w:t>TABLE</w:t>
      </w:r>
      <w:r>
        <w:rPr>
          <w:b/>
          <w:spacing w:val="12"/>
          <w:sz w:val="22"/>
        </w:rPr>
        <w:t> </w:t>
      </w:r>
      <w:r>
        <w:rPr>
          <w:b/>
          <w:sz w:val="22"/>
        </w:rPr>
        <w:t>OF</w:t>
      </w:r>
      <w:r>
        <w:rPr>
          <w:b/>
          <w:spacing w:val="9"/>
          <w:sz w:val="22"/>
        </w:rPr>
        <w:t> </w:t>
      </w:r>
      <w:r>
        <w:rPr>
          <w:b/>
          <w:spacing w:val="-2"/>
          <w:sz w:val="22"/>
        </w:rPr>
        <w:t>ABBREVIATIONS</w:t>
      </w:r>
    </w:p>
    <w:p>
      <w:pPr>
        <w:pStyle w:val="BodyText"/>
        <w:spacing w:before="16"/>
        <w:rPr>
          <w:b/>
          <w:sz w:val="22"/>
        </w:rPr>
      </w:pPr>
    </w:p>
    <w:p>
      <w:pPr>
        <w:spacing w:before="0"/>
        <w:ind w:left="0" w:right="1600" w:firstLine="0"/>
        <w:jc w:val="right"/>
        <w:rPr>
          <w:b/>
          <w:sz w:val="22"/>
        </w:rPr>
      </w:pPr>
      <w:r>
        <w:rPr>
          <w:b/>
          <w:spacing w:val="-2"/>
          <w:sz w:val="22"/>
        </w:rPr>
        <w:t>Pages</w:t>
      </w:r>
    </w:p>
    <w:p>
      <w:pPr>
        <w:tabs>
          <w:tab w:pos="1540" w:val="left" w:leader="none"/>
          <w:tab w:pos="2217" w:val="left" w:leader="none"/>
          <w:tab w:pos="2289" w:val="left" w:leader="none"/>
          <w:tab w:pos="4247" w:val="left" w:leader="none"/>
          <w:tab w:pos="4924" w:val="left" w:leader="none"/>
          <w:tab w:pos="5601" w:val="left" w:leader="none"/>
          <w:tab w:pos="6278" w:val="left" w:leader="none"/>
          <w:tab w:pos="6955" w:val="left" w:leader="none"/>
          <w:tab w:pos="7238" w:val="left" w:leader="none"/>
        </w:tabs>
        <w:spacing w:line="494" w:lineRule="auto" w:before="3"/>
        <w:ind w:left="864" w:right="1751" w:firstLine="0"/>
        <w:jc w:val="left"/>
        <w:rPr>
          <w:sz w:val="22"/>
        </w:rPr>
      </w:pPr>
      <w:r>
        <w:rPr>
          <w:spacing w:val="-4"/>
          <w:sz w:val="22"/>
        </w:rPr>
        <w:t>A.C</w:t>
      </w:r>
      <w:r>
        <w:rPr>
          <w:sz w:val="22"/>
        </w:rPr>
        <w:tab/>
      </w:r>
      <w:r>
        <w:rPr>
          <w:spacing w:val="-10"/>
          <w:sz w:val="22"/>
        </w:rPr>
        <w:t>-</w:t>
      </w:r>
      <w:r>
        <w:rPr>
          <w:sz w:val="22"/>
        </w:rPr>
        <w:tab/>
        <w:t>Appeal Cases -</w:t>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t>1,</w:t>
      </w:r>
      <w:r>
        <w:rPr>
          <w:spacing w:val="-2"/>
          <w:sz w:val="22"/>
        </w:rPr>
        <w:t> </w:t>
      </w:r>
      <w:r>
        <w:rPr>
          <w:sz w:val="22"/>
        </w:rPr>
        <w:t>58 </w:t>
      </w:r>
      <w:r>
        <w:rPr>
          <w:spacing w:val="-5"/>
          <w:sz w:val="22"/>
        </w:rPr>
        <w:t>BC</w:t>
      </w:r>
      <w:r>
        <w:rPr>
          <w:sz w:val="22"/>
        </w:rPr>
        <w:tab/>
      </w:r>
      <w:r>
        <w:rPr>
          <w:spacing w:val="-10"/>
          <w:sz w:val="22"/>
        </w:rPr>
        <w:t>-</w:t>
      </w:r>
      <w:r>
        <w:rPr>
          <w:sz w:val="22"/>
        </w:rPr>
        <w:tab/>
        <w:tab/>
        <w:t>Before</w:t>
      </w:r>
      <w:r>
        <w:rPr>
          <w:spacing w:val="16"/>
          <w:sz w:val="22"/>
        </w:rPr>
        <w:t> </w:t>
      </w:r>
      <w:r>
        <w:rPr>
          <w:spacing w:val="-2"/>
          <w:sz w:val="22"/>
        </w:rPr>
        <w:t>Christ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tab/>
      </w:r>
      <w:r>
        <w:rPr>
          <w:spacing w:val="-5"/>
          <w:sz w:val="22"/>
        </w:rPr>
        <w:t>2</w:t>
      </w:r>
      <w:r>
        <w:rPr>
          <w:spacing w:val="-5"/>
          <w:sz w:val="22"/>
        </w:rPr>
        <w:t>0</w:t>
      </w:r>
    </w:p>
    <w:p>
      <w:pPr>
        <w:tabs>
          <w:tab w:pos="1540" w:val="left" w:leader="none"/>
          <w:tab w:pos="2217" w:val="left" w:leader="none"/>
          <w:tab w:pos="3571" w:val="left" w:leader="none"/>
          <w:tab w:pos="4247" w:val="left" w:leader="none"/>
          <w:tab w:pos="4924" w:val="left" w:leader="none"/>
          <w:tab w:pos="5601" w:val="left" w:leader="none"/>
          <w:tab w:pos="6278" w:val="left" w:leader="none"/>
          <w:tab w:pos="6955" w:val="left" w:leader="none"/>
          <w:tab w:pos="7166" w:val="left" w:leader="none"/>
        </w:tabs>
        <w:spacing w:line="494" w:lineRule="auto" w:before="0"/>
        <w:ind w:left="864" w:right="1823" w:firstLine="0"/>
        <w:jc w:val="left"/>
        <w:rPr>
          <w:sz w:val="22"/>
        </w:rPr>
      </w:pPr>
      <w:r>
        <w:rPr>
          <w:spacing w:val="-4"/>
          <w:sz w:val="22"/>
        </w:rPr>
        <w:t>Cap.</w:t>
      </w:r>
      <w:r>
        <w:rPr>
          <w:sz w:val="22"/>
        </w:rPr>
        <w:tab/>
      </w:r>
      <w:r>
        <w:rPr>
          <w:spacing w:val="-10"/>
          <w:sz w:val="22"/>
        </w:rPr>
        <w:t>-</w:t>
      </w:r>
      <w:r>
        <w:rPr>
          <w:sz w:val="22"/>
        </w:rPr>
        <w:tab/>
      </w:r>
      <w:r>
        <w:rPr>
          <w:spacing w:val="-2"/>
          <w:sz w:val="22"/>
        </w:rPr>
        <w:t>Chapter</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4"/>
          <w:sz w:val="22"/>
        </w:rPr>
        <w:t>7,45 </w:t>
      </w:r>
      <w:r>
        <w:rPr>
          <w:sz w:val="22"/>
        </w:rPr>
        <w:t>Comp.</w:t>
      </w:r>
      <w:r>
        <w:rPr>
          <w:spacing w:val="18"/>
          <w:sz w:val="22"/>
        </w:rPr>
        <w:t> </w:t>
      </w:r>
      <w:r>
        <w:rPr>
          <w:spacing w:val="-10"/>
          <w:sz w:val="22"/>
        </w:rPr>
        <w:t>-</w:t>
      </w:r>
      <w:r>
        <w:rPr>
          <w:sz w:val="22"/>
        </w:rPr>
        <w:tab/>
        <w:t>Comparative</w:t>
      </w:r>
      <w:r>
        <w:rPr>
          <w:spacing w:val="57"/>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tab/>
      </w:r>
      <w:r>
        <w:rPr>
          <w:spacing w:val="-5"/>
          <w:sz w:val="22"/>
        </w:rPr>
        <w:t>15</w:t>
      </w:r>
    </w:p>
    <w:p>
      <w:pPr>
        <w:tabs>
          <w:tab w:pos="1540" w:val="left" w:leader="none"/>
          <w:tab w:pos="2217" w:val="left" w:leader="none"/>
          <w:tab w:pos="6278" w:val="left" w:leader="none"/>
          <w:tab w:pos="6955" w:val="left" w:leader="none"/>
        </w:tabs>
        <w:spacing w:line="261" w:lineRule="exact" w:before="0"/>
        <w:ind w:left="864" w:right="0" w:firstLine="0"/>
        <w:jc w:val="left"/>
        <w:rPr>
          <w:sz w:val="22"/>
        </w:rPr>
      </w:pPr>
      <w:r>
        <w:rPr>
          <w:spacing w:val="-4"/>
          <w:sz w:val="22"/>
        </w:rPr>
        <w:t>ECS.</w:t>
      </w:r>
      <w:r>
        <w:rPr>
          <w:sz w:val="22"/>
        </w:rPr>
        <w:tab/>
      </w:r>
      <w:r>
        <w:rPr>
          <w:spacing w:val="-10"/>
          <w:sz w:val="22"/>
        </w:rPr>
        <w:t>-</w:t>
      </w:r>
      <w:r>
        <w:rPr>
          <w:sz w:val="22"/>
        </w:rPr>
        <w:tab/>
        <w:t>Employees’</w:t>
      </w:r>
      <w:r>
        <w:rPr>
          <w:spacing w:val="23"/>
          <w:sz w:val="22"/>
        </w:rPr>
        <w:t> </w:t>
      </w:r>
      <w:r>
        <w:rPr>
          <w:sz w:val="22"/>
        </w:rPr>
        <w:t>Compensation</w:t>
      </w:r>
      <w:r>
        <w:rPr>
          <w:spacing w:val="30"/>
          <w:sz w:val="22"/>
        </w:rPr>
        <w:t> </w:t>
      </w:r>
      <w:r>
        <w:rPr>
          <w:spacing w:val="-2"/>
          <w:sz w:val="22"/>
        </w:rPr>
        <w:t>Scheme</w:t>
      </w:r>
      <w:r>
        <w:rPr>
          <w:sz w:val="22"/>
        </w:rPr>
        <w:tab/>
      </w:r>
      <w:r>
        <w:rPr>
          <w:spacing w:val="-10"/>
          <w:sz w:val="22"/>
        </w:rPr>
        <w:t>-</w:t>
      </w:r>
      <w:r>
        <w:rPr>
          <w:sz w:val="22"/>
        </w:rPr>
        <w:tab/>
      </w:r>
      <w:r>
        <w:rPr>
          <w:spacing w:val="-5"/>
          <w:sz w:val="22"/>
        </w:rPr>
        <w:t>102</w:t>
      </w:r>
    </w:p>
    <w:p>
      <w:pPr>
        <w:tabs>
          <w:tab w:pos="1540" w:val="left" w:leader="none"/>
          <w:tab w:pos="2217" w:val="left" w:leader="none"/>
          <w:tab w:pos="4247" w:val="left" w:leader="none"/>
          <w:tab w:pos="4924" w:val="left" w:leader="none"/>
          <w:tab w:pos="5601" w:val="left" w:leader="none"/>
          <w:tab w:pos="6278" w:val="left" w:leader="none"/>
          <w:tab w:pos="7099" w:val="left" w:leader="none"/>
        </w:tabs>
        <w:spacing w:before="278"/>
        <w:ind w:left="864" w:right="0" w:firstLine="0"/>
        <w:jc w:val="left"/>
        <w:rPr>
          <w:sz w:val="22"/>
        </w:rPr>
      </w:pPr>
      <w:r>
        <w:rPr>
          <w:spacing w:val="-2"/>
          <w:sz w:val="22"/>
        </w:rPr>
        <w:t>Int’l</w:t>
      </w:r>
      <w:r>
        <w:rPr>
          <w:sz w:val="22"/>
        </w:rPr>
        <w:tab/>
      </w:r>
      <w:r>
        <w:rPr>
          <w:spacing w:val="-10"/>
          <w:sz w:val="22"/>
        </w:rPr>
        <w:t>-</w:t>
      </w:r>
      <w:r>
        <w:rPr>
          <w:sz w:val="22"/>
        </w:rPr>
        <w:tab/>
        <w:t>International</w:t>
      </w:r>
      <w:r>
        <w:rPr>
          <w:spacing w:val="31"/>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15</w:t>
      </w:r>
    </w:p>
    <w:p>
      <w:pPr>
        <w:tabs>
          <w:tab w:pos="1540" w:val="left" w:leader="none"/>
          <w:tab w:pos="2217" w:val="left" w:leader="none"/>
          <w:tab w:pos="4247" w:val="left" w:leader="none"/>
          <w:tab w:pos="4924" w:val="left" w:leader="none"/>
          <w:tab w:pos="5601" w:val="left" w:leader="none"/>
          <w:tab w:pos="6278" w:val="left" w:leader="none"/>
          <w:tab w:pos="7099" w:val="left" w:leader="none"/>
        </w:tabs>
        <w:spacing w:before="276"/>
        <w:ind w:left="864" w:right="0" w:firstLine="0"/>
        <w:jc w:val="left"/>
        <w:rPr>
          <w:sz w:val="22"/>
        </w:rPr>
      </w:pPr>
      <w:r>
        <w:rPr>
          <w:spacing w:val="-5"/>
          <w:sz w:val="22"/>
        </w:rPr>
        <w:t>K.B</w:t>
      </w:r>
      <w:r>
        <w:rPr>
          <w:sz w:val="22"/>
        </w:rPr>
        <w:tab/>
      </w:r>
      <w:r>
        <w:rPr>
          <w:spacing w:val="-10"/>
          <w:sz w:val="22"/>
        </w:rPr>
        <w:t>-</w:t>
      </w:r>
      <w:r>
        <w:rPr>
          <w:sz w:val="22"/>
        </w:rPr>
        <w:tab/>
        <w:t>King’s</w:t>
      </w:r>
      <w:r>
        <w:rPr>
          <w:spacing w:val="6"/>
          <w:sz w:val="22"/>
        </w:rPr>
        <w:t> </w:t>
      </w:r>
      <w:r>
        <w:rPr>
          <w:sz w:val="22"/>
        </w:rPr>
        <w:t>Bench</w:t>
      </w:r>
      <w:r>
        <w:rPr>
          <w:spacing w:val="39"/>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57</w:t>
      </w:r>
    </w:p>
    <w:p>
      <w:pPr>
        <w:tabs>
          <w:tab w:pos="1540" w:val="left" w:leader="none"/>
          <w:tab w:pos="2217" w:val="left" w:leader="none"/>
          <w:tab w:pos="4247" w:val="left" w:leader="none"/>
          <w:tab w:pos="4924" w:val="left" w:leader="none"/>
          <w:tab w:pos="5601" w:val="left" w:leader="none"/>
          <w:tab w:pos="6278" w:val="left" w:leader="none"/>
          <w:tab w:pos="7099" w:val="left" w:leader="none"/>
        </w:tabs>
        <w:spacing w:before="282"/>
        <w:ind w:left="864" w:right="0" w:firstLine="0"/>
        <w:jc w:val="left"/>
        <w:rPr>
          <w:sz w:val="22"/>
        </w:rPr>
      </w:pPr>
      <w:r>
        <w:rPr>
          <w:spacing w:val="-5"/>
          <w:sz w:val="22"/>
        </w:rPr>
        <w:t>L.J</w:t>
      </w:r>
      <w:r>
        <w:rPr>
          <w:sz w:val="22"/>
        </w:rPr>
        <w:tab/>
      </w:r>
      <w:r>
        <w:rPr>
          <w:spacing w:val="-10"/>
          <w:sz w:val="22"/>
        </w:rPr>
        <w:t>-</w:t>
      </w:r>
      <w:r>
        <w:rPr>
          <w:sz w:val="22"/>
        </w:rPr>
        <w:tab/>
        <w:t>Law</w:t>
      </w:r>
      <w:r>
        <w:rPr>
          <w:spacing w:val="8"/>
          <w:sz w:val="22"/>
        </w:rPr>
        <w:t> </w:t>
      </w:r>
      <w:r>
        <w:rPr>
          <w:sz w:val="22"/>
        </w:rPr>
        <w:t>Journal</w:t>
      </w:r>
      <w:r>
        <w:rPr>
          <w:spacing w:val="74"/>
          <w:w w:val="150"/>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15</w:t>
      </w:r>
    </w:p>
    <w:p>
      <w:pPr>
        <w:tabs>
          <w:tab w:pos="1540" w:val="left" w:leader="none"/>
          <w:tab w:pos="2217" w:val="left" w:leader="none"/>
          <w:tab w:pos="4247" w:val="left" w:leader="none"/>
          <w:tab w:pos="4924" w:val="left" w:leader="none"/>
          <w:tab w:pos="5601" w:val="left" w:leader="none"/>
          <w:tab w:pos="6278" w:val="left" w:leader="none"/>
          <w:tab w:pos="6854" w:val="left" w:leader="none"/>
          <w:tab w:pos="6955" w:val="left" w:leader="none"/>
        </w:tabs>
        <w:spacing w:line="489" w:lineRule="auto" w:before="277"/>
        <w:ind w:left="864" w:right="1910" w:firstLine="0"/>
        <w:jc w:val="left"/>
        <w:rPr>
          <w:sz w:val="22"/>
        </w:rPr>
      </w:pPr>
      <w:r>
        <w:rPr>
          <w:sz w:val="22"/>
        </w:rPr>
        <w:t>L.L.R</w:t>
      </w:r>
      <w:r>
        <w:rPr>
          <w:spacing w:val="80"/>
          <w:sz w:val="22"/>
        </w:rPr>
        <w:t> </w:t>
      </w:r>
      <w:r>
        <w:rPr>
          <w:sz w:val="22"/>
        </w:rPr>
        <w:t>-</w:t>
        <w:tab/>
        <w:t>Lagos Law Report</w:t>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4"/>
          <w:sz w:val="22"/>
        </w:rPr>
        <w:t>1,58 </w:t>
      </w:r>
      <w:r>
        <w:rPr>
          <w:spacing w:val="-5"/>
          <w:sz w:val="22"/>
        </w:rPr>
        <w:t>NIC</w:t>
      </w:r>
      <w:r>
        <w:rPr>
          <w:sz w:val="22"/>
        </w:rPr>
        <w:tab/>
      </w:r>
      <w:r>
        <w:rPr>
          <w:spacing w:val="-10"/>
          <w:sz w:val="22"/>
        </w:rPr>
        <w:t>-</w:t>
      </w:r>
      <w:r>
        <w:rPr>
          <w:sz w:val="22"/>
        </w:rPr>
        <w:tab/>
        <w:t>National</w:t>
      </w:r>
      <w:r>
        <w:rPr>
          <w:spacing w:val="16"/>
          <w:sz w:val="22"/>
        </w:rPr>
        <w:t> </w:t>
      </w:r>
      <w:r>
        <w:rPr>
          <w:sz w:val="22"/>
        </w:rPr>
        <w:t>Industrial</w:t>
      </w:r>
      <w:r>
        <w:rPr>
          <w:spacing w:val="23"/>
          <w:sz w:val="22"/>
        </w:rPr>
        <w:t> </w:t>
      </w:r>
      <w:r>
        <w:rPr>
          <w:spacing w:val="-4"/>
          <w:sz w:val="22"/>
        </w:rPr>
        <w:t>Court</w:t>
      </w:r>
      <w:r>
        <w:rPr>
          <w:sz w:val="22"/>
        </w:rPr>
        <w:tab/>
      </w:r>
      <w:r>
        <w:rPr>
          <w:spacing w:val="-10"/>
          <w:sz w:val="22"/>
        </w:rPr>
        <w:t>-</w:t>
      </w:r>
      <w:r>
        <w:rPr>
          <w:sz w:val="22"/>
        </w:rPr>
        <w:tab/>
      </w:r>
      <w:r>
        <w:rPr>
          <w:spacing w:val="-10"/>
          <w:sz w:val="22"/>
        </w:rPr>
        <w:t>-</w:t>
      </w:r>
      <w:r>
        <w:rPr>
          <w:sz w:val="22"/>
        </w:rPr>
        <w:tab/>
      </w:r>
      <w:r>
        <w:rPr>
          <w:spacing w:val="-10"/>
          <w:sz w:val="22"/>
        </w:rPr>
        <w:t>-</w:t>
      </w:r>
      <w:r>
        <w:rPr>
          <w:sz w:val="22"/>
        </w:rPr>
        <w:tab/>
        <w:tab/>
      </w:r>
      <w:r>
        <w:rPr>
          <w:spacing w:val="-5"/>
          <w:sz w:val="22"/>
        </w:rPr>
        <w:t>100</w:t>
      </w:r>
    </w:p>
    <w:p>
      <w:pPr>
        <w:tabs>
          <w:tab w:pos="2217" w:val="left" w:leader="none"/>
          <w:tab w:pos="6503" w:val="left" w:leader="hyphen"/>
        </w:tabs>
        <w:spacing w:before="6"/>
        <w:ind w:left="864" w:right="0" w:firstLine="0"/>
        <w:jc w:val="left"/>
        <w:rPr>
          <w:sz w:val="22"/>
        </w:rPr>
      </w:pPr>
      <w:r>
        <w:rPr>
          <w:sz w:val="22"/>
        </w:rPr>
        <w:t>NWLR</w:t>
      </w:r>
      <w:r>
        <w:rPr>
          <w:spacing w:val="7"/>
          <w:sz w:val="22"/>
        </w:rPr>
        <w:t> </w:t>
      </w:r>
      <w:r>
        <w:rPr>
          <w:spacing w:val="-10"/>
          <w:sz w:val="22"/>
        </w:rPr>
        <w:t>-</w:t>
      </w:r>
      <w:r>
        <w:rPr>
          <w:sz w:val="22"/>
        </w:rPr>
        <w:tab/>
        <w:t>Nigerian</w:t>
      </w:r>
      <w:r>
        <w:rPr>
          <w:spacing w:val="14"/>
          <w:sz w:val="22"/>
        </w:rPr>
        <w:t> </w:t>
      </w:r>
      <w:r>
        <w:rPr>
          <w:sz w:val="22"/>
        </w:rPr>
        <w:t>Weekly</w:t>
      </w:r>
      <w:r>
        <w:rPr>
          <w:spacing w:val="14"/>
          <w:sz w:val="22"/>
        </w:rPr>
        <w:t> </w:t>
      </w:r>
      <w:r>
        <w:rPr>
          <w:sz w:val="22"/>
        </w:rPr>
        <w:t>Law</w:t>
      </w:r>
      <w:r>
        <w:rPr>
          <w:spacing w:val="11"/>
          <w:sz w:val="22"/>
        </w:rPr>
        <w:t> </w:t>
      </w:r>
      <w:r>
        <w:rPr>
          <w:spacing w:val="-2"/>
          <w:sz w:val="22"/>
        </w:rPr>
        <w:t>Reports</w:t>
      </w:r>
      <w:r>
        <w:rPr>
          <w:sz w:val="22"/>
        </w:rPr>
        <w:tab/>
      </w:r>
      <w:r>
        <w:rPr>
          <w:spacing w:val="-2"/>
          <w:sz w:val="22"/>
        </w:rPr>
        <w:t>100,106</w:t>
      </w:r>
    </w:p>
    <w:p>
      <w:pPr>
        <w:tabs>
          <w:tab w:pos="1540" w:val="left" w:leader="none"/>
          <w:tab w:pos="2289" w:val="left" w:leader="none"/>
          <w:tab w:pos="3571" w:val="left" w:leader="none"/>
          <w:tab w:pos="4247" w:val="left" w:leader="none"/>
          <w:tab w:pos="4924" w:val="left" w:leader="none"/>
          <w:tab w:pos="5601" w:val="left" w:leader="none"/>
          <w:tab w:pos="6278" w:val="left" w:leader="none"/>
          <w:tab w:pos="6955" w:val="left" w:leader="none"/>
        </w:tabs>
        <w:spacing w:before="282"/>
        <w:ind w:left="864" w:right="0" w:firstLine="0"/>
        <w:jc w:val="left"/>
        <w:rPr>
          <w:sz w:val="22"/>
        </w:rPr>
      </w:pPr>
      <w:r>
        <w:rPr>
          <w:spacing w:val="-5"/>
          <w:sz w:val="22"/>
        </w:rPr>
        <w:t>P.</w:t>
      </w:r>
      <w:r>
        <w:rPr>
          <w:sz w:val="22"/>
        </w:rPr>
        <w:tab/>
      </w:r>
      <w:r>
        <w:rPr>
          <w:spacing w:val="-10"/>
          <w:sz w:val="22"/>
        </w:rPr>
        <w:t>-</w:t>
      </w:r>
      <w:r>
        <w:rPr>
          <w:sz w:val="22"/>
        </w:rPr>
        <w:tab/>
        <w:t>Page</w:t>
      </w:r>
      <w:r>
        <w:rPr>
          <w:spacing w:val="57"/>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14</w:t>
      </w:r>
    </w:p>
    <w:p>
      <w:pPr>
        <w:tabs>
          <w:tab w:pos="1545" w:val="left" w:leader="none"/>
          <w:tab w:pos="2217" w:val="left" w:leader="none"/>
          <w:tab w:pos="3571" w:val="left" w:leader="none"/>
          <w:tab w:pos="4247" w:val="left" w:leader="none"/>
          <w:tab w:pos="4924" w:val="left" w:leader="none"/>
          <w:tab w:pos="5601" w:val="left" w:leader="none"/>
          <w:tab w:pos="6278" w:val="left" w:leader="none"/>
          <w:tab w:pos="6955" w:val="left" w:leader="none"/>
        </w:tabs>
        <w:spacing w:before="3"/>
        <w:ind w:left="864" w:right="0" w:firstLine="0"/>
        <w:jc w:val="left"/>
        <w:rPr>
          <w:sz w:val="22"/>
        </w:rPr>
      </w:pPr>
      <w:r>
        <w:rPr>
          <w:spacing w:val="-5"/>
          <w:sz w:val="22"/>
        </w:rPr>
        <w:t>PAC</w:t>
      </w:r>
      <w:r>
        <w:rPr>
          <w:sz w:val="22"/>
        </w:rPr>
        <w:tab/>
      </w:r>
      <w:r>
        <w:rPr>
          <w:spacing w:val="-10"/>
          <w:sz w:val="22"/>
        </w:rPr>
        <w:t>-</w:t>
      </w:r>
      <w:r>
        <w:rPr>
          <w:sz w:val="22"/>
        </w:rPr>
        <w:tab/>
      </w:r>
      <w:r>
        <w:rPr>
          <w:spacing w:val="-2"/>
          <w:sz w:val="22"/>
        </w:rPr>
        <w:t>Pacific</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17</w:t>
      </w:r>
    </w:p>
    <w:p>
      <w:pPr>
        <w:tabs>
          <w:tab w:pos="1540" w:val="left" w:leader="none"/>
          <w:tab w:pos="2217" w:val="left" w:leader="none"/>
          <w:tab w:pos="6359" w:val="left" w:leader="hyphen"/>
        </w:tabs>
        <w:spacing w:before="282"/>
        <w:ind w:left="864" w:right="0" w:firstLine="0"/>
        <w:jc w:val="left"/>
        <w:rPr>
          <w:sz w:val="22"/>
        </w:rPr>
      </w:pPr>
      <w:r>
        <w:rPr>
          <w:spacing w:val="-5"/>
          <w:sz w:val="22"/>
        </w:rPr>
        <w:t>PP.</w:t>
      </w:r>
      <w:r>
        <w:rPr>
          <w:sz w:val="22"/>
        </w:rPr>
        <w:tab/>
      </w:r>
      <w:r>
        <w:rPr>
          <w:spacing w:val="-10"/>
          <w:sz w:val="22"/>
        </w:rPr>
        <w:t>-</w:t>
      </w:r>
      <w:r>
        <w:rPr>
          <w:sz w:val="22"/>
        </w:rPr>
        <w:tab/>
      </w:r>
      <w:r>
        <w:rPr>
          <w:spacing w:val="-4"/>
          <w:sz w:val="22"/>
        </w:rPr>
        <w:t>pages</w:t>
      </w:r>
      <w:r>
        <w:rPr>
          <w:sz w:val="22"/>
        </w:rPr>
        <w:tab/>
      </w:r>
      <w:r>
        <w:rPr>
          <w:spacing w:val="-2"/>
          <w:sz w:val="22"/>
        </w:rPr>
        <w:t>14,15,16</w:t>
      </w:r>
    </w:p>
    <w:p>
      <w:pPr>
        <w:tabs>
          <w:tab w:pos="2217" w:val="left" w:leader="none"/>
          <w:tab w:pos="6863" w:val="left" w:leader="hyphen"/>
        </w:tabs>
        <w:spacing w:before="276"/>
        <w:ind w:left="864" w:right="0" w:firstLine="0"/>
        <w:jc w:val="left"/>
        <w:rPr>
          <w:sz w:val="22"/>
        </w:rPr>
      </w:pPr>
      <w:r>
        <w:rPr>
          <w:sz w:val="22"/>
        </w:rPr>
        <w:t>SCNJ</w:t>
      </w:r>
      <w:r>
        <w:rPr>
          <w:spacing w:val="9"/>
          <w:sz w:val="22"/>
        </w:rPr>
        <w:t> </w:t>
      </w:r>
      <w:r>
        <w:rPr>
          <w:spacing w:val="-10"/>
          <w:sz w:val="22"/>
        </w:rPr>
        <w:t>-</w:t>
      </w:r>
      <w:r>
        <w:rPr>
          <w:sz w:val="22"/>
        </w:rPr>
        <w:tab/>
        <w:t>Supreme</w:t>
      </w:r>
      <w:r>
        <w:rPr>
          <w:spacing w:val="13"/>
          <w:sz w:val="22"/>
        </w:rPr>
        <w:t> </w:t>
      </w:r>
      <w:r>
        <w:rPr>
          <w:sz w:val="22"/>
        </w:rPr>
        <w:t>Court</w:t>
      </w:r>
      <w:r>
        <w:rPr>
          <w:spacing w:val="10"/>
          <w:sz w:val="22"/>
        </w:rPr>
        <w:t> </w:t>
      </w:r>
      <w:r>
        <w:rPr>
          <w:sz w:val="22"/>
        </w:rPr>
        <w:t>of</w:t>
      </w:r>
      <w:r>
        <w:rPr>
          <w:spacing w:val="13"/>
          <w:sz w:val="22"/>
        </w:rPr>
        <w:t> </w:t>
      </w:r>
      <w:r>
        <w:rPr>
          <w:sz w:val="22"/>
        </w:rPr>
        <w:t>Nigeria</w:t>
      </w:r>
      <w:r>
        <w:rPr>
          <w:spacing w:val="14"/>
          <w:sz w:val="22"/>
        </w:rPr>
        <w:t> </w:t>
      </w:r>
      <w:r>
        <w:rPr>
          <w:spacing w:val="-2"/>
          <w:sz w:val="22"/>
        </w:rPr>
        <w:t>Judgement</w:t>
      </w:r>
      <w:r>
        <w:rPr>
          <w:sz w:val="22"/>
        </w:rPr>
        <w:tab/>
      </w:r>
      <w:r>
        <w:rPr>
          <w:spacing w:val="-5"/>
          <w:sz w:val="22"/>
        </w:rPr>
        <w:t>100</w:t>
      </w:r>
    </w:p>
    <w:p>
      <w:pPr>
        <w:tabs>
          <w:tab w:pos="2217" w:val="left" w:leader="none"/>
          <w:tab w:pos="3571" w:val="left" w:leader="none"/>
          <w:tab w:pos="4247" w:val="left" w:leader="none"/>
          <w:tab w:pos="4924" w:val="left" w:leader="none"/>
          <w:tab w:pos="5601" w:val="left" w:leader="none"/>
          <w:tab w:pos="6278" w:val="left" w:leader="none"/>
          <w:tab w:pos="6955" w:val="left" w:leader="none"/>
        </w:tabs>
        <w:spacing w:before="277"/>
        <w:ind w:left="864" w:right="0" w:firstLine="0"/>
        <w:jc w:val="left"/>
        <w:rPr>
          <w:sz w:val="22"/>
        </w:rPr>
      </w:pPr>
      <w:r>
        <w:rPr>
          <w:sz w:val="22"/>
        </w:rPr>
        <w:t>Temp.</w:t>
      </w:r>
      <w:r>
        <w:rPr>
          <w:spacing w:val="16"/>
          <w:sz w:val="22"/>
        </w:rPr>
        <w:t> </w:t>
      </w:r>
      <w:r>
        <w:rPr>
          <w:spacing w:val="-10"/>
          <w:sz w:val="22"/>
        </w:rPr>
        <w:t>-</w:t>
      </w:r>
      <w:r>
        <w:rPr>
          <w:sz w:val="22"/>
        </w:rPr>
        <w:tab/>
      </w:r>
      <w:r>
        <w:rPr>
          <w:spacing w:val="-2"/>
          <w:sz w:val="22"/>
        </w:rPr>
        <w:t>Temple</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15</w:t>
      </w:r>
    </w:p>
    <w:p>
      <w:pPr>
        <w:pStyle w:val="BodyText"/>
        <w:spacing w:before="35"/>
        <w:rPr>
          <w:sz w:val="20"/>
        </w:rPr>
      </w:pPr>
    </w:p>
    <w:tbl>
      <w:tblPr>
        <w:tblW w:w="0" w:type="auto"/>
        <w:jc w:val="left"/>
        <w:tblInd w:w="8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78"/>
        <w:gridCol w:w="1881"/>
        <w:gridCol w:w="4137"/>
      </w:tblGrid>
      <w:tr>
        <w:trPr>
          <w:trHeight w:val="270" w:hRule="atLeast"/>
        </w:trPr>
        <w:tc>
          <w:tcPr>
            <w:tcW w:w="578" w:type="dxa"/>
          </w:tcPr>
          <w:p>
            <w:pPr>
              <w:pStyle w:val="TableParagraph"/>
              <w:spacing w:line="245" w:lineRule="exact"/>
              <w:ind w:left="50"/>
              <w:rPr>
                <w:sz w:val="22"/>
              </w:rPr>
            </w:pPr>
            <w:r>
              <w:rPr>
                <w:spacing w:val="-10"/>
                <w:sz w:val="22"/>
              </w:rPr>
              <w:t>V</w:t>
            </w:r>
          </w:p>
        </w:tc>
        <w:tc>
          <w:tcPr>
            <w:tcW w:w="1881" w:type="dxa"/>
          </w:tcPr>
          <w:p>
            <w:pPr>
              <w:pStyle w:val="TableParagraph"/>
              <w:tabs>
                <w:tab w:pos="825" w:val="left" w:leader="none"/>
              </w:tabs>
              <w:spacing w:line="245" w:lineRule="exact"/>
              <w:ind w:left="148"/>
              <w:rPr>
                <w:sz w:val="22"/>
              </w:rPr>
            </w:pPr>
            <w:r>
              <w:rPr>
                <w:spacing w:val="-10"/>
                <w:sz w:val="22"/>
              </w:rPr>
              <w:t>-</w:t>
            </w:r>
            <w:r>
              <w:rPr>
                <w:sz w:val="22"/>
              </w:rPr>
              <w:tab/>
            </w:r>
            <w:r>
              <w:rPr>
                <w:spacing w:val="-2"/>
                <w:sz w:val="22"/>
              </w:rPr>
              <w:t>Versus-</w:t>
            </w:r>
          </w:p>
        </w:tc>
        <w:tc>
          <w:tcPr>
            <w:tcW w:w="4137" w:type="dxa"/>
          </w:tcPr>
          <w:p>
            <w:pPr>
              <w:pStyle w:val="TableParagraph"/>
              <w:tabs>
                <w:tab w:pos="974" w:val="left" w:leader="none"/>
                <w:tab w:pos="1651" w:val="left" w:leader="none"/>
                <w:tab w:pos="2328" w:val="left" w:leader="none"/>
              </w:tabs>
              <w:spacing w:line="245" w:lineRule="exact"/>
              <w:ind w:left="298"/>
              <w:rPr>
                <w:sz w:val="22"/>
              </w:rPr>
            </w:pPr>
            <w:r>
              <w:rPr>
                <w:spacing w:val="-10"/>
                <w:sz w:val="22"/>
              </w:rPr>
              <w:t>-</w:t>
            </w:r>
            <w:r>
              <w:rPr>
                <w:sz w:val="22"/>
              </w:rPr>
              <w:tab/>
            </w:r>
            <w:r>
              <w:rPr>
                <w:spacing w:val="-10"/>
                <w:sz w:val="22"/>
              </w:rPr>
              <w:t>-</w:t>
            </w:r>
            <w:r>
              <w:rPr>
                <w:sz w:val="22"/>
              </w:rPr>
              <w:tab/>
            </w:r>
            <w:r>
              <w:rPr>
                <w:spacing w:val="-10"/>
                <w:sz w:val="22"/>
              </w:rPr>
              <w:t>-</w:t>
            </w:r>
            <w:r>
              <w:rPr>
                <w:sz w:val="22"/>
              </w:rPr>
              <w:tab/>
            </w:r>
            <w:r>
              <w:rPr>
                <w:spacing w:val="-2"/>
                <w:sz w:val="22"/>
              </w:rPr>
              <w:t>1,58,59,70,100,1</w:t>
            </w:r>
          </w:p>
        </w:tc>
      </w:tr>
      <w:tr>
        <w:trPr>
          <w:trHeight w:val="270" w:hRule="atLeast"/>
        </w:trPr>
        <w:tc>
          <w:tcPr>
            <w:tcW w:w="578" w:type="dxa"/>
          </w:tcPr>
          <w:p>
            <w:pPr>
              <w:pStyle w:val="TableParagraph"/>
              <w:spacing w:line="247" w:lineRule="exact" w:before="4"/>
              <w:ind w:left="50"/>
              <w:rPr>
                <w:sz w:val="22"/>
              </w:rPr>
            </w:pPr>
            <w:r>
              <w:rPr>
                <w:spacing w:val="-4"/>
                <w:sz w:val="22"/>
              </w:rPr>
              <w:t>Vol.</w:t>
            </w:r>
          </w:p>
        </w:tc>
        <w:tc>
          <w:tcPr>
            <w:tcW w:w="1881" w:type="dxa"/>
          </w:tcPr>
          <w:p>
            <w:pPr>
              <w:pStyle w:val="TableParagraph"/>
              <w:tabs>
                <w:tab w:pos="825" w:val="left" w:leader="none"/>
              </w:tabs>
              <w:spacing w:line="247" w:lineRule="exact" w:before="4"/>
              <w:ind w:left="148"/>
              <w:rPr>
                <w:sz w:val="22"/>
              </w:rPr>
            </w:pPr>
            <w:r>
              <w:rPr>
                <w:spacing w:val="-10"/>
                <w:sz w:val="22"/>
              </w:rPr>
              <w:t>-</w:t>
            </w:r>
            <w:r>
              <w:rPr>
                <w:sz w:val="22"/>
              </w:rPr>
              <w:tab/>
            </w:r>
            <w:r>
              <w:rPr>
                <w:spacing w:val="-2"/>
                <w:sz w:val="22"/>
              </w:rPr>
              <w:t>Volume</w:t>
            </w:r>
          </w:p>
        </w:tc>
        <w:tc>
          <w:tcPr>
            <w:tcW w:w="4137" w:type="dxa"/>
          </w:tcPr>
          <w:p>
            <w:pPr>
              <w:pStyle w:val="TableParagraph"/>
              <w:tabs>
                <w:tab w:pos="974" w:val="left" w:leader="none"/>
                <w:tab w:pos="1651" w:val="left" w:leader="none"/>
                <w:tab w:pos="2328" w:val="left" w:leader="none"/>
                <w:tab w:pos="3005" w:val="left" w:leader="none"/>
                <w:tab w:pos="3965" w:val="left" w:leader="none"/>
              </w:tabs>
              <w:spacing w:line="247" w:lineRule="exact" w:before="4"/>
              <w:ind w:left="298"/>
              <w:rPr>
                <w:sz w:val="22"/>
              </w:rPr>
            </w:pP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1</w:t>
            </w:r>
          </w:p>
        </w:tc>
      </w:tr>
    </w:tbl>
    <w:p>
      <w:pPr>
        <w:spacing w:after="0" w:line="247" w:lineRule="exact"/>
        <w:rPr>
          <w:sz w:val="22"/>
        </w:rPr>
        <w:sectPr>
          <w:pgSz w:w="12240" w:h="15840"/>
          <w:pgMar w:header="0" w:footer="1009" w:top="1260" w:bottom="1200" w:left="1680" w:right="1320"/>
        </w:sectPr>
      </w:pPr>
    </w:p>
    <w:p>
      <w:pPr>
        <w:spacing w:before="94"/>
        <w:ind w:left="307" w:right="680" w:firstLine="0"/>
        <w:jc w:val="center"/>
        <w:rPr>
          <w:b/>
          <w:sz w:val="22"/>
        </w:rPr>
      </w:pPr>
      <w:r>
        <w:rPr>
          <w:b/>
          <w:sz w:val="22"/>
        </w:rPr>
        <w:t>TABLE</w:t>
      </w:r>
      <w:r>
        <w:rPr>
          <w:b/>
          <w:spacing w:val="14"/>
          <w:sz w:val="22"/>
        </w:rPr>
        <w:t> </w:t>
      </w:r>
      <w:r>
        <w:rPr>
          <w:b/>
          <w:sz w:val="22"/>
        </w:rPr>
        <w:t>OF</w:t>
      </w:r>
      <w:r>
        <w:rPr>
          <w:b/>
          <w:spacing w:val="12"/>
          <w:sz w:val="22"/>
        </w:rPr>
        <w:t> </w:t>
      </w:r>
      <w:r>
        <w:rPr>
          <w:b/>
          <w:spacing w:val="-2"/>
          <w:sz w:val="22"/>
        </w:rPr>
        <w:t>CASES</w:t>
      </w:r>
    </w:p>
    <w:p>
      <w:pPr>
        <w:spacing w:before="3"/>
        <w:ind w:left="0" w:right="924" w:firstLine="0"/>
        <w:jc w:val="right"/>
        <w:rPr>
          <w:b/>
          <w:sz w:val="22"/>
        </w:rPr>
      </w:pPr>
      <w:r>
        <w:rPr>
          <w:b/>
          <w:spacing w:val="-2"/>
          <w:sz w:val="22"/>
        </w:rPr>
        <w:t>Pages</w:t>
      </w:r>
    </w:p>
    <w:p>
      <w:pPr>
        <w:pStyle w:val="BodyText"/>
        <w:spacing w:before="16"/>
        <w:rPr>
          <w:b/>
          <w:sz w:val="22"/>
        </w:rPr>
      </w:pPr>
    </w:p>
    <w:p>
      <w:pPr>
        <w:spacing w:before="0"/>
        <w:ind w:left="187" w:right="0" w:firstLine="0"/>
        <w:jc w:val="left"/>
        <w:rPr>
          <w:sz w:val="22"/>
        </w:rPr>
      </w:pPr>
      <w:r>
        <w:rPr>
          <w:sz w:val="22"/>
        </w:rPr>
        <w:t>Adeyemi</w:t>
      </w:r>
      <w:r>
        <w:rPr>
          <w:spacing w:val="20"/>
          <w:sz w:val="22"/>
        </w:rPr>
        <w:t> </w:t>
      </w:r>
      <w:r>
        <w:rPr>
          <w:sz w:val="22"/>
        </w:rPr>
        <w:t>Saliu</w:t>
      </w:r>
      <w:r>
        <w:rPr>
          <w:spacing w:val="13"/>
          <w:sz w:val="22"/>
        </w:rPr>
        <w:t> </w:t>
      </w:r>
      <w:r>
        <w:rPr>
          <w:sz w:val="22"/>
        </w:rPr>
        <w:t>Olaotan</w:t>
      </w:r>
      <w:r>
        <w:rPr>
          <w:spacing w:val="6"/>
          <w:sz w:val="22"/>
        </w:rPr>
        <w:t> </w:t>
      </w:r>
      <w:r>
        <w:rPr>
          <w:sz w:val="22"/>
        </w:rPr>
        <w:t>v.</w:t>
      </w:r>
      <w:r>
        <w:rPr>
          <w:spacing w:val="13"/>
          <w:sz w:val="22"/>
        </w:rPr>
        <w:t> </w:t>
      </w:r>
      <w:r>
        <w:rPr>
          <w:sz w:val="22"/>
        </w:rPr>
        <w:t>Lagos</w:t>
      </w:r>
      <w:r>
        <w:rPr>
          <w:spacing w:val="8"/>
          <w:sz w:val="22"/>
        </w:rPr>
        <w:t> </w:t>
      </w:r>
      <w:r>
        <w:rPr>
          <w:sz w:val="22"/>
        </w:rPr>
        <w:t>State</w:t>
      </w:r>
      <w:r>
        <w:rPr>
          <w:spacing w:val="15"/>
          <w:sz w:val="22"/>
        </w:rPr>
        <w:t> </w:t>
      </w:r>
      <w:r>
        <w:rPr>
          <w:sz w:val="22"/>
        </w:rPr>
        <w:t>Government</w:t>
      </w:r>
      <w:r>
        <w:rPr>
          <w:spacing w:val="15"/>
          <w:sz w:val="22"/>
        </w:rPr>
        <w:t> </w:t>
      </w:r>
      <w:r>
        <w:rPr>
          <w:sz w:val="22"/>
        </w:rPr>
        <w:t>and</w:t>
      </w:r>
      <w:r>
        <w:rPr>
          <w:spacing w:val="19"/>
          <w:sz w:val="22"/>
        </w:rPr>
        <w:t> </w:t>
      </w:r>
      <w:r>
        <w:rPr>
          <w:spacing w:val="-5"/>
          <w:sz w:val="22"/>
        </w:rPr>
        <w:t>Ors</w:t>
      </w:r>
    </w:p>
    <w:p>
      <w:pPr>
        <w:tabs>
          <w:tab w:pos="4247" w:val="left" w:leader="none"/>
          <w:tab w:pos="4924" w:val="left" w:leader="none"/>
          <w:tab w:pos="5601" w:val="left" w:leader="none"/>
          <w:tab w:pos="6278" w:val="left" w:leader="none"/>
          <w:tab w:pos="6955" w:val="left" w:leader="none"/>
          <w:tab w:pos="8004" w:val="right" w:leader="none"/>
        </w:tabs>
        <w:spacing w:before="8"/>
        <w:ind w:left="187" w:right="0" w:firstLine="0"/>
        <w:jc w:val="left"/>
        <w:rPr>
          <w:sz w:val="22"/>
        </w:rPr>
      </w:pPr>
      <w:r>
        <w:rPr>
          <w:sz w:val="22"/>
        </w:rPr>
        <w:t>(Unreported)</w:t>
      </w:r>
      <w:r>
        <w:rPr>
          <w:spacing w:val="9"/>
          <w:sz w:val="22"/>
        </w:rPr>
        <w:t> </w:t>
      </w:r>
      <w:r>
        <w:rPr>
          <w:sz w:val="22"/>
        </w:rPr>
        <w:t>Suit</w:t>
      </w:r>
      <w:r>
        <w:rPr>
          <w:spacing w:val="18"/>
          <w:sz w:val="22"/>
        </w:rPr>
        <w:t> </w:t>
      </w:r>
      <w:r>
        <w:rPr>
          <w:sz w:val="22"/>
        </w:rPr>
        <w:t>No.</w:t>
      </w:r>
      <w:r>
        <w:rPr>
          <w:spacing w:val="15"/>
          <w:sz w:val="22"/>
        </w:rPr>
        <w:t> </w:t>
      </w:r>
      <w:r>
        <w:rPr>
          <w:spacing w:val="-2"/>
          <w:sz w:val="22"/>
        </w:rPr>
        <w:t>NIC/LA/41/2010</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100</w:t>
      </w:r>
    </w:p>
    <w:p>
      <w:pPr>
        <w:tabs>
          <w:tab w:pos="6278" w:val="left" w:leader="none"/>
          <w:tab w:pos="6955" w:val="left" w:leader="none"/>
          <w:tab w:pos="8004" w:val="right" w:leader="none"/>
        </w:tabs>
        <w:spacing w:before="277"/>
        <w:ind w:left="187" w:right="0" w:firstLine="0"/>
        <w:jc w:val="left"/>
        <w:rPr>
          <w:sz w:val="22"/>
        </w:rPr>
      </w:pPr>
      <w:r>
        <w:rPr>
          <w:sz w:val="22"/>
        </w:rPr>
        <w:t>AG</w:t>
      </w:r>
      <w:r>
        <w:rPr>
          <w:spacing w:val="9"/>
          <w:sz w:val="22"/>
        </w:rPr>
        <w:t> </w:t>
      </w:r>
      <w:r>
        <w:rPr>
          <w:sz w:val="22"/>
        </w:rPr>
        <w:t>Ondo</w:t>
      </w:r>
      <w:r>
        <w:rPr>
          <w:spacing w:val="14"/>
          <w:sz w:val="22"/>
        </w:rPr>
        <w:t> </w:t>
      </w:r>
      <w:r>
        <w:rPr>
          <w:sz w:val="22"/>
        </w:rPr>
        <w:t>v.</w:t>
      </w:r>
      <w:r>
        <w:rPr>
          <w:spacing w:val="10"/>
          <w:sz w:val="22"/>
        </w:rPr>
        <w:t> </w:t>
      </w:r>
      <w:r>
        <w:rPr>
          <w:sz w:val="22"/>
        </w:rPr>
        <w:t>A.G.</w:t>
      </w:r>
      <w:r>
        <w:rPr>
          <w:spacing w:val="11"/>
          <w:sz w:val="22"/>
        </w:rPr>
        <w:t> </w:t>
      </w:r>
      <w:r>
        <w:rPr>
          <w:sz w:val="22"/>
        </w:rPr>
        <w:t>Federation</w:t>
      </w:r>
      <w:r>
        <w:rPr>
          <w:spacing w:val="10"/>
          <w:sz w:val="22"/>
        </w:rPr>
        <w:t> </w:t>
      </w:r>
      <w:r>
        <w:rPr>
          <w:sz w:val="22"/>
        </w:rPr>
        <w:t>(2002)</w:t>
      </w:r>
      <w:r>
        <w:rPr>
          <w:spacing w:val="6"/>
          <w:sz w:val="22"/>
        </w:rPr>
        <w:t> </w:t>
      </w:r>
      <w:r>
        <w:rPr>
          <w:sz w:val="22"/>
        </w:rPr>
        <w:t>9</w:t>
      </w:r>
      <w:r>
        <w:rPr>
          <w:spacing w:val="13"/>
          <w:sz w:val="22"/>
        </w:rPr>
        <w:t> </w:t>
      </w:r>
      <w:r>
        <w:rPr>
          <w:sz w:val="22"/>
        </w:rPr>
        <w:t>NWLR</w:t>
      </w:r>
      <w:r>
        <w:rPr>
          <w:spacing w:val="10"/>
          <w:sz w:val="22"/>
        </w:rPr>
        <w:t> </w:t>
      </w:r>
      <w:r>
        <w:rPr>
          <w:sz w:val="22"/>
        </w:rPr>
        <w:t>(pt</w:t>
      </w:r>
      <w:r>
        <w:rPr>
          <w:spacing w:val="8"/>
          <w:sz w:val="22"/>
        </w:rPr>
        <w:t> </w:t>
      </w:r>
      <w:r>
        <w:rPr>
          <w:sz w:val="22"/>
        </w:rPr>
        <w:t>772)</w:t>
      </w:r>
      <w:r>
        <w:rPr>
          <w:spacing w:val="6"/>
          <w:sz w:val="22"/>
        </w:rPr>
        <w:t> </w:t>
      </w:r>
      <w:r>
        <w:rPr>
          <w:spacing w:val="-5"/>
          <w:sz w:val="22"/>
        </w:rPr>
        <w:t>241</w:t>
      </w:r>
      <w:r>
        <w:rPr>
          <w:sz w:val="22"/>
        </w:rPr>
        <w:tab/>
      </w:r>
      <w:r>
        <w:rPr>
          <w:spacing w:val="-10"/>
          <w:sz w:val="22"/>
        </w:rPr>
        <w:t>-</w:t>
      </w:r>
      <w:r>
        <w:rPr>
          <w:sz w:val="22"/>
        </w:rPr>
        <w:tab/>
      </w:r>
      <w:r>
        <w:rPr>
          <w:spacing w:val="-10"/>
          <w:sz w:val="22"/>
        </w:rPr>
        <w:t>-</w:t>
      </w:r>
      <w:r>
        <w:rPr>
          <w:sz w:val="22"/>
        </w:rPr>
        <w:tab/>
      </w:r>
      <w:r>
        <w:rPr>
          <w:spacing w:val="-5"/>
          <w:sz w:val="22"/>
        </w:rPr>
        <w:t>100</w:t>
      </w:r>
    </w:p>
    <w:p>
      <w:pPr>
        <w:tabs>
          <w:tab w:pos="4924" w:val="left" w:leader="none"/>
          <w:tab w:pos="5601" w:val="left" w:leader="none"/>
          <w:tab w:pos="6278" w:val="left" w:leader="none"/>
          <w:tab w:pos="6955" w:val="left" w:leader="none"/>
          <w:tab w:pos="8004" w:val="right" w:leader="none"/>
        </w:tabs>
        <w:spacing w:before="282"/>
        <w:ind w:left="187" w:right="0" w:firstLine="0"/>
        <w:jc w:val="left"/>
        <w:rPr>
          <w:sz w:val="22"/>
        </w:rPr>
      </w:pPr>
      <w:r>
        <w:rPr>
          <w:sz w:val="22"/>
        </w:rPr>
        <w:t>Amadi</w:t>
      </w:r>
      <w:r>
        <w:rPr>
          <w:spacing w:val="16"/>
          <w:sz w:val="22"/>
        </w:rPr>
        <w:t> </w:t>
      </w:r>
      <w:r>
        <w:rPr>
          <w:sz w:val="22"/>
        </w:rPr>
        <w:t>v.</w:t>
      </w:r>
      <w:r>
        <w:rPr>
          <w:spacing w:val="9"/>
          <w:sz w:val="22"/>
        </w:rPr>
        <w:t> </w:t>
      </w:r>
      <w:r>
        <w:rPr>
          <w:sz w:val="22"/>
        </w:rPr>
        <w:t>NNPC</w:t>
      </w:r>
      <w:r>
        <w:rPr>
          <w:spacing w:val="9"/>
          <w:sz w:val="22"/>
        </w:rPr>
        <w:t> </w:t>
      </w:r>
      <w:r>
        <w:rPr>
          <w:sz w:val="22"/>
        </w:rPr>
        <w:t>(2000)</w:t>
      </w:r>
      <w:r>
        <w:rPr>
          <w:spacing w:val="4"/>
          <w:sz w:val="22"/>
        </w:rPr>
        <w:t> </w:t>
      </w:r>
      <w:r>
        <w:rPr>
          <w:sz w:val="22"/>
        </w:rPr>
        <w:t>10</w:t>
      </w:r>
      <w:r>
        <w:rPr>
          <w:spacing w:val="12"/>
          <w:sz w:val="22"/>
        </w:rPr>
        <w:t> </w:t>
      </w:r>
      <w:r>
        <w:rPr>
          <w:sz w:val="22"/>
        </w:rPr>
        <w:t>NWLR</w:t>
      </w:r>
      <w:r>
        <w:rPr>
          <w:spacing w:val="9"/>
          <w:sz w:val="22"/>
        </w:rPr>
        <w:t> </w:t>
      </w:r>
      <w:r>
        <w:rPr>
          <w:sz w:val="22"/>
        </w:rPr>
        <w:t>(pt</w:t>
      </w:r>
      <w:r>
        <w:rPr>
          <w:spacing w:val="6"/>
          <w:sz w:val="22"/>
        </w:rPr>
        <w:t> </w:t>
      </w:r>
      <w:r>
        <w:rPr>
          <w:spacing w:val="-4"/>
          <w:sz w:val="22"/>
        </w:rPr>
        <w:t>674)</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100</w:t>
      </w:r>
    </w:p>
    <w:p>
      <w:pPr>
        <w:tabs>
          <w:tab w:pos="4924" w:val="left" w:leader="none"/>
          <w:tab w:pos="5601" w:val="left" w:leader="none"/>
          <w:tab w:pos="6278" w:val="left" w:leader="none"/>
          <w:tab w:pos="6955" w:val="left" w:leader="none"/>
          <w:tab w:pos="7879" w:val="right" w:leader="none"/>
        </w:tabs>
        <w:spacing w:before="282"/>
        <w:ind w:left="187" w:right="0" w:firstLine="0"/>
        <w:jc w:val="left"/>
        <w:rPr>
          <w:sz w:val="22"/>
        </w:rPr>
      </w:pPr>
      <w:r>
        <w:rPr>
          <w:sz w:val="22"/>
        </w:rPr>
        <w:t>Davidson</w:t>
      </w:r>
      <w:r>
        <w:rPr>
          <w:spacing w:val="10"/>
          <w:sz w:val="22"/>
        </w:rPr>
        <w:t> </w:t>
      </w:r>
      <w:r>
        <w:rPr>
          <w:sz w:val="22"/>
        </w:rPr>
        <w:t>v.</w:t>
      </w:r>
      <w:r>
        <w:rPr>
          <w:spacing w:val="11"/>
          <w:sz w:val="22"/>
        </w:rPr>
        <w:t> </w:t>
      </w:r>
      <w:r>
        <w:rPr>
          <w:sz w:val="22"/>
        </w:rPr>
        <w:t>Co</w:t>
      </w:r>
      <w:r>
        <w:rPr>
          <w:spacing w:val="14"/>
          <w:sz w:val="22"/>
        </w:rPr>
        <w:t> </w:t>
      </w:r>
      <w:r>
        <w:rPr>
          <w:sz w:val="22"/>
        </w:rPr>
        <w:t>M’.</w:t>
      </w:r>
      <w:r>
        <w:rPr>
          <w:spacing w:val="5"/>
          <w:sz w:val="22"/>
        </w:rPr>
        <w:t> </w:t>
      </w:r>
      <w:r>
        <w:rPr>
          <w:sz w:val="22"/>
        </w:rPr>
        <w:t>Robb</w:t>
      </w:r>
      <w:r>
        <w:rPr>
          <w:spacing w:val="12"/>
          <w:sz w:val="22"/>
        </w:rPr>
        <w:t> </w:t>
      </w:r>
      <w:r>
        <w:rPr>
          <w:sz w:val="22"/>
        </w:rPr>
        <w:t>(1918)</w:t>
      </w:r>
      <w:r>
        <w:rPr>
          <w:spacing w:val="7"/>
          <w:sz w:val="22"/>
        </w:rPr>
        <w:t> </w:t>
      </w:r>
      <w:r>
        <w:rPr>
          <w:sz w:val="22"/>
        </w:rPr>
        <w:t>AC</w:t>
      </w:r>
      <w:r>
        <w:rPr>
          <w:spacing w:val="5"/>
          <w:sz w:val="22"/>
        </w:rPr>
        <w:t> </w:t>
      </w:r>
      <w:r>
        <w:rPr>
          <w:spacing w:val="-2"/>
          <w:sz w:val="22"/>
        </w:rPr>
        <w:t>304,317</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58</w:t>
      </w:r>
    </w:p>
    <w:p>
      <w:pPr>
        <w:tabs>
          <w:tab w:pos="6278" w:val="left" w:leader="none"/>
          <w:tab w:pos="6955" w:val="left" w:leader="none"/>
          <w:tab w:pos="8004" w:val="right" w:leader="none"/>
        </w:tabs>
        <w:spacing w:before="276"/>
        <w:ind w:left="187" w:right="0" w:firstLine="0"/>
        <w:jc w:val="left"/>
        <w:rPr>
          <w:sz w:val="22"/>
        </w:rPr>
      </w:pPr>
      <w:r>
        <w:rPr>
          <w:sz w:val="22"/>
        </w:rPr>
        <w:t>Fitzgerald</w:t>
      </w:r>
      <w:r>
        <w:rPr>
          <w:spacing w:val="6"/>
          <w:sz w:val="22"/>
        </w:rPr>
        <w:t> </w:t>
      </w:r>
      <w:r>
        <w:rPr>
          <w:sz w:val="22"/>
        </w:rPr>
        <w:t>v.</w:t>
      </w:r>
      <w:r>
        <w:rPr>
          <w:spacing w:val="11"/>
          <w:sz w:val="22"/>
        </w:rPr>
        <w:t> </w:t>
      </w:r>
      <w:r>
        <w:rPr>
          <w:sz w:val="22"/>
        </w:rPr>
        <w:t>W.G.</w:t>
      </w:r>
      <w:r>
        <w:rPr>
          <w:spacing w:val="10"/>
          <w:sz w:val="22"/>
        </w:rPr>
        <w:t> </w:t>
      </w:r>
      <w:r>
        <w:rPr>
          <w:sz w:val="22"/>
        </w:rPr>
        <w:t>Clarke</w:t>
      </w:r>
      <w:r>
        <w:rPr>
          <w:spacing w:val="13"/>
          <w:sz w:val="22"/>
        </w:rPr>
        <w:t> </w:t>
      </w:r>
      <w:r>
        <w:rPr>
          <w:sz w:val="22"/>
        </w:rPr>
        <w:t>&amp;</w:t>
      </w:r>
      <w:r>
        <w:rPr>
          <w:spacing w:val="9"/>
          <w:sz w:val="22"/>
        </w:rPr>
        <w:t> </w:t>
      </w:r>
      <w:r>
        <w:rPr>
          <w:sz w:val="22"/>
        </w:rPr>
        <w:t>Son</w:t>
      </w:r>
      <w:r>
        <w:rPr>
          <w:spacing w:val="11"/>
          <w:sz w:val="22"/>
        </w:rPr>
        <w:t> </w:t>
      </w:r>
      <w:r>
        <w:rPr>
          <w:sz w:val="22"/>
        </w:rPr>
        <w:t>(1908)</w:t>
      </w:r>
      <w:r>
        <w:rPr>
          <w:spacing w:val="6"/>
          <w:sz w:val="22"/>
        </w:rPr>
        <w:t> </w:t>
      </w:r>
      <w:r>
        <w:rPr>
          <w:sz w:val="22"/>
        </w:rPr>
        <w:t>2KB,</w:t>
      </w:r>
      <w:r>
        <w:rPr>
          <w:spacing w:val="11"/>
          <w:sz w:val="22"/>
        </w:rPr>
        <w:t> </w:t>
      </w:r>
      <w:r>
        <w:rPr>
          <w:sz w:val="22"/>
        </w:rPr>
        <w:t>796,799</w:t>
      </w:r>
      <w:r>
        <w:rPr>
          <w:spacing w:val="55"/>
          <w:w w:val="150"/>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106</w:t>
      </w:r>
    </w:p>
    <w:p>
      <w:pPr>
        <w:tabs>
          <w:tab w:pos="8004" w:val="right" w:leader="hyphen"/>
        </w:tabs>
        <w:spacing w:before="277"/>
        <w:ind w:left="187" w:right="0" w:firstLine="0"/>
        <w:jc w:val="left"/>
        <w:rPr>
          <w:sz w:val="22"/>
        </w:rPr>
      </w:pPr>
      <w:r>
        <w:rPr>
          <w:sz w:val="22"/>
        </w:rPr>
        <w:t>Gilbert</w:t>
      </w:r>
      <w:r>
        <w:rPr>
          <w:spacing w:val="19"/>
          <w:sz w:val="22"/>
        </w:rPr>
        <w:t> </w:t>
      </w:r>
      <w:r>
        <w:rPr>
          <w:sz w:val="22"/>
        </w:rPr>
        <w:t>Ezeiggwev.</w:t>
      </w:r>
      <w:r>
        <w:rPr>
          <w:spacing w:val="16"/>
          <w:sz w:val="22"/>
        </w:rPr>
        <w:t> </w:t>
      </w:r>
      <w:r>
        <w:rPr>
          <w:sz w:val="22"/>
        </w:rPr>
        <w:t>Awawa</w:t>
      </w:r>
      <w:r>
        <w:rPr>
          <w:spacing w:val="15"/>
          <w:sz w:val="22"/>
        </w:rPr>
        <w:t> </w:t>
      </w:r>
      <w:r>
        <w:rPr>
          <w:spacing w:val="-2"/>
          <w:sz w:val="22"/>
        </w:rPr>
        <w:t>Awudu(2008)11NWLR(pt.1097)158</w:t>
      </w:r>
      <w:r>
        <w:rPr>
          <w:sz w:val="22"/>
        </w:rPr>
        <w:tab/>
      </w:r>
      <w:r>
        <w:rPr>
          <w:spacing w:val="-5"/>
          <w:sz w:val="22"/>
        </w:rPr>
        <w:t>106</w:t>
      </w:r>
    </w:p>
    <w:p>
      <w:pPr>
        <w:tabs>
          <w:tab w:pos="8004" w:val="right" w:leader="none"/>
        </w:tabs>
        <w:spacing w:before="282"/>
        <w:ind w:left="187" w:right="0" w:firstLine="0"/>
        <w:jc w:val="left"/>
        <w:rPr>
          <w:sz w:val="22"/>
        </w:rPr>
      </w:pPr>
      <w:r>
        <w:rPr>
          <w:sz w:val="22"/>
        </w:rPr>
        <w:t>Jiboso</w:t>
      </w:r>
      <w:r>
        <w:rPr>
          <w:spacing w:val="54"/>
          <w:sz w:val="22"/>
        </w:rPr>
        <w:t> </w:t>
      </w:r>
      <w:r>
        <w:rPr>
          <w:sz w:val="22"/>
        </w:rPr>
        <w:t>v.Obadina(1962)WRNLR</w:t>
      </w:r>
      <w:r>
        <w:rPr>
          <w:spacing w:val="42"/>
          <w:sz w:val="22"/>
        </w:rPr>
        <w:t> </w:t>
      </w:r>
      <w:r>
        <w:rPr>
          <w:sz w:val="22"/>
        </w:rPr>
        <w:t>303-----------------------------------------</w:t>
      </w:r>
      <w:r>
        <w:rPr>
          <w:spacing w:val="-10"/>
          <w:sz w:val="22"/>
        </w:rPr>
        <w:t>-</w:t>
      </w:r>
      <w:r>
        <w:rPr>
          <w:sz w:val="22"/>
        </w:rPr>
        <w:tab/>
      </w:r>
      <w:r>
        <w:rPr>
          <w:spacing w:val="-5"/>
          <w:sz w:val="22"/>
        </w:rPr>
        <w:t>106</w:t>
      </w:r>
    </w:p>
    <w:p>
      <w:pPr>
        <w:tabs>
          <w:tab w:pos="4924" w:val="left" w:leader="none"/>
          <w:tab w:pos="5601" w:val="left" w:leader="none"/>
          <w:tab w:pos="6278" w:val="left" w:leader="none"/>
          <w:tab w:pos="6955" w:val="left" w:leader="none"/>
          <w:tab w:pos="8004" w:val="right" w:leader="none"/>
        </w:tabs>
        <w:spacing w:before="277"/>
        <w:ind w:left="187" w:right="0" w:firstLine="0"/>
        <w:jc w:val="left"/>
        <w:rPr>
          <w:sz w:val="22"/>
        </w:rPr>
      </w:pPr>
      <w:r>
        <w:rPr>
          <w:sz w:val="22"/>
        </w:rPr>
        <w:t>Madukolu</w:t>
      </w:r>
      <w:r>
        <w:rPr>
          <w:spacing w:val="9"/>
          <w:sz w:val="22"/>
        </w:rPr>
        <w:t> </w:t>
      </w:r>
      <w:r>
        <w:rPr>
          <w:sz w:val="22"/>
        </w:rPr>
        <w:t>v.</w:t>
      </w:r>
      <w:r>
        <w:rPr>
          <w:spacing w:val="15"/>
          <w:sz w:val="22"/>
        </w:rPr>
        <w:t> </w:t>
      </w:r>
      <w:r>
        <w:rPr>
          <w:sz w:val="22"/>
        </w:rPr>
        <w:t>Nkedilim</w:t>
      </w:r>
      <w:r>
        <w:rPr>
          <w:spacing w:val="15"/>
          <w:sz w:val="22"/>
        </w:rPr>
        <w:t> </w:t>
      </w:r>
      <w:r>
        <w:rPr>
          <w:sz w:val="22"/>
        </w:rPr>
        <w:t>(1962)</w:t>
      </w:r>
      <w:r>
        <w:rPr>
          <w:spacing w:val="16"/>
          <w:sz w:val="22"/>
        </w:rPr>
        <w:t> </w:t>
      </w:r>
      <w:r>
        <w:rPr>
          <w:sz w:val="22"/>
        </w:rPr>
        <w:t>SCNLR</w:t>
      </w:r>
      <w:r>
        <w:rPr>
          <w:spacing w:val="15"/>
          <w:sz w:val="22"/>
        </w:rPr>
        <w:t> </w:t>
      </w:r>
      <w:r>
        <w:rPr>
          <w:sz w:val="22"/>
        </w:rPr>
        <w:t>341</w:t>
      </w:r>
      <w:r>
        <w:rPr>
          <w:spacing w:val="-44"/>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100</w:t>
      </w:r>
    </w:p>
    <w:p>
      <w:pPr>
        <w:tabs>
          <w:tab w:pos="7754" w:val="right" w:leader="none"/>
        </w:tabs>
        <w:spacing w:before="281"/>
        <w:ind w:left="187" w:right="0" w:firstLine="0"/>
        <w:jc w:val="left"/>
        <w:rPr>
          <w:sz w:val="22"/>
        </w:rPr>
      </w:pPr>
      <w:r>
        <w:rPr>
          <w:sz w:val="22"/>
        </w:rPr>
        <w:t>Metal</w:t>
      </w:r>
      <w:r>
        <w:rPr>
          <w:spacing w:val="14"/>
          <w:sz w:val="22"/>
        </w:rPr>
        <w:t> </w:t>
      </w:r>
      <w:r>
        <w:rPr>
          <w:sz w:val="22"/>
        </w:rPr>
        <w:t>Containers</w:t>
      </w:r>
      <w:r>
        <w:rPr>
          <w:spacing w:val="15"/>
          <w:sz w:val="22"/>
        </w:rPr>
        <w:t> </w:t>
      </w:r>
      <w:r>
        <w:rPr>
          <w:sz w:val="22"/>
        </w:rPr>
        <w:t>(W.A)</w:t>
      </w:r>
      <w:r>
        <w:rPr>
          <w:spacing w:val="14"/>
          <w:sz w:val="22"/>
        </w:rPr>
        <w:t> </w:t>
      </w:r>
      <w:r>
        <w:rPr>
          <w:sz w:val="22"/>
        </w:rPr>
        <w:t>Ltd</w:t>
      </w:r>
      <w:r>
        <w:rPr>
          <w:spacing w:val="14"/>
          <w:sz w:val="22"/>
        </w:rPr>
        <w:t> </w:t>
      </w:r>
      <w:r>
        <w:rPr>
          <w:sz w:val="22"/>
        </w:rPr>
        <w:t>v.</w:t>
      </w:r>
      <w:r>
        <w:rPr>
          <w:spacing w:val="13"/>
          <w:sz w:val="22"/>
        </w:rPr>
        <w:t> </w:t>
      </w:r>
      <w:r>
        <w:rPr>
          <w:sz w:val="22"/>
        </w:rPr>
        <w:t>Momodu</w:t>
      </w:r>
      <w:r>
        <w:rPr>
          <w:spacing w:val="13"/>
          <w:sz w:val="22"/>
        </w:rPr>
        <w:t> </w:t>
      </w:r>
      <w:r>
        <w:rPr>
          <w:sz w:val="22"/>
        </w:rPr>
        <w:t>Iyomifokhia</w:t>
      </w:r>
      <w:r>
        <w:rPr>
          <w:spacing w:val="10"/>
          <w:sz w:val="22"/>
        </w:rPr>
        <w:t> </w:t>
      </w:r>
      <w:r>
        <w:rPr>
          <w:sz w:val="22"/>
        </w:rPr>
        <w:t>(1959)</w:t>
      </w:r>
      <w:r>
        <w:rPr>
          <w:spacing w:val="8"/>
          <w:sz w:val="22"/>
        </w:rPr>
        <w:t> </w:t>
      </w:r>
      <w:r>
        <w:rPr>
          <w:sz w:val="22"/>
        </w:rPr>
        <w:t>L.L.R</w:t>
      </w:r>
      <w:r>
        <w:rPr>
          <w:spacing w:val="13"/>
          <w:sz w:val="22"/>
        </w:rPr>
        <w:t> </w:t>
      </w:r>
      <w:r>
        <w:rPr>
          <w:spacing w:val="-5"/>
          <w:sz w:val="22"/>
        </w:rPr>
        <w:t>130</w:t>
      </w:r>
      <w:r>
        <w:rPr>
          <w:sz w:val="22"/>
        </w:rPr>
        <w:tab/>
      </w:r>
      <w:r>
        <w:rPr>
          <w:spacing w:val="-10"/>
          <w:sz w:val="22"/>
        </w:rPr>
        <w:t>1</w:t>
      </w:r>
    </w:p>
    <w:p>
      <w:pPr>
        <w:tabs>
          <w:tab w:pos="4924" w:val="left" w:leader="none"/>
          <w:tab w:pos="5601" w:val="left" w:leader="none"/>
          <w:tab w:pos="6278" w:val="left" w:leader="none"/>
          <w:tab w:pos="6955" w:val="left" w:leader="none"/>
          <w:tab w:pos="7879" w:val="right" w:leader="none"/>
        </w:tabs>
        <w:spacing w:before="277"/>
        <w:ind w:left="187" w:right="0" w:firstLine="0"/>
        <w:jc w:val="left"/>
        <w:rPr>
          <w:sz w:val="22"/>
        </w:rPr>
      </w:pPr>
      <w:r>
        <w:rPr>
          <w:sz w:val="22"/>
        </w:rPr>
        <w:t>Moor</w:t>
      </w:r>
      <w:r>
        <w:rPr>
          <w:spacing w:val="6"/>
          <w:sz w:val="22"/>
        </w:rPr>
        <w:t> </w:t>
      </w:r>
      <w:r>
        <w:rPr>
          <w:sz w:val="22"/>
        </w:rPr>
        <w:t>v.</w:t>
      </w:r>
      <w:r>
        <w:rPr>
          <w:spacing w:val="12"/>
          <w:sz w:val="22"/>
        </w:rPr>
        <w:t> </w:t>
      </w:r>
      <w:r>
        <w:rPr>
          <w:sz w:val="22"/>
        </w:rPr>
        <w:t>Manchester</w:t>
      </w:r>
      <w:r>
        <w:rPr>
          <w:spacing w:val="12"/>
          <w:sz w:val="22"/>
        </w:rPr>
        <w:t> </w:t>
      </w:r>
      <w:r>
        <w:rPr>
          <w:sz w:val="22"/>
        </w:rPr>
        <w:t>Liners</w:t>
      </w:r>
      <w:r>
        <w:rPr>
          <w:spacing w:val="13"/>
          <w:sz w:val="22"/>
        </w:rPr>
        <w:t> </w:t>
      </w:r>
      <w:r>
        <w:rPr>
          <w:sz w:val="22"/>
        </w:rPr>
        <w:t>Ltd</w:t>
      </w:r>
      <w:r>
        <w:rPr>
          <w:spacing w:val="13"/>
          <w:sz w:val="22"/>
        </w:rPr>
        <w:t> </w:t>
      </w:r>
      <w:r>
        <w:rPr>
          <w:sz w:val="22"/>
        </w:rPr>
        <w:t>(1910)</w:t>
      </w:r>
      <w:r>
        <w:rPr>
          <w:spacing w:val="6"/>
          <w:sz w:val="22"/>
        </w:rPr>
        <w:t> </w:t>
      </w:r>
      <w:r>
        <w:rPr>
          <w:sz w:val="22"/>
        </w:rPr>
        <w:t>AC</w:t>
      </w:r>
      <w:r>
        <w:rPr>
          <w:spacing w:val="12"/>
          <w:sz w:val="22"/>
        </w:rPr>
        <w:t> </w:t>
      </w:r>
      <w:r>
        <w:rPr>
          <w:spacing w:val="-5"/>
          <w:sz w:val="22"/>
        </w:rPr>
        <w:t>498</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59</w:t>
      </w:r>
    </w:p>
    <w:p>
      <w:pPr>
        <w:tabs>
          <w:tab w:pos="6278" w:val="left" w:leader="none"/>
          <w:tab w:pos="6955" w:val="left" w:leader="none"/>
          <w:tab w:pos="7879" w:val="right" w:leader="none"/>
        </w:tabs>
        <w:spacing w:before="277"/>
        <w:ind w:left="187" w:right="0" w:firstLine="0"/>
        <w:jc w:val="left"/>
        <w:rPr>
          <w:sz w:val="22"/>
        </w:rPr>
      </w:pPr>
      <w:r>
        <w:rPr>
          <w:sz w:val="22"/>
        </w:rPr>
        <w:t>New</w:t>
      </w:r>
      <w:r>
        <w:rPr>
          <w:spacing w:val="13"/>
          <w:sz w:val="22"/>
        </w:rPr>
        <w:t> </w:t>
      </w:r>
      <w:r>
        <w:rPr>
          <w:sz w:val="22"/>
        </w:rPr>
        <w:t>Monchkton</w:t>
      </w:r>
      <w:r>
        <w:rPr>
          <w:spacing w:val="12"/>
          <w:sz w:val="22"/>
        </w:rPr>
        <w:t> </w:t>
      </w:r>
      <w:r>
        <w:rPr>
          <w:sz w:val="22"/>
        </w:rPr>
        <w:t>Collieries</w:t>
      </w:r>
      <w:r>
        <w:rPr>
          <w:spacing w:val="13"/>
          <w:sz w:val="22"/>
        </w:rPr>
        <w:t> </w:t>
      </w:r>
      <w:r>
        <w:rPr>
          <w:sz w:val="22"/>
        </w:rPr>
        <w:t>Ltd</w:t>
      </w:r>
      <w:r>
        <w:rPr>
          <w:spacing w:val="8"/>
          <w:sz w:val="22"/>
        </w:rPr>
        <w:t> </w:t>
      </w:r>
      <w:r>
        <w:rPr>
          <w:sz w:val="22"/>
        </w:rPr>
        <w:t>v.</w:t>
      </w:r>
      <w:r>
        <w:rPr>
          <w:spacing w:val="12"/>
          <w:sz w:val="22"/>
        </w:rPr>
        <w:t> </w:t>
      </w:r>
      <w:r>
        <w:rPr>
          <w:sz w:val="22"/>
        </w:rPr>
        <w:t>Keeling</w:t>
      </w:r>
      <w:r>
        <w:rPr>
          <w:spacing w:val="14"/>
          <w:sz w:val="22"/>
        </w:rPr>
        <w:t> </w:t>
      </w:r>
      <w:r>
        <w:rPr>
          <w:sz w:val="22"/>
        </w:rPr>
        <w:t>(1911)</w:t>
      </w:r>
      <w:r>
        <w:rPr>
          <w:spacing w:val="14"/>
          <w:sz w:val="22"/>
        </w:rPr>
        <w:t> </w:t>
      </w:r>
      <w:r>
        <w:rPr>
          <w:sz w:val="22"/>
        </w:rPr>
        <w:t>A.C.</w:t>
      </w:r>
      <w:r>
        <w:rPr>
          <w:spacing w:val="6"/>
          <w:sz w:val="22"/>
        </w:rPr>
        <w:t> </w:t>
      </w:r>
      <w:r>
        <w:rPr>
          <w:spacing w:val="-5"/>
          <w:sz w:val="22"/>
        </w:rPr>
        <w:t>648</w:t>
      </w:r>
      <w:r>
        <w:rPr>
          <w:sz w:val="22"/>
        </w:rPr>
        <w:tab/>
      </w:r>
      <w:r>
        <w:rPr>
          <w:spacing w:val="-10"/>
          <w:sz w:val="22"/>
        </w:rPr>
        <w:t>-</w:t>
      </w:r>
      <w:r>
        <w:rPr>
          <w:sz w:val="22"/>
        </w:rPr>
        <w:tab/>
      </w:r>
      <w:r>
        <w:rPr>
          <w:spacing w:val="-10"/>
          <w:sz w:val="22"/>
        </w:rPr>
        <w:t>-</w:t>
      </w:r>
      <w:r>
        <w:rPr>
          <w:sz w:val="22"/>
        </w:rPr>
        <w:tab/>
      </w:r>
      <w:r>
        <w:rPr>
          <w:spacing w:val="-5"/>
          <w:sz w:val="22"/>
        </w:rPr>
        <w:t>70</w:t>
      </w:r>
    </w:p>
    <w:p>
      <w:pPr>
        <w:tabs>
          <w:tab w:pos="4924" w:val="left" w:leader="none"/>
          <w:tab w:pos="5601" w:val="left" w:leader="none"/>
          <w:tab w:pos="6278" w:val="left" w:leader="none"/>
          <w:tab w:pos="6955" w:val="left" w:leader="none"/>
          <w:tab w:pos="7879" w:val="right" w:leader="none"/>
        </w:tabs>
        <w:spacing w:before="282"/>
        <w:ind w:left="187" w:right="0" w:firstLine="0"/>
        <w:jc w:val="left"/>
        <w:rPr>
          <w:sz w:val="22"/>
        </w:rPr>
      </w:pPr>
      <w:r>
        <w:rPr>
          <w:sz w:val="22"/>
        </w:rPr>
        <w:t>Nisbet</w:t>
      </w:r>
      <w:r>
        <w:rPr>
          <w:spacing w:val="6"/>
          <w:sz w:val="22"/>
        </w:rPr>
        <w:t> </w:t>
      </w:r>
      <w:r>
        <w:rPr>
          <w:sz w:val="22"/>
        </w:rPr>
        <w:t>v.</w:t>
      </w:r>
      <w:r>
        <w:rPr>
          <w:spacing w:val="11"/>
          <w:sz w:val="22"/>
        </w:rPr>
        <w:t> </w:t>
      </w:r>
      <w:r>
        <w:rPr>
          <w:sz w:val="22"/>
        </w:rPr>
        <w:t>Bayne</w:t>
      </w:r>
      <w:r>
        <w:rPr>
          <w:spacing w:val="6"/>
          <w:sz w:val="22"/>
        </w:rPr>
        <w:t> </w:t>
      </w:r>
      <w:r>
        <w:rPr>
          <w:sz w:val="22"/>
        </w:rPr>
        <w:t>&amp;</w:t>
      </w:r>
      <w:r>
        <w:rPr>
          <w:spacing w:val="8"/>
          <w:sz w:val="22"/>
        </w:rPr>
        <w:t> </w:t>
      </w:r>
      <w:r>
        <w:rPr>
          <w:sz w:val="22"/>
        </w:rPr>
        <w:t>Burne</w:t>
      </w:r>
      <w:r>
        <w:rPr>
          <w:spacing w:val="18"/>
          <w:sz w:val="22"/>
        </w:rPr>
        <w:t> </w:t>
      </w:r>
      <w:r>
        <w:rPr>
          <w:sz w:val="22"/>
        </w:rPr>
        <w:t>(1960)</w:t>
      </w:r>
      <w:r>
        <w:rPr>
          <w:spacing w:val="6"/>
          <w:sz w:val="22"/>
        </w:rPr>
        <w:t> </w:t>
      </w:r>
      <w:r>
        <w:rPr>
          <w:sz w:val="22"/>
        </w:rPr>
        <w:t>2</w:t>
      </w:r>
      <w:r>
        <w:rPr>
          <w:spacing w:val="8"/>
          <w:sz w:val="22"/>
        </w:rPr>
        <w:t> </w:t>
      </w:r>
      <w:r>
        <w:rPr>
          <w:sz w:val="22"/>
        </w:rPr>
        <w:t>KB</w:t>
      </w:r>
      <w:r>
        <w:rPr>
          <w:spacing w:val="8"/>
          <w:sz w:val="22"/>
        </w:rPr>
        <w:t> </w:t>
      </w:r>
      <w:r>
        <w:rPr>
          <w:spacing w:val="-5"/>
          <w:sz w:val="22"/>
        </w:rPr>
        <w:t>689</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59</w:t>
      </w:r>
    </w:p>
    <w:p>
      <w:pPr>
        <w:tabs>
          <w:tab w:pos="4924" w:val="left" w:leader="none"/>
          <w:tab w:pos="5601" w:val="left" w:leader="none"/>
          <w:tab w:pos="6278" w:val="left" w:leader="none"/>
          <w:tab w:pos="6955" w:val="left" w:leader="none"/>
          <w:tab w:pos="7879" w:val="right" w:leader="none"/>
        </w:tabs>
        <w:spacing w:before="281"/>
        <w:ind w:left="187" w:right="0" w:firstLine="0"/>
        <w:jc w:val="left"/>
        <w:rPr>
          <w:sz w:val="22"/>
        </w:rPr>
      </w:pPr>
      <w:r>
        <w:rPr>
          <w:sz w:val="22"/>
        </w:rPr>
        <w:t>Sharp</w:t>
      </w:r>
      <w:r>
        <w:rPr>
          <w:spacing w:val="5"/>
          <w:sz w:val="22"/>
        </w:rPr>
        <w:t> </w:t>
      </w:r>
      <w:r>
        <w:rPr>
          <w:sz w:val="22"/>
        </w:rPr>
        <w:t>v.</w:t>
      </w:r>
      <w:r>
        <w:rPr>
          <w:spacing w:val="11"/>
          <w:sz w:val="22"/>
        </w:rPr>
        <w:t> </w:t>
      </w:r>
      <w:r>
        <w:rPr>
          <w:sz w:val="22"/>
        </w:rPr>
        <w:t>Johnson</w:t>
      </w:r>
      <w:r>
        <w:rPr>
          <w:spacing w:val="10"/>
          <w:sz w:val="22"/>
        </w:rPr>
        <w:t> </w:t>
      </w:r>
      <w:r>
        <w:rPr>
          <w:sz w:val="22"/>
        </w:rPr>
        <w:t>Co.</w:t>
      </w:r>
      <w:r>
        <w:rPr>
          <w:spacing w:val="4"/>
          <w:sz w:val="22"/>
        </w:rPr>
        <w:t> </w:t>
      </w:r>
      <w:r>
        <w:rPr>
          <w:sz w:val="22"/>
        </w:rPr>
        <w:t>Ltd</w:t>
      </w:r>
      <w:r>
        <w:rPr>
          <w:spacing w:val="12"/>
          <w:sz w:val="22"/>
        </w:rPr>
        <w:t> </w:t>
      </w:r>
      <w:r>
        <w:rPr>
          <w:sz w:val="22"/>
        </w:rPr>
        <w:t>(1905)</w:t>
      </w:r>
      <w:r>
        <w:rPr>
          <w:spacing w:val="6"/>
          <w:sz w:val="22"/>
        </w:rPr>
        <w:t> </w:t>
      </w:r>
      <w:r>
        <w:rPr>
          <w:sz w:val="22"/>
        </w:rPr>
        <w:t>2</w:t>
      </w:r>
      <w:r>
        <w:rPr>
          <w:spacing w:val="13"/>
          <w:sz w:val="22"/>
        </w:rPr>
        <w:t> </w:t>
      </w:r>
      <w:r>
        <w:rPr>
          <w:sz w:val="22"/>
        </w:rPr>
        <w:t>KB</w:t>
      </w:r>
      <w:r>
        <w:rPr>
          <w:spacing w:val="8"/>
          <w:sz w:val="22"/>
        </w:rPr>
        <w:t> </w:t>
      </w:r>
      <w:r>
        <w:rPr>
          <w:spacing w:val="-5"/>
          <w:sz w:val="22"/>
        </w:rPr>
        <w:t>139</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59</w:t>
      </w:r>
    </w:p>
    <w:p>
      <w:pPr>
        <w:tabs>
          <w:tab w:pos="6955" w:val="left" w:leader="none"/>
          <w:tab w:pos="7879" w:val="right" w:leader="none"/>
        </w:tabs>
        <w:spacing w:before="277"/>
        <w:ind w:left="187" w:right="0" w:firstLine="0"/>
        <w:jc w:val="left"/>
        <w:rPr>
          <w:sz w:val="22"/>
        </w:rPr>
      </w:pPr>
      <w:r>
        <w:rPr>
          <w:sz w:val="22"/>
        </w:rPr>
        <w:t>Shitta-Bey</w:t>
      </w:r>
      <w:r>
        <w:rPr>
          <w:spacing w:val="9"/>
          <w:sz w:val="22"/>
        </w:rPr>
        <w:t> </w:t>
      </w:r>
      <w:r>
        <w:rPr>
          <w:sz w:val="22"/>
        </w:rPr>
        <w:t>v.</w:t>
      </w:r>
      <w:r>
        <w:rPr>
          <w:spacing w:val="11"/>
          <w:sz w:val="22"/>
        </w:rPr>
        <w:t> </w:t>
      </w:r>
      <w:r>
        <w:rPr>
          <w:sz w:val="22"/>
        </w:rPr>
        <w:t>A.G</w:t>
      </w:r>
      <w:r>
        <w:rPr>
          <w:spacing w:val="9"/>
          <w:sz w:val="22"/>
        </w:rPr>
        <w:t> </w:t>
      </w:r>
      <w:r>
        <w:rPr>
          <w:sz w:val="22"/>
        </w:rPr>
        <w:t>Federation</w:t>
      </w:r>
      <w:r>
        <w:rPr>
          <w:spacing w:val="11"/>
          <w:sz w:val="22"/>
        </w:rPr>
        <w:t> </w:t>
      </w:r>
      <w:r>
        <w:rPr>
          <w:sz w:val="22"/>
        </w:rPr>
        <w:t>and</w:t>
      </w:r>
      <w:r>
        <w:rPr>
          <w:spacing w:val="17"/>
          <w:sz w:val="22"/>
        </w:rPr>
        <w:t> </w:t>
      </w:r>
      <w:r>
        <w:rPr>
          <w:sz w:val="22"/>
        </w:rPr>
        <w:t>Anor</w:t>
      </w:r>
      <w:r>
        <w:rPr>
          <w:spacing w:val="6"/>
          <w:sz w:val="22"/>
        </w:rPr>
        <w:t> </w:t>
      </w:r>
      <w:r>
        <w:rPr>
          <w:sz w:val="22"/>
        </w:rPr>
        <w:t>(1998)</w:t>
      </w:r>
      <w:r>
        <w:rPr>
          <w:spacing w:val="1"/>
          <w:sz w:val="22"/>
        </w:rPr>
        <w:t> </w:t>
      </w:r>
      <w:r>
        <w:rPr>
          <w:sz w:val="22"/>
        </w:rPr>
        <w:t>7</w:t>
      </w:r>
      <w:r>
        <w:rPr>
          <w:spacing w:val="13"/>
          <w:sz w:val="22"/>
        </w:rPr>
        <w:t> </w:t>
      </w:r>
      <w:r>
        <w:rPr>
          <w:sz w:val="22"/>
        </w:rPr>
        <w:t>SCNJ</w:t>
      </w:r>
      <w:r>
        <w:rPr>
          <w:spacing w:val="9"/>
          <w:sz w:val="22"/>
        </w:rPr>
        <w:t> </w:t>
      </w:r>
      <w:r>
        <w:rPr>
          <w:sz w:val="22"/>
        </w:rPr>
        <w:t>264</w:t>
      </w:r>
      <w:r>
        <w:rPr>
          <w:spacing w:val="14"/>
          <w:sz w:val="22"/>
        </w:rPr>
        <w:t> </w:t>
      </w:r>
      <w:r>
        <w:rPr>
          <w:sz w:val="22"/>
        </w:rPr>
        <w:t>at</w:t>
      </w:r>
      <w:r>
        <w:rPr>
          <w:spacing w:val="8"/>
          <w:sz w:val="22"/>
        </w:rPr>
        <w:t> </w:t>
      </w:r>
      <w:r>
        <w:rPr>
          <w:spacing w:val="-5"/>
          <w:sz w:val="22"/>
        </w:rPr>
        <w:t>266</w:t>
      </w:r>
      <w:r>
        <w:rPr>
          <w:sz w:val="22"/>
        </w:rPr>
        <w:tab/>
      </w:r>
      <w:r>
        <w:rPr>
          <w:spacing w:val="-10"/>
          <w:sz w:val="22"/>
        </w:rPr>
        <w:t>-</w:t>
      </w:r>
      <w:r>
        <w:rPr>
          <w:sz w:val="22"/>
        </w:rPr>
        <w:tab/>
      </w:r>
      <w:r>
        <w:rPr>
          <w:spacing w:val="-5"/>
          <w:sz w:val="22"/>
        </w:rPr>
        <w:t>97</w:t>
      </w:r>
    </w:p>
    <w:p>
      <w:pPr>
        <w:tabs>
          <w:tab w:pos="6955" w:val="left" w:leader="none"/>
          <w:tab w:pos="7631" w:val="left" w:leader="none"/>
        </w:tabs>
        <w:spacing w:before="277"/>
        <w:ind w:left="187" w:right="0" w:firstLine="0"/>
        <w:jc w:val="left"/>
        <w:rPr>
          <w:sz w:val="22"/>
        </w:rPr>
      </w:pPr>
      <w:r>
        <w:rPr>
          <w:sz w:val="22"/>
        </w:rPr>
        <w:t>Thompson</w:t>
      </w:r>
      <w:r>
        <w:rPr>
          <w:spacing w:val="11"/>
          <w:sz w:val="22"/>
        </w:rPr>
        <w:t> </w:t>
      </w:r>
      <w:r>
        <w:rPr>
          <w:sz w:val="22"/>
        </w:rPr>
        <w:t>v.</w:t>
      </w:r>
      <w:r>
        <w:rPr>
          <w:spacing w:val="12"/>
          <w:sz w:val="22"/>
        </w:rPr>
        <w:t> </w:t>
      </w:r>
      <w:r>
        <w:rPr>
          <w:sz w:val="22"/>
        </w:rPr>
        <w:t>Armstrong</w:t>
      </w:r>
      <w:r>
        <w:rPr>
          <w:spacing w:val="7"/>
          <w:sz w:val="22"/>
        </w:rPr>
        <w:t> </w:t>
      </w:r>
      <w:r>
        <w:rPr>
          <w:sz w:val="22"/>
        </w:rPr>
        <w:t>&amp;</w:t>
      </w:r>
      <w:r>
        <w:rPr>
          <w:spacing w:val="14"/>
          <w:sz w:val="22"/>
        </w:rPr>
        <w:t> </w:t>
      </w:r>
      <w:r>
        <w:rPr>
          <w:sz w:val="22"/>
        </w:rPr>
        <w:t>Royse</w:t>
      </w:r>
      <w:r>
        <w:rPr>
          <w:spacing w:val="14"/>
          <w:sz w:val="22"/>
        </w:rPr>
        <w:t> </w:t>
      </w:r>
      <w:r>
        <w:rPr>
          <w:sz w:val="22"/>
        </w:rPr>
        <w:t>Proprietary</w:t>
      </w:r>
      <w:r>
        <w:rPr>
          <w:spacing w:val="10"/>
          <w:sz w:val="22"/>
        </w:rPr>
        <w:t> </w:t>
      </w:r>
      <w:r>
        <w:rPr>
          <w:sz w:val="22"/>
        </w:rPr>
        <w:t>Ltd</w:t>
      </w:r>
      <w:r>
        <w:rPr>
          <w:spacing w:val="19"/>
          <w:sz w:val="22"/>
        </w:rPr>
        <w:t> </w:t>
      </w:r>
      <w:r>
        <w:rPr>
          <w:sz w:val="22"/>
        </w:rPr>
        <w:t>(1950)</w:t>
      </w:r>
      <w:r>
        <w:rPr>
          <w:spacing w:val="12"/>
          <w:sz w:val="22"/>
        </w:rPr>
        <w:t> </w:t>
      </w:r>
      <w:r>
        <w:rPr>
          <w:sz w:val="22"/>
        </w:rPr>
        <w:t>CLR</w:t>
      </w:r>
      <w:r>
        <w:rPr>
          <w:spacing w:val="12"/>
          <w:sz w:val="22"/>
        </w:rPr>
        <w:t> </w:t>
      </w:r>
      <w:r>
        <w:rPr>
          <w:spacing w:val="-5"/>
          <w:sz w:val="22"/>
        </w:rPr>
        <w:t>585</w:t>
      </w:r>
      <w:r>
        <w:rPr>
          <w:sz w:val="22"/>
        </w:rPr>
        <w:tab/>
      </w:r>
      <w:r>
        <w:rPr>
          <w:spacing w:val="-10"/>
          <w:sz w:val="22"/>
        </w:rPr>
        <w:t>-</w:t>
      </w:r>
      <w:r>
        <w:rPr>
          <w:sz w:val="22"/>
        </w:rPr>
        <w:tab/>
        <w:t>1,</w:t>
      </w:r>
      <w:r>
        <w:rPr>
          <w:spacing w:val="6"/>
          <w:sz w:val="22"/>
        </w:rPr>
        <w:t> </w:t>
      </w:r>
      <w:r>
        <w:rPr>
          <w:spacing w:val="-5"/>
          <w:sz w:val="22"/>
        </w:rPr>
        <w:t>76</w:t>
      </w:r>
    </w:p>
    <w:p>
      <w:pPr>
        <w:spacing w:line="470" w:lineRule="auto" w:before="282"/>
        <w:ind w:left="187" w:right="1094" w:firstLine="0"/>
        <w:jc w:val="both"/>
        <w:rPr>
          <w:sz w:val="22"/>
        </w:rPr>
      </w:pPr>
      <w:r>
        <w:rPr>
          <w:sz w:val="22"/>
        </w:rPr>
        <w:t>Thompson v. Sinclair (1917)</w:t>
      </w:r>
      <w:r>
        <w:rPr>
          <w:spacing w:val="-1"/>
          <w:sz w:val="22"/>
        </w:rPr>
        <w:t> </w:t>
      </w:r>
      <w:r>
        <w:rPr>
          <w:sz w:val="22"/>
        </w:rPr>
        <w:t>A.C. 127</w:t>
      </w:r>
      <w:r>
        <w:rPr>
          <w:spacing w:val="80"/>
          <w:sz w:val="22"/>
        </w:rPr>
        <w:t>  </w:t>
      </w:r>
      <w:r>
        <w:rPr>
          <w:sz w:val="22"/>
        </w:rPr>
        <w:t>-</w:t>
      </w:r>
      <w:r>
        <w:rPr>
          <w:spacing w:val="80"/>
          <w:w w:val="150"/>
          <w:sz w:val="22"/>
        </w:rPr>
        <w:t>   </w:t>
      </w:r>
      <w:r>
        <w:rPr>
          <w:sz w:val="22"/>
        </w:rPr>
        <w:t>-</w:t>
      </w:r>
      <w:r>
        <w:rPr>
          <w:spacing w:val="80"/>
          <w:w w:val="150"/>
          <w:sz w:val="22"/>
        </w:rPr>
        <w:t>   </w:t>
      </w:r>
      <w:r>
        <w:rPr>
          <w:sz w:val="22"/>
        </w:rPr>
        <w:t>-</w:t>
      </w:r>
      <w:r>
        <w:rPr>
          <w:spacing w:val="80"/>
          <w:w w:val="150"/>
          <w:sz w:val="22"/>
        </w:rPr>
        <w:t>   </w:t>
      </w:r>
      <w:r>
        <w:rPr>
          <w:sz w:val="22"/>
        </w:rPr>
        <w:t>-</w:t>
      </w:r>
      <w:r>
        <w:rPr>
          <w:spacing w:val="80"/>
          <w:w w:val="150"/>
          <w:sz w:val="22"/>
        </w:rPr>
        <w:t>   </w:t>
      </w:r>
      <w:r>
        <w:rPr>
          <w:sz w:val="22"/>
        </w:rPr>
        <w:t>-</w:t>
      </w:r>
      <w:r>
        <w:rPr>
          <w:spacing w:val="80"/>
          <w:w w:val="150"/>
          <w:sz w:val="22"/>
        </w:rPr>
        <w:t>   </w:t>
      </w:r>
      <w:r>
        <w:rPr>
          <w:sz w:val="22"/>
        </w:rPr>
        <w:t>1, 76 Trim Joint District School Board of Management V. Kelly (1914) AC 667</w:t>
      </w:r>
      <w:r>
        <w:rPr>
          <w:spacing w:val="80"/>
          <w:sz w:val="22"/>
        </w:rPr>
        <w:t>  </w:t>
      </w:r>
      <w:r>
        <w:rPr>
          <w:sz w:val="22"/>
        </w:rPr>
        <w:t>1 ,58 UAC</w:t>
      </w:r>
      <w:r>
        <w:rPr>
          <w:spacing w:val="3"/>
          <w:sz w:val="22"/>
        </w:rPr>
        <w:t> </w:t>
      </w:r>
      <w:r>
        <w:rPr>
          <w:sz w:val="22"/>
        </w:rPr>
        <w:t>v.</w:t>
      </w:r>
      <w:r>
        <w:rPr>
          <w:spacing w:val="3"/>
          <w:sz w:val="22"/>
        </w:rPr>
        <w:t> </w:t>
      </w:r>
      <w:r>
        <w:rPr>
          <w:sz w:val="22"/>
        </w:rPr>
        <w:t>Orekyan</w:t>
      </w:r>
      <w:r>
        <w:rPr>
          <w:spacing w:val="3"/>
          <w:sz w:val="22"/>
        </w:rPr>
        <w:t> </w:t>
      </w:r>
      <w:r>
        <w:rPr>
          <w:sz w:val="22"/>
        </w:rPr>
        <w:t>(1961)</w:t>
      </w:r>
      <w:r>
        <w:rPr>
          <w:spacing w:val="-1"/>
          <w:sz w:val="22"/>
        </w:rPr>
        <w:t> </w:t>
      </w:r>
      <w:r>
        <w:rPr>
          <w:sz w:val="22"/>
        </w:rPr>
        <w:t>L.L.R</w:t>
      </w:r>
      <w:r>
        <w:rPr>
          <w:spacing w:val="4"/>
          <w:sz w:val="22"/>
        </w:rPr>
        <w:t> </w:t>
      </w:r>
      <w:r>
        <w:rPr>
          <w:sz w:val="22"/>
        </w:rPr>
        <w:t>144</w:t>
      </w:r>
      <w:r>
        <w:rPr>
          <w:spacing w:val="-4"/>
          <w:sz w:val="22"/>
        </w:rPr>
        <w:t> </w:t>
      </w:r>
      <w:r>
        <w:rPr>
          <w:sz w:val="22"/>
        </w:rPr>
        <w:t>-</w:t>
      </w:r>
      <w:r>
        <w:rPr>
          <w:spacing w:val="48"/>
          <w:w w:val="150"/>
          <w:sz w:val="22"/>
        </w:rPr>
        <w:t>    </w:t>
      </w:r>
      <w:r>
        <w:rPr>
          <w:sz w:val="22"/>
        </w:rPr>
        <w:t>-</w:t>
      </w:r>
      <w:r>
        <w:rPr>
          <w:spacing w:val="48"/>
          <w:w w:val="150"/>
          <w:sz w:val="22"/>
        </w:rPr>
        <w:t>    </w:t>
      </w:r>
      <w:r>
        <w:rPr>
          <w:sz w:val="22"/>
        </w:rPr>
        <w:t>-</w:t>
      </w:r>
      <w:r>
        <w:rPr>
          <w:spacing w:val="48"/>
          <w:w w:val="150"/>
          <w:sz w:val="22"/>
        </w:rPr>
        <w:t>    </w:t>
      </w:r>
      <w:r>
        <w:rPr>
          <w:sz w:val="22"/>
        </w:rPr>
        <w:t>-</w:t>
      </w:r>
      <w:r>
        <w:rPr>
          <w:spacing w:val="48"/>
          <w:w w:val="150"/>
          <w:sz w:val="22"/>
        </w:rPr>
        <w:t>    </w:t>
      </w:r>
      <w:r>
        <w:rPr>
          <w:sz w:val="22"/>
        </w:rPr>
        <w:t>-</w:t>
      </w:r>
      <w:r>
        <w:rPr>
          <w:spacing w:val="48"/>
          <w:w w:val="150"/>
          <w:sz w:val="22"/>
        </w:rPr>
        <w:t>    </w:t>
      </w:r>
      <w:r>
        <w:rPr>
          <w:sz w:val="22"/>
        </w:rPr>
        <w:t>-</w:t>
      </w:r>
      <w:r>
        <w:rPr>
          <w:spacing w:val="49"/>
          <w:w w:val="150"/>
          <w:sz w:val="22"/>
        </w:rPr>
        <w:t>    </w:t>
      </w:r>
      <w:r>
        <w:rPr>
          <w:sz w:val="22"/>
        </w:rPr>
        <w:t>1,</w:t>
      </w:r>
      <w:r>
        <w:rPr>
          <w:spacing w:val="3"/>
          <w:sz w:val="22"/>
        </w:rPr>
        <w:t> </w:t>
      </w:r>
      <w:r>
        <w:rPr>
          <w:spacing w:val="-5"/>
          <w:sz w:val="22"/>
        </w:rPr>
        <w:t>58</w:t>
      </w:r>
    </w:p>
    <w:p>
      <w:pPr>
        <w:spacing w:before="253"/>
        <w:ind w:left="187" w:right="0" w:firstLine="0"/>
        <w:jc w:val="both"/>
        <w:rPr>
          <w:sz w:val="22"/>
        </w:rPr>
      </w:pPr>
      <w:r>
        <w:rPr>
          <w:sz w:val="22"/>
        </w:rPr>
        <w:t>Umokoro</w:t>
      </w:r>
      <w:r>
        <w:rPr>
          <w:spacing w:val="9"/>
          <w:sz w:val="22"/>
        </w:rPr>
        <w:t> </w:t>
      </w:r>
      <w:r>
        <w:rPr>
          <w:sz w:val="22"/>
        </w:rPr>
        <w:t>8</w:t>
      </w:r>
      <w:r>
        <w:rPr>
          <w:spacing w:val="13"/>
          <w:sz w:val="22"/>
        </w:rPr>
        <w:t> </w:t>
      </w:r>
      <w:r>
        <w:rPr>
          <w:sz w:val="22"/>
        </w:rPr>
        <w:t>others</w:t>
      </w:r>
      <w:r>
        <w:rPr>
          <w:spacing w:val="6"/>
          <w:sz w:val="22"/>
        </w:rPr>
        <w:t> </w:t>
      </w:r>
      <w:r>
        <w:rPr>
          <w:sz w:val="22"/>
        </w:rPr>
        <w:t>v.</w:t>
      </w:r>
      <w:r>
        <w:rPr>
          <w:spacing w:val="11"/>
          <w:sz w:val="22"/>
        </w:rPr>
        <w:t> </w:t>
      </w:r>
      <w:r>
        <w:rPr>
          <w:sz w:val="22"/>
        </w:rPr>
        <w:t>Nigeria</w:t>
      </w:r>
      <w:r>
        <w:rPr>
          <w:spacing w:val="13"/>
          <w:sz w:val="22"/>
        </w:rPr>
        <w:t> </w:t>
      </w:r>
      <w:r>
        <w:rPr>
          <w:sz w:val="22"/>
        </w:rPr>
        <w:t>Ports</w:t>
      </w:r>
      <w:r>
        <w:rPr>
          <w:spacing w:val="12"/>
          <w:sz w:val="22"/>
        </w:rPr>
        <w:t> </w:t>
      </w:r>
      <w:r>
        <w:rPr>
          <w:sz w:val="22"/>
        </w:rPr>
        <w:t>Authority</w:t>
      </w:r>
      <w:r>
        <w:rPr>
          <w:spacing w:val="4"/>
          <w:sz w:val="22"/>
        </w:rPr>
        <w:t> </w:t>
      </w:r>
      <w:r>
        <w:rPr>
          <w:sz w:val="22"/>
        </w:rPr>
        <w:t>and</w:t>
      </w:r>
      <w:r>
        <w:rPr>
          <w:spacing w:val="12"/>
          <w:sz w:val="22"/>
        </w:rPr>
        <w:t> </w:t>
      </w:r>
      <w:r>
        <w:rPr>
          <w:sz w:val="22"/>
        </w:rPr>
        <w:t>Anor</w:t>
      </w:r>
      <w:r>
        <w:rPr>
          <w:spacing w:val="12"/>
          <w:sz w:val="22"/>
        </w:rPr>
        <w:t> </w:t>
      </w:r>
      <w:r>
        <w:rPr>
          <w:sz w:val="22"/>
        </w:rPr>
        <w:t>(1997)</w:t>
      </w:r>
      <w:r>
        <w:rPr>
          <w:spacing w:val="6"/>
          <w:sz w:val="22"/>
        </w:rPr>
        <w:t> </w:t>
      </w:r>
      <w:r>
        <w:rPr>
          <w:sz w:val="22"/>
        </w:rPr>
        <w:t>4</w:t>
      </w:r>
      <w:r>
        <w:rPr>
          <w:spacing w:val="19"/>
          <w:sz w:val="22"/>
        </w:rPr>
        <w:t> </w:t>
      </w:r>
      <w:r>
        <w:rPr>
          <w:spacing w:val="-4"/>
          <w:sz w:val="22"/>
        </w:rPr>
        <w:t>NWLR</w:t>
      </w:r>
    </w:p>
    <w:p>
      <w:pPr>
        <w:spacing w:before="8"/>
        <w:ind w:left="187" w:right="0" w:firstLine="0"/>
        <w:jc w:val="both"/>
        <w:rPr>
          <w:sz w:val="22"/>
        </w:rPr>
      </w:pPr>
      <w:r>
        <w:rPr>
          <w:sz w:val="22"/>
        </w:rPr>
        <w:t>(pt 502)</w:t>
      </w:r>
      <w:r>
        <w:rPr>
          <w:spacing w:val="-1"/>
          <w:sz w:val="22"/>
        </w:rPr>
        <w:t> </w:t>
      </w:r>
      <w:r>
        <w:rPr>
          <w:sz w:val="22"/>
        </w:rPr>
        <w:t>656</w:t>
      </w:r>
      <w:r>
        <w:rPr>
          <w:spacing w:val="29"/>
          <w:sz w:val="22"/>
        </w:rPr>
        <w:t> </w:t>
      </w:r>
      <w:r>
        <w:rPr>
          <w:sz w:val="22"/>
        </w:rPr>
        <w:t>-</w:t>
      </w:r>
      <w:r>
        <w:rPr>
          <w:spacing w:val="46"/>
          <w:w w:val="150"/>
          <w:sz w:val="22"/>
        </w:rPr>
        <w:t>    </w:t>
      </w:r>
      <w:r>
        <w:rPr>
          <w:sz w:val="22"/>
        </w:rPr>
        <w:t>-</w:t>
      </w:r>
      <w:r>
        <w:rPr>
          <w:spacing w:val="47"/>
          <w:w w:val="150"/>
          <w:sz w:val="22"/>
        </w:rPr>
        <w:t>    </w:t>
      </w:r>
      <w:r>
        <w:rPr>
          <w:sz w:val="22"/>
        </w:rPr>
        <w:t>-</w:t>
      </w:r>
      <w:r>
        <w:rPr>
          <w:spacing w:val="47"/>
          <w:w w:val="150"/>
          <w:sz w:val="22"/>
        </w:rPr>
        <w:t>    </w:t>
      </w:r>
      <w:r>
        <w:rPr>
          <w:sz w:val="22"/>
        </w:rPr>
        <w:t>-</w:t>
      </w:r>
      <w:r>
        <w:rPr>
          <w:spacing w:val="46"/>
          <w:w w:val="150"/>
          <w:sz w:val="22"/>
        </w:rPr>
        <w:t>    </w:t>
      </w:r>
      <w:r>
        <w:rPr>
          <w:sz w:val="22"/>
        </w:rPr>
        <w:t>-</w:t>
      </w:r>
      <w:r>
        <w:rPr>
          <w:spacing w:val="47"/>
          <w:w w:val="150"/>
          <w:sz w:val="22"/>
        </w:rPr>
        <w:t>    </w:t>
      </w:r>
      <w:r>
        <w:rPr>
          <w:sz w:val="22"/>
        </w:rPr>
        <w:t>-</w:t>
      </w:r>
      <w:r>
        <w:rPr>
          <w:spacing w:val="47"/>
          <w:w w:val="150"/>
          <w:sz w:val="22"/>
        </w:rPr>
        <w:t>    </w:t>
      </w:r>
      <w:r>
        <w:rPr>
          <w:sz w:val="22"/>
        </w:rPr>
        <w:t>-</w:t>
      </w:r>
      <w:r>
        <w:rPr>
          <w:spacing w:val="46"/>
          <w:w w:val="150"/>
          <w:sz w:val="22"/>
        </w:rPr>
        <w:t>    </w:t>
      </w:r>
      <w:r>
        <w:rPr>
          <w:sz w:val="22"/>
        </w:rPr>
        <w:t>-</w:t>
      </w:r>
      <w:r>
        <w:rPr>
          <w:spacing w:val="47"/>
          <w:w w:val="150"/>
          <w:sz w:val="22"/>
        </w:rPr>
        <w:t>    </w:t>
      </w:r>
      <w:r>
        <w:rPr>
          <w:sz w:val="22"/>
        </w:rPr>
        <w:t>-</w:t>
      </w:r>
      <w:r>
        <w:rPr>
          <w:spacing w:val="46"/>
          <w:w w:val="150"/>
          <w:sz w:val="22"/>
        </w:rPr>
        <w:t>    </w:t>
      </w:r>
      <w:r>
        <w:rPr>
          <w:spacing w:val="-5"/>
          <w:sz w:val="22"/>
        </w:rPr>
        <w:t>100</w:t>
      </w:r>
    </w:p>
    <w:p>
      <w:pPr>
        <w:spacing w:before="277"/>
        <w:ind w:left="187" w:right="0" w:firstLine="0"/>
        <w:jc w:val="both"/>
        <w:rPr>
          <w:sz w:val="22"/>
        </w:rPr>
      </w:pPr>
      <w:r>
        <w:rPr>
          <w:sz w:val="22"/>
        </w:rPr>
        <w:t>Welsh</w:t>
      </w:r>
      <w:r>
        <w:rPr>
          <w:spacing w:val="7"/>
          <w:sz w:val="22"/>
        </w:rPr>
        <w:t> </w:t>
      </w:r>
      <w:r>
        <w:rPr>
          <w:sz w:val="22"/>
        </w:rPr>
        <w:t>Navigation</w:t>
      </w:r>
      <w:r>
        <w:rPr>
          <w:spacing w:val="2"/>
          <w:sz w:val="22"/>
        </w:rPr>
        <w:t> </w:t>
      </w:r>
      <w:r>
        <w:rPr>
          <w:sz w:val="22"/>
        </w:rPr>
        <w:t>Steam</w:t>
      </w:r>
      <w:r>
        <w:rPr>
          <w:spacing w:val="7"/>
          <w:sz w:val="22"/>
        </w:rPr>
        <w:t> </w:t>
      </w:r>
      <w:r>
        <w:rPr>
          <w:sz w:val="22"/>
        </w:rPr>
        <w:t>&amp;</w:t>
      </w:r>
      <w:r>
        <w:rPr>
          <w:spacing w:val="9"/>
          <w:sz w:val="22"/>
        </w:rPr>
        <w:t> </w:t>
      </w:r>
      <w:r>
        <w:rPr>
          <w:sz w:val="22"/>
        </w:rPr>
        <w:t>Co</w:t>
      </w:r>
      <w:r>
        <w:rPr>
          <w:spacing w:val="16"/>
          <w:sz w:val="22"/>
        </w:rPr>
        <w:t> </w:t>
      </w:r>
      <w:r>
        <w:rPr>
          <w:sz w:val="22"/>
        </w:rPr>
        <w:t>Ltd</w:t>
      </w:r>
      <w:r>
        <w:rPr>
          <w:spacing w:val="9"/>
          <w:sz w:val="22"/>
        </w:rPr>
        <w:t> </w:t>
      </w:r>
      <w:r>
        <w:rPr>
          <w:sz w:val="22"/>
        </w:rPr>
        <w:t>v.</w:t>
      </w:r>
      <w:r>
        <w:rPr>
          <w:spacing w:val="8"/>
          <w:sz w:val="22"/>
        </w:rPr>
        <w:t> </w:t>
      </w:r>
      <w:r>
        <w:rPr>
          <w:sz w:val="22"/>
        </w:rPr>
        <w:t>Evans</w:t>
      </w:r>
      <w:r>
        <w:rPr>
          <w:spacing w:val="3"/>
          <w:sz w:val="22"/>
        </w:rPr>
        <w:t> </w:t>
      </w:r>
      <w:r>
        <w:rPr>
          <w:sz w:val="22"/>
        </w:rPr>
        <w:t>(1927)</w:t>
      </w:r>
      <w:r>
        <w:rPr>
          <w:spacing w:val="8"/>
          <w:sz w:val="22"/>
        </w:rPr>
        <w:t> </w:t>
      </w:r>
      <w:r>
        <w:rPr>
          <w:sz w:val="22"/>
        </w:rPr>
        <w:t>AC</w:t>
      </w:r>
      <w:r>
        <w:rPr>
          <w:spacing w:val="3"/>
          <w:sz w:val="22"/>
        </w:rPr>
        <w:t> </w:t>
      </w:r>
      <w:r>
        <w:rPr>
          <w:sz w:val="22"/>
        </w:rPr>
        <w:t>834,</w:t>
      </w:r>
      <w:r>
        <w:rPr>
          <w:spacing w:val="2"/>
          <w:sz w:val="22"/>
        </w:rPr>
        <w:t> </w:t>
      </w:r>
      <w:r>
        <w:rPr>
          <w:sz w:val="22"/>
        </w:rPr>
        <w:t>842-843</w:t>
      </w:r>
      <w:r>
        <w:rPr>
          <w:spacing w:val="-36"/>
          <w:sz w:val="22"/>
        </w:rPr>
        <w:t> </w:t>
      </w:r>
      <w:r>
        <w:rPr>
          <w:sz w:val="22"/>
        </w:rPr>
        <w:t>-</w:t>
      </w:r>
      <w:r>
        <w:rPr>
          <w:spacing w:val="56"/>
          <w:w w:val="150"/>
          <w:sz w:val="22"/>
        </w:rPr>
        <w:t>    </w:t>
      </w:r>
      <w:r>
        <w:rPr>
          <w:spacing w:val="-5"/>
          <w:sz w:val="22"/>
        </w:rPr>
        <w:t>70</w:t>
      </w:r>
    </w:p>
    <w:p>
      <w:pPr>
        <w:spacing w:after="0"/>
        <w:jc w:val="both"/>
        <w:rPr>
          <w:sz w:val="22"/>
        </w:rPr>
        <w:sectPr>
          <w:pgSz w:w="12240" w:h="15840"/>
          <w:pgMar w:header="0" w:footer="1009" w:top="1260" w:bottom="1200" w:left="1680" w:right="1320"/>
        </w:sectPr>
      </w:pPr>
    </w:p>
    <w:p>
      <w:pPr>
        <w:spacing w:line="252" w:lineRule="exact" w:before="94"/>
        <w:ind w:left="307" w:right="680" w:firstLine="0"/>
        <w:jc w:val="center"/>
        <w:rPr>
          <w:b/>
          <w:sz w:val="22"/>
        </w:rPr>
      </w:pPr>
      <w:r>
        <w:rPr>
          <w:b/>
          <w:spacing w:val="-2"/>
          <w:sz w:val="22"/>
        </w:rPr>
        <w:t>ABSTRACT</w:t>
      </w:r>
    </w:p>
    <w:p>
      <w:pPr>
        <w:spacing w:line="211" w:lineRule="auto" w:before="14"/>
        <w:ind w:left="187" w:right="558" w:firstLine="0"/>
        <w:jc w:val="both"/>
        <w:rPr>
          <w:rFonts w:ascii="Verdana" w:hAnsi="Verdana"/>
          <w:i/>
          <w:sz w:val="23"/>
        </w:rPr>
      </w:pPr>
      <w:r>
        <w:rPr>
          <w:rFonts w:ascii="Verdana" w:hAnsi="Verdana"/>
          <w:i/>
          <w:w w:val="90"/>
          <w:sz w:val="23"/>
        </w:rPr>
        <w:t>Over the years, laws have generally evolved ways and grounds of compensating employees</w:t>
      </w:r>
      <w:r>
        <w:rPr>
          <w:rFonts w:ascii="Verdana" w:hAnsi="Verdana"/>
          <w:i/>
          <w:spacing w:val="-6"/>
          <w:w w:val="90"/>
          <w:sz w:val="23"/>
        </w:rPr>
        <w:t> </w:t>
      </w:r>
      <w:r>
        <w:rPr>
          <w:rFonts w:ascii="Verdana" w:hAnsi="Verdana"/>
          <w:i/>
          <w:w w:val="90"/>
          <w:sz w:val="23"/>
        </w:rPr>
        <w:t>for</w:t>
      </w:r>
      <w:r>
        <w:rPr>
          <w:rFonts w:ascii="Verdana" w:hAnsi="Verdana"/>
          <w:i/>
          <w:spacing w:val="-9"/>
          <w:w w:val="90"/>
          <w:sz w:val="23"/>
        </w:rPr>
        <w:t> </w:t>
      </w:r>
      <w:r>
        <w:rPr>
          <w:rFonts w:ascii="Verdana" w:hAnsi="Verdana"/>
          <w:i/>
          <w:w w:val="90"/>
          <w:sz w:val="23"/>
        </w:rPr>
        <w:t>job-related</w:t>
      </w:r>
      <w:r>
        <w:rPr>
          <w:rFonts w:ascii="Verdana" w:hAnsi="Verdana"/>
          <w:i/>
          <w:spacing w:val="-6"/>
          <w:w w:val="90"/>
          <w:sz w:val="23"/>
        </w:rPr>
        <w:t> </w:t>
      </w:r>
      <w:r>
        <w:rPr>
          <w:rFonts w:ascii="Verdana" w:hAnsi="Verdana"/>
          <w:i/>
          <w:w w:val="90"/>
          <w:sz w:val="23"/>
        </w:rPr>
        <w:t>disabilities</w:t>
      </w:r>
      <w:r>
        <w:rPr>
          <w:rFonts w:ascii="Verdana" w:hAnsi="Verdana"/>
          <w:i/>
          <w:spacing w:val="-6"/>
          <w:w w:val="90"/>
          <w:sz w:val="23"/>
        </w:rPr>
        <w:t> </w:t>
      </w:r>
      <w:r>
        <w:rPr>
          <w:rFonts w:ascii="Verdana" w:hAnsi="Verdana"/>
          <w:i/>
          <w:w w:val="90"/>
          <w:sz w:val="23"/>
        </w:rPr>
        <w:t>and</w:t>
      </w:r>
      <w:r>
        <w:rPr>
          <w:rFonts w:ascii="Verdana" w:hAnsi="Verdana"/>
          <w:i/>
          <w:spacing w:val="-6"/>
          <w:w w:val="90"/>
          <w:sz w:val="23"/>
        </w:rPr>
        <w:t> </w:t>
      </w:r>
      <w:r>
        <w:rPr>
          <w:rFonts w:ascii="Verdana" w:hAnsi="Verdana"/>
          <w:i/>
          <w:w w:val="90"/>
          <w:sz w:val="23"/>
        </w:rPr>
        <w:t>risks,</w:t>
      </w:r>
      <w:r>
        <w:rPr>
          <w:rFonts w:ascii="Verdana" w:hAnsi="Verdana"/>
          <w:i/>
          <w:spacing w:val="-7"/>
          <w:w w:val="90"/>
          <w:sz w:val="23"/>
        </w:rPr>
        <w:t> </w:t>
      </w:r>
      <w:r>
        <w:rPr>
          <w:rFonts w:ascii="Verdana" w:hAnsi="Verdana"/>
          <w:i/>
          <w:w w:val="90"/>
          <w:sz w:val="23"/>
        </w:rPr>
        <w:t>because,</w:t>
      </w:r>
      <w:r>
        <w:rPr>
          <w:rFonts w:ascii="Verdana" w:hAnsi="Verdana"/>
          <w:i/>
          <w:spacing w:val="-5"/>
          <w:w w:val="90"/>
          <w:sz w:val="23"/>
        </w:rPr>
        <w:t> </w:t>
      </w:r>
      <w:r>
        <w:rPr>
          <w:rFonts w:ascii="Verdana" w:hAnsi="Verdana"/>
          <w:i/>
          <w:w w:val="90"/>
          <w:sz w:val="23"/>
        </w:rPr>
        <w:t>in</w:t>
      </w:r>
      <w:r>
        <w:rPr>
          <w:rFonts w:ascii="Verdana" w:hAnsi="Verdana"/>
          <w:i/>
          <w:spacing w:val="-7"/>
          <w:w w:val="90"/>
          <w:sz w:val="23"/>
        </w:rPr>
        <w:t> </w:t>
      </w:r>
      <w:r>
        <w:rPr>
          <w:rFonts w:ascii="Verdana" w:hAnsi="Verdana"/>
          <w:i/>
          <w:w w:val="90"/>
          <w:sz w:val="23"/>
        </w:rPr>
        <w:t>man’s</w:t>
      </w:r>
      <w:r>
        <w:rPr>
          <w:rFonts w:ascii="Verdana" w:hAnsi="Verdana"/>
          <w:i/>
          <w:spacing w:val="-10"/>
          <w:w w:val="90"/>
          <w:sz w:val="23"/>
        </w:rPr>
        <w:t> </w:t>
      </w:r>
      <w:r>
        <w:rPr>
          <w:rFonts w:ascii="Verdana" w:hAnsi="Verdana"/>
          <w:i/>
          <w:w w:val="90"/>
          <w:sz w:val="23"/>
        </w:rPr>
        <w:t>search</w:t>
      </w:r>
      <w:r>
        <w:rPr>
          <w:rFonts w:ascii="Verdana" w:hAnsi="Verdana"/>
          <w:i/>
          <w:spacing w:val="-7"/>
          <w:w w:val="90"/>
          <w:sz w:val="23"/>
        </w:rPr>
        <w:t> </w:t>
      </w:r>
      <w:r>
        <w:rPr>
          <w:rFonts w:ascii="Verdana" w:hAnsi="Verdana"/>
          <w:i/>
          <w:w w:val="90"/>
          <w:sz w:val="23"/>
        </w:rPr>
        <w:t>for</w:t>
      </w:r>
      <w:r>
        <w:rPr>
          <w:rFonts w:ascii="Verdana" w:hAnsi="Verdana"/>
          <w:i/>
          <w:spacing w:val="-9"/>
          <w:w w:val="90"/>
          <w:sz w:val="23"/>
        </w:rPr>
        <w:t> </w:t>
      </w:r>
      <w:r>
        <w:rPr>
          <w:rFonts w:ascii="Verdana" w:hAnsi="Verdana"/>
          <w:i/>
          <w:w w:val="90"/>
          <w:sz w:val="23"/>
        </w:rPr>
        <w:t>food and</w:t>
      </w:r>
      <w:r>
        <w:rPr>
          <w:rFonts w:ascii="Verdana" w:hAnsi="Verdana"/>
          <w:i/>
          <w:spacing w:val="-9"/>
          <w:w w:val="90"/>
          <w:sz w:val="23"/>
        </w:rPr>
        <w:t> </w:t>
      </w:r>
      <w:r>
        <w:rPr>
          <w:rFonts w:ascii="Verdana" w:hAnsi="Verdana"/>
          <w:i/>
          <w:w w:val="90"/>
          <w:sz w:val="23"/>
        </w:rPr>
        <w:t>other</w:t>
      </w:r>
      <w:r>
        <w:rPr>
          <w:rFonts w:ascii="Verdana" w:hAnsi="Verdana"/>
          <w:i/>
          <w:spacing w:val="-9"/>
          <w:w w:val="90"/>
          <w:sz w:val="23"/>
        </w:rPr>
        <w:t> </w:t>
      </w:r>
      <w:r>
        <w:rPr>
          <w:rFonts w:ascii="Verdana" w:hAnsi="Verdana"/>
          <w:i/>
          <w:w w:val="90"/>
          <w:sz w:val="23"/>
        </w:rPr>
        <w:t>necessaries</w:t>
      </w:r>
      <w:r>
        <w:rPr>
          <w:rFonts w:ascii="Verdana" w:hAnsi="Verdana"/>
          <w:i/>
          <w:spacing w:val="-9"/>
          <w:w w:val="90"/>
          <w:sz w:val="23"/>
        </w:rPr>
        <w:t> </w:t>
      </w:r>
      <w:r>
        <w:rPr>
          <w:rFonts w:ascii="Verdana" w:hAnsi="Verdana"/>
          <w:i/>
          <w:w w:val="90"/>
          <w:sz w:val="23"/>
        </w:rPr>
        <w:t>in</w:t>
      </w:r>
      <w:r>
        <w:rPr>
          <w:rFonts w:ascii="Verdana" w:hAnsi="Verdana"/>
          <w:i/>
          <w:spacing w:val="-7"/>
          <w:w w:val="90"/>
          <w:sz w:val="23"/>
        </w:rPr>
        <w:t> </w:t>
      </w:r>
      <w:r>
        <w:rPr>
          <w:rFonts w:ascii="Verdana" w:hAnsi="Verdana"/>
          <w:i/>
          <w:w w:val="90"/>
          <w:sz w:val="23"/>
        </w:rPr>
        <w:t>life,</w:t>
      </w:r>
      <w:r>
        <w:rPr>
          <w:rFonts w:ascii="Verdana" w:hAnsi="Verdana"/>
          <w:i/>
          <w:spacing w:val="-7"/>
          <w:w w:val="90"/>
          <w:sz w:val="23"/>
        </w:rPr>
        <w:t> </w:t>
      </w:r>
      <w:r>
        <w:rPr>
          <w:rFonts w:ascii="Verdana" w:hAnsi="Verdana"/>
          <w:i/>
          <w:w w:val="90"/>
          <w:sz w:val="23"/>
        </w:rPr>
        <w:t>he</w:t>
      </w:r>
      <w:r>
        <w:rPr>
          <w:rFonts w:ascii="Verdana" w:hAnsi="Verdana"/>
          <w:i/>
          <w:spacing w:val="-2"/>
          <w:w w:val="90"/>
          <w:sz w:val="23"/>
        </w:rPr>
        <w:t> </w:t>
      </w:r>
      <w:r>
        <w:rPr>
          <w:rFonts w:ascii="Verdana" w:hAnsi="Verdana"/>
          <w:i/>
          <w:w w:val="90"/>
          <w:sz w:val="23"/>
        </w:rPr>
        <w:t>is</w:t>
      </w:r>
      <w:r>
        <w:rPr>
          <w:rFonts w:ascii="Verdana" w:hAnsi="Verdana"/>
          <w:i/>
          <w:spacing w:val="-9"/>
          <w:w w:val="90"/>
          <w:sz w:val="23"/>
        </w:rPr>
        <w:t> </w:t>
      </w:r>
      <w:r>
        <w:rPr>
          <w:rFonts w:ascii="Verdana" w:hAnsi="Verdana"/>
          <w:i/>
          <w:w w:val="90"/>
          <w:sz w:val="23"/>
        </w:rPr>
        <w:t>constantly</w:t>
      </w:r>
      <w:r>
        <w:rPr>
          <w:rFonts w:ascii="Verdana" w:hAnsi="Verdana"/>
          <w:i/>
          <w:spacing w:val="-10"/>
          <w:w w:val="90"/>
          <w:sz w:val="23"/>
        </w:rPr>
        <w:t> </w:t>
      </w:r>
      <w:r>
        <w:rPr>
          <w:rFonts w:ascii="Verdana" w:hAnsi="Verdana"/>
          <w:i/>
          <w:w w:val="90"/>
          <w:sz w:val="23"/>
        </w:rPr>
        <w:t>exposed</w:t>
      </w:r>
      <w:r>
        <w:rPr>
          <w:rFonts w:ascii="Verdana" w:hAnsi="Verdana"/>
          <w:i/>
          <w:spacing w:val="-6"/>
          <w:w w:val="90"/>
          <w:sz w:val="23"/>
        </w:rPr>
        <w:t> </w:t>
      </w:r>
      <w:r>
        <w:rPr>
          <w:rFonts w:ascii="Verdana" w:hAnsi="Verdana"/>
          <w:i/>
          <w:w w:val="90"/>
          <w:sz w:val="23"/>
        </w:rPr>
        <w:t>to</w:t>
      </w:r>
      <w:r>
        <w:rPr>
          <w:rFonts w:ascii="Verdana" w:hAnsi="Verdana"/>
          <w:i/>
          <w:spacing w:val="-2"/>
          <w:w w:val="90"/>
          <w:sz w:val="23"/>
        </w:rPr>
        <w:t> </w:t>
      </w:r>
      <w:r>
        <w:rPr>
          <w:rFonts w:ascii="Verdana" w:hAnsi="Verdana"/>
          <w:i/>
          <w:w w:val="90"/>
          <w:sz w:val="23"/>
        </w:rPr>
        <w:t>hazards.</w:t>
      </w:r>
      <w:r>
        <w:rPr>
          <w:rFonts w:ascii="Verdana" w:hAnsi="Verdana"/>
          <w:i/>
          <w:spacing w:val="-6"/>
          <w:w w:val="90"/>
          <w:sz w:val="23"/>
        </w:rPr>
        <w:t> </w:t>
      </w:r>
      <w:r>
        <w:rPr>
          <w:rFonts w:ascii="Verdana" w:hAnsi="Verdana"/>
          <w:i/>
          <w:w w:val="90"/>
          <w:sz w:val="23"/>
        </w:rPr>
        <w:t>What</w:t>
      </w:r>
      <w:r>
        <w:rPr>
          <w:rFonts w:ascii="Verdana" w:hAnsi="Verdana"/>
          <w:i/>
          <w:spacing w:val="-8"/>
          <w:w w:val="90"/>
          <w:sz w:val="23"/>
        </w:rPr>
        <w:t> </w:t>
      </w:r>
      <w:r>
        <w:rPr>
          <w:rFonts w:ascii="Verdana" w:hAnsi="Verdana"/>
          <w:i/>
          <w:w w:val="90"/>
          <w:sz w:val="23"/>
        </w:rPr>
        <w:t>provoked this</w:t>
      </w:r>
      <w:r>
        <w:rPr>
          <w:rFonts w:ascii="Verdana" w:hAnsi="Verdana"/>
          <w:i/>
          <w:spacing w:val="-13"/>
          <w:w w:val="90"/>
          <w:sz w:val="23"/>
        </w:rPr>
        <w:t> </w:t>
      </w:r>
      <w:r>
        <w:rPr>
          <w:rFonts w:ascii="Verdana" w:hAnsi="Verdana"/>
          <w:i/>
          <w:w w:val="90"/>
          <w:sz w:val="23"/>
        </w:rPr>
        <w:t>research</w:t>
      </w:r>
      <w:r>
        <w:rPr>
          <w:rFonts w:ascii="Verdana" w:hAnsi="Verdana"/>
          <w:i/>
          <w:spacing w:val="-12"/>
          <w:w w:val="90"/>
          <w:sz w:val="23"/>
        </w:rPr>
        <w:t> </w:t>
      </w:r>
      <w:r>
        <w:rPr>
          <w:rFonts w:ascii="Verdana" w:hAnsi="Verdana"/>
          <w:i/>
          <w:w w:val="90"/>
          <w:sz w:val="23"/>
        </w:rPr>
        <w:t>was</w:t>
      </w:r>
      <w:r>
        <w:rPr>
          <w:rFonts w:ascii="Verdana" w:hAnsi="Verdana"/>
          <w:i/>
          <w:spacing w:val="-12"/>
          <w:w w:val="90"/>
          <w:sz w:val="23"/>
        </w:rPr>
        <w:t> </w:t>
      </w:r>
      <w:r>
        <w:rPr>
          <w:rFonts w:ascii="Verdana" w:hAnsi="Verdana"/>
          <w:i/>
          <w:w w:val="90"/>
          <w:sz w:val="23"/>
        </w:rPr>
        <w:t>the</w:t>
      </w:r>
      <w:r>
        <w:rPr>
          <w:rFonts w:ascii="Verdana" w:hAnsi="Verdana"/>
          <w:i/>
          <w:spacing w:val="-12"/>
          <w:w w:val="90"/>
          <w:sz w:val="23"/>
        </w:rPr>
        <w:t> </w:t>
      </w:r>
      <w:r>
        <w:rPr>
          <w:rFonts w:ascii="Verdana" w:hAnsi="Verdana"/>
          <w:i/>
          <w:w w:val="90"/>
          <w:sz w:val="23"/>
        </w:rPr>
        <w:t>need</w:t>
      </w:r>
      <w:r>
        <w:rPr>
          <w:rFonts w:ascii="Verdana" w:hAnsi="Verdana"/>
          <w:i/>
          <w:spacing w:val="-12"/>
          <w:w w:val="90"/>
          <w:sz w:val="23"/>
        </w:rPr>
        <w:t> </w:t>
      </w:r>
      <w:r>
        <w:rPr>
          <w:rFonts w:ascii="Verdana" w:hAnsi="Verdana"/>
          <w:i/>
          <w:w w:val="90"/>
          <w:sz w:val="23"/>
        </w:rPr>
        <w:t>for</w:t>
      </w:r>
      <w:r>
        <w:rPr>
          <w:rFonts w:ascii="Verdana" w:hAnsi="Verdana"/>
          <w:i/>
          <w:spacing w:val="-12"/>
          <w:w w:val="90"/>
          <w:sz w:val="23"/>
        </w:rPr>
        <w:t> </w:t>
      </w:r>
      <w:r>
        <w:rPr>
          <w:rFonts w:ascii="Verdana" w:hAnsi="Verdana"/>
          <w:i/>
          <w:w w:val="90"/>
          <w:sz w:val="23"/>
        </w:rPr>
        <w:t>an</w:t>
      </w:r>
      <w:r>
        <w:rPr>
          <w:rFonts w:ascii="Verdana" w:hAnsi="Verdana"/>
          <w:i/>
          <w:spacing w:val="-12"/>
          <w:w w:val="90"/>
          <w:sz w:val="23"/>
        </w:rPr>
        <w:t> </w:t>
      </w:r>
      <w:r>
        <w:rPr>
          <w:rFonts w:ascii="Verdana" w:hAnsi="Verdana"/>
          <w:i/>
          <w:w w:val="90"/>
          <w:sz w:val="23"/>
        </w:rPr>
        <w:t>appraisal</w:t>
      </w:r>
      <w:r>
        <w:rPr>
          <w:rFonts w:ascii="Verdana" w:hAnsi="Verdana"/>
          <w:i/>
          <w:spacing w:val="-13"/>
          <w:w w:val="90"/>
          <w:sz w:val="23"/>
        </w:rPr>
        <w:t> </w:t>
      </w:r>
      <w:r>
        <w:rPr>
          <w:rFonts w:ascii="Verdana" w:hAnsi="Verdana"/>
          <w:i/>
          <w:w w:val="90"/>
          <w:sz w:val="23"/>
        </w:rPr>
        <w:t>of</w:t>
      </w:r>
      <w:r>
        <w:rPr>
          <w:rFonts w:ascii="Verdana" w:hAnsi="Verdana"/>
          <w:i/>
          <w:spacing w:val="-12"/>
          <w:w w:val="90"/>
          <w:sz w:val="23"/>
        </w:rPr>
        <w:t> </w:t>
      </w:r>
      <w:r>
        <w:rPr>
          <w:rFonts w:ascii="Verdana" w:hAnsi="Verdana"/>
          <w:i/>
          <w:w w:val="90"/>
          <w:sz w:val="23"/>
        </w:rPr>
        <w:t>the</w:t>
      </w:r>
      <w:r>
        <w:rPr>
          <w:rFonts w:ascii="Verdana" w:hAnsi="Verdana"/>
          <w:i/>
          <w:spacing w:val="-12"/>
          <w:w w:val="90"/>
          <w:sz w:val="23"/>
        </w:rPr>
        <w:t> </w:t>
      </w:r>
      <w:r>
        <w:rPr>
          <w:rFonts w:ascii="Verdana" w:hAnsi="Verdana"/>
          <w:i/>
          <w:w w:val="90"/>
          <w:sz w:val="23"/>
        </w:rPr>
        <w:t>employees’</w:t>
      </w:r>
      <w:r>
        <w:rPr>
          <w:rFonts w:ascii="Verdana" w:hAnsi="Verdana"/>
          <w:i/>
          <w:spacing w:val="-12"/>
          <w:w w:val="90"/>
          <w:sz w:val="23"/>
        </w:rPr>
        <w:t> </w:t>
      </w:r>
      <w:r>
        <w:rPr>
          <w:rFonts w:ascii="Verdana" w:hAnsi="Verdana"/>
          <w:i/>
          <w:w w:val="90"/>
          <w:sz w:val="23"/>
        </w:rPr>
        <w:t>compensation</w:t>
      </w:r>
      <w:r>
        <w:rPr>
          <w:rFonts w:ascii="Verdana" w:hAnsi="Verdana"/>
          <w:i/>
          <w:spacing w:val="-12"/>
          <w:w w:val="90"/>
          <w:sz w:val="23"/>
        </w:rPr>
        <w:t> </w:t>
      </w:r>
      <w:r>
        <w:rPr>
          <w:rFonts w:ascii="Verdana" w:hAnsi="Verdana"/>
          <w:i/>
          <w:w w:val="90"/>
          <w:sz w:val="23"/>
        </w:rPr>
        <w:t>under </w:t>
      </w:r>
      <w:r>
        <w:rPr>
          <w:rFonts w:ascii="Verdana" w:hAnsi="Verdana"/>
          <w:i/>
          <w:w w:val="95"/>
          <w:sz w:val="23"/>
        </w:rPr>
        <w:t>Nigerian</w:t>
      </w:r>
      <w:r>
        <w:rPr>
          <w:rFonts w:ascii="Verdana" w:hAnsi="Verdana"/>
          <w:i/>
          <w:spacing w:val="-17"/>
          <w:w w:val="95"/>
          <w:sz w:val="23"/>
        </w:rPr>
        <w:t> </w:t>
      </w:r>
      <w:r>
        <w:rPr>
          <w:rFonts w:ascii="Verdana" w:hAnsi="Verdana"/>
          <w:i/>
          <w:w w:val="95"/>
          <w:sz w:val="23"/>
        </w:rPr>
        <w:t>law.</w:t>
      </w:r>
      <w:r>
        <w:rPr>
          <w:rFonts w:ascii="Verdana" w:hAnsi="Verdana"/>
          <w:i/>
          <w:spacing w:val="-16"/>
          <w:w w:val="95"/>
          <w:sz w:val="23"/>
        </w:rPr>
        <w:t> </w:t>
      </w:r>
      <w:r>
        <w:rPr>
          <w:rFonts w:ascii="Verdana" w:hAnsi="Verdana"/>
          <w:i/>
          <w:w w:val="95"/>
          <w:sz w:val="23"/>
        </w:rPr>
        <w:t>Employees’</w:t>
      </w:r>
      <w:r>
        <w:rPr>
          <w:rFonts w:ascii="Verdana" w:hAnsi="Verdana"/>
          <w:i/>
          <w:spacing w:val="-16"/>
          <w:w w:val="95"/>
          <w:sz w:val="23"/>
        </w:rPr>
        <w:t> </w:t>
      </w:r>
      <w:r>
        <w:rPr>
          <w:rFonts w:ascii="Verdana" w:hAnsi="Verdana"/>
          <w:i/>
          <w:w w:val="95"/>
          <w:sz w:val="23"/>
        </w:rPr>
        <w:t>Compensation</w:t>
      </w:r>
      <w:r>
        <w:rPr>
          <w:rFonts w:ascii="Verdana" w:hAnsi="Verdana"/>
          <w:i/>
          <w:spacing w:val="-16"/>
          <w:w w:val="95"/>
          <w:sz w:val="23"/>
        </w:rPr>
        <w:t> </w:t>
      </w:r>
      <w:r>
        <w:rPr>
          <w:rFonts w:ascii="Verdana" w:hAnsi="Verdana"/>
          <w:i/>
          <w:w w:val="95"/>
          <w:sz w:val="23"/>
        </w:rPr>
        <w:t>Act</w:t>
      </w:r>
      <w:r>
        <w:rPr>
          <w:rFonts w:ascii="Verdana" w:hAnsi="Verdana"/>
          <w:i/>
          <w:spacing w:val="-16"/>
          <w:w w:val="95"/>
          <w:sz w:val="23"/>
        </w:rPr>
        <w:t> </w:t>
      </w:r>
      <w:r>
        <w:rPr>
          <w:rFonts w:ascii="Verdana" w:hAnsi="Verdana"/>
          <w:i/>
          <w:w w:val="95"/>
          <w:sz w:val="23"/>
        </w:rPr>
        <w:t>2010</w:t>
      </w:r>
      <w:r>
        <w:rPr>
          <w:rFonts w:ascii="Verdana" w:hAnsi="Verdana"/>
          <w:i/>
          <w:spacing w:val="-17"/>
          <w:w w:val="95"/>
          <w:sz w:val="23"/>
        </w:rPr>
        <w:t> </w:t>
      </w:r>
      <w:r>
        <w:rPr>
          <w:rFonts w:ascii="Verdana" w:hAnsi="Verdana"/>
          <w:i/>
          <w:w w:val="95"/>
          <w:sz w:val="23"/>
        </w:rPr>
        <w:t>is</w:t>
      </w:r>
      <w:r>
        <w:rPr>
          <w:rFonts w:ascii="Verdana" w:hAnsi="Verdana"/>
          <w:i/>
          <w:spacing w:val="-16"/>
          <w:w w:val="95"/>
          <w:sz w:val="23"/>
        </w:rPr>
        <w:t> </w:t>
      </w:r>
      <w:r>
        <w:rPr>
          <w:rFonts w:ascii="Verdana" w:hAnsi="Verdana"/>
          <w:i/>
          <w:w w:val="95"/>
          <w:sz w:val="23"/>
        </w:rPr>
        <w:t>the</w:t>
      </w:r>
      <w:r>
        <w:rPr>
          <w:rFonts w:ascii="Verdana" w:hAnsi="Verdana"/>
          <w:i/>
          <w:spacing w:val="-16"/>
          <w:w w:val="95"/>
          <w:sz w:val="23"/>
        </w:rPr>
        <w:t> </w:t>
      </w:r>
      <w:r>
        <w:rPr>
          <w:rFonts w:ascii="Verdana" w:hAnsi="Verdana"/>
          <w:i/>
          <w:w w:val="95"/>
          <w:sz w:val="23"/>
        </w:rPr>
        <w:t>present</w:t>
      </w:r>
      <w:r>
        <w:rPr>
          <w:rFonts w:ascii="Verdana" w:hAnsi="Verdana"/>
          <w:i/>
          <w:spacing w:val="-16"/>
          <w:w w:val="95"/>
          <w:sz w:val="23"/>
        </w:rPr>
        <w:t> </w:t>
      </w:r>
      <w:r>
        <w:rPr>
          <w:rFonts w:ascii="Verdana" w:hAnsi="Verdana"/>
          <w:i/>
          <w:w w:val="95"/>
          <w:sz w:val="23"/>
        </w:rPr>
        <w:t>Act</w:t>
      </w:r>
      <w:r>
        <w:rPr>
          <w:rFonts w:ascii="Verdana" w:hAnsi="Verdana"/>
          <w:i/>
          <w:spacing w:val="-16"/>
          <w:w w:val="95"/>
          <w:sz w:val="23"/>
        </w:rPr>
        <w:t> </w:t>
      </w:r>
      <w:r>
        <w:rPr>
          <w:rFonts w:ascii="Verdana" w:hAnsi="Verdana"/>
          <w:i/>
          <w:w w:val="95"/>
          <w:sz w:val="23"/>
        </w:rPr>
        <w:t>governing </w:t>
      </w:r>
      <w:r>
        <w:rPr>
          <w:rFonts w:ascii="Verdana" w:hAnsi="Verdana"/>
          <w:i/>
          <w:w w:val="90"/>
          <w:sz w:val="23"/>
        </w:rPr>
        <w:t>compensation</w:t>
      </w:r>
      <w:r>
        <w:rPr>
          <w:rFonts w:ascii="Verdana" w:hAnsi="Verdana"/>
          <w:i/>
          <w:w w:val="90"/>
          <w:sz w:val="23"/>
        </w:rPr>
        <w:t> for</w:t>
      </w:r>
      <w:r>
        <w:rPr>
          <w:rFonts w:ascii="Verdana" w:hAnsi="Verdana"/>
          <w:i/>
          <w:w w:val="90"/>
          <w:sz w:val="23"/>
        </w:rPr>
        <w:t> job-related</w:t>
      </w:r>
      <w:r>
        <w:rPr>
          <w:rFonts w:ascii="Verdana" w:hAnsi="Verdana"/>
          <w:i/>
          <w:w w:val="90"/>
          <w:sz w:val="23"/>
        </w:rPr>
        <w:t> risks</w:t>
      </w:r>
      <w:r>
        <w:rPr>
          <w:rFonts w:ascii="Verdana" w:hAnsi="Verdana"/>
          <w:i/>
          <w:w w:val="90"/>
          <w:sz w:val="23"/>
        </w:rPr>
        <w:t> in</w:t>
      </w:r>
      <w:r>
        <w:rPr>
          <w:rFonts w:ascii="Verdana" w:hAnsi="Verdana"/>
          <w:i/>
          <w:w w:val="90"/>
          <w:sz w:val="23"/>
        </w:rPr>
        <w:t> Nigeria.</w:t>
      </w:r>
      <w:r>
        <w:rPr>
          <w:rFonts w:ascii="Verdana" w:hAnsi="Verdana"/>
          <w:i/>
          <w:w w:val="90"/>
          <w:sz w:val="23"/>
        </w:rPr>
        <w:t> This</w:t>
      </w:r>
      <w:r>
        <w:rPr>
          <w:rFonts w:ascii="Verdana" w:hAnsi="Verdana"/>
          <w:i/>
          <w:w w:val="90"/>
          <w:sz w:val="23"/>
        </w:rPr>
        <w:t> research</w:t>
      </w:r>
      <w:r>
        <w:rPr>
          <w:rFonts w:ascii="Verdana" w:hAnsi="Verdana"/>
          <w:i/>
          <w:w w:val="90"/>
          <w:sz w:val="23"/>
        </w:rPr>
        <w:t> adopted</w:t>
      </w:r>
      <w:r>
        <w:rPr>
          <w:rFonts w:ascii="Verdana" w:hAnsi="Verdana"/>
          <w:i/>
          <w:w w:val="90"/>
          <w:sz w:val="23"/>
        </w:rPr>
        <w:t> a</w:t>
      </w:r>
      <w:r>
        <w:rPr>
          <w:rFonts w:ascii="Verdana" w:hAnsi="Verdana"/>
          <w:i/>
          <w:w w:val="90"/>
          <w:sz w:val="23"/>
        </w:rPr>
        <w:t> doctrinal </w:t>
      </w:r>
      <w:r>
        <w:rPr>
          <w:rFonts w:ascii="Verdana" w:hAnsi="Verdana"/>
          <w:i/>
          <w:w w:val="95"/>
          <w:sz w:val="23"/>
        </w:rPr>
        <w:t>method</w:t>
      </w:r>
      <w:r>
        <w:rPr>
          <w:rFonts w:ascii="Verdana" w:hAnsi="Verdana"/>
          <w:i/>
          <w:spacing w:val="-15"/>
          <w:w w:val="95"/>
          <w:sz w:val="23"/>
        </w:rPr>
        <w:t> </w:t>
      </w:r>
      <w:r>
        <w:rPr>
          <w:rFonts w:ascii="Verdana" w:hAnsi="Verdana"/>
          <w:i/>
          <w:w w:val="95"/>
          <w:sz w:val="23"/>
        </w:rPr>
        <w:t>and</w:t>
      </w:r>
      <w:r>
        <w:rPr>
          <w:rFonts w:ascii="Verdana" w:hAnsi="Verdana"/>
          <w:i/>
          <w:spacing w:val="-15"/>
          <w:w w:val="95"/>
          <w:sz w:val="23"/>
        </w:rPr>
        <w:t> </w:t>
      </w:r>
      <w:r>
        <w:rPr>
          <w:rFonts w:ascii="Verdana" w:hAnsi="Verdana"/>
          <w:i/>
          <w:w w:val="95"/>
          <w:sz w:val="23"/>
        </w:rPr>
        <w:t>empirical</w:t>
      </w:r>
      <w:r>
        <w:rPr>
          <w:rFonts w:ascii="Verdana" w:hAnsi="Verdana"/>
          <w:i/>
          <w:spacing w:val="-14"/>
          <w:w w:val="95"/>
          <w:sz w:val="23"/>
        </w:rPr>
        <w:t> </w:t>
      </w:r>
      <w:r>
        <w:rPr>
          <w:rFonts w:ascii="Verdana" w:hAnsi="Verdana"/>
          <w:i/>
          <w:w w:val="95"/>
          <w:sz w:val="23"/>
        </w:rPr>
        <w:t>method.</w:t>
      </w:r>
      <w:r>
        <w:rPr>
          <w:rFonts w:ascii="Verdana" w:hAnsi="Verdana"/>
          <w:i/>
          <w:spacing w:val="-11"/>
          <w:w w:val="95"/>
          <w:sz w:val="23"/>
        </w:rPr>
        <w:t> </w:t>
      </w:r>
      <w:r>
        <w:rPr>
          <w:rFonts w:ascii="Verdana" w:hAnsi="Verdana"/>
          <w:i/>
          <w:w w:val="95"/>
          <w:sz w:val="23"/>
        </w:rPr>
        <w:t>The</w:t>
      </w:r>
      <w:r>
        <w:rPr>
          <w:rFonts w:ascii="Verdana" w:hAnsi="Verdana"/>
          <w:i/>
          <w:spacing w:val="-10"/>
          <w:w w:val="95"/>
          <w:sz w:val="23"/>
        </w:rPr>
        <w:t> </w:t>
      </w:r>
      <w:r>
        <w:rPr>
          <w:rFonts w:ascii="Verdana" w:hAnsi="Verdana"/>
          <w:i/>
          <w:w w:val="95"/>
          <w:sz w:val="23"/>
        </w:rPr>
        <w:t>empirical</w:t>
      </w:r>
      <w:r>
        <w:rPr>
          <w:rFonts w:ascii="Verdana" w:hAnsi="Verdana"/>
          <w:i/>
          <w:spacing w:val="-10"/>
          <w:w w:val="95"/>
          <w:sz w:val="23"/>
        </w:rPr>
        <w:t> </w:t>
      </w:r>
      <w:r>
        <w:rPr>
          <w:rFonts w:ascii="Verdana" w:hAnsi="Verdana"/>
          <w:i/>
          <w:w w:val="95"/>
          <w:sz w:val="23"/>
        </w:rPr>
        <w:t>method</w:t>
      </w:r>
      <w:r>
        <w:rPr>
          <w:rFonts w:ascii="Verdana" w:hAnsi="Verdana"/>
          <w:i/>
          <w:spacing w:val="-13"/>
          <w:w w:val="95"/>
          <w:sz w:val="23"/>
        </w:rPr>
        <w:t> </w:t>
      </w:r>
      <w:r>
        <w:rPr>
          <w:rFonts w:ascii="Verdana" w:hAnsi="Verdana"/>
          <w:i/>
          <w:w w:val="95"/>
          <w:sz w:val="23"/>
        </w:rPr>
        <w:t>adopted</w:t>
      </w:r>
      <w:r>
        <w:rPr>
          <w:rFonts w:ascii="Verdana" w:hAnsi="Verdana"/>
          <w:i/>
          <w:spacing w:val="-13"/>
          <w:w w:val="95"/>
          <w:sz w:val="23"/>
        </w:rPr>
        <w:t> </w:t>
      </w:r>
      <w:r>
        <w:rPr>
          <w:rFonts w:ascii="Verdana" w:hAnsi="Verdana"/>
          <w:i/>
          <w:w w:val="95"/>
          <w:sz w:val="23"/>
        </w:rPr>
        <w:t>is</w:t>
      </w:r>
      <w:r>
        <w:rPr>
          <w:rFonts w:ascii="Verdana" w:hAnsi="Verdana"/>
          <w:i/>
          <w:spacing w:val="-15"/>
          <w:w w:val="95"/>
          <w:sz w:val="23"/>
        </w:rPr>
        <w:t> </w:t>
      </w:r>
      <w:r>
        <w:rPr>
          <w:rFonts w:ascii="Verdana" w:hAnsi="Verdana"/>
          <w:i/>
          <w:w w:val="95"/>
          <w:sz w:val="23"/>
        </w:rPr>
        <w:t>the</w:t>
      </w:r>
      <w:r>
        <w:rPr>
          <w:rFonts w:ascii="Verdana" w:hAnsi="Verdana"/>
          <w:i/>
          <w:spacing w:val="-15"/>
          <w:w w:val="95"/>
          <w:sz w:val="23"/>
        </w:rPr>
        <w:t> </w:t>
      </w:r>
      <w:r>
        <w:rPr>
          <w:rFonts w:ascii="Verdana" w:hAnsi="Verdana"/>
          <w:i/>
          <w:w w:val="95"/>
          <w:sz w:val="23"/>
        </w:rPr>
        <w:t>interview method</w:t>
      </w:r>
      <w:r>
        <w:rPr>
          <w:rFonts w:ascii="Verdana" w:hAnsi="Verdana"/>
          <w:i/>
          <w:w w:val="95"/>
          <w:sz w:val="23"/>
        </w:rPr>
        <w:t> conducted</w:t>
      </w:r>
      <w:r>
        <w:rPr>
          <w:rFonts w:ascii="Verdana" w:hAnsi="Verdana"/>
          <w:i/>
          <w:w w:val="95"/>
          <w:sz w:val="23"/>
        </w:rPr>
        <w:t> at</w:t>
      </w:r>
      <w:r>
        <w:rPr>
          <w:rFonts w:ascii="Verdana" w:hAnsi="Verdana"/>
          <w:i/>
          <w:w w:val="95"/>
          <w:sz w:val="23"/>
        </w:rPr>
        <w:t> the</w:t>
      </w:r>
      <w:r>
        <w:rPr>
          <w:rFonts w:ascii="Verdana" w:hAnsi="Verdana"/>
          <w:i/>
          <w:w w:val="95"/>
          <w:sz w:val="23"/>
        </w:rPr>
        <w:t> headquarters</w:t>
      </w:r>
      <w:r>
        <w:rPr>
          <w:rFonts w:ascii="Verdana" w:hAnsi="Verdana"/>
          <w:i/>
          <w:w w:val="95"/>
          <w:sz w:val="23"/>
        </w:rPr>
        <w:t> of</w:t>
      </w:r>
      <w:r>
        <w:rPr>
          <w:rFonts w:ascii="Verdana" w:hAnsi="Verdana"/>
          <w:i/>
          <w:w w:val="95"/>
          <w:sz w:val="23"/>
        </w:rPr>
        <w:t> the</w:t>
      </w:r>
      <w:r>
        <w:rPr>
          <w:rFonts w:ascii="Verdana" w:hAnsi="Verdana"/>
          <w:i/>
          <w:w w:val="95"/>
          <w:sz w:val="23"/>
        </w:rPr>
        <w:t> Nigeria</w:t>
      </w:r>
      <w:r>
        <w:rPr>
          <w:rFonts w:ascii="Verdana" w:hAnsi="Verdana"/>
          <w:i/>
          <w:w w:val="95"/>
          <w:sz w:val="23"/>
        </w:rPr>
        <w:t> Social</w:t>
      </w:r>
      <w:r>
        <w:rPr>
          <w:rFonts w:ascii="Verdana" w:hAnsi="Verdana"/>
          <w:i/>
          <w:w w:val="95"/>
          <w:sz w:val="23"/>
        </w:rPr>
        <w:t> Insurance</w:t>
      </w:r>
      <w:r>
        <w:rPr>
          <w:rFonts w:ascii="Verdana" w:hAnsi="Verdana"/>
          <w:i/>
          <w:w w:val="95"/>
          <w:sz w:val="23"/>
        </w:rPr>
        <w:t> Trust Management</w:t>
      </w:r>
      <w:r>
        <w:rPr>
          <w:rFonts w:ascii="Verdana" w:hAnsi="Verdana"/>
          <w:i/>
          <w:spacing w:val="-10"/>
          <w:w w:val="95"/>
          <w:sz w:val="23"/>
        </w:rPr>
        <w:t> </w:t>
      </w:r>
      <w:r>
        <w:rPr>
          <w:rFonts w:ascii="Verdana" w:hAnsi="Verdana"/>
          <w:i/>
          <w:w w:val="95"/>
          <w:sz w:val="23"/>
        </w:rPr>
        <w:t>Board.</w:t>
      </w:r>
      <w:r>
        <w:rPr>
          <w:rFonts w:ascii="Verdana" w:hAnsi="Verdana"/>
          <w:i/>
          <w:spacing w:val="-9"/>
          <w:w w:val="95"/>
          <w:sz w:val="23"/>
        </w:rPr>
        <w:t> </w:t>
      </w:r>
      <w:r>
        <w:rPr>
          <w:rFonts w:ascii="Verdana" w:hAnsi="Verdana"/>
          <w:i/>
          <w:w w:val="95"/>
          <w:sz w:val="23"/>
        </w:rPr>
        <w:t>The</w:t>
      </w:r>
      <w:r>
        <w:rPr>
          <w:rFonts w:ascii="Verdana" w:hAnsi="Verdana"/>
          <w:i/>
          <w:spacing w:val="-10"/>
          <w:w w:val="95"/>
          <w:sz w:val="23"/>
        </w:rPr>
        <w:t> </w:t>
      </w:r>
      <w:r>
        <w:rPr>
          <w:rFonts w:ascii="Verdana" w:hAnsi="Verdana"/>
          <w:i/>
          <w:w w:val="95"/>
          <w:sz w:val="23"/>
        </w:rPr>
        <w:t>doctrinal</w:t>
      </w:r>
      <w:r>
        <w:rPr>
          <w:rFonts w:ascii="Verdana" w:hAnsi="Verdana"/>
          <w:i/>
          <w:spacing w:val="-8"/>
          <w:w w:val="95"/>
          <w:sz w:val="23"/>
        </w:rPr>
        <w:t> </w:t>
      </w:r>
      <w:r>
        <w:rPr>
          <w:rFonts w:ascii="Verdana" w:hAnsi="Verdana"/>
          <w:i/>
          <w:w w:val="95"/>
          <w:sz w:val="23"/>
        </w:rPr>
        <w:t>method</w:t>
      </w:r>
      <w:r>
        <w:rPr>
          <w:rFonts w:ascii="Verdana" w:hAnsi="Verdana"/>
          <w:i/>
          <w:spacing w:val="40"/>
          <w:sz w:val="23"/>
        </w:rPr>
        <w:t> </w:t>
      </w:r>
      <w:r>
        <w:rPr>
          <w:rFonts w:ascii="Verdana" w:hAnsi="Verdana"/>
          <w:i/>
          <w:w w:val="95"/>
          <w:sz w:val="23"/>
        </w:rPr>
        <w:t>explored</w:t>
      </w:r>
      <w:r>
        <w:rPr>
          <w:rFonts w:ascii="Verdana" w:hAnsi="Verdana"/>
          <w:i/>
          <w:spacing w:val="-8"/>
          <w:w w:val="95"/>
          <w:sz w:val="23"/>
        </w:rPr>
        <w:t> </w:t>
      </w:r>
      <w:r>
        <w:rPr>
          <w:rFonts w:ascii="Verdana" w:hAnsi="Verdana"/>
          <w:i/>
          <w:w w:val="95"/>
          <w:sz w:val="23"/>
        </w:rPr>
        <w:t>relevant</w:t>
      </w:r>
      <w:r>
        <w:rPr>
          <w:rFonts w:ascii="Verdana" w:hAnsi="Verdana"/>
          <w:i/>
          <w:spacing w:val="-8"/>
          <w:w w:val="95"/>
          <w:sz w:val="23"/>
        </w:rPr>
        <w:t> </w:t>
      </w:r>
      <w:r>
        <w:rPr>
          <w:rFonts w:ascii="Verdana" w:hAnsi="Verdana"/>
          <w:i/>
          <w:w w:val="95"/>
          <w:sz w:val="23"/>
        </w:rPr>
        <w:t>Acts,</w:t>
      </w:r>
      <w:r>
        <w:rPr>
          <w:rFonts w:ascii="Verdana" w:hAnsi="Verdana"/>
          <w:i/>
          <w:spacing w:val="-9"/>
          <w:w w:val="95"/>
          <w:sz w:val="23"/>
        </w:rPr>
        <w:t> </w:t>
      </w:r>
      <w:r>
        <w:rPr>
          <w:rFonts w:ascii="Verdana" w:hAnsi="Verdana"/>
          <w:i/>
          <w:w w:val="95"/>
          <w:sz w:val="23"/>
        </w:rPr>
        <w:t>case</w:t>
      </w:r>
      <w:r>
        <w:rPr>
          <w:rFonts w:ascii="Verdana" w:hAnsi="Verdana"/>
          <w:i/>
          <w:spacing w:val="-8"/>
          <w:w w:val="95"/>
          <w:sz w:val="23"/>
        </w:rPr>
        <w:t> </w:t>
      </w:r>
      <w:r>
        <w:rPr>
          <w:rFonts w:ascii="Verdana" w:hAnsi="Verdana"/>
          <w:i/>
          <w:w w:val="95"/>
          <w:sz w:val="23"/>
        </w:rPr>
        <w:t>laws, </w:t>
      </w:r>
      <w:r>
        <w:rPr>
          <w:rFonts w:ascii="Verdana" w:hAnsi="Verdana"/>
          <w:i/>
          <w:w w:val="85"/>
          <w:sz w:val="23"/>
        </w:rPr>
        <w:t>textbooks, journals, literature etc for a good understanding of the provisions of the Employees’ Compensation Act, 2010.There is an attempt by the Act to simplify the procedure and requirements for claim of compensation but some inherent problems </w:t>
      </w:r>
      <w:r>
        <w:rPr>
          <w:rFonts w:ascii="Verdana" w:hAnsi="Verdana"/>
          <w:i/>
          <w:w w:val="90"/>
          <w:sz w:val="23"/>
        </w:rPr>
        <w:t>exist;. Findings in the research revealed that the Board has not made the Rules </w:t>
      </w:r>
      <w:r>
        <w:rPr>
          <w:rFonts w:ascii="Verdana" w:hAnsi="Verdana"/>
          <w:i/>
          <w:w w:val="85"/>
          <w:sz w:val="23"/>
        </w:rPr>
        <w:t>which the Act empowers</w:t>
      </w:r>
      <w:r>
        <w:rPr>
          <w:rFonts w:ascii="Verdana" w:hAnsi="Verdana"/>
          <w:i/>
          <w:spacing w:val="-2"/>
          <w:w w:val="85"/>
          <w:sz w:val="23"/>
        </w:rPr>
        <w:t> </w:t>
      </w:r>
      <w:r>
        <w:rPr>
          <w:rFonts w:ascii="Verdana" w:hAnsi="Verdana"/>
          <w:i/>
          <w:w w:val="85"/>
          <w:sz w:val="23"/>
        </w:rPr>
        <w:t>it to make in respect of some cases</w:t>
      </w:r>
      <w:r>
        <w:rPr>
          <w:rFonts w:ascii="Verdana" w:hAnsi="Verdana"/>
          <w:i/>
          <w:spacing w:val="-2"/>
          <w:w w:val="85"/>
          <w:sz w:val="23"/>
        </w:rPr>
        <w:t> </w:t>
      </w:r>
      <w:r>
        <w:rPr>
          <w:rFonts w:ascii="Verdana" w:hAnsi="Verdana"/>
          <w:i/>
          <w:w w:val="85"/>
          <w:sz w:val="23"/>
        </w:rPr>
        <w:t>of compensation whose </w:t>
      </w:r>
      <w:r>
        <w:rPr>
          <w:rFonts w:ascii="Verdana" w:hAnsi="Verdana"/>
          <w:i/>
          <w:w w:val="90"/>
          <w:sz w:val="23"/>
        </w:rPr>
        <w:t>scales are not contained in the Act. Also, the research also revealed some likely </w:t>
      </w:r>
      <w:r>
        <w:rPr>
          <w:rFonts w:ascii="Verdana" w:hAnsi="Verdana"/>
          <w:i/>
          <w:w w:val="85"/>
          <w:sz w:val="23"/>
        </w:rPr>
        <w:t>enforcement problems within the informal sector. Findings revealed that job-related ‘mental stress’</w:t>
      </w:r>
      <w:r>
        <w:rPr>
          <w:rFonts w:ascii="Verdana" w:hAnsi="Verdana"/>
          <w:i/>
          <w:sz w:val="23"/>
        </w:rPr>
        <w:t> </w:t>
      </w:r>
      <w:r>
        <w:rPr>
          <w:rFonts w:ascii="Verdana" w:hAnsi="Verdana"/>
          <w:i/>
          <w:w w:val="85"/>
          <w:sz w:val="23"/>
        </w:rPr>
        <w:t>has for the</w:t>
      </w:r>
      <w:r>
        <w:rPr>
          <w:rFonts w:ascii="Verdana" w:hAnsi="Verdana"/>
          <w:i/>
          <w:sz w:val="23"/>
        </w:rPr>
        <w:t> </w:t>
      </w:r>
      <w:r>
        <w:rPr>
          <w:rFonts w:ascii="Verdana" w:hAnsi="Verdana"/>
          <w:i/>
          <w:w w:val="85"/>
          <w:sz w:val="23"/>
        </w:rPr>
        <w:t>first time</w:t>
      </w:r>
      <w:r>
        <w:rPr>
          <w:rFonts w:ascii="Verdana" w:hAnsi="Verdana"/>
          <w:i/>
          <w:sz w:val="23"/>
        </w:rPr>
        <w:t> </w:t>
      </w:r>
      <w:r>
        <w:rPr>
          <w:rFonts w:ascii="Verdana" w:hAnsi="Verdana"/>
          <w:i/>
          <w:w w:val="85"/>
          <w:sz w:val="23"/>
        </w:rPr>
        <w:t>been introduced as a ground for compensation</w:t>
      </w:r>
      <w:r>
        <w:rPr>
          <w:rFonts w:ascii="Verdana" w:hAnsi="Verdana"/>
          <w:i/>
          <w:spacing w:val="40"/>
          <w:sz w:val="23"/>
        </w:rPr>
        <w:t> </w:t>
      </w:r>
      <w:r>
        <w:rPr>
          <w:rFonts w:ascii="Verdana" w:hAnsi="Verdana"/>
          <w:i/>
          <w:w w:val="90"/>
          <w:sz w:val="23"/>
        </w:rPr>
        <w:t>of</w:t>
      </w:r>
      <w:r>
        <w:rPr>
          <w:rFonts w:ascii="Verdana" w:hAnsi="Verdana"/>
          <w:i/>
          <w:spacing w:val="-13"/>
          <w:w w:val="90"/>
          <w:sz w:val="23"/>
        </w:rPr>
        <w:t> </w:t>
      </w:r>
      <w:r>
        <w:rPr>
          <w:rFonts w:ascii="Verdana" w:hAnsi="Verdana"/>
          <w:i/>
          <w:w w:val="90"/>
          <w:sz w:val="23"/>
        </w:rPr>
        <w:t>employees</w:t>
      </w:r>
      <w:r>
        <w:rPr>
          <w:rFonts w:ascii="Verdana" w:hAnsi="Verdana"/>
          <w:i/>
          <w:spacing w:val="-12"/>
          <w:w w:val="90"/>
          <w:sz w:val="23"/>
        </w:rPr>
        <w:t> </w:t>
      </w:r>
      <w:r>
        <w:rPr>
          <w:rFonts w:ascii="Verdana" w:hAnsi="Verdana"/>
          <w:i/>
          <w:w w:val="90"/>
          <w:sz w:val="23"/>
        </w:rPr>
        <w:t>in</w:t>
      </w:r>
      <w:r>
        <w:rPr>
          <w:rFonts w:ascii="Verdana" w:hAnsi="Verdana"/>
          <w:i/>
          <w:spacing w:val="-12"/>
          <w:w w:val="90"/>
          <w:sz w:val="23"/>
        </w:rPr>
        <w:t> </w:t>
      </w:r>
      <w:r>
        <w:rPr>
          <w:rFonts w:ascii="Verdana" w:hAnsi="Verdana"/>
          <w:i/>
          <w:w w:val="90"/>
          <w:sz w:val="23"/>
        </w:rPr>
        <w:t>Nigeria</w:t>
      </w:r>
      <w:r>
        <w:rPr>
          <w:rFonts w:ascii="Verdana" w:hAnsi="Verdana"/>
          <w:i/>
          <w:spacing w:val="-12"/>
          <w:w w:val="90"/>
          <w:sz w:val="23"/>
        </w:rPr>
        <w:t> </w:t>
      </w:r>
      <w:r>
        <w:rPr>
          <w:rFonts w:ascii="Verdana" w:hAnsi="Verdana"/>
          <w:i/>
          <w:w w:val="90"/>
          <w:sz w:val="23"/>
        </w:rPr>
        <w:t>but</w:t>
      </w:r>
      <w:r>
        <w:rPr>
          <w:rFonts w:ascii="Verdana" w:hAnsi="Verdana"/>
          <w:i/>
          <w:spacing w:val="-12"/>
          <w:w w:val="90"/>
          <w:sz w:val="23"/>
        </w:rPr>
        <w:t> </w:t>
      </w:r>
      <w:r>
        <w:rPr>
          <w:rFonts w:ascii="Verdana" w:hAnsi="Verdana"/>
          <w:i/>
          <w:w w:val="90"/>
          <w:sz w:val="23"/>
        </w:rPr>
        <w:t>there</w:t>
      </w:r>
      <w:r>
        <w:rPr>
          <w:rFonts w:ascii="Verdana" w:hAnsi="Verdana"/>
          <w:i/>
          <w:spacing w:val="-12"/>
          <w:w w:val="90"/>
          <w:sz w:val="23"/>
        </w:rPr>
        <w:t> </w:t>
      </w:r>
      <w:r>
        <w:rPr>
          <w:rFonts w:ascii="Verdana" w:hAnsi="Verdana"/>
          <w:i/>
          <w:w w:val="90"/>
          <w:sz w:val="23"/>
        </w:rPr>
        <w:t>are</w:t>
      </w:r>
      <w:r>
        <w:rPr>
          <w:rFonts w:ascii="Verdana" w:hAnsi="Verdana"/>
          <w:i/>
          <w:spacing w:val="-12"/>
          <w:w w:val="90"/>
          <w:sz w:val="23"/>
        </w:rPr>
        <w:t> </w:t>
      </w:r>
      <w:r>
        <w:rPr>
          <w:rFonts w:ascii="Verdana" w:hAnsi="Verdana"/>
          <w:i/>
          <w:w w:val="90"/>
          <w:sz w:val="23"/>
        </w:rPr>
        <w:t>still</w:t>
      </w:r>
      <w:r>
        <w:rPr>
          <w:rFonts w:ascii="Verdana" w:hAnsi="Verdana"/>
          <w:i/>
          <w:spacing w:val="-13"/>
          <w:w w:val="90"/>
          <w:sz w:val="23"/>
        </w:rPr>
        <w:t> </w:t>
      </w:r>
      <w:r>
        <w:rPr>
          <w:rFonts w:ascii="Verdana" w:hAnsi="Verdana"/>
          <w:i/>
          <w:w w:val="90"/>
          <w:sz w:val="23"/>
        </w:rPr>
        <w:t>some</w:t>
      </w:r>
      <w:r>
        <w:rPr>
          <w:rFonts w:ascii="Verdana" w:hAnsi="Verdana"/>
          <w:i/>
          <w:spacing w:val="-12"/>
          <w:w w:val="90"/>
          <w:sz w:val="23"/>
        </w:rPr>
        <w:t> </w:t>
      </w:r>
      <w:r>
        <w:rPr>
          <w:rFonts w:ascii="Verdana" w:hAnsi="Verdana"/>
          <w:i/>
          <w:w w:val="90"/>
          <w:sz w:val="23"/>
        </w:rPr>
        <w:t>inadequacies</w:t>
      </w:r>
      <w:r>
        <w:rPr>
          <w:rFonts w:ascii="Verdana" w:hAnsi="Verdana"/>
          <w:i/>
          <w:spacing w:val="-12"/>
          <w:w w:val="90"/>
          <w:sz w:val="23"/>
        </w:rPr>
        <w:t> </w:t>
      </w:r>
      <w:r>
        <w:rPr>
          <w:rFonts w:ascii="Verdana" w:hAnsi="Verdana"/>
          <w:i/>
          <w:w w:val="90"/>
          <w:sz w:val="23"/>
        </w:rPr>
        <w:t>in</w:t>
      </w:r>
      <w:r>
        <w:rPr>
          <w:rFonts w:ascii="Verdana" w:hAnsi="Verdana"/>
          <w:i/>
          <w:spacing w:val="-12"/>
          <w:w w:val="90"/>
          <w:sz w:val="23"/>
        </w:rPr>
        <w:t> </w:t>
      </w:r>
      <w:r>
        <w:rPr>
          <w:rFonts w:ascii="Verdana" w:hAnsi="Verdana"/>
          <w:i/>
          <w:w w:val="90"/>
          <w:sz w:val="23"/>
        </w:rPr>
        <w:t>the</w:t>
      </w:r>
      <w:r>
        <w:rPr>
          <w:rFonts w:ascii="Verdana" w:hAnsi="Verdana"/>
          <w:i/>
          <w:spacing w:val="-12"/>
          <w:w w:val="90"/>
          <w:sz w:val="23"/>
        </w:rPr>
        <w:t> </w:t>
      </w:r>
      <w:r>
        <w:rPr>
          <w:rFonts w:ascii="Verdana" w:hAnsi="Verdana"/>
          <w:i/>
          <w:w w:val="90"/>
          <w:sz w:val="23"/>
        </w:rPr>
        <w:t>provisions;</w:t>
      </w:r>
      <w:r>
        <w:rPr>
          <w:rFonts w:ascii="Verdana" w:hAnsi="Verdana"/>
          <w:i/>
          <w:spacing w:val="-12"/>
          <w:w w:val="90"/>
          <w:sz w:val="23"/>
        </w:rPr>
        <w:t> </w:t>
      </w:r>
      <w:r>
        <w:rPr>
          <w:rFonts w:ascii="Verdana" w:hAnsi="Verdana"/>
          <w:i/>
          <w:w w:val="90"/>
          <w:sz w:val="23"/>
        </w:rPr>
        <w:t>for </w:t>
      </w:r>
      <w:r>
        <w:rPr>
          <w:rFonts w:ascii="Verdana" w:hAnsi="Verdana"/>
          <w:i/>
          <w:w w:val="85"/>
          <w:sz w:val="23"/>
        </w:rPr>
        <w:t>example, ‘mental stress’ is not compensable if it results from an injury for which the </w:t>
      </w:r>
      <w:r>
        <w:rPr>
          <w:rFonts w:ascii="Verdana" w:hAnsi="Verdana"/>
          <w:i/>
          <w:w w:val="90"/>
          <w:sz w:val="23"/>
        </w:rPr>
        <w:t>affected employee is otherwise entitled to</w:t>
      </w:r>
      <w:r>
        <w:rPr>
          <w:rFonts w:ascii="Verdana" w:hAnsi="Verdana"/>
          <w:i/>
          <w:w w:val="90"/>
          <w:sz w:val="23"/>
        </w:rPr>
        <w:t> compensation. Findings among others also</w:t>
      </w:r>
      <w:r>
        <w:rPr>
          <w:rFonts w:ascii="Verdana" w:hAnsi="Verdana"/>
          <w:i/>
          <w:spacing w:val="-6"/>
          <w:w w:val="90"/>
          <w:sz w:val="23"/>
        </w:rPr>
        <w:t> </w:t>
      </w:r>
      <w:r>
        <w:rPr>
          <w:rFonts w:ascii="Verdana" w:hAnsi="Verdana"/>
          <w:i/>
          <w:w w:val="90"/>
          <w:sz w:val="23"/>
        </w:rPr>
        <w:t>reveal</w:t>
      </w:r>
      <w:r>
        <w:rPr>
          <w:rFonts w:ascii="Verdana" w:hAnsi="Verdana"/>
          <w:i/>
          <w:spacing w:val="-10"/>
          <w:w w:val="90"/>
          <w:sz w:val="23"/>
        </w:rPr>
        <w:t> </w:t>
      </w:r>
      <w:r>
        <w:rPr>
          <w:rFonts w:ascii="Verdana" w:hAnsi="Verdana"/>
          <w:i/>
          <w:w w:val="90"/>
          <w:sz w:val="23"/>
        </w:rPr>
        <w:t>that</w:t>
      </w:r>
      <w:r>
        <w:rPr>
          <w:rFonts w:ascii="Verdana" w:hAnsi="Verdana"/>
          <w:i/>
          <w:spacing w:val="-10"/>
          <w:w w:val="90"/>
          <w:sz w:val="23"/>
        </w:rPr>
        <w:t> </w:t>
      </w:r>
      <w:r>
        <w:rPr>
          <w:rFonts w:ascii="Verdana" w:hAnsi="Verdana"/>
          <w:i/>
          <w:w w:val="90"/>
          <w:sz w:val="23"/>
        </w:rPr>
        <w:t>there</w:t>
      </w:r>
      <w:r>
        <w:rPr>
          <w:rFonts w:ascii="Verdana" w:hAnsi="Verdana"/>
          <w:i/>
          <w:spacing w:val="-10"/>
          <w:w w:val="90"/>
          <w:sz w:val="23"/>
        </w:rPr>
        <w:t> </w:t>
      </w:r>
      <w:r>
        <w:rPr>
          <w:rFonts w:ascii="Verdana" w:hAnsi="Verdana"/>
          <w:i/>
          <w:w w:val="90"/>
          <w:sz w:val="23"/>
        </w:rPr>
        <w:t>exist</w:t>
      </w:r>
      <w:r>
        <w:rPr>
          <w:rFonts w:ascii="Verdana" w:hAnsi="Verdana"/>
          <w:i/>
          <w:spacing w:val="-10"/>
          <w:w w:val="90"/>
          <w:sz w:val="23"/>
        </w:rPr>
        <w:t> </w:t>
      </w:r>
      <w:r>
        <w:rPr>
          <w:rFonts w:ascii="Verdana" w:hAnsi="Verdana"/>
          <w:i/>
          <w:w w:val="90"/>
          <w:sz w:val="23"/>
        </w:rPr>
        <w:t>too</w:t>
      </w:r>
      <w:r>
        <w:rPr>
          <w:rFonts w:ascii="Verdana" w:hAnsi="Verdana"/>
          <w:i/>
          <w:spacing w:val="-9"/>
          <w:w w:val="90"/>
          <w:sz w:val="23"/>
        </w:rPr>
        <w:t> </w:t>
      </w:r>
      <w:r>
        <w:rPr>
          <w:rFonts w:ascii="Verdana" w:hAnsi="Verdana"/>
          <w:i/>
          <w:w w:val="90"/>
          <w:sz w:val="23"/>
        </w:rPr>
        <w:t>much</w:t>
      </w:r>
      <w:r>
        <w:rPr>
          <w:rFonts w:ascii="Verdana" w:hAnsi="Verdana"/>
          <w:i/>
          <w:spacing w:val="-8"/>
          <w:w w:val="90"/>
          <w:sz w:val="23"/>
        </w:rPr>
        <w:t> </w:t>
      </w:r>
      <w:r>
        <w:rPr>
          <w:rFonts w:ascii="Verdana" w:hAnsi="Verdana"/>
          <w:i/>
          <w:w w:val="90"/>
          <w:sz w:val="23"/>
        </w:rPr>
        <w:t>discretionary</w:t>
      </w:r>
      <w:r>
        <w:rPr>
          <w:rFonts w:ascii="Verdana" w:hAnsi="Verdana"/>
          <w:i/>
          <w:spacing w:val="-12"/>
          <w:w w:val="90"/>
          <w:sz w:val="23"/>
        </w:rPr>
        <w:t> </w:t>
      </w:r>
      <w:r>
        <w:rPr>
          <w:rFonts w:ascii="Verdana" w:hAnsi="Verdana"/>
          <w:i/>
          <w:w w:val="90"/>
          <w:sz w:val="23"/>
        </w:rPr>
        <w:t>powers</w:t>
      </w:r>
      <w:r>
        <w:rPr>
          <w:rFonts w:ascii="Verdana" w:hAnsi="Verdana"/>
          <w:i/>
          <w:spacing w:val="-11"/>
          <w:w w:val="90"/>
          <w:sz w:val="23"/>
        </w:rPr>
        <w:t> </w:t>
      </w:r>
      <w:r>
        <w:rPr>
          <w:rFonts w:ascii="Verdana" w:hAnsi="Verdana"/>
          <w:i/>
          <w:w w:val="90"/>
          <w:sz w:val="23"/>
        </w:rPr>
        <w:t>bestowed</w:t>
      </w:r>
      <w:r>
        <w:rPr>
          <w:rFonts w:ascii="Verdana" w:hAnsi="Verdana"/>
          <w:i/>
          <w:spacing w:val="-11"/>
          <w:w w:val="90"/>
          <w:sz w:val="23"/>
        </w:rPr>
        <w:t> </w:t>
      </w:r>
      <w:r>
        <w:rPr>
          <w:rFonts w:ascii="Verdana" w:hAnsi="Verdana"/>
          <w:i/>
          <w:w w:val="90"/>
          <w:sz w:val="23"/>
        </w:rPr>
        <w:t>on</w:t>
      </w:r>
      <w:r>
        <w:rPr>
          <w:rFonts w:ascii="Verdana" w:hAnsi="Verdana"/>
          <w:i/>
          <w:spacing w:val="-11"/>
          <w:w w:val="90"/>
          <w:sz w:val="23"/>
        </w:rPr>
        <w:t> </w:t>
      </w:r>
      <w:r>
        <w:rPr>
          <w:rFonts w:ascii="Verdana" w:hAnsi="Verdana"/>
          <w:i/>
          <w:w w:val="90"/>
          <w:sz w:val="23"/>
        </w:rPr>
        <w:t>the</w:t>
      </w:r>
      <w:r>
        <w:rPr>
          <w:rFonts w:ascii="Verdana" w:hAnsi="Verdana"/>
          <w:i/>
          <w:spacing w:val="-10"/>
          <w:w w:val="90"/>
          <w:sz w:val="23"/>
        </w:rPr>
        <w:t> </w:t>
      </w:r>
      <w:r>
        <w:rPr>
          <w:rFonts w:ascii="Verdana" w:hAnsi="Verdana"/>
          <w:i/>
          <w:w w:val="90"/>
          <w:sz w:val="23"/>
        </w:rPr>
        <w:t>Board (Nigeria</w:t>
      </w:r>
      <w:r>
        <w:rPr>
          <w:rFonts w:ascii="Verdana" w:hAnsi="Verdana"/>
          <w:i/>
          <w:w w:val="90"/>
          <w:sz w:val="23"/>
        </w:rPr>
        <w:t> Social</w:t>
      </w:r>
      <w:r>
        <w:rPr>
          <w:rFonts w:ascii="Verdana" w:hAnsi="Verdana"/>
          <w:i/>
          <w:w w:val="90"/>
          <w:sz w:val="23"/>
        </w:rPr>
        <w:t> Insurance</w:t>
      </w:r>
      <w:r>
        <w:rPr>
          <w:rFonts w:ascii="Verdana" w:hAnsi="Verdana"/>
          <w:i/>
          <w:w w:val="90"/>
          <w:sz w:val="23"/>
        </w:rPr>
        <w:t> Trust</w:t>
      </w:r>
      <w:r>
        <w:rPr>
          <w:rFonts w:ascii="Verdana" w:hAnsi="Verdana"/>
          <w:i/>
          <w:w w:val="90"/>
          <w:sz w:val="23"/>
        </w:rPr>
        <w:t> Fund Management Board) the body that the Act </w:t>
      </w:r>
      <w:r>
        <w:rPr>
          <w:rFonts w:ascii="Verdana" w:hAnsi="Verdana"/>
          <w:i/>
          <w:w w:val="95"/>
          <w:sz w:val="23"/>
        </w:rPr>
        <w:t>empowers</w:t>
      </w:r>
      <w:r>
        <w:rPr>
          <w:rFonts w:ascii="Verdana" w:hAnsi="Verdana"/>
          <w:i/>
          <w:spacing w:val="-17"/>
          <w:w w:val="95"/>
          <w:sz w:val="23"/>
        </w:rPr>
        <w:t> </w:t>
      </w:r>
      <w:r>
        <w:rPr>
          <w:rFonts w:ascii="Verdana" w:hAnsi="Verdana"/>
          <w:i/>
          <w:w w:val="95"/>
          <w:sz w:val="23"/>
        </w:rPr>
        <w:t>to</w:t>
      </w:r>
      <w:r>
        <w:rPr>
          <w:rFonts w:ascii="Verdana" w:hAnsi="Verdana"/>
          <w:i/>
          <w:spacing w:val="-16"/>
          <w:w w:val="95"/>
          <w:sz w:val="23"/>
        </w:rPr>
        <w:t> </w:t>
      </w:r>
      <w:r>
        <w:rPr>
          <w:rFonts w:ascii="Verdana" w:hAnsi="Verdana"/>
          <w:i/>
          <w:w w:val="95"/>
          <w:sz w:val="23"/>
        </w:rPr>
        <w:t>manage</w:t>
      </w:r>
      <w:r>
        <w:rPr>
          <w:rFonts w:ascii="Verdana" w:hAnsi="Verdana"/>
          <w:i/>
          <w:spacing w:val="-16"/>
          <w:w w:val="95"/>
          <w:sz w:val="23"/>
        </w:rPr>
        <w:t> </w:t>
      </w:r>
      <w:r>
        <w:rPr>
          <w:rFonts w:ascii="Verdana" w:hAnsi="Verdana"/>
          <w:i/>
          <w:w w:val="95"/>
          <w:sz w:val="23"/>
        </w:rPr>
        <w:t>the</w:t>
      </w:r>
      <w:r>
        <w:rPr>
          <w:rFonts w:ascii="Verdana" w:hAnsi="Verdana"/>
          <w:i/>
          <w:spacing w:val="-16"/>
          <w:w w:val="95"/>
          <w:sz w:val="23"/>
        </w:rPr>
        <w:t> </w:t>
      </w:r>
      <w:r>
        <w:rPr>
          <w:rFonts w:ascii="Verdana" w:hAnsi="Verdana"/>
          <w:i/>
          <w:w w:val="95"/>
          <w:sz w:val="23"/>
        </w:rPr>
        <w:t>Fund</w:t>
      </w:r>
      <w:r>
        <w:rPr>
          <w:rFonts w:ascii="Verdana" w:hAnsi="Verdana"/>
          <w:i/>
          <w:spacing w:val="-16"/>
          <w:w w:val="95"/>
          <w:sz w:val="23"/>
        </w:rPr>
        <w:t> </w:t>
      </w:r>
      <w:r>
        <w:rPr>
          <w:rFonts w:ascii="Verdana" w:hAnsi="Verdana"/>
          <w:i/>
          <w:w w:val="95"/>
          <w:sz w:val="23"/>
        </w:rPr>
        <w:t>established</w:t>
      </w:r>
      <w:r>
        <w:rPr>
          <w:rFonts w:ascii="Verdana" w:hAnsi="Verdana"/>
          <w:i/>
          <w:spacing w:val="-17"/>
          <w:w w:val="95"/>
          <w:sz w:val="23"/>
        </w:rPr>
        <w:t> </w:t>
      </w:r>
      <w:r>
        <w:rPr>
          <w:rFonts w:ascii="Verdana" w:hAnsi="Verdana"/>
          <w:i/>
          <w:w w:val="95"/>
          <w:sz w:val="23"/>
        </w:rPr>
        <w:t>in</w:t>
      </w:r>
      <w:r>
        <w:rPr>
          <w:rFonts w:ascii="Verdana" w:hAnsi="Verdana"/>
          <w:i/>
          <w:spacing w:val="-16"/>
          <w:w w:val="95"/>
          <w:sz w:val="23"/>
        </w:rPr>
        <w:t> </w:t>
      </w:r>
      <w:r>
        <w:rPr>
          <w:rFonts w:ascii="Verdana" w:hAnsi="Verdana"/>
          <w:i/>
          <w:w w:val="95"/>
          <w:sz w:val="23"/>
        </w:rPr>
        <w:t>the</w:t>
      </w:r>
      <w:r>
        <w:rPr>
          <w:rFonts w:ascii="Verdana" w:hAnsi="Verdana"/>
          <w:i/>
          <w:spacing w:val="-16"/>
          <w:w w:val="95"/>
          <w:sz w:val="23"/>
        </w:rPr>
        <w:t> </w:t>
      </w:r>
      <w:r>
        <w:rPr>
          <w:rFonts w:ascii="Verdana" w:hAnsi="Verdana"/>
          <w:i/>
          <w:w w:val="95"/>
          <w:sz w:val="23"/>
        </w:rPr>
        <w:t>Act.</w:t>
      </w:r>
      <w:r>
        <w:rPr>
          <w:rFonts w:ascii="Verdana" w:hAnsi="Verdana"/>
          <w:i/>
          <w:spacing w:val="-16"/>
          <w:w w:val="95"/>
          <w:sz w:val="23"/>
        </w:rPr>
        <w:t> </w:t>
      </w:r>
      <w:r>
        <w:rPr>
          <w:rFonts w:ascii="Verdana" w:hAnsi="Verdana"/>
          <w:i/>
          <w:w w:val="95"/>
          <w:sz w:val="23"/>
        </w:rPr>
        <w:t>Health</w:t>
      </w:r>
      <w:r>
        <w:rPr>
          <w:rFonts w:ascii="Verdana" w:hAnsi="Verdana"/>
          <w:i/>
          <w:spacing w:val="-16"/>
          <w:w w:val="95"/>
          <w:sz w:val="23"/>
        </w:rPr>
        <w:t> </w:t>
      </w:r>
      <w:r>
        <w:rPr>
          <w:rFonts w:ascii="Verdana" w:hAnsi="Verdana"/>
          <w:i/>
          <w:w w:val="95"/>
          <w:sz w:val="23"/>
        </w:rPr>
        <w:t>care</w:t>
      </w:r>
      <w:r>
        <w:rPr>
          <w:rFonts w:ascii="Verdana" w:hAnsi="Verdana"/>
          <w:i/>
          <w:spacing w:val="-16"/>
          <w:w w:val="95"/>
          <w:sz w:val="23"/>
        </w:rPr>
        <w:t> </w:t>
      </w:r>
      <w:r>
        <w:rPr>
          <w:rFonts w:ascii="Verdana" w:hAnsi="Verdana"/>
          <w:i/>
          <w:w w:val="95"/>
          <w:sz w:val="23"/>
        </w:rPr>
        <w:t>benefits</w:t>
      </w:r>
      <w:r>
        <w:rPr>
          <w:rFonts w:ascii="Verdana" w:hAnsi="Verdana"/>
          <w:i/>
          <w:spacing w:val="-17"/>
          <w:w w:val="95"/>
          <w:sz w:val="23"/>
        </w:rPr>
        <w:t> </w:t>
      </w:r>
      <w:r>
        <w:rPr>
          <w:rFonts w:ascii="Verdana" w:hAnsi="Verdana"/>
          <w:i/>
          <w:w w:val="95"/>
          <w:sz w:val="23"/>
        </w:rPr>
        <w:t>are discretionary</w:t>
      </w:r>
      <w:r>
        <w:rPr>
          <w:rFonts w:ascii="Verdana" w:hAnsi="Verdana"/>
          <w:i/>
          <w:spacing w:val="-17"/>
          <w:w w:val="95"/>
          <w:sz w:val="23"/>
        </w:rPr>
        <w:t> </w:t>
      </w:r>
      <w:r>
        <w:rPr>
          <w:rFonts w:ascii="Verdana" w:hAnsi="Verdana"/>
          <w:i/>
          <w:w w:val="95"/>
          <w:sz w:val="23"/>
        </w:rPr>
        <w:t>and</w:t>
      </w:r>
      <w:r>
        <w:rPr>
          <w:rFonts w:ascii="Verdana" w:hAnsi="Verdana"/>
          <w:i/>
          <w:spacing w:val="-16"/>
          <w:w w:val="95"/>
          <w:sz w:val="23"/>
        </w:rPr>
        <w:t> </w:t>
      </w:r>
      <w:r>
        <w:rPr>
          <w:rFonts w:ascii="Verdana" w:hAnsi="Verdana"/>
          <w:i/>
          <w:w w:val="95"/>
          <w:sz w:val="23"/>
        </w:rPr>
        <w:t>are</w:t>
      </w:r>
      <w:r>
        <w:rPr>
          <w:rFonts w:ascii="Verdana" w:hAnsi="Verdana"/>
          <w:i/>
          <w:spacing w:val="-16"/>
          <w:w w:val="95"/>
          <w:sz w:val="23"/>
        </w:rPr>
        <w:t> </w:t>
      </w:r>
      <w:r>
        <w:rPr>
          <w:rFonts w:ascii="Verdana" w:hAnsi="Verdana"/>
          <w:i/>
          <w:w w:val="95"/>
          <w:sz w:val="23"/>
        </w:rPr>
        <w:t>only</w:t>
      </w:r>
      <w:r>
        <w:rPr>
          <w:rFonts w:ascii="Verdana" w:hAnsi="Verdana"/>
          <w:i/>
          <w:spacing w:val="-16"/>
          <w:w w:val="95"/>
          <w:sz w:val="23"/>
        </w:rPr>
        <w:t> </w:t>
      </w:r>
      <w:r>
        <w:rPr>
          <w:rFonts w:ascii="Verdana" w:hAnsi="Verdana"/>
          <w:i/>
          <w:w w:val="95"/>
          <w:sz w:val="23"/>
        </w:rPr>
        <w:t>mandatory</w:t>
      </w:r>
      <w:r>
        <w:rPr>
          <w:rFonts w:ascii="Verdana" w:hAnsi="Verdana"/>
          <w:i/>
          <w:spacing w:val="-16"/>
          <w:w w:val="95"/>
          <w:sz w:val="23"/>
        </w:rPr>
        <w:t> </w:t>
      </w:r>
      <w:r>
        <w:rPr>
          <w:rFonts w:ascii="Verdana" w:hAnsi="Verdana"/>
          <w:i/>
          <w:w w:val="95"/>
          <w:sz w:val="23"/>
        </w:rPr>
        <w:t>in</w:t>
      </w:r>
      <w:r>
        <w:rPr>
          <w:rFonts w:ascii="Verdana" w:hAnsi="Verdana"/>
          <w:i/>
          <w:spacing w:val="-17"/>
          <w:w w:val="95"/>
          <w:sz w:val="23"/>
        </w:rPr>
        <w:t> </w:t>
      </w:r>
      <w:r>
        <w:rPr>
          <w:rFonts w:ascii="Verdana" w:hAnsi="Verdana"/>
          <w:i/>
          <w:w w:val="95"/>
          <w:sz w:val="23"/>
        </w:rPr>
        <w:t>cases</w:t>
      </w:r>
      <w:r>
        <w:rPr>
          <w:rFonts w:ascii="Verdana" w:hAnsi="Verdana"/>
          <w:i/>
          <w:spacing w:val="-16"/>
          <w:w w:val="95"/>
          <w:sz w:val="23"/>
        </w:rPr>
        <w:t> </w:t>
      </w:r>
      <w:r>
        <w:rPr>
          <w:rFonts w:ascii="Verdana" w:hAnsi="Verdana"/>
          <w:i/>
          <w:w w:val="95"/>
          <w:sz w:val="23"/>
        </w:rPr>
        <w:t>of</w:t>
      </w:r>
      <w:r>
        <w:rPr>
          <w:rFonts w:ascii="Verdana" w:hAnsi="Verdana"/>
          <w:i/>
          <w:spacing w:val="-16"/>
          <w:w w:val="95"/>
          <w:sz w:val="23"/>
        </w:rPr>
        <w:t> </w:t>
      </w:r>
      <w:r>
        <w:rPr>
          <w:rFonts w:ascii="Verdana" w:hAnsi="Verdana"/>
          <w:i/>
          <w:w w:val="95"/>
          <w:sz w:val="23"/>
        </w:rPr>
        <w:t>occupational</w:t>
      </w:r>
      <w:r>
        <w:rPr>
          <w:rFonts w:ascii="Verdana" w:hAnsi="Verdana"/>
          <w:i/>
          <w:spacing w:val="-16"/>
          <w:w w:val="95"/>
          <w:sz w:val="23"/>
        </w:rPr>
        <w:t> </w:t>
      </w:r>
      <w:r>
        <w:rPr>
          <w:rFonts w:ascii="Verdana" w:hAnsi="Verdana"/>
          <w:i/>
          <w:w w:val="95"/>
          <w:sz w:val="23"/>
        </w:rPr>
        <w:t>diseases.</w:t>
      </w:r>
      <w:r>
        <w:rPr>
          <w:rFonts w:ascii="Verdana" w:hAnsi="Verdana"/>
          <w:i/>
          <w:spacing w:val="-16"/>
          <w:w w:val="95"/>
          <w:sz w:val="23"/>
        </w:rPr>
        <w:t> </w:t>
      </w:r>
      <w:r>
        <w:rPr>
          <w:rFonts w:ascii="Verdana" w:hAnsi="Verdana"/>
          <w:i/>
          <w:w w:val="95"/>
          <w:sz w:val="23"/>
        </w:rPr>
        <w:t>There </w:t>
      </w:r>
      <w:r>
        <w:rPr>
          <w:rFonts w:ascii="Verdana" w:hAnsi="Verdana"/>
          <w:i/>
          <w:w w:val="85"/>
          <w:sz w:val="23"/>
        </w:rPr>
        <w:t>should be compensation for ‘mental stress’, irrespective of whether or not it results from an injury for which the affected employee is entitled to compensation. Payment </w:t>
      </w:r>
      <w:r>
        <w:rPr>
          <w:rFonts w:ascii="Verdana" w:hAnsi="Verdana"/>
          <w:i/>
          <w:w w:val="95"/>
          <w:sz w:val="23"/>
        </w:rPr>
        <w:t>for</w:t>
      </w:r>
      <w:r>
        <w:rPr>
          <w:rFonts w:ascii="Verdana" w:hAnsi="Verdana"/>
          <w:i/>
          <w:w w:val="95"/>
          <w:sz w:val="23"/>
        </w:rPr>
        <w:t> health</w:t>
      </w:r>
      <w:r>
        <w:rPr>
          <w:rFonts w:ascii="Verdana" w:hAnsi="Verdana"/>
          <w:i/>
          <w:w w:val="95"/>
          <w:sz w:val="23"/>
        </w:rPr>
        <w:t> care</w:t>
      </w:r>
      <w:r>
        <w:rPr>
          <w:rFonts w:ascii="Verdana" w:hAnsi="Verdana"/>
          <w:i/>
          <w:w w:val="95"/>
          <w:sz w:val="23"/>
        </w:rPr>
        <w:t> services</w:t>
      </w:r>
      <w:r>
        <w:rPr>
          <w:rFonts w:ascii="Verdana" w:hAnsi="Verdana"/>
          <w:i/>
          <w:w w:val="95"/>
          <w:sz w:val="23"/>
        </w:rPr>
        <w:t> and</w:t>
      </w:r>
      <w:r>
        <w:rPr>
          <w:rFonts w:ascii="Verdana" w:hAnsi="Verdana"/>
          <w:i/>
          <w:w w:val="95"/>
          <w:sz w:val="23"/>
        </w:rPr>
        <w:t> disability</w:t>
      </w:r>
      <w:r>
        <w:rPr>
          <w:rFonts w:ascii="Verdana" w:hAnsi="Verdana"/>
          <w:i/>
          <w:w w:val="95"/>
          <w:sz w:val="23"/>
        </w:rPr>
        <w:t> supports</w:t>
      </w:r>
      <w:r>
        <w:rPr>
          <w:rFonts w:ascii="Verdana" w:hAnsi="Verdana"/>
          <w:i/>
          <w:w w:val="95"/>
          <w:sz w:val="23"/>
        </w:rPr>
        <w:t> should</w:t>
      </w:r>
      <w:r>
        <w:rPr>
          <w:rFonts w:ascii="Verdana" w:hAnsi="Verdana"/>
          <w:i/>
          <w:w w:val="95"/>
          <w:sz w:val="23"/>
        </w:rPr>
        <w:t> be</w:t>
      </w:r>
      <w:r>
        <w:rPr>
          <w:rFonts w:ascii="Verdana" w:hAnsi="Verdana"/>
          <w:i/>
          <w:w w:val="95"/>
          <w:sz w:val="23"/>
        </w:rPr>
        <w:t> made</w:t>
      </w:r>
      <w:r>
        <w:rPr>
          <w:rFonts w:ascii="Verdana" w:hAnsi="Verdana"/>
          <w:i/>
          <w:w w:val="95"/>
          <w:sz w:val="23"/>
        </w:rPr>
        <w:t> a</w:t>
      </w:r>
      <w:r>
        <w:rPr>
          <w:rFonts w:ascii="Verdana" w:hAnsi="Verdana"/>
          <w:i/>
          <w:w w:val="95"/>
          <w:sz w:val="23"/>
        </w:rPr>
        <w:t> right</w:t>
      </w:r>
      <w:r>
        <w:rPr>
          <w:rFonts w:ascii="Verdana" w:hAnsi="Verdana"/>
          <w:i/>
          <w:w w:val="95"/>
          <w:sz w:val="23"/>
        </w:rPr>
        <w:t> in</w:t>
      </w:r>
      <w:r>
        <w:rPr>
          <w:rFonts w:ascii="Verdana" w:hAnsi="Verdana"/>
          <w:i/>
          <w:w w:val="95"/>
          <w:sz w:val="23"/>
        </w:rPr>
        <w:t> all </w:t>
      </w:r>
      <w:r>
        <w:rPr>
          <w:rFonts w:ascii="Verdana" w:hAnsi="Verdana"/>
          <w:i/>
          <w:w w:val="90"/>
          <w:sz w:val="23"/>
        </w:rPr>
        <w:t>established cases.</w:t>
      </w:r>
      <w:r>
        <w:rPr>
          <w:rFonts w:ascii="Verdana" w:hAnsi="Verdana"/>
          <w:i/>
          <w:spacing w:val="-5"/>
          <w:w w:val="90"/>
          <w:sz w:val="23"/>
        </w:rPr>
        <w:t> </w:t>
      </w:r>
      <w:r>
        <w:rPr>
          <w:rFonts w:ascii="Verdana" w:hAnsi="Verdana"/>
          <w:i/>
          <w:w w:val="90"/>
          <w:sz w:val="23"/>
        </w:rPr>
        <w:t>The Board</w:t>
      </w:r>
      <w:r>
        <w:rPr>
          <w:rFonts w:ascii="Verdana" w:hAnsi="Verdana"/>
          <w:i/>
          <w:spacing w:val="-1"/>
          <w:w w:val="90"/>
          <w:sz w:val="23"/>
        </w:rPr>
        <w:t> </w:t>
      </w:r>
      <w:r>
        <w:rPr>
          <w:rFonts w:ascii="Verdana" w:hAnsi="Verdana"/>
          <w:i/>
          <w:w w:val="90"/>
          <w:sz w:val="23"/>
        </w:rPr>
        <w:t>should</w:t>
      </w:r>
      <w:r>
        <w:rPr>
          <w:rFonts w:ascii="Verdana" w:hAnsi="Verdana"/>
          <w:i/>
          <w:spacing w:val="-1"/>
          <w:w w:val="90"/>
          <w:sz w:val="23"/>
        </w:rPr>
        <w:t> </w:t>
      </w:r>
      <w:r>
        <w:rPr>
          <w:rFonts w:ascii="Verdana" w:hAnsi="Verdana"/>
          <w:i/>
          <w:w w:val="90"/>
          <w:sz w:val="23"/>
        </w:rPr>
        <w:t>hasten</w:t>
      </w:r>
      <w:r>
        <w:rPr>
          <w:rFonts w:ascii="Verdana" w:hAnsi="Verdana"/>
          <w:i/>
          <w:spacing w:val="-4"/>
          <w:w w:val="90"/>
          <w:sz w:val="23"/>
        </w:rPr>
        <w:t> </w:t>
      </w:r>
      <w:r>
        <w:rPr>
          <w:rFonts w:ascii="Verdana" w:hAnsi="Verdana"/>
          <w:i/>
          <w:w w:val="90"/>
          <w:sz w:val="23"/>
        </w:rPr>
        <w:t>up</w:t>
      </w:r>
      <w:r>
        <w:rPr>
          <w:rFonts w:ascii="Verdana" w:hAnsi="Verdana"/>
          <w:i/>
          <w:spacing w:val="-1"/>
          <w:w w:val="90"/>
          <w:sz w:val="23"/>
        </w:rPr>
        <w:t> </w:t>
      </w:r>
      <w:r>
        <w:rPr>
          <w:rFonts w:ascii="Verdana" w:hAnsi="Verdana"/>
          <w:i/>
          <w:w w:val="90"/>
          <w:sz w:val="23"/>
        </w:rPr>
        <w:t>to make the required</w:t>
      </w:r>
      <w:r>
        <w:rPr>
          <w:rFonts w:ascii="Verdana" w:hAnsi="Verdana"/>
          <w:i/>
          <w:spacing w:val="-1"/>
          <w:w w:val="90"/>
          <w:sz w:val="23"/>
        </w:rPr>
        <w:t> </w:t>
      </w:r>
      <w:r>
        <w:rPr>
          <w:rFonts w:ascii="Verdana" w:hAnsi="Verdana"/>
          <w:i/>
          <w:w w:val="90"/>
          <w:sz w:val="23"/>
        </w:rPr>
        <w:t>Rules</w:t>
      </w:r>
      <w:r>
        <w:rPr>
          <w:rFonts w:ascii="Verdana" w:hAnsi="Verdana"/>
          <w:i/>
          <w:spacing w:val="-4"/>
          <w:w w:val="90"/>
          <w:sz w:val="23"/>
        </w:rPr>
        <w:t> </w:t>
      </w:r>
      <w:r>
        <w:rPr>
          <w:rFonts w:ascii="Verdana" w:hAnsi="Verdana"/>
          <w:i/>
          <w:w w:val="90"/>
          <w:sz w:val="23"/>
        </w:rPr>
        <w:t>which </w:t>
      </w:r>
      <w:r>
        <w:rPr>
          <w:rFonts w:ascii="Verdana" w:hAnsi="Verdana"/>
          <w:i/>
          <w:w w:val="95"/>
          <w:sz w:val="23"/>
        </w:rPr>
        <w:t>shall</w:t>
      </w:r>
      <w:r>
        <w:rPr>
          <w:rFonts w:ascii="Verdana" w:hAnsi="Verdana"/>
          <w:i/>
          <w:spacing w:val="-9"/>
          <w:w w:val="95"/>
          <w:sz w:val="23"/>
        </w:rPr>
        <w:t> </w:t>
      </w:r>
      <w:r>
        <w:rPr>
          <w:rFonts w:ascii="Verdana" w:hAnsi="Verdana"/>
          <w:i/>
          <w:w w:val="95"/>
          <w:sz w:val="23"/>
        </w:rPr>
        <w:t>provide</w:t>
      </w:r>
      <w:r>
        <w:rPr>
          <w:rFonts w:ascii="Verdana" w:hAnsi="Verdana"/>
          <w:i/>
          <w:spacing w:val="-7"/>
          <w:w w:val="95"/>
          <w:sz w:val="23"/>
        </w:rPr>
        <w:t> </w:t>
      </w:r>
      <w:r>
        <w:rPr>
          <w:rFonts w:ascii="Verdana" w:hAnsi="Verdana"/>
          <w:i/>
          <w:w w:val="95"/>
          <w:sz w:val="23"/>
        </w:rPr>
        <w:t>the</w:t>
      </w:r>
      <w:r>
        <w:rPr>
          <w:rFonts w:ascii="Verdana" w:hAnsi="Verdana"/>
          <w:i/>
          <w:spacing w:val="-7"/>
          <w:w w:val="95"/>
          <w:sz w:val="23"/>
        </w:rPr>
        <w:t> </w:t>
      </w:r>
      <w:r>
        <w:rPr>
          <w:rFonts w:ascii="Verdana" w:hAnsi="Verdana"/>
          <w:i/>
          <w:w w:val="95"/>
          <w:sz w:val="23"/>
        </w:rPr>
        <w:t>scales</w:t>
      </w:r>
      <w:r>
        <w:rPr>
          <w:rFonts w:ascii="Verdana" w:hAnsi="Verdana"/>
          <w:i/>
          <w:spacing w:val="-9"/>
          <w:w w:val="95"/>
          <w:sz w:val="23"/>
        </w:rPr>
        <w:t> </w:t>
      </w:r>
      <w:r>
        <w:rPr>
          <w:rFonts w:ascii="Verdana" w:hAnsi="Verdana"/>
          <w:i/>
          <w:w w:val="95"/>
          <w:sz w:val="23"/>
        </w:rPr>
        <w:t>of</w:t>
      </w:r>
      <w:r>
        <w:rPr>
          <w:rFonts w:ascii="Verdana" w:hAnsi="Verdana"/>
          <w:i/>
          <w:spacing w:val="-9"/>
          <w:w w:val="95"/>
          <w:sz w:val="23"/>
        </w:rPr>
        <w:t> </w:t>
      </w:r>
      <w:r>
        <w:rPr>
          <w:rFonts w:ascii="Verdana" w:hAnsi="Verdana"/>
          <w:i/>
          <w:w w:val="95"/>
          <w:sz w:val="23"/>
        </w:rPr>
        <w:t>compensation</w:t>
      </w:r>
      <w:r>
        <w:rPr>
          <w:rFonts w:ascii="Verdana" w:hAnsi="Verdana"/>
          <w:i/>
          <w:spacing w:val="-9"/>
          <w:w w:val="95"/>
          <w:sz w:val="23"/>
        </w:rPr>
        <w:t> </w:t>
      </w:r>
      <w:r>
        <w:rPr>
          <w:rFonts w:ascii="Verdana" w:hAnsi="Verdana"/>
          <w:i/>
          <w:w w:val="95"/>
          <w:sz w:val="23"/>
        </w:rPr>
        <w:t>not</w:t>
      </w:r>
      <w:r>
        <w:rPr>
          <w:rFonts w:ascii="Verdana" w:hAnsi="Verdana"/>
          <w:i/>
          <w:spacing w:val="-9"/>
          <w:w w:val="95"/>
          <w:sz w:val="23"/>
        </w:rPr>
        <w:t> </w:t>
      </w:r>
      <w:r>
        <w:rPr>
          <w:rFonts w:ascii="Verdana" w:hAnsi="Verdana"/>
          <w:i/>
          <w:w w:val="95"/>
          <w:sz w:val="23"/>
        </w:rPr>
        <w:t>captured</w:t>
      </w:r>
      <w:r>
        <w:rPr>
          <w:rFonts w:ascii="Verdana" w:hAnsi="Verdana"/>
          <w:i/>
          <w:spacing w:val="-9"/>
          <w:w w:val="95"/>
          <w:sz w:val="23"/>
        </w:rPr>
        <w:t> </w:t>
      </w:r>
      <w:r>
        <w:rPr>
          <w:rFonts w:ascii="Verdana" w:hAnsi="Verdana"/>
          <w:i/>
          <w:w w:val="95"/>
          <w:sz w:val="23"/>
        </w:rPr>
        <w:t>in</w:t>
      </w:r>
      <w:r>
        <w:rPr>
          <w:rFonts w:ascii="Verdana" w:hAnsi="Verdana"/>
          <w:i/>
          <w:spacing w:val="-8"/>
          <w:w w:val="95"/>
          <w:sz w:val="23"/>
        </w:rPr>
        <w:t> </w:t>
      </w:r>
      <w:r>
        <w:rPr>
          <w:rFonts w:ascii="Verdana" w:hAnsi="Verdana"/>
          <w:i/>
          <w:w w:val="95"/>
          <w:sz w:val="23"/>
        </w:rPr>
        <w:t>the</w:t>
      </w:r>
      <w:r>
        <w:rPr>
          <w:rFonts w:ascii="Verdana" w:hAnsi="Verdana"/>
          <w:i/>
          <w:spacing w:val="-9"/>
          <w:w w:val="95"/>
          <w:sz w:val="23"/>
        </w:rPr>
        <w:t> </w:t>
      </w:r>
      <w:r>
        <w:rPr>
          <w:rFonts w:ascii="Verdana" w:hAnsi="Verdana"/>
          <w:i/>
          <w:w w:val="95"/>
          <w:sz w:val="23"/>
        </w:rPr>
        <w:t>Act</w:t>
      </w:r>
      <w:r>
        <w:rPr>
          <w:rFonts w:ascii="Verdana" w:hAnsi="Verdana"/>
          <w:i/>
          <w:spacing w:val="-9"/>
          <w:w w:val="95"/>
          <w:sz w:val="23"/>
        </w:rPr>
        <w:t> </w:t>
      </w:r>
      <w:r>
        <w:rPr>
          <w:rFonts w:ascii="Verdana" w:hAnsi="Verdana"/>
          <w:i/>
          <w:w w:val="95"/>
          <w:sz w:val="23"/>
        </w:rPr>
        <w:t>or</w:t>
      </w:r>
      <w:r>
        <w:rPr>
          <w:rFonts w:ascii="Verdana" w:hAnsi="Verdana"/>
          <w:i/>
          <w:spacing w:val="-9"/>
          <w:w w:val="95"/>
          <w:sz w:val="23"/>
        </w:rPr>
        <w:t> </w:t>
      </w:r>
      <w:r>
        <w:rPr>
          <w:rFonts w:ascii="Verdana" w:hAnsi="Verdana"/>
          <w:i/>
          <w:w w:val="95"/>
          <w:sz w:val="23"/>
        </w:rPr>
        <w:t>the</w:t>
      </w:r>
      <w:r>
        <w:rPr>
          <w:rFonts w:ascii="Verdana" w:hAnsi="Verdana"/>
          <w:i/>
          <w:spacing w:val="-7"/>
          <w:w w:val="95"/>
          <w:sz w:val="23"/>
        </w:rPr>
        <w:t> </w:t>
      </w:r>
      <w:r>
        <w:rPr>
          <w:rFonts w:ascii="Verdana" w:hAnsi="Verdana"/>
          <w:i/>
          <w:w w:val="95"/>
          <w:sz w:val="23"/>
        </w:rPr>
        <w:t>Act</w:t>
      </w:r>
      <w:r>
        <w:rPr>
          <w:rFonts w:ascii="Verdana" w:hAnsi="Verdana"/>
          <w:i/>
          <w:spacing w:val="-9"/>
          <w:w w:val="95"/>
          <w:sz w:val="23"/>
        </w:rPr>
        <w:t> </w:t>
      </w:r>
      <w:r>
        <w:rPr>
          <w:rFonts w:ascii="Verdana" w:hAnsi="Verdana"/>
          <w:i/>
          <w:w w:val="95"/>
          <w:sz w:val="23"/>
        </w:rPr>
        <w:t>be </w:t>
      </w:r>
      <w:r>
        <w:rPr>
          <w:rFonts w:ascii="Verdana" w:hAnsi="Verdana"/>
          <w:i/>
          <w:spacing w:val="-2"/>
          <w:w w:val="95"/>
          <w:sz w:val="23"/>
        </w:rPr>
        <w:t>amended</w:t>
      </w:r>
      <w:r>
        <w:rPr>
          <w:rFonts w:ascii="Verdana" w:hAnsi="Verdana"/>
          <w:i/>
          <w:spacing w:val="-8"/>
          <w:w w:val="95"/>
          <w:sz w:val="23"/>
        </w:rPr>
        <w:t> </w:t>
      </w:r>
      <w:r>
        <w:rPr>
          <w:rFonts w:ascii="Verdana" w:hAnsi="Verdana"/>
          <w:i/>
          <w:spacing w:val="-2"/>
          <w:w w:val="95"/>
          <w:sz w:val="23"/>
        </w:rPr>
        <w:t>to</w:t>
      </w:r>
      <w:r>
        <w:rPr>
          <w:rFonts w:ascii="Verdana" w:hAnsi="Verdana"/>
          <w:i/>
          <w:spacing w:val="-7"/>
          <w:w w:val="95"/>
          <w:sz w:val="23"/>
        </w:rPr>
        <w:t> </w:t>
      </w:r>
      <w:r>
        <w:rPr>
          <w:rFonts w:ascii="Verdana" w:hAnsi="Verdana"/>
          <w:i/>
          <w:spacing w:val="-2"/>
          <w:w w:val="95"/>
          <w:sz w:val="23"/>
        </w:rPr>
        <w:t>capture</w:t>
      </w:r>
      <w:r>
        <w:rPr>
          <w:rFonts w:ascii="Verdana" w:hAnsi="Verdana"/>
          <w:i/>
          <w:spacing w:val="-9"/>
          <w:w w:val="95"/>
          <w:sz w:val="23"/>
        </w:rPr>
        <w:t> </w:t>
      </w:r>
      <w:r>
        <w:rPr>
          <w:rFonts w:ascii="Verdana" w:hAnsi="Verdana"/>
          <w:i/>
          <w:spacing w:val="-2"/>
          <w:w w:val="95"/>
          <w:sz w:val="23"/>
        </w:rPr>
        <w:t>all</w:t>
      </w:r>
      <w:r>
        <w:rPr>
          <w:rFonts w:ascii="Verdana" w:hAnsi="Verdana"/>
          <w:i/>
          <w:spacing w:val="-7"/>
          <w:w w:val="95"/>
          <w:sz w:val="23"/>
        </w:rPr>
        <w:t> </w:t>
      </w:r>
      <w:r>
        <w:rPr>
          <w:rFonts w:ascii="Verdana" w:hAnsi="Verdana"/>
          <w:i/>
          <w:spacing w:val="-2"/>
          <w:w w:val="95"/>
          <w:sz w:val="23"/>
        </w:rPr>
        <w:t>the</w:t>
      </w:r>
      <w:r>
        <w:rPr>
          <w:rFonts w:ascii="Verdana" w:hAnsi="Verdana"/>
          <w:i/>
          <w:spacing w:val="-7"/>
          <w:w w:val="95"/>
          <w:sz w:val="23"/>
        </w:rPr>
        <w:t> </w:t>
      </w:r>
      <w:r>
        <w:rPr>
          <w:rFonts w:ascii="Verdana" w:hAnsi="Verdana"/>
          <w:i/>
          <w:spacing w:val="-2"/>
          <w:w w:val="95"/>
          <w:sz w:val="23"/>
        </w:rPr>
        <w:t>scales</w:t>
      </w:r>
      <w:r>
        <w:rPr>
          <w:rFonts w:ascii="Verdana" w:hAnsi="Verdana"/>
          <w:i/>
          <w:spacing w:val="-10"/>
          <w:w w:val="95"/>
          <w:sz w:val="23"/>
        </w:rPr>
        <w:t> </w:t>
      </w:r>
      <w:r>
        <w:rPr>
          <w:rFonts w:ascii="Verdana" w:hAnsi="Verdana"/>
          <w:i/>
          <w:spacing w:val="-2"/>
          <w:w w:val="95"/>
          <w:sz w:val="23"/>
        </w:rPr>
        <w:t>of</w:t>
      </w:r>
      <w:r>
        <w:rPr>
          <w:rFonts w:ascii="Verdana" w:hAnsi="Verdana"/>
          <w:i/>
          <w:spacing w:val="-10"/>
          <w:w w:val="95"/>
          <w:sz w:val="23"/>
        </w:rPr>
        <w:t> </w:t>
      </w:r>
      <w:r>
        <w:rPr>
          <w:rFonts w:ascii="Verdana" w:hAnsi="Verdana"/>
          <w:i/>
          <w:spacing w:val="-2"/>
          <w:w w:val="95"/>
          <w:sz w:val="23"/>
        </w:rPr>
        <w:t>compensation</w:t>
      </w:r>
      <w:r>
        <w:rPr>
          <w:rFonts w:ascii="Verdana" w:hAnsi="Verdana"/>
          <w:i/>
          <w:spacing w:val="-9"/>
          <w:w w:val="95"/>
          <w:sz w:val="23"/>
        </w:rPr>
        <w:t> </w:t>
      </w:r>
      <w:r>
        <w:rPr>
          <w:rFonts w:ascii="Verdana" w:hAnsi="Verdana"/>
          <w:i/>
          <w:spacing w:val="-2"/>
          <w:w w:val="95"/>
          <w:sz w:val="23"/>
        </w:rPr>
        <w:t>in</w:t>
      </w:r>
      <w:r>
        <w:rPr>
          <w:rFonts w:ascii="Verdana" w:hAnsi="Verdana"/>
          <w:i/>
          <w:spacing w:val="-9"/>
          <w:w w:val="95"/>
          <w:sz w:val="23"/>
        </w:rPr>
        <w:t> </w:t>
      </w:r>
      <w:r>
        <w:rPr>
          <w:rFonts w:ascii="Verdana" w:hAnsi="Verdana"/>
          <w:i/>
          <w:spacing w:val="-2"/>
          <w:w w:val="95"/>
          <w:sz w:val="23"/>
        </w:rPr>
        <w:t>its</w:t>
      </w:r>
      <w:r>
        <w:rPr>
          <w:rFonts w:ascii="Verdana" w:hAnsi="Verdana"/>
          <w:i/>
          <w:spacing w:val="-10"/>
          <w:w w:val="95"/>
          <w:sz w:val="23"/>
        </w:rPr>
        <w:t> </w:t>
      </w:r>
      <w:r>
        <w:rPr>
          <w:rFonts w:ascii="Verdana" w:hAnsi="Verdana"/>
          <w:i/>
          <w:spacing w:val="-2"/>
          <w:w w:val="95"/>
          <w:sz w:val="23"/>
        </w:rPr>
        <w:t>provisions.</w:t>
      </w:r>
      <w:r>
        <w:rPr>
          <w:rFonts w:ascii="Verdana" w:hAnsi="Verdana"/>
          <w:i/>
          <w:spacing w:val="-8"/>
          <w:w w:val="95"/>
          <w:sz w:val="23"/>
        </w:rPr>
        <w:t> </w:t>
      </w:r>
      <w:r>
        <w:rPr>
          <w:rFonts w:ascii="Verdana" w:hAnsi="Verdana"/>
          <w:i/>
          <w:spacing w:val="-2"/>
          <w:w w:val="95"/>
          <w:sz w:val="23"/>
        </w:rPr>
        <w:t>The</w:t>
      </w:r>
      <w:r>
        <w:rPr>
          <w:rFonts w:ascii="Verdana" w:hAnsi="Verdana"/>
          <w:i/>
          <w:spacing w:val="-7"/>
          <w:w w:val="95"/>
          <w:sz w:val="23"/>
        </w:rPr>
        <w:t> </w:t>
      </w:r>
      <w:r>
        <w:rPr>
          <w:rFonts w:ascii="Verdana" w:hAnsi="Verdana"/>
          <w:i/>
          <w:spacing w:val="-2"/>
          <w:w w:val="95"/>
          <w:sz w:val="23"/>
        </w:rPr>
        <w:t>Board </w:t>
      </w:r>
      <w:r>
        <w:rPr>
          <w:rFonts w:ascii="Verdana" w:hAnsi="Verdana"/>
          <w:i/>
          <w:w w:val="90"/>
          <w:sz w:val="23"/>
        </w:rPr>
        <w:t>should partner with all village and district heads in enforcing the scheme at the </w:t>
      </w:r>
      <w:r>
        <w:rPr>
          <w:rFonts w:ascii="Verdana" w:hAnsi="Verdana"/>
          <w:i/>
          <w:w w:val="95"/>
          <w:sz w:val="23"/>
        </w:rPr>
        <w:t>informal</w:t>
      </w:r>
      <w:r>
        <w:rPr>
          <w:rFonts w:ascii="Verdana" w:hAnsi="Verdana"/>
          <w:i/>
          <w:spacing w:val="-17"/>
          <w:w w:val="95"/>
          <w:sz w:val="23"/>
        </w:rPr>
        <w:t> </w:t>
      </w:r>
      <w:r>
        <w:rPr>
          <w:rFonts w:ascii="Verdana" w:hAnsi="Verdana"/>
          <w:i/>
          <w:w w:val="95"/>
          <w:sz w:val="23"/>
        </w:rPr>
        <w:t>sector.</w:t>
      </w:r>
    </w:p>
    <w:p>
      <w:pPr>
        <w:spacing w:after="0" w:line="211" w:lineRule="auto"/>
        <w:jc w:val="both"/>
        <w:rPr>
          <w:rFonts w:ascii="Verdana" w:hAnsi="Verdana"/>
          <w:sz w:val="23"/>
        </w:rPr>
        <w:sectPr>
          <w:pgSz w:w="12240" w:h="15840"/>
          <w:pgMar w:header="0" w:footer="1009" w:top="1260" w:bottom="1200" w:left="1680" w:right="1320"/>
        </w:sectPr>
      </w:pPr>
    </w:p>
    <w:p>
      <w:pPr>
        <w:spacing w:before="94"/>
        <w:ind w:left="325" w:right="636" w:firstLine="0"/>
        <w:jc w:val="center"/>
        <w:rPr>
          <w:b/>
          <w:sz w:val="22"/>
        </w:rPr>
      </w:pPr>
      <w:r>
        <w:rPr>
          <w:b/>
          <w:sz w:val="22"/>
        </w:rPr>
        <w:t>TABLE</w:t>
      </w:r>
      <w:r>
        <w:rPr>
          <w:b/>
          <w:spacing w:val="14"/>
          <w:sz w:val="22"/>
        </w:rPr>
        <w:t> </w:t>
      </w:r>
      <w:r>
        <w:rPr>
          <w:b/>
          <w:sz w:val="22"/>
        </w:rPr>
        <w:t>OF</w:t>
      </w:r>
      <w:r>
        <w:rPr>
          <w:b/>
          <w:spacing w:val="12"/>
          <w:sz w:val="22"/>
        </w:rPr>
        <w:t> </w:t>
      </w:r>
      <w:r>
        <w:rPr>
          <w:b/>
          <w:spacing w:val="-2"/>
          <w:sz w:val="22"/>
        </w:rPr>
        <w:t>CONTENTS</w:t>
      </w:r>
    </w:p>
    <w:p>
      <w:pPr>
        <w:tabs>
          <w:tab w:pos="1540"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3"/>
        <w:ind w:left="187" w:right="0" w:firstLine="0"/>
        <w:jc w:val="left"/>
        <w:rPr>
          <w:sz w:val="22"/>
        </w:rPr>
      </w:pPr>
      <w:r>
        <w:rPr>
          <w:sz w:val="22"/>
        </w:rPr>
        <w:t>Cover</w:t>
      </w:r>
      <w:r>
        <w:rPr>
          <w:spacing w:val="14"/>
          <w:sz w:val="22"/>
        </w:rPr>
        <w:t> </w:t>
      </w:r>
      <w:r>
        <w:rPr>
          <w:spacing w:val="-4"/>
          <w:sz w:val="22"/>
        </w:rPr>
        <w:t>Page</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i</w:t>
      </w:r>
    </w:p>
    <w:p>
      <w:pPr>
        <w:tabs>
          <w:tab w:pos="1540"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7"/>
        <w:ind w:left="187" w:right="0" w:firstLine="0"/>
        <w:jc w:val="left"/>
        <w:rPr>
          <w:sz w:val="22"/>
        </w:rPr>
      </w:pPr>
      <w:r>
        <w:rPr>
          <w:sz w:val="22"/>
        </w:rPr>
        <w:t>Title</w:t>
      </w:r>
      <w:r>
        <w:rPr>
          <w:spacing w:val="7"/>
          <w:sz w:val="22"/>
        </w:rPr>
        <w:t> </w:t>
      </w:r>
      <w:r>
        <w:rPr>
          <w:spacing w:val="-4"/>
          <w:sz w:val="22"/>
        </w:rPr>
        <w:t>Page</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ii</w:t>
      </w:r>
    </w:p>
    <w:p>
      <w:pPr>
        <w:tabs>
          <w:tab w:pos="1540"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3"/>
        <w:ind w:left="187" w:right="0" w:firstLine="0"/>
        <w:jc w:val="left"/>
        <w:rPr>
          <w:sz w:val="22"/>
        </w:rPr>
      </w:pPr>
      <w:r>
        <w:rPr>
          <w:spacing w:val="-2"/>
          <w:sz w:val="22"/>
        </w:rPr>
        <w:t>Declaration</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iii</w:t>
      </w:r>
    </w:p>
    <w:p>
      <w:pPr>
        <w:tabs>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2"/>
        <w:ind w:left="187" w:right="0" w:firstLine="0"/>
        <w:jc w:val="left"/>
        <w:rPr>
          <w:sz w:val="22"/>
        </w:rPr>
      </w:pPr>
      <w:r>
        <w:rPr>
          <w:sz w:val="22"/>
        </w:rPr>
        <w:t>Certification</w:t>
      </w:r>
      <w:r>
        <w:rPr>
          <w:spacing w:val="25"/>
          <w:sz w:val="22"/>
        </w:rPr>
        <w:t>  </w:t>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iv</w:t>
      </w:r>
    </w:p>
    <w:p>
      <w:pPr>
        <w:tabs>
          <w:tab w:pos="1540"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3"/>
        <w:ind w:left="187" w:right="0" w:firstLine="0"/>
        <w:jc w:val="left"/>
        <w:rPr>
          <w:sz w:val="22"/>
        </w:rPr>
      </w:pPr>
      <w:r>
        <w:rPr>
          <w:spacing w:val="-2"/>
          <w:sz w:val="22"/>
        </w:rPr>
        <w:t>Dedication</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v</w:t>
      </w:r>
    </w:p>
    <w:p>
      <w:pPr>
        <w:tabs>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2"/>
        <w:ind w:left="187" w:right="0" w:firstLine="0"/>
        <w:jc w:val="left"/>
        <w:rPr>
          <w:sz w:val="22"/>
        </w:rPr>
      </w:pPr>
      <w:r>
        <w:rPr>
          <w:spacing w:val="-2"/>
          <w:sz w:val="22"/>
        </w:rPr>
        <w:t>Acknowledgement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vi</w:t>
      </w:r>
    </w:p>
    <w:p>
      <w:pPr>
        <w:tabs>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8"/>
        <w:ind w:left="187" w:right="0" w:firstLine="0"/>
        <w:jc w:val="left"/>
        <w:rPr>
          <w:sz w:val="22"/>
        </w:rPr>
      </w:pPr>
      <w:r>
        <w:rPr>
          <w:sz w:val="22"/>
        </w:rPr>
        <w:t>Table</w:t>
      </w:r>
      <w:r>
        <w:rPr>
          <w:spacing w:val="9"/>
          <w:sz w:val="22"/>
        </w:rPr>
        <w:t> </w:t>
      </w:r>
      <w:r>
        <w:rPr>
          <w:sz w:val="22"/>
        </w:rPr>
        <w:t>of</w:t>
      </w:r>
      <w:r>
        <w:rPr>
          <w:spacing w:val="9"/>
          <w:sz w:val="22"/>
        </w:rPr>
        <w:t> </w:t>
      </w:r>
      <w:r>
        <w:rPr>
          <w:spacing w:val="-2"/>
          <w:sz w:val="22"/>
        </w:rPr>
        <w:t>Statutes</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4"/>
          <w:sz w:val="22"/>
        </w:rPr>
        <w:t>viii</w:t>
      </w:r>
    </w:p>
    <w:p>
      <w:pPr>
        <w:tabs>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37"/>
        <w:ind w:left="187" w:right="0" w:firstLine="0"/>
        <w:jc w:val="left"/>
        <w:rPr>
          <w:sz w:val="22"/>
        </w:rPr>
      </w:pPr>
      <w:r>
        <w:rPr>
          <w:sz w:val="22"/>
        </w:rPr>
        <w:t>Table</w:t>
      </w:r>
      <w:r>
        <w:rPr>
          <w:spacing w:val="9"/>
          <w:sz w:val="22"/>
        </w:rPr>
        <w:t> </w:t>
      </w:r>
      <w:r>
        <w:rPr>
          <w:sz w:val="22"/>
        </w:rPr>
        <w:t>of</w:t>
      </w:r>
      <w:r>
        <w:rPr>
          <w:spacing w:val="9"/>
          <w:sz w:val="22"/>
        </w:rPr>
        <w:t> </w:t>
      </w:r>
      <w:r>
        <w:rPr>
          <w:spacing w:val="-2"/>
          <w:sz w:val="22"/>
        </w:rPr>
        <w:t>Abbreviations</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ix</w:t>
      </w:r>
    </w:p>
    <w:p>
      <w:pPr>
        <w:tabs>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7"/>
        <w:ind w:left="187" w:right="0" w:firstLine="0"/>
        <w:jc w:val="left"/>
        <w:rPr>
          <w:sz w:val="22"/>
        </w:rPr>
      </w:pPr>
      <w:r>
        <w:rPr>
          <w:sz w:val="22"/>
        </w:rPr>
        <w:t>Table</w:t>
      </w:r>
      <w:r>
        <w:rPr>
          <w:spacing w:val="9"/>
          <w:sz w:val="22"/>
        </w:rPr>
        <w:t> </w:t>
      </w:r>
      <w:r>
        <w:rPr>
          <w:sz w:val="22"/>
        </w:rPr>
        <w:t>of</w:t>
      </w:r>
      <w:r>
        <w:rPr>
          <w:spacing w:val="9"/>
          <w:sz w:val="22"/>
        </w:rPr>
        <w:t> </w:t>
      </w:r>
      <w:r>
        <w:rPr>
          <w:spacing w:val="-4"/>
          <w:sz w:val="22"/>
        </w:rPr>
        <w:t>Cases</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x</w:t>
      </w:r>
    </w:p>
    <w:p>
      <w:pPr>
        <w:tabs>
          <w:tab w:pos="1540"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3"/>
        <w:ind w:left="187" w:right="0" w:firstLine="0"/>
        <w:jc w:val="left"/>
        <w:rPr>
          <w:sz w:val="22"/>
        </w:rPr>
      </w:pPr>
      <w:r>
        <w:rPr>
          <w:spacing w:val="-2"/>
          <w:sz w:val="22"/>
        </w:rPr>
        <w:t>Abstract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xi</w:t>
      </w:r>
    </w:p>
    <w:p>
      <w:pPr>
        <w:tabs>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before="142"/>
        <w:ind w:left="187" w:right="0" w:firstLine="0"/>
        <w:jc w:val="left"/>
        <w:rPr>
          <w:sz w:val="22"/>
        </w:rPr>
      </w:pPr>
      <w:r>
        <w:rPr>
          <w:sz w:val="22"/>
        </w:rPr>
        <w:t>Table</w:t>
      </w:r>
      <w:r>
        <w:rPr>
          <w:spacing w:val="9"/>
          <w:sz w:val="22"/>
        </w:rPr>
        <w:t> </w:t>
      </w:r>
      <w:r>
        <w:rPr>
          <w:sz w:val="22"/>
        </w:rPr>
        <w:t>of</w:t>
      </w:r>
      <w:r>
        <w:rPr>
          <w:spacing w:val="9"/>
          <w:sz w:val="22"/>
        </w:rPr>
        <w:t> </w:t>
      </w:r>
      <w:r>
        <w:rPr>
          <w:spacing w:val="-2"/>
          <w:sz w:val="22"/>
        </w:rPr>
        <w:t>Contents</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xii</w:t>
      </w:r>
    </w:p>
    <w:p>
      <w:pPr>
        <w:spacing w:line="247" w:lineRule="auto" w:before="143"/>
        <w:ind w:left="3235" w:right="3300" w:firstLine="484"/>
        <w:jc w:val="left"/>
        <w:rPr>
          <w:b/>
          <w:sz w:val="22"/>
        </w:rPr>
      </w:pPr>
      <w:hyperlink w:history="true" w:anchor="_TOC_250029">
        <w:r>
          <w:rPr>
            <w:b/>
            <w:sz w:val="22"/>
          </w:rPr>
          <w:t>Chapter One General Introduction</w:t>
        </w:r>
      </w:hyperlink>
    </w:p>
    <w:p>
      <w:pPr>
        <w:pStyle w:val="ListParagraph"/>
        <w:numPr>
          <w:ilvl w:val="1"/>
          <w:numId w:val="2"/>
        </w:numPr>
        <w:tabs>
          <w:tab w:pos="863"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134" w:after="0"/>
        <w:ind w:left="863" w:right="0" w:hanging="676"/>
        <w:jc w:val="left"/>
        <w:rPr>
          <w:sz w:val="22"/>
        </w:rPr>
      </w:pPr>
      <w:r>
        <w:rPr>
          <w:sz w:val="22"/>
        </w:rPr>
        <w:t>Background</w:t>
      </w:r>
      <w:r>
        <w:rPr>
          <w:spacing w:val="7"/>
          <w:sz w:val="22"/>
        </w:rPr>
        <w:t> </w:t>
      </w:r>
      <w:r>
        <w:rPr>
          <w:sz w:val="22"/>
        </w:rPr>
        <w:t>to</w:t>
      </w:r>
      <w:r>
        <w:rPr>
          <w:spacing w:val="15"/>
          <w:sz w:val="22"/>
        </w:rPr>
        <w:t> </w:t>
      </w:r>
      <w:r>
        <w:rPr>
          <w:sz w:val="22"/>
        </w:rPr>
        <w:t>the</w:t>
      </w:r>
      <w:r>
        <w:rPr>
          <w:spacing w:val="13"/>
          <w:sz w:val="22"/>
        </w:rPr>
        <w:t> </w:t>
      </w:r>
      <w:r>
        <w:rPr>
          <w:spacing w:val="-4"/>
          <w:sz w:val="22"/>
        </w:rPr>
        <w:t>Study</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1</w:t>
      </w:r>
    </w:p>
    <w:p>
      <w:pPr>
        <w:pStyle w:val="ListParagraph"/>
        <w:numPr>
          <w:ilvl w:val="1"/>
          <w:numId w:val="2"/>
        </w:numPr>
        <w:tabs>
          <w:tab w:pos="863" w:val="left" w:leader="none"/>
          <w:tab w:pos="4924" w:val="left" w:leader="none"/>
          <w:tab w:pos="5601" w:val="left" w:leader="none"/>
          <w:tab w:pos="6278" w:val="left" w:leader="none"/>
          <w:tab w:pos="6955" w:val="left" w:leader="none"/>
          <w:tab w:pos="7631" w:val="left" w:leader="none"/>
        </w:tabs>
        <w:spacing w:line="240" w:lineRule="auto" w:before="143" w:after="0"/>
        <w:ind w:left="863" w:right="0" w:hanging="676"/>
        <w:jc w:val="left"/>
        <w:rPr>
          <w:sz w:val="22"/>
        </w:rPr>
      </w:pPr>
      <w:hyperlink w:history="true" w:anchor="_TOC_250028">
        <w:r>
          <w:rPr>
            <w:sz w:val="22"/>
          </w:rPr>
          <w:t>Statement</w:t>
        </w:r>
        <w:r>
          <w:rPr>
            <w:spacing w:val="6"/>
            <w:sz w:val="22"/>
          </w:rPr>
          <w:t> </w:t>
        </w:r>
        <w:r>
          <w:rPr>
            <w:sz w:val="22"/>
          </w:rPr>
          <w:t>of</w:t>
        </w:r>
        <w:r>
          <w:rPr>
            <w:spacing w:val="12"/>
            <w:sz w:val="22"/>
          </w:rPr>
          <w:t> </w:t>
        </w:r>
        <w:r>
          <w:rPr>
            <w:sz w:val="22"/>
          </w:rPr>
          <w:t>the</w:t>
        </w:r>
        <w:r>
          <w:rPr>
            <w:spacing w:val="18"/>
            <w:sz w:val="22"/>
          </w:rPr>
          <w:t> </w:t>
        </w:r>
        <w:r>
          <w:rPr>
            <w:sz w:val="22"/>
          </w:rPr>
          <w:t>Research</w:t>
        </w:r>
        <w:r>
          <w:rPr>
            <w:spacing w:val="63"/>
            <w:sz w:val="22"/>
          </w:rPr>
          <w:t> </w:t>
        </w:r>
        <w:r>
          <w:rPr>
            <w:spacing w:val="-2"/>
            <w:sz w:val="22"/>
          </w:rPr>
          <w:t>Problem-</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5</w:t>
        </w:r>
      </w:hyperlink>
    </w:p>
    <w:p>
      <w:pPr>
        <w:pStyle w:val="ListParagraph"/>
        <w:numPr>
          <w:ilvl w:val="1"/>
          <w:numId w:val="2"/>
        </w:numPr>
        <w:tabs>
          <w:tab w:pos="863"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142" w:after="0"/>
        <w:ind w:left="863" w:right="0" w:hanging="676"/>
        <w:jc w:val="left"/>
        <w:rPr>
          <w:sz w:val="22"/>
        </w:rPr>
      </w:pPr>
      <w:hyperlink w:history="true" w:anchor="_TOC_250027">
        <w:r>
          <w:rPr>
            <w:sz w:val="22"/>
          </w:rPr>
          <w:t>Research</w:t>
        </w:r>
        <w:r>
          <w:rPr>
            <w:spacing w:val="22"/>
            <w:sz w:val="22"/>
          </w:rPr>
          <w:t> </w:t>
        </w:r>
        <w:r>
          <w:rPr>
            <w:spacing w:val="-2"/>
            <w:sz w:val="22"/>
          </w:rPr>
          <w:t>Questions-</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6</w:t>
        </w:r>
      </w:hyperlink>
    </w:p>
    <w:p>
      <w:pPr>
        <w:pStyle w:val="ListParagraph"/>
        <w:numPr>
          <w:ilvl w:val="1"/>
          <w:numId w:val="2"/>
        </w:numPr>
        <w:tabs>
          <w:tab w:pos="863" w:val="left" w:leader="none"/>
          <w:tab w:pos="4924" w:val="left" w:leader="none"/>
          <w:tab w:pos="5601" w:val="left" w:leader="none"/>
          <w:tab w:pos="6278" w:val="left" w:leader="none"/>
          <w:tab w:pos="6955" w:val="left" w:leader="none"/>
          <w:tab w:pos="7631" w:val="left" w:leader="none"/>
        </w:tabs>
        <w:spacing w:line="240" w:lineRule="auto" w:before="143" w:after="0"/>
        <w:ind w:left="863" w:right="0" w:hanging="676"/>
        <w:jc w:val="left"/>
        <w:rPr>
          <w:sz w:val="22"/>
        </w:rPr>
      </w:pPr>
      <w:hyperlink w:history="true" w:anchor="_TOC_250026">
        <w:r>
          <w:rPr>
            <w:sz w:val="22"/>
          </w:rPr>
          <w:t>Aim</w:t>
        </w:r>
        <w:r>
          <w:rPr>
            <w:spacing w:val="5"/>
            <w:sz w:val="22"/>
          </w:rPr>
          <w:t> </w:t>
        </w:r>
        <w:r>
          <w:rPr>
            <w:sz w:val="22"/>
          </w:rPr>
          <w:t>and</w:t>
        </w:r>
        <w:r>
          <w:rPr>
            <w:spacing w:val="8"/>
            <w:sz w:val="22"/>
          </w:rPr>
          <w:t> </w:t>
        </w:r>
        <w:r>
          <w:rPr>
            <w:sz w:val="22"/>
          </w:rPr>
          <w:t>Objectives</w:t>
        </w:r>
        <w:r>
          <w:rPr>
            <w:spacing w:val="8"/>
            <w:sz w:val="22"/>
          </w:rPr>
          <w:t> </w:t>
        </w:r>
        <w:r>
          <w:rPr>
            <w:sz w:val="22"/>
          </w:rPr>
          <w:t>of</w:t>
        </w:r>
        <w:r>
          <w:rPr>
            <w:spacing w:val="13"/>
            <w:sz w:val="22"/>
          </w:rPr>
          <w:t> </w:t>
        </w:r>
        <w:r>
          <w:rPr>
            <w:sz w:val="22"/>
          </w:rPr>
          <w:t>the</w:t>
        </w:r>
        <w:r>
          <w:rPr>
            <w:spacing w:val="15"/>
            <w:sz w:val="22"/>
          </w:rPr>
          <w:t> </w:t>
        </w:r>
        <w:r>
          <w:rPr>
            <w:spacing w:val="-2"/>
            <w:sz w:val="22"/>
          </w:rPr>
          <w:t>Research</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6</w:t>
        </w:r>
      </w:hyperlink>
    </w:p>
    <w:p>
      <w:pPr>
        <w:pStyle w:val="ListParagraph"/>
        <w:numPr>
          <w:ilvl w:val="1"/>
          <w:numId w:val="2"/>
        </w:numPr>
        <w:tabs>
          <w:tab w:pos="863" w:val="left" w:leader="none"/>
          <w:tab w:pos="4247" w:val="left" w:leader="none"/>
          <w:tab w:pos="4924" w:val="left" w:leader="none"/>
          <w:tab w:pos="5601" w:val="left" w:leader="none"/>
          <w:tab w:pos="6278" w:val="left" w:leader="none"/>
          <w:tab w:pos="6955" w:val="left" w:leader="none"/>
          <w:tab w:pos="7631" w:val="left" w:leader="none"/>
        </w:tabs>
        <w:spacing w:line="240" w:lineRule="auto" w:before="142" w:after="0"/>
        <w:ind w:left="863" w:right="0" w:hanging="676"/>
        <w:jc w:val="left"/>
        <w:rPr>
          <w:sz w:val="22"/>
        </w:rPr>
      </w:pPr>
      <w:hyperlink w:history="true" w:anchor="_TOC_250025">
        <w:r>
          <w:rPr>
            <w:sz w:val="22"/>
          </w:rPr>
          <w:t>Justification</w:t>
        </w:r>
        <w:r>
          <w:rPr>
            <w:spacing w:val="12"/>
            <w:sz w:val="22"/>
          </w:rPr>
          <w:t> </w:t>
        </w:r>
        <w:r>
          <w:rPr>
            <w:sz w:val="22"/>
          </w:rPr>
          <w:t>of</w:t>
        </w:r>
        <w:r>
          <w:rPr>
            <w:spacing w:val="8"/>
            <w:sz w:val="22"/>
          </w:rPr>
          <w:t> </w:t>
        </w:r>
        <w:r>
          <w:rPr>
            <w:sz w:val="22"/>
          </w:rPr>
          <w:t>the</w:t>
        </w:r>
        <w:r>
          <w:rPr>
            <w:spacing w:val="19"/>
            <w:sz w:val="22"/>
          </w:rPr>
          <w:t> </w:t>
        </w:r>
        <w:r>
          <w:rPr>
            <w:spacing w:val="-2"/>
            <w:sz w:val="22"/>
          </w:rPr>
          <w:t>Research</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7</w:t>
        </w:r>
      </w:hyperlink>
    </w:p>
    <w:p>
      <w:pPr>
        <w:pStyle w:val="ListParagraph"/>
        <w:numPr>
          <w:ilvl w:val="1"/>
          <w:numId w:val="2"/>
        </w:numPr>
        <w:tabs>
          <w:tab w:pos="863"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143" w:after="0"/>
        <w:ind w:left="863" w:right="0" w:hanging="676"/>
        <w:jc w:val="left"/>
        <w:rPr>
          <w:sz w:val="22"/>
        </w:rPr>
      </w:pPr>
      <w:hyperlink w:history="true" w:anchor="_TOC_250024">
        <w:r>
          <w:rPr>
            <w:sz w:val="22"/>
          </w:rPr>
          <w:t>Scope</w:t>
        </w:r>
        <w:r>
          <w:rPr>
            <w:spacing w:val="5"/>
            <w:sz w:val="22"/>
          </w:rPr>
          <w:t> </w:t>
        </w:r>
        <w:r>
          <w:rPr>
            <w:sz w:val="22"/>
          </w:rPr>
          <w:t>of</w:t>
        </w:r>
        <w:r>
          <w:rPr>
            <w:spacing w:val="10"/>
            <w:sz w:val="22"/>
          </w:rPr>
          <w:t> </w:t>
        </w:r>
        <w:r>
          <w:rPr>
            <w:sz w:val="22"/>
          </w:rPr>
          <w:t>the</w:t>
        </w:r>
        <w:r>
          <w:rPr>
            <w:spacing w:val="11"/>
            <w:sz w:val="22"/>
          </w:rPr>
          <w:t> </w:t>
        </w:r>
        <w:r>
          <w:rPr>
            <w:spacing w:val="-2"/>
            <w:sz w:val="22"/>
          </w:rPr>
          <w:t>Research</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8</w:t>
        </w:r>
      </w:hyperlink>
    </w:p>
    <w:p>
      <w:pPr>
        <w:pStyle w:val="ListParagraph"/>
        <w:numPr>
          <w:ilvl w:val="1"/>
          <w:numId w:val="2"/>
        </w:numPr>
        <w:tabs>
          <w:tab w:pos="863"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142" w:after="0"/>
        <w:ind w:left="863" w:right="0" w:hanging="676"/>
        <w:jc w:val="left"/>
        <w:rPr>
          <w:sz w:val="22"/>
        </w:rPr>
      </w:pPr>
      <w:hyperlink w:history="true" w:anchor="_TOC_250023">
        <w:r>
          <w:rPr>
            <w:sz w:val="22"/>
          </w:rPr>
          <w:t>Research</w:t>
        </w:r>
        <w:r>
          <w:rPr>
            <w:spacing w:val="22"/>
            <w:sz w:val="22"/>
          </w:rPr>
          <w:t> </w:t>
        </w:r>
        <w:r>
          <w:rPr>
            <w:spacing w:val="-2"/>
            <w:sz w:val="22"/>
          </w:rPr>
          <w:t>Methodology</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8</w:t>
        </w:r>
      </w:hyperlink>
    </w:p>
    <w:p>
      <w:pPr>
        <w:pStyle w:val="ListParagraph"/>
        <w:numPr>
          <w:ilvl w:val="1"/>
          <w:numId w:val="2"/>
        </w:numPr>
        <w:tabs>
          <w:tab w:pos="863"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147" w:after="0"/>
        <w:ind w:left="863" w:right="0" w:hanging="676"/>
        <w:jc w:val="left"/>
        <w:rPr>
          <w:sz w:val="22"/>
        </w:rPr>
      </w:pPr>
      <w:hyperlink w:history="true" w:anchor="_TOC_250022">
        <w:r>
          <w:rPr>
            <w:sz w:val="22"/>
          </w:rPr>
          <w:t>Literature</w:t>
        </w:r>
        <w:r>
          <w:rPr>
            <w:spacing w:val="19"/>
            <w:sz w:val="22"/>
          </w:rPr>
          <w:t> </w:t>
        </w:r>
        <w:r>
          <w:rPr>
            <w:spacing w:val="-2"/>
            <w:sz w:val="22"/>
          </w:rPr>
          <w:t>Review</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10"/>
            <w:sz w:val="22"/>
          </w:rPr>
          <w:t>9</w:t>
        </w:r>
      </w:hyperlink>
    </w:p>
    <w:p>
      <w:pPr>
        <w:pStyle w:val="ListParagraph"/>
        <w:numPr>
          <w:ilvl w:val="1"/>
          <w:numId w:val="2"/>
        </w:numPr>
        <w:tabs>
          <w:tab w:pos="863" w:val="left" w:leader="none"/>
          <w:tab w:pos="5601" w:val="left" w:leader="none"/>
          <w:tab w:pos="6278" w:val="left" w:leader="none"/>
          <w:tab w:pos="6955" w:val="left" w:leader="none"/>
          <w:tab w:pos="7631" w:val="left" w:leader="none"/>
        </w:tabs>
        <w:spacing w:line="240" w:lineRule="auto" w:before="138" w:after="0"/>
        <w:ind w:left="863" w:right="0" w:hanging="676"/>
        <w:jc w:val="left"/>
        <w:rPr>
          <w:sz w:val="22"/>
        </w:rPr>
      </w:pPr>
      <w:hyperlink w:history="true" w:anchor="_TOC_250021">
        <w:r>
          <w:rPr>
            <w:sz w:val="22"/>
          </w:rPr>
          <w:t>Organisational</w:t>
        </w:r>
        <w:r>
          <w:rPr>
            <w:spacing w:val="12"/>
            <w:sz w:val="22"/>
          </w:rPr>
          <w:t> </w:t>
        </w:r>
        <w:r>
          <w:rPr>
            <w:sz w:val="22"/>
          </w:rPr>
          <w:t>Structure</w:t>
        </w:r>
        <w:r>
          <w:rPr>
            <w:spacing w:val="14"/>
            <w:sz w:val="22"/>
          </w:rPr>
          <w:t> </w:t>
        </w:r>
        <w:r>
          <w:rPr>
            <w:sz w:val="22"/>
          </w:rPr>
          <w:t>of</w:t>
        </w:r>
        <w:r>
          <w:rPr>
            <w:spacing w:val="11"/>
            <w:sz w:val="22"/>
          </w:rPr>
          <w:t> </w:t>
        </w:r>
        <w:r>
          <w:rPr>
            <w:sz w:val="22"/>
          </w:rPr>
          <w:t>the</w:t>
        </w:r>
        <w:r>
          <w:rPr>
            <w:spacing w:val="19"/>
            <w:sz w:val="22"/>
          </w:rPr>
          <w:t> </w:t>
        </w:r>
        <w:r>
          <w:rPr>
            <w:spacing w:val="-2"/>
            <w:sz w:val="22"/>
          </w:rPr>
          <w:t>Research</w:t>
        </w:r>
        <w:r>
          <w:rPr>
            <w:sz w:val="22"/>
          </w:rPr>
          <w:tab/>
        </w:r>
        <w:r>
          <w:rPr>
            <w:spacing w:val="-10"/>
            <w:sz w:val="22"/>
          </w:rPr>
          <w:t>-</w:t>
        </w:r>
        <w:r>
          <w:rPr>
            <w:sz w:val="22"/>
          </w:rPr>
          <w:tab/>
        </w:r>
        <w:r>
          <w:rPr>
            <w:spacing w:val="-10"/>
            <w:sz w:val="22"/>
          </w:rPr>
          <w:t>-</w:t>
        </w:r>
        <w:r>
          <w:rPr>
            <w:sz w:val="22"/>
          </w:rPr>
          <w:tab/>
        </w:r>
        <w:r>
          <w:rPr>
            <w:spacing w:val="-10"/>
            <w:sz w:val="22"/>
          </w:rPr>
          <w:t>-</w:t>
        </w:r>
        <w:r>
          <w:rPr>
            <w:sz w:val="22"/>
          </w:rPr>
          <w:tab/>
        </w:r>
        <w:r>
          <w:rPr>
            <w:spacing w:val="-5"/>
            <w:sz w:val="22"/>
          </w:rPr>
          <w:t>18</w:t>
        </w:r>
      </w:hyperlink>
    </w:p>
    <w:p>
      <w:pPr>
        <w:spacing w:before="550"/>
        <w:ind w:left="307" w:right="679" w:firstLine="0"/>
        <w:jc w:val="center"/>
        <w:rPr>
          <w:b/>
          <w:sz w:val="22"/>
        </w:rPr>
      </w:pPr>
      <w:r>
        <w:rPr>
          <w:b/>
          <w:sz w:val="22"/>
        </w:rPr>
        <w:t>Chapter</w:t>
      </w:r>
      <w:r>
        <w:rPr>
          <w:b/>
          <w:spacing w:val="18"/>
          <w:sz w:val="22"/>
        </w:rPr>
        <w:t> </w:t>
      </w:r>
      <w:r>
        <w:rPr>
          <w:b/>
          <w:spacing w:val="-5"/>
          <w:sz w:val="22"/>
        </w:rPr>
        <w:t>Two</w:t>
      </w:r>
    </w:p>
    <w:p>
      <w:pPr>
        <w:spacing w:line="242" w:lineRule="auto" w:before="13"/>
        <w:ind w:left="307" w:right="684" w:firstLine="0"/>
        <w:jc w:val="center"/>
        <w:rPr>
          <w:b/>
          <w:sz w:val="22"/>
        </w:rPr>
      </w:pPr>
      <w:r>
        <w:rPr>
          <w:b/>
          <w:sz w:val="22"/>
        </w:rPr>
        <w:t>Conceptual Clarifications, the History, Nature and Scope of Employees’ Compensation in Nigeria</w:t>
      </w:r>
    </w:p>
    <w:tbl>
      <w:tblPr>
        <w:tblW w:w="0" w:type="auto"/>
        <w:jc w:val="left"/>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299"/>
        <w:gridCol w:w="583"/>
        <w:gridCol w:w="627"/>
      </w:tblGrid>
      <w:tr>
        <w:trPr>
          <w:trHeight w:val="340" w:hRule="atLeast"/>
        </w:trPr>
        <w:tc>
          <w:tcPr>
            <w:tcW w:w="7299" w:type="dxa"/>
          </w:tcPr>
          <w:p>
            <w:pPr>
              <w:pStyle w:val="TableParagraph"/>
              <w:tabs>
                <w:tab w:pos="726" w:val="left" w:leader="none"/>
                <w:tab w:pos="2757" w:val="left" w:leader="none"/>
                <w:tab w:pos="3433" w:val="left" w:leader="none"/>
                <w:tab w:pos="4110" w:val="left" w:leader="none"/>
                <w:tab w:pos="4787" w:val="left" w:leader="none"/>
                <w:tab w:pos="5464" w:val="left" w:leader="none"/>
                <w:tab w:pos="6141" w:val="left" w:leader="none"/>
                <w:tab w:pos="6817" w:val="left" w:leader="none"/>
              </w:tabs>
              <w:ind w:left="50"/>
              <w:rPr>
                <w:b/>
                <w:sz w:val="22"/>
              </w:rPr>
            </w:pPr>
            <w:r>
              <w:rPr>
                <w:b/>
                <w:spacing w:val="-5"/>
                <w:sz w:val="22"/>
              </w:rPr>
              <w:t>2.1</w:t>
            </w:r>
            <w:r>
              <w:rPr>
                <w:b/>
                <w:sz w:val="22"/>
              </w:rPr>
              <w:tab/>
            </w:r>
            <w:r>
              <w:rPr>
                <w:b/>
                <w:spacing w:val="-2"/>
                <w:sz w:val="22"/>
              </w:rPr>
              <w:t>Introduction</w:t>
            </w:r>
            <w:r>
              <w:rPr>
                <w:b/>
                <w:sz w:val="22"/>
              </w:rPr>
              <w:tab/>
            </w:r>
            <w:r>
              <w:rPr>
                <w:b/>
                <w:spacing w:val="-10"/>
                <w:sz w:val="22"/>
              </w:rPr>
              <w:t>-</w:t>
            </w:r>
            <w:r>
              <w:rPr>
                <w:b/>
                <w:sz w:val="22"/>
              </w:rPr>
              <w:tab/>
            </w:r>
            <w:r>
              <w:rPr>
                <w:b/>
                <w:spacing w:val="-10"/>
                <w:sz w:val="22"/>
              </w:rPr>
              <w:t>-</w:t>
            </w:r>
            <w:r>
              <w:rPr>
                <w:b/>
                <w:sz w:val="22"/>
              </w:rPr>
              <w:tab/>
            </w:r>
            <w:r>
              <w:rPr>
                <w:b/>
                <w:spacing w:val="-10"/>
                <w:sz w:val="22"/>
              </w:rPr>
              <w:t>-</w:t>
            </w:r>
            <w:r>
              <w:rPr>
                <w:b/>
                <w:sz w:val="22"/>
              </w:rPr>
              <w:tab/>
            </w:r>
            <w:r>
              <w:rPr>
                <w:b/>
                <w:spacing w:val="-10"/>
                <w:sz w:val="22"/>
              </w:rPr>
              <w:t>-</w:t>
            </w:r>
            <w:r>
              <w:rPr>
                <w:b/>
                <w:sz w:val="22"/>
              </w:rPr>
              <w:tab/>
            </w:r>
            <w:r>
              <w:rPr>
                <w:b/>
                <w:spacing w:val="-10"/>
                <w:sz w:val="22"/>
              </w:rPr>
              <w:t>-</w:t>
            </w:r>
            <w:r>
              <w:rPr>
                <w:b/>
                <w:sz w:val="22"/>
              </w:rPr>
              <w:tab/>
            </w:r>
            <w:r>
              <w:rPr>
                <w:b/>
                <w:spacing w:val="-10"/>
                <w:sz w:val="22"/>
              </w:rPr>
              <w:t>-</w:t>
            </w:r>
            <w:r>
              <w:rPr>
                <w:b/>
                <w:sz w:val="22"/>
              </w:rPr>
              <w:tab/>
            </w:r>
            <w:r>
              <w:rPr>
                <w:b/>
                <w:spacing w:val="-10"/>
                <w:sz w:val="22"/>
              </w:rPr>
              <w:t>-</w:t>
            </w:r>
          </w:p>
        </w:tc>
        <w:tc>
          <w:tcPr>
            <w:tcW w:w="583" w:type="dxa"/>
          </w:tcPr>
          <w:p>
            <w:pPr>
              <w:pStyle w:val="TableParagraph"/>
              <w:ind w:right="92"/>
              <w:jc w:val="center"/>
              <w:rPr>
                <w:b/>
                <w:sz w:val="22"/>
              </w:rPr>
            </w:pPr>
            <w:r>
              <w:rPr>
                <w:b/>
                <w:spacing w:val="-10"/>
                <w:sz w:val="22"/>
              </w:rPr>
              <w:t>-</w:t>
            </w:r>
          </w:p>
        </w:tc>
        <w:tc>
          <w:tcPr>
            <w:tcW w:w="627" w:type="dxa"/>
          </w:tcPr>
          <w:p>
            <w:pPr>
              <w:pStyle w:val="TableParagraph"/>
              <w:ind w:right="48"/>
              <w:jc w:val="right"/>
              <w:rPr>
                <w:b/>
                <w:sz w:val="22"/>
              </w:rPr>
            </w:pPr>
            <w:r>
              <w:rPr>
                <w:b/>
                <w:spacing w:val="-5"/>
                <w:sz w:val="22"/>
              </w:rPr>
              <w:t>18</w:t>
            </w:r>
          </w:p>
        </w:tc>
      </w:tr>
      <w:tr>
        <w:trPr>
          <w:trHeight w:val="408" w:hRule="atLeast"/>
        </w:trPr>
        <w:tc>
          <w:tcPr>
            <w:tcW w:w="7299" w:type="dxa"/>
          </w:tcPr>
          <w:p>
            <w:pPr>
              <w:pStyle w:val="TableParagraph"/>
              <w:tabs>
                <w:tab w:pos="726" w:val="left" w:leader="none"/>
              </w:tabs>
              <w:spacing w:before="73"/>
              <w:ind w:left="50"/>
              <w:rPr>
                <w:b/>
                <w:sz w:val="22"/>
              </w:rPr>
            </w:pPr>
            <w:r>
              <w:rPr>
                <w:b/>
                <w:spacing w:val="-5"/>
                <w:sz w:val="22"/>
              </w:rPr>
              <w:t>2.2</w:t>
            </w:r>
            <w:r>
              <w:rPr>
                <w:b/>
                <w:sz w:val="22"/>
              </w:rPr>
              <w:tab/>
              <w:t>Overview</w:t>
            </w:r>
            <w:r>
              <w:rPr>
                <w:b/>
                <w:spacing w:val="17"/>
                <w:sz w:val="22"/>
              </w:rPr>
              <w:t> </w:t>
            </w:r>
            <w:r>
              <w:rPr>
                <w:b/>
                <w:sz w:val="22"/>
              </w:rPr>
              <w:t>of</w:t>
            </w:r>
            <w:r>
              <w:rPr>
                <w:b/>
                <w:spacing w:val="16"/>
                <w:sz w:val="22"/>
              </w:rPr>
              <w:t> </w:t>
            </w:r>
            <w:r>
              <w:rPr>
                <w:b/>
                <w:sz w:val="22"/>
              </w:rPr>
              <w:t>the</w:t>
            </w:r>
            <w:r>
              <w:rPr>
                <w:b/>
                <w:spacing w:val="11"/>
                <w:sz w:val="22"/>
              </w:rPr>
              <w:t> </w:t>
            </w:r>
            <w:r>
              <w:rPr>
                <w:b/>
                <w:sz w:val="22"/>
              </w:rPr>
              <w:t>Evolution</w:t>
            </w:r>
            <w:r>
              <w:rPr>
                <w:b/>
                <w:spacing w:val="10"/>
                <w:sz w:val="22"/>
              </w:rPr>
              <w:t> </w:t>
            </w:r>
            <w:r>
              <w:rPr>
                <w:b/>
                <w:sz w:val="22"/>
              </w:rPr>
              <w:t>of</w:t>
            </w:r>
            <w:r>
              <w:rPr>
                <w:b/>
                <w:spacing w:val="16"/>
                <w:sz w:val="22"/>
              </w:rPr>
              <w:t> </w:t>
            </w:r>
            <w:r>
              <w:rPr>
                <w:b/>
                <w:sz w:val="22"/>
              </w:rPr>
              <w:t>Employees’</w:t>
            </w:r>
            <w:r>
              <w:rPr>
                <w:b/>
                <w:spacing w:val="11"/>
                <w:sz w:val="22"/>
              </w:rPr>
              <w:t> </w:t>
            </w:r>
            <w:r>
              <w:rPr>
                <w:b/>
                <w:spacing w:val="-2"/>
                <w:sz w:val="22"/>
              </w:rPr>
              <w:t>Compensation</w:t>
            </w:r>
          </w:p>
        </w:tc>
        <w:tc>
          <w:tcPr>
            <w:tcW w:w="583" w:type="dxa"/>
          </w:tcPr>
          <w:p>
            <w:pPr>
              <w:pStyle w:val="TableParagraph"/>
              <w:spacing w:before="73"/>
              <w:ind w:right="92"/>
              <w:jc w:val="center"/>
              <w:rPr>
                <w:b/>
                <w:sz w:val="22"/>
              </w:rPr>
            </w:pPr>
            <w:r>
              <w:rPr>
                <w:b/>
                <w:spacing w:val="-10"/>
                <w:sz w:val="22"/>
              </w:rPr>
              <w:t>-</w:t>
            </w:r>
          </w:p>
        </w:tc>
        <w:tc>
          <w:tcPr>
            <w:tcW w:w="627" w:type="dxa"/>
          </w:tcPr>
          <w:p>
            <w:pPr>
              <w:pStyle w:val="TableParagraph"/>
              <w:spacing w:before="73"/>
              <w:ind w:right="48"/>
              <w:jc w:val="right"/>
              <w:rPr>
                <w:b/>
                <w:sz w:val="22"/>
              </w:rPr>
            </w:pPr>
            <w:r>
              <w:rPr>
                <w:b/>
                <w:spacing w:val="-5"/>
                <w:sz w:val="22"/>
              </w:rPr>
              <w:t>18</w:t>
            </w:r>
          </w:p>
        </w:tc>
      </w:tr>
      <w:tr>
        <w:trPr>
          <w:trHeight w:val="340" w:hRule="atLeast"/>
        </w:trPr>
        <w:tc>
          <w:tcPr>
            <w:tcW w:w="7299" w:type="dxa"/>
          </w:tcPr>
          <w:p>
            <w:pPr>
              <w:pStyle w:val="TableParagraph"/>
              <w:tabs>
                <w:tab w:pos="726" w:val="left" w:leader="none"/>
              </w:tabs>
              <w:spacing w:line="247" w:lineRule="exact" w:before="73"/>
              <w:ind w:left="50"/>
              <w:rPr>
                <w:b/>
                <w:sz w:val="22"/>
              </w:rPr>
            </w:pPr>
            <w:r>
              <w:rPr>
                <w:b/>
                <w:spacing w:val="-5"/>
                <w:sz w:val="22"/>
              </w:rPr>
              <w:t>2.3</w:t>
            </w:r>
            <w:r>
              <w:rPr>
                <w:b/>
                <w:sz w:val="22"/>
              </w:rPr>
              <w:tab/>
              <w:t>The</w:t>
            </w:r>
            <w:r>
              <w:rPr>
                <w:b/>
                <w:spacing w:val="21"/>
                <w:sz w:val="22"/>
              </w:rPr>
              <w:t> </w:t>
            </w:r>
            <w:r>
              <w:rPr>
                <w:b/>
                <w:sz w:val="22"/>
              </w:rPr>
              <w:t>Meaning</w:t>
            </w:r>
            <w:r>
              <w:rPr>
                <w:b/>
                <w:spacing w:val="12"/>
                <w:sz w:val="22"/>
              </w:rPr>
              <w:t> </w:t>
            </w:r>
            <w:r>
              <w:rPr>
                <w:b/>
                <w:sz w:val="22"/>
              </w:rPr>
              <w:t>of</w:t>
            </w:r>
            <w:r>
              <w:rPr>
                <w:b/>
                <w:spacing w:val="15"/>
                <w:sz w:val="22"/>
              </w:rPr>
              <w:t> </w:t>
            </w:r>
            <w:r>
              <w:rPr>
                <w:b/>
                <w:sz w:val="22"/>
              </w:rPr>
              <w:t>Employees’</w:t>
            </w:r>
            <w:r>
              <w:rPr>
                <w:b/>
                <w:spacing w:val="17"/>
                <w:sz w:val="22"/>
              </w:rPr>
              <w:t> </w:t>
            </w:r>
            <w:r>
              <w:rPr>
                <w:b/>
                <w:sz w:val="22"/>
              </w:rPr>
              <w:t>Compensation</w:t>
            </w:r>
            <w:r>
              <w:rPr>
                <w:b/>
                <w:spacing w:val="21"/>
                <w:sz w:val="22"/>
              </w:rPr>
              <w:t> </w:t>
            </w:r>
            <w:r>
              <w:rPr>
                <w:b/>
                <w:sz w:val="22"/>
              </w:rPr>
              <w:t>under</w:t>
            </w:r>
            <w:r>
              <w:rPr>
                <w:b/>
                <w:spacing w:val="13"/>
                <w:sz w:val="22"/>
              </w:rPr>
              <w:t> </w:t>
            </w:r>
            <w:r>
              <w:rPr>
                <w:b/>
                <w:sz w:val="22"/>
              </w:rPr>
              <w:t>the</w:t>
            </w:r>
            <w:r>
              <w:rPr>
                <w:b/>
                <w:spacing w:val="17"/>
                <w:sz w:val="22"/>
              </w:rPr>
              <w:t> </w:t>
            </w:r>
            <w:r>
              <w:rPr>
                <w:b/>
                <w:spacing w:val="-5"/>
                <w:sz w:val="22"/>
              </w:rPr>
              <w:t>Act</w:t>
            </w:r>
          </w:p>
        </w:tc>
        <w:tc>
          <w:tcPr>
            <w:tcW w:w="583" w:type="dxa"/>
          </w:tcPr>
          <w:p>
            <w:pPr>
              <w:pStyle w:val="TableParagraph"/>
              <w:spacing w:line="247" w:lineRule="exact" w:before="73"/>
              <w:ind w:right="92"/>
              <w:jc w:val="center"/>
              <w:rPr>
                <w:b/>
                <w:sz w:val="22"/>
              </w:rPr>
            </w:pPr>
            <w:r>
              <w:rPr>
                <w:b/>
                <w:spacing w:val="-10"/>
                <w:sz w:val="22"/>
              </w:rPr>
              <w:t>-</w:t>
            </w:r>
          </w:p>
        </w:tc>
        <w:tc>
          <w:tcPr>
            <w:tcW w:w="627" w:type="dxa"/>
          </w:tcPr>
          <w:p>
            <w:pPr>
              <w:pStyle w:val="TableParagraph"/>
              <w:spacing w:line="247" w:lineRule="exact" w:before="73"/>
              <w:ind w:right="48"/>
              <w:jc w:val="right"/>
              <w:rPr>
                <w:b/>
                <w:sz w:val="22"/>
              </w:rPr>
            </w:pPr>
            <w:r>
              <w:rPr>
                <w:b/>
                <w:spacing w:val="-5"/>
                <w:sz w:val="22"/>
              </w:rPr>
              <w:t>27</w:t>
            </w:r>
          </w:p>
        </w:tc>
      </w:tr>
    </w:tbl>
    <w:p>
      <w:pPr>
        <w:pStyle w:val="BodyText"/>
        <w:rPr>
          <w:b/>
          <w:sz w:val="22"/>
        </w:rPr>
      </w:pPr>
    </w:p>
    <w:p>
      <w:pPr>
        <w:pStyle w:val="BodyText"/>
        <w:spacing w:before="19"/>
        <w:rPr>
          <w:b/>
          <w:sz w:val="22"/>
        </w:rPr>
      </w:pPr>
    </w:p>
    <w:p>
      <w:pPr>
        <w:tabs>
          <w:tab w:pos="863" w:val="left" w:leader="none"/>
        </w:tabs>
        <w:spacing w:line="372" w:lineRule="auto" w:before="0"/>
        <w:ind w:left="864" w:right="1056" w:hanging="677"/>
        <w:jc w:val="left"/>
        <w:rPr>
          <w:b/>
          <w:sz w:val="20"/>
        </w:rPr>
      </w:pPr>
      <w:r>
        <w:rPr>
          <w:b/>
          <w:spacing w:val="-4"/>
          <w:w w:val="105"/>
          <w:sz w:val="20"/>
        </w:rPr>
        <w:t>2.4</w:t>
      </w:r>
      <w:r>
        <w:rPr>
          <w:b/>
          <w:sz w:val="20"/>
        </w:rPr>
        <w:tab/>
      </w:r>
      <w:r>
        <w:rPr>
          <w:b/>
          <w:w w:val="105"/>
          <w:sz w:val="20"/>
        </w:rPr>
        <w:t>The</w:t>
      </w:r>
      <w:r>
        <w:rPr>
          <w:b/>
          <w:spacing w:val="-16"/>
          <w:w w:val="105"/>
          <w:sz w:val="20"/>
        </w:rPr>
        <w:t> </w:t>
      </w:r>
      <w:r>
        <w:rPr>
          <w:b/>
          <w:w w:val="105"/>
          <w:sz w:val="20"/>
        </w:rPr>
        <w:t>Scope</w:t>
      </w:r>
      <w:r>
        <w:rPr>
          <w:b/>
          <w:spacing w:val="-15"/>
          <w:w w:val="105"/>
          <w:sz w:val="20"/>
        </w:rPr>
        <w:t> </w:t>
      </w:r>
      <w:r>
        <w:rPr>
          <w:b/>
          <w:w w:val="105"/>
          <w:sz w:val="20"/>
        </w:rPr>
        <w:t>and</w:t>
      </w:r>
      <w:r>
        <w:rPr>
          <w:b/>
          <w:spacing w:val="-16"/>
          <w:w w:val="105"/>
          <w:sz w:val="20"/>
        </w:rPr>
        <w:t> </w:t>
      </w:r>
      <w:r>
        <w:rPr>
          <w:b/>
          <w:w w:val="105"/>
          <w:sz w:val="20"/>
        </w:rPr>
        <w:t>Application</w:t>
      </w:r>
      <w:r>
        <w:rPr>
          <w:b/>
          <w:spacing w:val="-15"/>
          <w:w w:val="105"/>
          <w:sz w:val="20"/>
        </w:rPr>
        <w:t> </w:t>
      </w:r>
      <w:r>
        <w:rPr>
          <w:b/>
          <w:w w:val="105"/>
          <w:sz w:val="20"/>
        </w:rPr>
        <w:t>of</w:t>
      </w:r>
      <w:r>
        <w:rPr>
          <w:b/>
          <w:spacing w:val="-15"/>
          <w:w w:val="105"/>
          <w:sz w:val="20"/>
        </w:rPr>
        <w:t> </w:t>
      </w:r>
      <w:r>
        <w:rPr>
          <w:b/>
          <w:w w:val="105"/>
          <w:sz w:val="20"/>
        </w:rPr>
        <w:t>the</w:t>
      </w:r>
      <w:r>
        <w:rPr>
          <w:b/>
          <w:spacing w:val="-16"/>
          <w:w w:val="105"/>
          <w:sz w:val="20"/>
        </w:rPr>
        <w:t> </w:t>
      </w:r>
      <w:r>
        <w:rPr>
          <w:b/>
          <w:w w:val="105"/>
          <w:sz w:val="20"/>
        </w:rPr>
        <w:t>Employees’</w:t>
      </w:r>
      <w:r>
        <w:rPr>
          <w:b/>
          <w:spacing w:val="-15"/>
          <w:w w:val="105"/>
          <w:sz w:val="20"/>
        </w:rPr>
        <w:t> </w:t>
      </w:r>
      <w:r>
        <w:rPr>
          <w:b/>
          <w:w w:val="105"/>
          <w:sz w:val="20"/>
        </w:rPr>
        <w:t>Compensation</w:t>
      </w:r>
      <w:r>
        <w:rPr>
          <w:b/>
          <w:spacing w:val="-16"/>
          <w:w w:val="105"/>
          <w:sz w:val="20"/>
        </w:rPr>
        <w:t> </w:t>
      </w:r>
      <w:r>
        <w:rPr>
          <w:b/>
          <w:w w:val="105"/>
          <w:sz w:val="20"/>
        </w:rPr>
        <w:t>Scheme</w:t>
      </w:r>
      <w:r>
        <w:rPr>
          <w:b/>
          <w:spacing w:val="-15"/>
          <w:w w:val="105"/>
          <w:sz w:val="20"/>
        </w:rPr>
        <w:t> </w:t>
      </w:r>
      <w:r>
        <w:rPr>
          <w:b/>
          <w:w w:val="105"/>
          <w:sz w:val="20"/>
        </w:rPr>
        <w:t>in </w:t>
      </w:r>
      <w:r>
        <w:rPr>
          <w:b/>
          <w:spacing w:val="-2"/>
          <w:w w:val="105"/>
          <w:sz w:val="20"/>
        </w:rPr>
        <w:t>Nigeria-39</w:t>
      </w:r>
    </w:p>
    <w:p>
      <w:pPr>
        <w:spacing w:after="0" w:line="372" w:lineRule="auto"/>
        <w:jc w:val="left"/>
        <w:rPr>
          <w:sz w:val="20"/>
        </w:rPr>
        <w:sectPr>
          <w:pgSz w:w="12240" w:h="15840"/>
          <w:pgMar w:header="0" w:footer="1009" w:top="1260" w:bottom="1200" w:left="1680" w:right="1320"/>
        </w:sectPr>
      </w:pPr>
    </w:p>
    <w:p>
      <w:pPr>
        <w:pStyle w:val="BodyText"/>
        <w:spacing w:before="84"/>
        <w:rPr>
          <w:b/>
          <w:sz w:val="22"/>
        </w:rPr>
      </w:pPr>
    </w:p>
    <w:p>
      <w:pPr>
        <w:spacing w:before="0"/>
        <w:ind w:left="307" w:right="679" w:firstLine="0"/>
        <w:jc w:val="center"/>
        <w:rPr>
          <w:b/>
          <w:sz w:val="22"/>
        </w:rPr>
      </w:pPr>
      <w:r>
        <w:rPr>
          <w:b/>
          <w:sz w:val="22"/>
        </w:rPr>
        <w:t>Chapter</w:t>
      </w:r>
      <w:r>
        <w:rPr>
          <w:b/>
          <w:spacing w:val="19"/>
          <w:sz w:val="22"/>
        </w:rPr>
        <w:t> </w:t>
      </w:r>
      <w:r>
        <w:rPr>
          <w:b/>
          <w:spacing w:val="-4"/>
          <w:sz w:val="22"/>
        </w:rPr>
        <w:t>Three</w:t>
      </w:r>
    </w:p>
    <w:p>
      <w:pPr>
        <w:spacing w:before="61"/>
        <w:ind w:left="307" w:right="688" w:firstLine="0"/>
        <w:jc w:val="center"/>
        <w:rPr>
          <w:b/>
          <w:sz w:val="22"/>
        </w:rPr>
      </w:pPr>
      <w:r>
        <w:rPr>
          <w:b/>
          <w:sz w:val="22"/>
        </w:rPr>
        <w:t>The</w:t>
      </w:r>
      <w:r>
        <w:rPr>
          <w:b/>
          <w:spacing w:val="17"/>
          <w:sz w:val="22"/>
        </w:rPr>
        <w:t> </w:t>
      </w:r>
      <w:r>
        <w:rPr>
          <w:b/>
          <w:sz w:val="22"/>
        </w:rPr>
        <w:t>Legal</w:t>
      </w:r>
      <w:r>
        <w:rPr>
          <w:b/>
          <w:spacing w:val="11"/>
          <w:sz w:val="22"/>
        </w:rPr>
        <w:t> </w:t>
      </w:r>
      <w:r>
        <w:rPr>
          <w:b/>
          <w:sz w:val="22"/>
        </w:rPr>
        <w:t>Framework</w:t>
      </w:r>
      <w:r>
        <w:rPr>
          <w:b/>
          <w:spacing w:val="15"/>
          <w:sz w:val="22"/>
        </w:rPr>
        <w:t> </w:t>
      </w:r>
      <w:r>
        <w:rPr>
          <w:b/>
          <w:sz w:val="22"/>
        </w:rPr>
        <w:t>of</w:t>
      </w:r>
      <w:r>
        <w:rPr>
          <w:b/>
          <w:spacing w:val="17"/>
          <w:sz w:val="22"/>
        </w:rPr>
        <w:t> </w:t>
      </w:r>
      <w:r>
        <w:rPr>
          <w:b/>
          <w:sz w:val="22"/>
        </w:rPr>
        <w:t>Employees’</w:t>
      </w:r>
      <w:r>
        <w:rPr>
          <w:b/>
          <w:spacing w:val="23"/>
          <w:sz w:val="22"/>
        </w:rPr>
        <w:t> </w:t>
      </w:r>
      <w:r>
        <w:rPr>
          <w:b/>
          <w:sz w:val="22"/>
        </w:rPr>
        <w:t>Compensation</w:t>
      </w:r>
      <w:r>
        <w:rPr>
          <w:b/>
          <w:spacing w:val="16"/>
          <w:sz w:val="22"/>
        </w:rPr>
        <w:t> </w:t>
      </w:r>
      <w:r>
        <w:rPr>
          <w:b/>
          <w:sz w:val="22"/>
        </w:rPr>
        <w:t>in</w:t>
      </w:r>
      <w:r>
        <w:rPr>
          <w:b/>
          <w:spacing w:val="17"/>
          <w:sz w:val="22"/>
        </w:rPr>
        <w:t> </w:t>
      </w:r>
      <w:r>
        <w:rPr>
          <w:b/>
          <w:spacing w:val="-2"/>
          <w:sz w:val="22"/>
        </w:rPr>
        <w:t>Nigeria</w:t>
      </w:r>
    </w:p>
    <w:p>
      <w:pPr>
        <w:spacing w:after="0"/>
        <w:jc w:val="center"/>
        <w:rPr>
          <w:sz w:val="22"/>
        </w:rPr>
        <w:sectPr>
          <w:pgSz w:w="12240" w:h="15840"/>
          <w:pgMar w:header="0" w:footer="1009" w:top="1820" w:bottom="1508" w:left="1680" w:right="1320"/>
        </w:sectPr>
      </w:pPr>
    </w:p>
    <w:sdt>
      <w:sdtPr>
        <w:docPartObj>
          <w:docPartGallery w:val="Table of Contents"/>
          <w:docPartUnique/>
        </w:docPartObj>
      </w:sdtPr>
      <w:sdtEndPr/>
      <w:sdtContent>
        <w:p>
          <w:pPr>
            <w:pStyle w:val="TOC1"/>
            <w:numPr>
              <w:ilvl w:val="1"/>
              <w:numId w:val="3"/>
            </w:numPr>
            <w:tabs>
              <w:tab w:pos="863"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 w:pos="8308" w:val="left" w:leader="none"/>
            </w:tabs>
            <w:spacing w:line="240" w:lineRule="auto" w:before="66" w:after="0"/>
            <w:ind w:left="863" w:right="0" w:hanging="676"/>
            <w:jc w:val="left"/>
          </w:pPr>
          <w:hyperlink w:history="true" w:anchor="_TOC_250020">
            <w:r>
              <w:rPr>
                <w:spacing w:val="-2"/>
              </w:rPr>
              <w:t>Introduction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52</w:t>
            </w:r>
          </w:hyperlink>
        </w:p>
        <w:p>
          <w:pPr>
            <w:pStyle w:val="TOC2"/>
            <w:numPr>
              <w:ilvl w:val="1"/>
              <w:numId w:val="3"/>
            </w:numPr>
            <w:tabs>
              <w:tab w:pos="863" w:val="left" w:leader="none"/>
              <w:tab w:pos="4247" w:val="left" w:leader="none"/>
              <w:tab w:pos="4924" w:val="left" w:leader="none"/>
              <w:tab w:pos="5601" w:val="left" w:leader="none"/>
              <w:tab w:pos="6278" w:val="left" w:leader="none"/>
              <w:tab w:pos="6955" w:val="left" w:leader="none"/>
              <w:tab w:pos="7631" w:val="left" w:leader="none"/>
            </w:tabs>
            <w:spacing w:line="240" w:lineRule="auto" w:before="56" w:after="0"/>
            <w:ind w:left="863" w:right="0" w:hanging="676"/>
            <w:jc w:val="left"/>
          </w:pPr>
          <w:r>
            <w:rPr/>
            <w:t>Grounds</w:t>
          </w:r>
          <w:r>
            <w:rPr>
              <w:spacing w:val="9"/>
            </w:rPr>
            <w:t> </w:t>
          </w:r>
          <w:r>
            <w:rPr/>
            <w:t>of</w:t>
          </w:r>
          <w:r>
            <w:rPr>
              <w:spacing w:val="15"/>
            </w:rPr>
            <w:t> </w:t>
          </w:r>
          <w:r>
            <w:rPr/>
            <w:t>Compensation</w:t>
          </w:r>
          <w:r>
            <w:rPr>
              <w:spacing w:val="46"/>
              <w:w w:val="150"/>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52</w:t>
          </w:r>
        </w:p>
        <w:p>
          <w:pPr>
            <w:pStyle w:val="TOC2"/>
            <w:numPr>
              <w:ilvl w:val="2"/>
              <w:numId w:val="3"/>
            </w:numPr>
            <w:tabs>
              <w:tab w:pos="861"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6" w:after="0"/>
            <w:ind w:left="861" w:right="0" w:hanging="674"/>
            <w:jc w:val="left"/>
          </w:pPr>
          <w:hyperlink w:history="true" w:anchor="_TOC_250019">
            <w:r>
              <w:rPr/>
              <w:t>Mental</w:t>
            </w:r>
            <w:r>
              <w:rPr>
                <w:spacing w:val="17"/>
              </w:rPr>
              <w:t> </w:t>
            </w:r>
            <w:r>
              <w:rPr>
                <w:spacing w:val="-2"/>
              </w:rPr>
              <w:t>Stress-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53</w:t>
            </w:r>
          </w:hyperlink>
        </w:p>
        <w:p>
          <w:pPr>
            <w:pStyle w:val="TOC2"/>
            <w:numPr>
              <w:ilvl w:val="2"/>
              <w:numId w:val="3"/>
            </w:numPr>
            <w:tabs>
              <w:tab w:pos="861"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1" w:after="0"/>
            <w:ind w:left="861" w:right="0" w:hanging="674"/>
            <w:jc w:val="left"/>
          </w:pPr>
          <w:hyperlink w:history="true" w:anchor="_TOC_250018">
            <w:r>
              <w:rPr/>
              <w:t>Injury</w:t>
            </w:r>
            <w:r>
              <w:rPr>
                <w:spacing w:val="25"/>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56</w:t>
            </w:r>
          </w:hyperlink>
        </w:p>
        <w:p>
          <w:pPr>
            <w:pStyle w:val="TOC2"/>
            <w:numPr>
              <w:ilvl w:val="2"/>
              <w:numId w:val="3"/>
            </w:numPr>
            <w:tabs>
              <w:tab w:pos="861"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0" w:after="0"/>
            <w:ind w:left="861" w:right="0" w:hanging="674"/>
            <w:jc w:val="left"/>
          </w:pPr>
          <w:hyperlink w:history="true" w:anchor="_TOC_250017">
            <w:r>
              <w:rPr/>
              <w:t>Hearing</w:t>
            </w:r>
            <w:r>
              <w:rPr>
                <w:spacing w:val="21"/>
              </w:rPr>
              <w:t> </w:t>
            </w:r>
            <w:r>
              <w:rPr>
                <w:spacing w:val="-2"/>
              </w:rPr>
              <w:t>Impairment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64</w:t>
            </w:r>
          </w:hyperlink>
        </w:p>
        <w:p>
          <w:pPr>
            <w:pStyle w:val="TOC2"/>
            <w:numPr>
              <w:ilvl w:val="2"/>
              <w:numId w:val="3"/>
            </w:numPr>
            <w:tabs>
              <w:tab w:pos="861"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1" w:after="0"/>
            <w:ind w:left="861" w:right="0" w:hanging="674"/>
            <w:jc w:val="left"/>
          </w:pPr>
          <w:hyperlink w:history="true" w:anchor="_TOC_250016">
            <w:r>
              <w:rPr/>
              <w:t>Occupational</w:t>
            </w:r>
            <w:r>
              <w:rPr>
                <w:spacing w:val="28"/>
              </w:rPr>
              <w:t> </w:t>
            </w:r>
            <w:r>
              <w:rPr>
                <w:spacing w:val="-2"/>
              </w:rPr>
              <w:t>Disease</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67</w:t>
            </w:r>
          </w:hyperlink>
        </w:p>
        <w:p>
          <w:pPr>
            <w:pStyle w:val="TOC2"/>
            <w:numPr>
              <w:ilvl w:val="2"/>
              <w:numId w:val="3"/>
            </w:numPr>
            <w:tabs>
              <w:tab w:pos="861"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56" w:after="0"/>
            <w:ind w:left="861" w:right="0" w:hanging="674"/>
            <w:jc w:val="left"/>
          </w:pPr>
          <w:hyperlink w:history="true" w:anchor="_TOC_250015">
            <w:r>
              <w:rPr/>
              <w:t>Death</w:t>
            </w:r>
            <w:r>
              <w:rPr>
                <w:spacing w:val="26"/>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69</w:t>
            </w:r>
          </w:hyperlink>
        </w:p>
        <w:p>
          <w:pPr>
            <w:pStyle w:val="TOC2"/>
            <w:numPr>
              <w:ilvl w:val="1"/>
              <w:numId w:val="3"/>
            </w:numPr>
            <w:tabs>
              <w:tab w:pos="863"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6" w:after="0"/>
            <w:ind w:left="863" w:right="0" w:hanging="676"/>
            <w:jc w:val="left"/>
          </w:pPr>
          <w:r>
            <w:rPr/>
            <w:t>Scales</w:t>
          </w:r>
          <w:r>
            <w:rPr>
              <w:spacing w:val="11"/>
            </w:rPr>
            <w:t> </w:t>
          </w:r>
          <w:r>
            <w:rPr/>
            <w:t>for</w:t>
          </w:r>
          <w:r>
            <w:rPr>
              <w:spacing w:val="12"/>
            </w:rPr>
            <w:t> </w:t>
          </w:r>
          <w:r>
            <w:rPr>
              <w:spacing w:val="-2"/>
            </w:rPr>
            <w:t>Compensation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71</w:t>
          </w:r>
        </w:p>
        <w:p>
          <w:pPr>
            <w:pStyle w:val="TOC2"/>
            <w:numPr>
              <w:ilvl w:val="2"/>
              <w:numId w:val="3"/>
            </w:numPr>
            <w:tabs>
              <w:tab w:pos="861" w:val="left" w:leader="none"/>
              <w:tab w:pos="6955" w:val="left" w:leader="none"/>
              <w:tab w:pos="7631" w:val="left" w:leader="none"/>
            </w:tabs>
            <w:spacing w:line="240" w:lineRule="auto" w:before="61" w:after="0"/>
            <w:ind w:left="861" w:right="0" w:hanging="674"/>
            <w:jc w:val="left"/>
          </w:pPr>
          <w:hyperlink w:history="true" w:anchor="_TOC_250014">
            <w:r>
              <w:rPr/>
              <w:t>Scale</w:t>
            </w:r>
            <w:r>
              <w:rPr>
                <w:spacing w:val="11"/>
              </w:rPr>
              <w:t> </w:t>
            </w:r>
            <w:r>
              <w:rPr/>
              <w:t>of</w:t>
            </w:r>
            <w:r>
              <w:rPr>
                <w:spacing w:val="17"/>
              </w:rPr>
              <w:t> </w:t>
            </w:r>
            <w:r>
              <w:rPr/>
              <w:t>Compensation</w:t>
            </w:r>
            <w:r>
              <w:rPr>
                <w:spacing w:val="9"/>
              </w:rPr>
              <w:t> </w:t>
            </w:r>
            <w:r>
              <w:rPr/>
              <w:t>for</w:t>
            </w:r>
            <w:r>
              <w:rPr>
                <w:spacing w:val="11"/>
              </w:rPr>
              <w:t> </w:t>
            </w:r>
            <w:r>
              <w:rPr/>
              <w:t>Temporary</w:t>
            </w:r>
            <w:r>
              <w:rPr>
                <w:spacing w:val="14"/>
              </w:rPr>
              <w:t> </w:t>
            </w:r>
            <w:r>
              <w:rPr/>
              <w:t>Partial</w:t>
            </w:r>
            <w:r>
              <w:rPr>
                <w:spacing w:val="17"/>
              </w:rPr>
              <w:t> </w:t>
            </w:r>
            <w:r>
              <w:rPr>
                <w:spacing w:val="-2"/>
              </w:rPr>
              <w:t>Disability</w:t>
            </w:r>
            <w:r>
              <w:rPr/>
              <w:tab/>
            </w:r>
            <w:r>
              <w:rPr>
                <w:spacing w:val="-10"/>
              </w:rPr>
              <w:t>-</w:t>
            </w:r>
            <w:r>
              <w:rPr/>
              <w:tab/>
            </w:r>
            <w:r>
              <w:rPr>
                <w:spacing w:val="-5"/>
              </w:rPr>
              <w:t>72</w:t>
            </w:r>
          </w:hyperlink>
        </w:p>
        <w:p>
          <w:pPr>
            <w:pStyle w:val="TOC2"/>
            <w:numPr>
              <w:ilvl w:val="2"/>
              <w:numId w:val="3"/>
            </w:numPr>
            <w:tabs>
              <w:tab w:pos="861" w:val="left" w:leader="none"/>
              <w:tab w:pos="6955" w:val="left" w:leader="none"/>
              <w:tab w:pos="7631" w:val="left" w:leader="none"/>
            </w:tabs>
            <w:spacing w:line="240" w:lineRule="auto" w:before="61" w:after="0"/>
            <w:ind w:left="861" w:right="0" w:hanging="674"/>
            <w:jc w:val="left"/>
          </w:pPr>
          <w:hyperlink w:history="true" w:anchor="_TOC_250013">
            <w:r>
              <w:rPr/>
              <w:t>Scale</w:t>
            </w:r>
            <w:r>
              <w:rPr>
                <w:spacing w:val="8"/>
              </w:rPr>
              <w:t> </w:t>
            </w:r>
            <w:r>
              <w:rPr/>
              <w:t>of</w:t>
            </w:r>
            <w:r>
              <w:rPr>
                <w:spacing w:val="16"/>
              </w:rPr>
              <w:t> </w:t>
            </w:r>
            <w:r>
              <w:rPr/>
              <w:t>Compensation</w:t>
            </w:r>
            <w:r>
              <w:rPr>
                <w:spacing w:val="9"/>
              </w:rPr>
              <w:t> </w:t>
            </w:r>
            <w:r>
              <w:rPr/>
              <w:t>for</w:t>
            </w:r>
            <w:r>
              <w:rPr>
                <w:spacing w:val="10"/>
              </w:rPr>
              <w:t> </w:t>
            </w:r>
            <w:r>
              <w:rPr/>
              <w:t>Temporary</w:t>
            </w:r>
            <w:r>
              <w:rPr>
                <w:spacing w:val="13"/>
              </w:rPr>
              <w:t> </w:t>
            </w:r>
            <w:r>
              <w:rPr/>
              <w:t>Total</w:t>
            </w:r>
            <w:r>
              <w:rPr>
                <w:spacing w:val="17"/>
              </w:rPr>
              <w:t> </w:t>
            </w:r>
            <w:r>
              <w:rPr/>
              <w:t>Disability</w:t>
            </w:r>
            <w:r>
              <w:rPr>
                <w:spacing w:val="70"/>
              </w:rPr>
              <w:t> </w:t>
            </w:r>
            <w:r>
              <w:rPr>
                <w:spacing w:val="-10"/>
              </w:rPr>
              <w:t>-</w:t>
            </w:r>
            <w:r>
              <w:rPr/>
              <w:tab/>
            </w:r>
            <w:r>
              <w:rPr>
                <w:spacing w:val="-10"/>
              </w:rPr>
              <w:t>-</w:t>
            </w:r>
            <w:r>
              <w:rPr/>
              <w:tab/>
            </w:r>
            <w:r>
              <w:rPr>
                <w:spacing w:val="-5"/>
              </w:rPr>
              <w:t>74</w:t>
            </w:r>
          </w:hyperlink>
        </w:p>
        <w:p>
          <w:pPr>
            <w:pStyle w:val="TOC2"/>
            <w:numPr>
              <w:ilvl w:val="2"/>
              <w:numId w:val="3"/>
            </w:numPr>
            <w:tabs>
              <w:tab w:pos="861" w:val="left" w:leader="none"/>
              <w:tab w:pos="864"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2" w:lineRule="auto" w:before="60" w:after="0"/>
            <w:ind w:left="864" w:right="1358" w:hanging="677"/>
            <w:jc w:val="left"/>
          </w:pPr>
          <w:hyperlink w:history="true" w:anchor="_TOC_250012">
            <w:r>
              <w:rPr/>
              <w:t>Scale</w:t>
            </w:r>
            <w:r>
              <w:rPr>
                <w:spacing w:val="39"/>
              </w:rPr>
              <w:t> </w:t>
            </w:r>
            <w:r>
              <w:rPr/>
              <w:t>of</w:t>
            </w:r>
            <w:r>
              <w:rPr>
                <w:spacing w:val="40"/>
              </w:rPr>
              <w:t> </w:t>
            </w:r>
            <w:r>
              <w:rPr/>
              <w:t>Compensation</w:t>
            </w:r>
            <w:r>
              <w:rPr>
                <w:spacing w:val="36"/>
              </w:rPr>
              <w:t> </w:t>
            </w:r>
            <w:r>
              <w:rPr/>
              <w:t>for</w:t>
            </w:r>
            <w:r>
              <w:rPr>
                <w:spacing w:val="38"/>
              </w:rPr>
              <w:t> </w:t>
            </w:r>
            <w:r>
              <w:rPr/>
              <w:t>Permanent</w:t>
            </w:r>
            <w:r>
              <w:rPr>
                <w:spacing w:val="40"/>
              </w:rPr>
              <w:t> </w:t>
            </w:r>
            <w:r>
              <w:rPr/>
              <w:t>Partial</w:t>
            </w:r>
            <w:r>
              <w:rPr>
                <w:spacing w:val="39"/>
              </w:rPr>
              <w:t> </w:t>
            </w:r>
            <w:r>
              <w:rPr/>
              <w:t>Disability</w:t>
            </w:r>
            <w:r>
              <w:rPr>
                <w:spacing w:val="34"/>
              </w:rPr>
              <w:t> </w:t>
            </w:r>
            <w:r>
              <w:rPr/>
              <w:t>or </w:t>
            </w:r>
            <w:r>
              <w:rPr>
                <w:spacing w:val="-2"/>
              </w:rPr>
              <w:t>Disfigurement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6"/>
              </w:rPr>
              <w:t>77</w:t>
            </w:r>
          </w:hyperlink>
        </w:p>
        <w:p>
          <w:pPr>
            <w:pStyle w:val="TOC2"/>
            <w:numPr>
              <w:ilvl w:val="2"/>
              <w:numId w:val="3"/>
            </w:numPr>
            <w:tabs>
              <w:tab w:pos="861" w:val="left" w:leader="none"/>
              <w:tab w:pos="6955" w:val="left" w:leader="none"/>
              <w:tab w:pos="7631" w:val="left" w:leader="none"/>
            </w:tabs>
            <w:spacing w:line="240" w:lineRule="auto" w:before="64" w:after="0"/>
            <w:ind w:left="861" w:right="0" w:hanging="674"/>
            <w:jc w:val="left"/>
          </w:pPr>
          <w:hyperlink w:history="true" w:anchor="_TOC_250011">
            <w:r>
              <w:rPr/>
              <w:t>Scale</w:t>
            </w:r>
            <w:r>
              <w:rPr>
                <w:spacing w:val="10"/>
              </w:rPr>
              <w:t> </w:t>
            </w:r>
            <w:r>
              <w:rPr/>
              <w:t>of</w:t>
            </w:r>
            <w:r>
              <w:rPr>
                <w:spacing w:val="15"/>
              </w:rPr>
              <w:t> </w:t>
            </w:r>
            <w:r>
              <w:rPr/>
              <w:t>Compensation</w:t>
            </w:r>
            <w:r>
              <w:rPr>
                <w:spacing w:val="7"/>
              </w:rPr>
              <w:t> </w:t>
            </w:r>
            <w:r>
              <w:rPr/>
              <w:t>for</w:t>
            </w:r>
            <w:r>
              <w:rPr>
                <w:spacing w:val="9"/>
              </w:rPr>
              <w:t> </w:t>
            </w:r>
            <w:r>
              <w:rPr/>
              <w:t>Permanent</w:t>
            </w:r>
            <w:r>
              <w:rPr>
                <w:spacing w:val="16"/>
              </w:rPr>
              <w:t> </w:t>
            </w:r>
            <w:r>
              <w:rPr/>
              <w:t>Total</w:t>
            </w:r>
            <w:r>
              <w:rPr>
                <w:spacing w:val="16"/>
              </w:rPr>
              <w:t> </w:t>
            </w:r>
            <w:r>
              <w:rPr/>
              <w:t>Disability</w:t>
            </w:r>
            <w:r>
              <w:rPr>
                <w:spacing w:val="73"/>
              </w:rPr>
              <w:t> </w:t>
            </w:r>
            <w:r>
              <w:rPr>
                <w:spacing w:val="-10"/>
              </w:rPr>
              <w:t>-</w:t>
            </w:r>
            <w:r>
              <w:rPr/>
              <w:tab/>
            </w:r>
            <w:r>
              <w:rPr>
                <w:spacing w:val="-10"/>
              </w:rPr>
              <w:t>-</w:t>
            </w:r>
            <w:r>
              <w:rPr/>
              <w:tab/>
            </w:r>
            <w:r>
              <w:rPr>
                <w:spacing w:val="-5"/>
              </w:rPr>
              <w:t>81</w:t>
            </w:r>
          </w:hyperlink>
        </w:p>
        <w:p>
          <w:pPr>
            <w:pStyle w:val="TOC2"/>
            <w:numPr>
              <w:ilvl w:val="2"/>
              <w:numId w:val="3"/>
            </w:numPr>
            <w:tabs>
              <w:tab w:pos="861" w:val="left" w:leader="none"/>
              <w:tab w:pos="4924" w:val="left" w:leader="none"/>
              <w:tab w:pos="5601" w:val="left" w:leader="none"/>
              <w:tab w:pos="6278" w:val="left" w:leader="none"/>
              <w:tab w:pos="6955" w:val="left" w:leader="none"/>
              <w:tab w:pos="7631" w:val="left" w:leader="none"/>
            </w:tabs>
            <w:spacing w:line="240" w:lineRule="auto" w:before="61" w:after="0"/>
            <w:ind w:left="861" w:right="0" w:hanging="674"/>
            <w:jc w:val="left"/>
          </w:pPr>
          <w:hyperlink w:history="true" w:anchor="_TOC_250010">
            <w:r>
              <w:rPr/>
              <w:t>Scale</w:t>
            </w:r>
            <w:r>
              <w:rPr>
                <w:spacing w:val="9"/>
              </w:rPr>
              <w:t> </w:t>
            </w:r>
            <w:r>
              <w:rPr/>
              <w:t>of</w:t>
            </w:r>
            <w:r>
              <w:rPr>
                <w:spacing w:val="14"/>
              </w:rPr>
              <w:t> </w:t>
            </w:r>
            <w:r>
              <w:rPr/>
              <w:t>Compensation</w:t>
            </w:r>
            <w:r>
              <w:rPr>
                <w:spacing w:val="7"/>
              </w:rPr>
              <w:t> </w:t>
            </w:r>
            <w:r>
              <w:rPr/>
              <w:t>in</w:t>
            </w:r>
            <w:r>
              <w:rPr>
                <w:spacing w:val="13"/>
              </w:rPr>
              <w:t> </w:t>
            </w:r>
            <w:r>
              <w:rPr/>
              <w:t>Fatal</w:t>
            </w:r>
            <w:r>
              <w:rPr>
                <w:spacing w:val="16"/>
              </w:rPr>
              <w:t> </w:t>
            </w:r>
            <w:r>
              <w:rPr>
                <w:spacing w:val="-4"/>
              </w:rPr>
              <w:t>Cases</w:t>
            </w:r>
            <w:r>
              <w:rPr/>
              <w:tab/>
            </w:r>
            <w:r>
              <w:rPr>
                <w:spacing w:val="-10"/>
              </w:rPr>
              <w:t>-</w:t>
            </w:r>
            <w:r>
              <w:rPr/>
              <w:tab/>
            </w:r>
            <w:r>
              <w:rPr>
                <w:spacing w:val="-10"/>
              </w:rPr>
              <w:t>-</w:t>
            </w:r>
            <w:r>
              <w:rPr/>
              <w:tab/>
            </w:r>
            <w:r>
              <w:rPr>
                <w:spacing w:val="-10"/>
              </w:rPr>
              <w:t>-</w:t>
            </w:r>
            <w:r>
              <w:rPr/>
              <w:tab/>
            </w:r>
            <w:r>
              <w:rPr>
                <w:spacing w:val="-10"/>
              </w:rPr>
              <w:t>-</w:t>
            </w:r>
            <w:r>
              <w:rPr/>
              <w:tab/>
            </w:r>
            <w:r>
              <w:rPr>
                <w:spacing w:val="-5"/>
              </w:rPr>
              <w:t>84</w:t>
            </w:r>
          </w:hyperlink>
        </w:p>
        <w:p>
          <w:pPr>
            <w:pStyle w:val="TOC2"/>
            <w:numPr>
              <w:ilvl w:val="2"/>
              <w:numId w:val="3"/>
            </w:numPr>
            <w:tabs>
              <w:tab w:pos="861" w:val="left" w:leader="none"/>
              <w:tab w:pos="7631" w:val="left" w:leader="none"/>
            </w:tabs>
            <w:spacing w:line="240" w:lineRule="auto" w:before="61" w:after="0"/>
            <w:ind w:left="861" w:right="0" w:hanging="674"/>
            <w:jc w:val="left"/>
          </w:pPr>
          <w:r>
            <w:rPr/>
            <w:t>Scale</w:t>
          </w:r>
          <w:r>
            <w:rPr>
              <w:spacing w:val="9"/>
            </w:rPr>
            <w:t> </w:t>
          </w:r>
          <w:r>
            <w:rPr/>
            <w:t>of</w:t>
          </w:r>
          <w:r>
            <w:rPr>
              <w:spacing w:val="14"/>
            </w:rPr>
            <w:t> </w:t>
          </w:r>
          <w:r>
            <w:rPr/>
            <w:t>Compensation</w:t>
          </w:r>
          <w:r>
            <w:rPr>
              <w:spacing w:val="12"/>
            </w:rPr>
            <w:t> </w:t>
          </w:r>
          <w:r>
            <w:rPr/>
            <w:t>Relating</w:t>
          </w:r>
          <w:r>
            <w:rPr>
              <w:spacing w:val="14"/>
            </w:rPr>
            <w:t> </w:t>
          </w:r>
          <w:r>
            <w:rPr/>
            <w:t>to</w:t>
          </w:r>
          <w:r>
            <w:rPr>
              <w:spacing w:val="16"/>
            </w:rPr>
            <w:t> </w:t>
          </w:r>
          <w:r>
            <w:rPr/>
            <w:t>Enemy</w:t>
          </w:r>
          <w:r>
            <w:rPr>
              <w:spacing w:val="12"/>
            </w:rPr>
            <w:t> </w:t>
          </w:r>
          <w:r>
            <w:rPr/>
            <w:t>Warlike</w:t>
          </w:r>
          <w:r>
            <w:rPr>
              <w:spacing w:val="15"/>
            </w:rPr>
            <w:t> </w:t>
          </w:r>
          <w:r>
            <w:rPr>
              <w:spacing w:val="-2"/>
            </w:rPr>
            <w:t>Actions</w:t>
          </w:r>
          <w:r>
            <w:rPr/>
            <w:tab/>
          </w:r>
          <w:r>
            <w:rPr>
              <w:spacing w:val="-5"/>
            </w:rPr>
            <w:t>95</w:t>
          </w:r>
        </w:p>
        <w:p>
          <w:pPr>
            <w:pStyle w:val="TOC2"/>
            <w:numPr>
              <w:ilvl w:val="1"/>
              <w:numId w:val="3"/>
            </w:numPr>
            <w:tabs>
              <w:tab w:pos="863"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1" w:after="0"/>
            <w:ind w:left="863" w:right="0" w:hanging="676"/>
            <w:jc w:val="left"/>
          </w:pPr>
          <w:hyperlink w:history="true" w:anchor="_TOC_250009">
            <w:r>
              <w:rPr/>
              <w:t>Vocational</w:t>
            </w:r>
            <w:r>
              <w:rPr>
                <w:spacing w:val="22"/>
              </w:rPr>
              <w:t> </w:t>
            </w:r>
            <w:r>
              <w:rPr>
                <w:spacing w:val="-2"/>
              </w:rPr>
              <w:t>Rehabilitation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96</w:t>
            </w:r>
          </w:hyperlink>
        </w:p>
        <w:p>
          <w:pPr>
            <w:pStyle w:val="TOC2"/>
            <w:numPr>
              <w:ilvl w:val="1"/>
              <w:numId w:val="3"/>
            </w:numPr>
            <w:tabs>
              <w:tab w:pos="573" w:val="left" w:leader="none"/>
              <w:tab w:pos="4924" w:val="left" w:leader="none"/>
              <w:tab w:pos="5601" w:val="left" w:leader="none"/>
              <w:tab w:pos="6278" w:val="left" w:leader="none"/>
              <w:tab w:pos="6955" w:val="left" w:leader="none"/>
              <w:tab w:pos="7631" w:val="left" w:leader="none"/>
            </w:tabs>
            <w:spacing w:line="240" w:lineRule="auto" w:before="65" w:after="0"/>
            <w:ind w:left="573" w:right="0" w:hanging="386"/>
            <w:jc w:val="left"/>
          </w:pPr>
          <w:hyperlink w:history="true" w:anchor="_TOC_250008">
            <w:r>
              <w:rPr/>
              <w:t>Procedures</w:t>
            </w:r>
            <w:r>
              <w:rPr>
                <w:spacing w:val="9"/>
              </w:rPr>
              <w:t> </w:t>
            </w:r>
            <w:r>
              <w:rPr/>
              <w:t>for</w:t>
            </w:r>
            <w:r>
              <w:rPr>
                <w:spacing w:val="15"/>
              </w:rPr>
              <w:t> </w:t>
            </w:r>
            <w:r>
              <w:rPr/>
              <w:t>Claim</w:t>
            </w:r>
            <w:r>
              <w:rPr>
                <w:spacing w:val="7"/>
              </w:rPr>
              <w:t> </w:t>
            </w:r>
            <w:r>
              <w:rPr/>
              <w:t>of</w:t>
            </w:r>
            <w:r>
              <w:rPr>
                <w:spacing w:val="10"/>
              </w:rPr>
              <w:t> </w:t>
            </w:r>
            <w:r>
              <w:rPr>
                <w:spacing w:val="-2"/>
              </w:rPr>
              <w:t>Compensation</w:t>
            </w:r>
            <w:r>
              <w:rPr/>
              <w:tab/>
            </w:r>
            <w:r>
              <w:rPr>
                <w:spacing w:val="-10"/>
              </w:rPr>
              <w:t>-</w:t>
            </w:r>
            <w:r>
              <w:rPr/>
              <w:tab/>
            </w:r>
            <w:r>
              <w:rPr>
                <w:spacing w:val="-10"/>
              </w:rPr>
              <w:t>-</w:t>
            </w:r>
            <w:r>
              <w:rPr/>
              <w:tab/>
            </w:r>
            <w:r>
              <w:rPr>
                <w:spacing w:val="-10"/>
              </w:rPr>
              <w:t>-</w:t>
            </w:r>
            <w:r>
              <w:rPr/>
              <w:tab/>
            </w:r>
            <w:r>
              <w:rPr>
                <w:spacing w:val="-10"/>
              </w:rPr>
              <w:t>-</w:t>
            </w:r>
            <w:r>
              <w:rPr/>
              <w:tab/>
            </w:r>
            <w:r>
              <w:rPr>
                <w:spacing w:val="-5"/>
              </w:rPr>
              <w:t>99</w:t>
            </w:r>
          </w:hyperlink>
        </w:p>
        <w:p>
          <w:pPr>
            <w:pStyle w:val="TOC2"/>
            <w:numPr>
              <w:ilvl w:val="2"/>
              <w:numId w:val="3"/>
            </w:numPr>
            <w:tabs>
              <w:tab w:pos="861" w:val="left" w:leader="none"/>
              <w:tab w:pos="4924" w:val="left" w:leader="none"/>
              <w:tab w:pos="5601" w:val="left" w:leader="none"/>
              <w:tab w:pos="6278" w:val="left" w:leader="none"/>
              <w:tab w:pos="6955" w:val="left" w:leader="none"/>
              <w:tab w:pos="7631" w:val="left" w:leader="none"/>
            </w:tabs>
            <w:spacing w:line="240" w:lineRule="auto" w:before="56" w:after="0"/>
            <w:ind w:left="861" w:right="0" w:hanging="674"/>
            <w:jc w:val="left"/>
          </w:pPr>
          <w:hyperlink w:history="true" w:anchor="_TOC_250007">
            <w:r>
              <w:rPr/>
              <w:t>Employee’s</w:t>
            </w:r>
            <w:r>
              <w:rPr>
                <w:spacing w:val="11"/>
              </w:rPr>
              <w:t> </w:t>
            </w:r>
            <w:r>
              <w:rPr/>
              <w:t>Notification</w:t>
            </w:r>
            <w:r>
              <w:rPr>
                <w:spacing w:val="5"/>
              </w:rPr>
              <w:t> </w:t>
            </w:r>
            <w:r>
              <w:rPr/>
              <w:t>of</w:t>
            </w:r>
            <w:r>
              <w:rPr>
                <w:spacing w:val="17"/>
              </w:rPr>
              <w:t> </w:t>
            </w:r>
            <w:r>
              <w:rPr/>
              <w:t>Injury</w:t>
            </w:r>
            <w:r>
              <w:rPr>
                <w:spacing w:val="71"/>
                <w:w w:val="150"/>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100</w:t>
            </w:r>
          </w:hyperlink>
        </w:p>
        <w:p>
          <w:pPr>
            <w:pStyle w:val="TOC2"/>
            <w:numPr>
              <w:ilvl w:val="2"/>
              <w:numId w:val="3"/>
            </w:numPr>
            <w:tabs>
              <w:tab w:pos="861" w:val="left" w:leader="none"/>
              <w:tab w:pos="4247" w:val="left" w:leader="none"/>
              <w:tab w:pos="4924" w:val="left" w:leader="none"/>
              <w:tab w:pos="5601" w:val="left" w:leader="none"/>
              <w:tab w:pos="6278" w:val="left" w:leader="none"/>
              <w:tab w:pos="6955" w:val="left" w:leader="none"/>
              <w:tab w:pos="7631" w:val="left" w:leader="none"/>
            </w:tabs>
            <w:spacing w:line="240" w:lineRule="auto" w:before="61" w:after="0"/>
            <w:ind w:left="861" w:right="0" w:hanging="674"/>
            <w:jc w:val="left"/>
          </w:pPr>
          <w:hyperlink w:history="true" w:anchor="_TOC_250006">
            <w:r>
              <w:rPr/>
              <w:t>Application</w:t>
            </w:r>
            <w:r>
              <w:rPr>
                <w:spacing w:val="14"/>
              </w:rPr>
              <w:t> </w:t>
            </w:r>
            <w:r>
              <w:rPr/>
              <w:t>for</w:t>
            </w:r>
            <w:r>
              <w:rPr>
                <w:spacing w:val="16"/>
              </w:rPr>
              <w:t> </w:t>
            </w:r>
            <w:r>
              <w:rPr>
                <w:spacing w:val="-2"/>
              </w:rPr>
              <w:t>Compensation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102</w:t>
            </w:r>
          </w:hyperlink>
        </w:p>
        <w:p>
          <w:pPr>
            <w:pStyle w:val="TOC2"/>
            <w:numPr>
              <w:ilvl w:val="2"/>
              <w:numId w:val="3"/>
            </w:numPr>
            <w:tabs>
              <w:tab w:pos="861" w:val="left" w:leader="none"/>
              <w:tab w:pos="6278" w:val="left" w:leader="none"/>
              <w:tab w:pos="6955" w:val="left" w:leader="none"/>
              <w:tab w:pos="7631" w:val="left" w:leader="none"/>
            </w:tabs>
            <w:spacing w:line="240" w:lineRule="auto" w:before="66" w:after="0"/>
            <w:ind w:left="861" w:right="0" w:hanging="674"/>
            <w:jc w:val="left"/>
          </w:pPr>
          <w:hyperlink w:history="true" w:anchor="_TOC_250005">
            <w:r>
              <w:rPr/>
              <w:t>Limitation</w:t>
            </w:r>
            <w:r>
              <w:rPr>
                <w:spacing w:val="7"/>
              </w:rPr>
              <w:t> </w:t>
            </w:r>
            <w:r>
              <w:rPr/>
              <w:t>of</w:t>
            </w:r>
            <w:r>
              <w:rPr>
                <w:spacing w:val="14"/>
              </w:rPr>
              <w:t> </w:t>
            </w:r>
            <w:r>
              <w:rPr/>
              <w:t>Action,</w:t>
            </w:r>
            <w:r>
              <w:rPr>
                <w:spacing w:val="18"/>
              </w:rPr>
              <w:t> </w:t>
            </w:r>
            <w:r>
              <w:rPr/>
              <w:t>Subrogation</w:t>
            </w:r>
            <w:r>
              <w:rPr>
                <w:spacing w:val="13"/>
              </w:rPr>
              <w:t> </w:t>
            </w:r>
            <w:r>
              <w:rPr/>
              <w:t>and</w:t>
            </w:r>
            <w:r>
              <w:rPr>
                <w:spacing w:val="14"/>
              </w:rPr>
              <w:t> </w:t>
            </w:r>
            <w:r>
              <w:rPr>
                <w:spacing w:val="-2"/>
              </w:rPr>
              <w:t>Indemnity</w:t>
            </w:r>
            <w:r>
              <w:rPr/>
              <w:tab/>
            </w:r>
            <w:r>
              <w:rPr>
                <w:spacing w:val="-10"/>
              </w:rPr>
              <w:t>-</w:t>
            </w:r>
            <w:r>
              <w:rPr/>
              <w:tab/>
            </w:r>
            <w:r>
              <w:rPr>
                <w:spacing w:val="-10"/>
              </w:rPr>
              <w:t>-</w:t>
            </w:r>
            <w:r>
              <w:rPr/>
              <w:tab/>
            </w:r>
            <w:r>
              <w:rPr>
                <w:spacing w:val="-5"/>
              </w:rPr>
              <w:t>106</w:t>
            </w:r>
          </w:hyperlink>
        </w:p>
        <w:p>
          <w:pPr>
            <w:pStyle w:val="TOC2"/>
            <w:numPr>
              <w:ilvl w:val="2"/>
              <w:numId w:val="3"/>
            </w:numPr>
            <w:tabs>
              <w:tab w:pos="861"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56" w:after="0"/>
            <w:ind w:left="861" w:right="0" w:hanging="674"/>
            <w:jc w:val="left"/>
          </w:pPr>
          <w:hyperlink w:history="true" w:anchor="_TOC_250004">
            <w:r>
              <w:rPr/>
              <w:t>Right</w:t>
            </w:r>
            <w:r>
              <w:rPr>
                <w:spacing w:val="6"/>
              </w:rPr>
              <w:t> </w:t>
            </w:r>
            <w:r>
              <w:rPr/>
              <w:t>of</w:t>
            </w:r>
            <w:r>
              <w:rPr>
                <w:spacing w:val="16"/>
              </w:rPr>
              <w:t> </w:t>
            </w:r>
            <w:r>
              <w:rPr>
                <w:spacing w:val="-2"/>
              </w:rPr>
              <w:t>Appeal</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108</w:t>
            </w:r>
          </w:hyperlink>
        </w:p>
        <w:p>
          <w:pPr>
            <w:pStyle w:val="TOC7"/>
          </w:pPr>
          <w:hyperlink w:history="true" w:anchor="_TOC_250003">
            <w:r>
              <w:rPr/>
              <w:t>Chapter</w:t>
            </w:r>
            <w:r>
              <w:rPr>
                <w:spacing w:val="19"/>
              </w:rPr>
              <w:t> </w:t>
            </w:r>
            <w:r>
              <w:rPr>
                <w:spacing w:val="-4"/>
              </w:rPr>
              <w:t>Four</w:t>
            </w:r>
          </w:hyperlink>
        </w:p>
        <w:p>
          <w:pPr>
            <w:pStyle w:val="TOC5"/>
          </w:pPr>
          <w:hyperlink w:history="true" w:anchor="_TOC_250002">
            <w:r>
              <w:rPr/>
              <w:t>Challenges</w:t>
            </w:r>
            <w:r>
              <w:rPr>
                <w:spacing w:val="16"/>
              </w:rPr>
              <w:t> </w:t>
            </w:r>
            <w:r>
              <w:rPr/>
              <w:t>of</w:t>
            </w:r>
            <w:r>
              <w:rPr>
                <w:spacing w:val="16"/>
              </w:rPr>
              <w:t> </w:t>
            </w:r>
            <w:r>
              <w:rPr/>
              <w:t>Employees’</w:t>
            </w:r>
            <w:r>
              <w:rPr>
                <w:spacing w:val="18"/>
              </w:rPr>
              <w:t> </w:t>
            </w:r>
            <w:r>
              <w:rPr/>
              <w:t>Compensation</w:t>
            </w:r>
            <w:r>
              <w:rPr>
                <w:spacing w:val="22"/>
              </w:rPr>
              <w:t> </w:t>
            </w:r>
            <w:r>
              <w:rPr/>
              <w:t>in</w:t>
            </w:r>
            <w:r>
              <w:rPr>
                <w:spacing w:val="17"/>
              </w:rPr>
              <w:t> </w:t>
            </w:r>
            <w:r>
              <w:rPr>
                <w:spacing w:val="-2"/>
              </w:rPr>
              <w:t>Nigeria</w:t>
            </w:r>
          </w:hyperlink>
        </w:p>
        <w:p>
          <w:pPr>
            <w:pStyle w:val="TOC2"/>
            <w:numPr>
              <w:ilvl w:val="1"/>
              <w:numId w:val="4"/>
            </w:numPr>
            <w:tabs>
              <w:tab w:pos="645"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5" w:after="0"/>
            <w:ind w:left="645" w:right="0" w:hanging="458"/>
            <w:jc w:val="left"/>
          </w:pPr>
          <w:r>
            <w:rPr>
              <w:spacing w:val="-2"/>
            </w:rPr>
            <w:t>Introduction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112</w:t>
          </w:r>
        </w:p>
        <w:p>
          <w:pPr>
            <w:pStyle w:val="TOC2"/>
            <w:numPr>
              <w:ilvl w:val="1"/>
              <w:numId w:val="4"/>
            </w:numPr>
            <w:tabs>
              <w:tab w:pos="645"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56" w:after="0"/>
            <w:ind w:left="645" w:right="0" w:hanging="458"/>
            <w:jc w:val="left"/>
          </w:pPr>
          <w:r>
            <w:rPr/>
            <w:t>Data</w:t>
          </w:r>
          <w:r>
            <w:rPr>
              <w:spacing w:val="7"/>
            </w:rPr>
            <w:t> </w:t>
          </w:r>
          <w:r>
            <w:rPr>
              <w:spacing w:val="-2"/>
            </w:rPr>
            <w:t>Presentation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112</w:t>
          </w:r>
        </w:p>
        <w:p>
          <w:pPr>
            <w:pStyle w:val="TOC2"/>
            <w:numPr>
              <w:ilvl w:val="1"/>
              <w:numId w:val="4"/>
            </w:numPr>
            <w:tabs>
              <w:tab w:pos="645"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6" w:after="0"/>
            <w:ind w:left="645" w:right="0" w:hanging="458"/>
            <w:jc w:val="left"/>
          </w:pPr>
          <w:r>
            <w:rPr/>
            <w:t>Data</w:t>
          </w:r>
          <w:r>
            <w:rPr>
              <w:spacing w:val="12"/>
            </w:rPr>
            <w:t> </w:t>
          </w:r>
          <w:r>
            <w:rPr>
              <w:spacing w:val="-2"/>
            </w:rPr>
            <w:t>Analysis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114</w:t>
          </w:r>
        </w:p>
        <w:p>
          <w:pPr>
            <w:pStyle w:val="TOC2"/>
            <w:numPr>
              <w:ilvl w:val="2"/>
              <w:numId w:val="4"/>
            </w:numPr>
            <w:tabs>
              <w:tab w:pos="76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61" w:after="0"/>
            <w:ind w:left="764" w:right="0" w:hanging="577"/>
            <w:jc w:val="left"/>
          </w:pPr>
          <w:r>
            <w:rPr/>
            <w:t>Challenges</w:t>
          </w:r>
          <w:r>
            <w:rPr>
              <w:spacing w:val="8"/>
            </w:rPr>
            <w:t> </w:t>
          </w:r>
          <w:r>
            <w:rPr/>
            <w:t>of</w:t>
          </w:r>
          <w:r>
            <w:rPr>
              <w:spacing w:val="15"/>
            </w:rPr>
            <w:t> </w:t>
          </w:r>
          <w:r>
            <w:rPr>
              <w:spacing w:val="-2"/>
            </w:rPr>
            <w:t>Awareness</w:t>
          </w:r>
          <w:r>
            <w:rPr/>
            <w:tab/>
            <w:t>-</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115</w:t>
          </w:r>
        </w:p>
        <w:p>
          <w:pPr>
            <w:pStyle w:val="TOC2"/>
            <w:numPr>
              <w:ilvl w:val="2"/>
              <w:numId w:val="4"/>
            </w:numPr>
            <w:tabs>
              <w:tab w:pos="764" w:val="left" w:leader="none"/>
              <w:tab w:pos="4247" w:val="left" w:leader="none"/>
              <w:tab w:pos="4924" w:val="left" w:leader="none"/>
              <w:tab w:pos="5601" w:val="left" w:leader="none"/>
              <w:tab w:pos="6278" w:val="left" w:leader="none"/>
              <w:tab w:pos="6955" w:val="left" w:leader="none"/>
              <w:tab w:pos="7631" w:val="left" w:leader="none"/>
            </w:tabs>
            <w:spacing w:line="240" w:lineRule="auto" w:before="56" w:after="0"/>
            <w:ind w:left="764" w:right="0" w:hanging="577"/>
            <w:jc w:val="left"/>
          </w:pPr>
          <w:r>
            <w:rPr/>
            <w:t>Challenges</w:t>
          </w:r>
          <w:r>
            <w:rPr>
              <w:spacing w:val="11"/>
            </w:rPr>
            <w:t> </w:t>
          </w:r>
          <w:r>
            <w:rPr/>
            <w:t>of</w:t>
          </w:r>
          <w:r>
            <w:rPr>
              <w:spacing w:val="12"/>
            </w:rPr>
            <w:t> </w:t>
          </w:r>
          <w:r>
            <w:rPr>
              <w:spacing w:val="-2"/>
            </w:rPr>
            <w:t>Implementation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116</w:t>
          </w:r>
        </w:p>
        <w:p>
          <w:pPr>
            <w:pStyle w:val="TOC8"/>
            <w:spacing w:line="295" w:lineRule="auto" w:before="392"/>
            <w:ind w:firstLine="1257"/>
          </w:pPr>
          <w:hyperlink w:history="true" w:anchor="_TOC_250001">
            <w:r>
              <w:rPr/>
              <w:t>Chapter five</w:t>
            </w:r>
            <w:r>
              <w:rPr>
                <w:spacing w:val="80"/>
              </w:rPr>
              <w:t> </w:t>
            </w:r>
            <w:r>
              <w:rPr/>
              <w:t>Conclusion and Recommendations</w:t>
            </w:r>
          </w:hyperlink>
        </w:p>
        <w:p>
          <w:pPr>
            <w:pStyle w:val="TOC4"/>
            <w:numPr>
              <w:ilvl w:val="1"/>
              <w:numId w:val="5"/>
            </w:numPr>
            <w:tabs>
              <w:tab w:pos="863"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5" w:after="0"/>
            <w:ind w:left="863" w:right="0" w:hanging="590"/>
            <w:jc w:val="left"/>
          </w:pPr>
          <w:r>
            <w:rPr>
              <w:spacing w:val="-2"/>
              <w:w w:val="105"/>
            </w:rPr>
            <w:t>Summary</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5"/>
              <w:w w:val="105"/>
            </w:rPr>
            <w:t>122</w:t>
          </w:r>
        </w:p>
        <w:p>
          <w:pPr>
            <w:pStyle w:val="TOC4"/>
            <w:numPr>
              <w:ilvl w:val="1"/>
              <w:numId w:val="5"/>
            </w:numPr>
            <w:tabs>
              <w:tab w:pos="863" w:val="left" w:leader="none"/>
              <w:tab w:pos="2217"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248" w:after="0"/>
            <w:ind w:left="863" w:right="0" w:hanging="590"/>
            <w:jc w:val="left"/>
          </w:pPr>
          <w:r>
            <w:rPr>
              <w:spacing w:val="-2"/>
              <w:w w:val="105"/>
            </w:rPr>
            <w:t>Findings</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5"/>
              <w:w w:val="105"/>
            </w:rPr>
            <w:t>127</w:t>
          </w:r>
        </w:p>
        <w:p>
          <w:pPr>
            <w:pStyle w:val="TOC4"/>
            <w:numPr>
              <w:ilvl w:val="1"/>
              <w:numId w:val="5"/>
            </w:numPr>
            <w:tabs>
              <w:tab w:pos="863" w:val="left" w:leader="none"/>
              <w:tab w:pos="2894" w:val="left" w:leader="none"/>
              <w:tab w:pos="3571" w:val="left" w:leader="none"/>
              <w:tab w:pos="4247" w:val="left" w:leader="none"/>
              <w:tab w:pos="4924" w:val="left" w:leader="none"/>
              <w:tab w:pos="5601" w:val="left" w:leader="none"/>
              <w:tab w:pos="6278" w:val="left" w:leader="none"/>
              <w:tab w:pos="6955" w:val="left" w:leader="none"/>
              <w:tab w:pos="7631" w:val="left" w:leader="none"/>
            </w:tabs>
            <w:spacing w:line="240" w:lineRule="auto" w:before="244" w:after="20"/>
            <w:ind w:left="863" w:right="0" w:hanging="590"/>
            <w:jc w:val="left"/>
          </w:pPr>
          <w:r>
            <w:rPr>
              <w:spacing w:val="-2"/>
              <w:w w:val="105"/>
            </w:rPr>
            <w:t>Recommendations</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10"/>
              <w:w w:val="105"/>
            </w:rPr>
            <w:t>-</w:t>
          </w:r>
          <w:r>
            <w:rPr/>
            <w:tab/>
          </w:r>
          <w:r>
            <w:rPr>
              <w:spacing w:val="-5"/>
              <w:w w:val="105"/>
            </w:rPr>
            <w:t>132</w:t>
          </w:r>
        </w:p>
        <w:p>
          <w:pPr>
            <w:pStyle w:val="TOC3"/>
            <w:numPr>
              <w:ilvl w:val="1"/>
              <w:numId w:val="5"/>
            </w:numPr>
            <w:tabs>
              <w:tab w:pos="944" w:val="left" w:leader="none"/>
              <w:tab w:pos="3571" w:val="left" w:leader="none"/>
              <w:tab w:pos="4247" w:val="left" w:leader="none"/>
              <w:tab w:pos="4924" w:val="left" w:leader="none"/>
              <w:tab w:pos="5601" w:val="left" w:leader="none"/>
              <w:tab w:pos="6278" w:val="left" w:leader="none"/>
              <w:tab w:pos="6955" w:val="left" w:leader="none"/>
              <w:tab w:pos="8004" w:val="right" w:leader="none"/>
            </w:tabs>
            <w:spacing w:line="240" w:lineRule="auto" w:before="94" w:after="0"/>
            <w:ind w:left="944" w:right="0" w:hanging="671"/>
            <w:jc w:val="left"/>
          </w:pPr>
          <w:r>
            <w:rPr/>
            <w:t>Concluding</w:t>
          </w:r>
          <w:r>
            <w:rPr>
              <w:spacing w:val="20"/>
            </w:rPr>
            <w:t> </w:t>
          </w:r>
          <w:r>
            <w:rPr>
              <w:spacing w:val="-2"/>
            </w:rPr>
            <w:t>Remarks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135</w:t>
          </w:r>
        </w:p>
        <w:p>
          <w:pPr>
            <w:pStyle w:val="TOC6"/>
            <w:tabs>
              <w:tab w:pos="2894" w:val="left" w:leader="none"/>
              <w:tab w:pos="3571" w:val="left" w:leader="none"/>
              <w:tab w:pos="4247" w:val="left" w:leader="none"/>
              <w:tab w:pos="4924" w:val="left" w:leader="none"/>
              <w:tab w:pos="5601" w:val="left" w:leader="none"/>
              <w:tab w:pos="6278" w:val="left" w:leader="none"/>
              <w:tab w:pos="6955" w:val="left" w:leader="none"/>
              <w:tab w:pos="8004" w:val="right" w:leader="none"/>
            </w:tabs>
          </w:pPr>
          <w:hyperlink w:history="true" w:anchor="_TOC_250000">
            <w:r>
              <w:rPr/>
              <w:t>Bibliography</w:t>
            </w:r>
            <w:r>
              <w:rPr>
                <w:spacing w:val="48"/>
                <w:w w:val="150"/>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137</w:t>
            </w:r>
          </w:hyperlink>
        </w:p>
      </w:sdtContent>
    </w:sdt>
    <w:p>
      <w:pPr>
        <w:spacing w:after="0"/>
        <w:sectPr>
          <w:type w:val="continuous"/>
          <w:pgSz w:w="12240" w:h="15840"/>
          <w:pgMar w:header="0" w:footer="1009" w:top="1260" w:bottom="1508" w:left="1680" w:right="1320"/>
        </w:sectPr>
      </w:pPr>
    </w:p>
    <w:p>
      <w:pPr>
        <w:pStyle w:val="Heading1"/>
        <w:spacing w:line="480" w:lineRule="auto" w:before="74"/>
        <w:ind w:left="3076" w:right="2866" w:firstLine="753"/>
        <w:jc w:val="left"/>
      </w:pPr>
      <w:bookmarkStart w:name="_TOC_250029" w:id="1"/>
      <w:r>
        <w:rPr/>
        <w:t>CHAPTER ONE GENERAL</w:t>
      </w:r>
      <w:r>
        <w:rPr>
          <w:spacing w:val="-19"/>
        </w:rPr>
        <w:t> </w:t>
      </w:r>
      <w:bookmarkEnd w:id="1"/>
      <w:r>
        <w:rPr/>
        <w:t>INTRODUCTION</w:t>
      </w:r>
    </w:p>
    <w:p>
      <w:pPr>
        <w:pStyle w:val="ListParagraph"/>
        <w:numPr>
          <w:ilvl w:val="1"/>
          <w:numId w:val="6"/>
        </w:numPr>
        <w:tabs>
          <w:tab w:pos="1055" w:val="left" w:leader="none"/>
        </w:tabs>
        <w:spacing w:line="300" w:lineRule="exact" w:before="0" w:after="0"/>
        <w:ind w:left="1055" w:right="0" w:hanging="720"/>
        <w:jc w:val="left"/>
        <w:rPr>
          <w:b/>
          <w:sz w:val="25"/>
        </w:rPr>
      </w:pPr>
      <w:r>
        <w:rPr>
          <w:b/>
          <w:sz w:val="25"/>
        </w:rPr>
        <w:t>Background</w:t>
      </w:r>
      <w:r>
        <w:rPr>
          <w:b/>
          <w:spacing w:val="-10"/>
          <w:sz w:val="25"/>
        </w:rPr>
        <w:t> </w:t>
      </w:r>
      <w:r>
        <w:rPr>
          <w:b/>
          <w:sz w:val="25"/>
        </w:rPr>
        <w:t>of</w:t>
      </w:r>
      <w:r>
        <w:rPr>
          <w:b/>
          <w:spacing w:val="-11"/>
          <w:sz w:val="25"/>
        </w:rPr>
        <w:t> </w:t>
      </w:r>
      <w:r>
        <w:rPr>
          <w:b/>
          <w:sz w:val="25"/>
        </w:rPr>
        <w:t>the</w:t>
      </w:r>
      <w:r>
        <w:rPr>
          <w:b/>
          <w:spacing w:val="-11"/>
          <w:sz w:val="25"/>
        </w:rPr>
        <w:t> </w:t>
      </w:r>
      <w:r>
        <w:rPr>
          <w:b/>
          <w:spacing w:val="-4"/>
          <w:sz w:val="25"/>
        </w:rPr>
        <w:t>Study</w:t>
      </w:r>
    </w:p>
    <w:p>
      <w:pPr>
        <w:pStyle w:val="BodyText"/>
        <w:spacing w:before="1"/>
        <w:rPr>
          <w:b/>
          <w:sz w:val="25"/>
        </w:rPr>
      </w:pPr>
    </w:p>
    <w:p>
      <w:pPr>
        <w:spacing w:line="480" w:lineRule="auto" w:before="1"/>
        <w:ind w:left="1056" w:right="124" w:firstLine="0"/>
        <w:jc w:val="both"/>
        <w:rPr>
          <w:sz w:val="25"/>
        </w:rPr>
      </w:pPr>
      <w:r>
        <w:rPr>
          <w:sz w:val="25"/>
        </w:rPr>
        <w:t>This chapter explains the background structure of the research. It lays out the statement of the research problem, the objectives, the scope, the research methodology, literature review and the organisational structure amongst other things.</w:t>
      </w:r>
    </w:p>
    <w:p>
      <w:pPr>
        <w:pStyle w:val="BodyText"/>
        <w:rPr>
          <w:sz w:val="25"/>
        </w:rPr>
      </w:pPr>
    </w:p>
    <w:p>
      <w:pPr>
        <w:spacing w:line="480" w:lineRule="auto" w:before="1"/>
        <w:ind w:left="1056" w:right="117" w:firstLine="0"/>
        <w:jc w:val="both"/>
        <w:rPr>
          <w:sz w:val="25"/>
        </w:rPr>
      </w:pPr>
      <w:r>
        <w:rPr>
          <w:sz w:val="25"/>
        </w:rPr>
        <w:t>In man’s search for food and other necessaries in life, he is constantly exposed to hazards.</w:t>
      </w:r>
      <w:r>
        <w:rPr>
          <w:sz w:val="25"/>
          <w:vertAlign w:val="superscript"/>
        </w:rPr>
        <w:t>1</w:t>
      </w:r>
      <w:r>
        <w:rPr>
          <w:sz w:val="25"/>
          <w:vertAlign w:val="baseline"/>
        </w:rPr>
        <w:t> A person who is constantly searching for means of livelihood, may lose life, limb, eye, ear, teeth etc and others may become totally disabled.</w:t>
      </w:r>
      <w:r>
        <w:rPr>
          <w:spacing w:val="40"/>
          <w:sz w:val="25"/>
          <w:vertAlign w:val="baseline"/>
        </w:rPr>
        <w:t> </w:t>
      </w:r>
      <w:r>
        <w:rPr>
          <w:sz w:val="25"/>
          <w:vertAlign w:val="baseline"/>
        </w:rPr>
        <w:t>Teachers, medical doctors, lawyers, pilots, menial workers etc face job-related risks daily.</w:t>
      </w:r>
      <w:r>
        <w:rPr>
          <w:sz w:val="25"/>
          <w:vertAlign w:val="superscript"/>
        </w:rPr>
        <w:t>2</w:t>
      </w:r>
      <w:r>
        <w:rPr>
          <w:sz w:val="25"/>
          <w:vertAlign w:val="baseline"/>
        </w:rPr>
        <w:t> A worker’s ability to</w:t>
      </w:r>
      <w:r>
        <w:rPr>
          <w:spacing w:val="40"/>
          <w:sz w:val="25"/>
          <w:vertAlign w:val="baseline"/>
        </w:rPr>
        <w:t> </w:t>
      </w:r>
      <w:r>
        <w:rPr>
          <w:sz w:val="25"/>
          <w:vertAlign w:val="baseline"/>
        </w:rPr>
        <w:t>work is his security, but when confronted with injuries or death, it</w:t>
      </w:r>
      <w:r>
        <w:rPr>
          <w:spacing w:val="40"/>
          <w:sz w:val="25"/>
          <w:vertAlign w:val="baseline"/>
        </w:rPr>
        <w:t> </w:t>
      </w:r>
      <w:r>
        <w:rPr>
          <w:sz w:val="25"/>
          <w:vertAlign w:val="baseline"/>
        </w:rPr>
        <w:t>affects his ability to earn a living and to provide for his dependants. The employer would always want to be exonerated from liability for job- related risks and the laws over the years have evolved ways of compensating</w:t>
      </w:r>
      <w:r>
        <w:rPr>
          <w:spacing w:val="65"/>
          <w:w w:val="150"/>
          <w:sz w:val="25"/>
          <w:vertAlign w:val="baseline"/>
        </w:rPr>
        <w:t> </w:t>
      </w:r>
      <w:r>
        <w:rPr>
          <w:sz w:val="25"/>
          <w:vertAlign w:val="baseline"/>
        </w:rPr>
        <w:t>injured</w:t>
      </w:r>
      <w:r>
        <w:rPr>
          <w:spacing w:val="65"/>
          <w:w w:val="150"/>
          <w:sz w:val="25"/>
          <w:vertAlign w:val="baseline"/>
        </w:rPr>
        <w:t> </w:t>
      </w:r>
      <w:r>
        <w:rPr>
          <w:sz w:val="25"/>
          <w:vertAlign w:val="baseline"/>
        </w:rPr>
        <w:t>employees</w:t>
      </w:r>
      <w:r>
        <w:rPr>
          <w:spacing w:val="64"/>
          <w:w w:val="150"/>
          <w:sz w:val="25"/>
          <w:vertAlign w:val="baseline"/>
        </w:rPr>
        <w:t> </w:t>
      </w:r>
      <w:r>
        <w:rPr>
          <w:sz w:val="25"/>
          <w:vertAlign w:val="baseline"/>
        </w:rPr>
        <w:t>or</w:t>
      </w:r>
      <w:r>
        <w:rPr>
          <w:spacing w:val="65"/>
          <w:w w:val="150"/>
          <w:sz w:val="25"/>
          <w:vertAlign w:val="baseline"/>
        </w:rPr>
        <w:t> </w:t>
      </w:r>
      <w:r>
        <w:rPr>
          <w:sz w:val="25"/>
          <w:vertAlign w:val="baseline"/>
        </w:rPr>
        <w:t>their</w:t>
      </w:r>
      <w:r>
        <w:rPr>
          <w:spacing w:val="65"/>
          <w:w w:val="150"/>
          <w:sz w:val="25"/>
          <w:vertAlign w:val="baseline"/>
        </w:rPr>
        <w:t> </w:t>
      </w:r>
      <w:r>
        <w:rPr>
          <w:sz w:val="25"/>
          <w:vertAlign w:val="baseline"/>
        </w:rPr>
        <w:t>dependants</w:t>
      </w:r>
      <w:r>
        <w:rPr>
          <w:spacing w:val="64"/>
          <w:w w:val="150"/>
          <w:sz w:val="25"/>
          <w:vertAlign w:val="baseline"/>
        </w:rPr>
        <w:t> </w:t>
      </w:r>
      <w:r>
        <w:rPr>
          <w:sz w:val="25"/>
          <w:vertAlign w:val="baseline"/>
        </w:rPr>
        <w:t>in</w:t>
      </w:r>
      <w:r>
        <w:rPr>
          <w:spacing w:val="64"/>
          <w:w w:val="150"/>
          <w:sz w:val="25"/>
          <w:vertAlign w:val="baseline"/>
        </w:rPr>
        <w:t> </w:t>
      </w:r>
      <w:r>
        <w:rPr>
          <w:spacing w:val="-2"/>
          <w:sz w:val="25"/>
          <w:vertAlign w:val="baseline"/>
        </w:rPr>
        <w:t>situations</w:t>
      </w:r>
    </w:p>
    <w:p>
      <w:pPr>
        <w:pStyle w:val="BodyText"/>
        <w:spacing w:before="199"/>
        <w:rPr>
          <w:sz w:val="20"/>
        </w:rPr>
      </w:pPr>
      <w:r>
        <w:rPr/>
        <mc:AlternateContent>
          <mc:Choice Requires="wps">
            <w:drawing>
              <wp:anchor distT="0" distB="0" distL="0" distR="0" allowOverlap="1" layoutInCell="1" locked="0" behindDoc="1" simplePos="0" relativeHeight="487592960">
                <wp:simplePos x="0" y="0"/>
                <wp:positionH relativeFrom="page">
                  <wp:posOffset>1280160</wp:posOffset>
                </wp:positionH>
                <wp:positionV relativeFrom="paragraph">
                  <wp:posOffset>294962</wp:posOffset>
                </wp:positionV>
                <wp:extent cx="1828800" cy="6350"/>
                <wp:effectExtent l="0" t="0" r="0" b="0"/>
                <wp:wrapTopAndBottom/>
                <wp:docPr id="13" name="Graphic 13"/>
                <wp:cNvGraphicFramePr>
                  <a:graphicFrameLocks/>
                </wp:cNvGraphicFramePr>
                <a:graphic>
                  <a:graphicData uri="http://schemas.microsoft.com/office/word/2010/wordprocessingShape">
                    <wps:wsp>
                      <wps:cNvPr id="13" name="Graphic 13"/>
                      <wps:cNvSpPr/>
                      <wps:spPr>
                        <a:xfrm>
                          <a:off x="0" y="0"/>
                          <a:ext cx="1828800" cy="6350"/>
                        </a:xfrm>
                        <a:custGeom>
                          <a:avLst/>
                          <a:gdLst/>
                          <a:ahLst/>
                          <a:cxnLst/>
                          <a:rect l="l" t="t" r="r" b="b"/>
                          <a:pathLst>
                            <a:path w="1828800" h="6350">
                              <a:moveTo>
                                <a:pt x="1828800" y="0"/>
                              </a:moveTo>
                              <a:lnTo>
                                <a:pt x="0" y="0"/>
                              </a:lnTo>
                              <a:lnTo>
                                <a:pt x="0" y="6096"/>
                              </a:lnTo>
                              <a:lnTo>
                                <a:pt x="1828800" y="6096"/>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23.225401pt;width:144pt;height:.48pt;mso-position-horizontal-relative:page;mso-position-vertical-relative:paragraph;z-index:-15723520;mso-wrap-distance-left:0;mso-wrap-distance-right:0" id="docshape13" filled="true" fillcolor="#000000" stroked="false">
                <v:fill type="solid"/>
                <w10:wrap type="topAndBottom"/>
              </v:rect>
            </w:pict>
          </mc:Fallback>
        </mc:AlternateContent>
      </w:r>
    </w:p>
    <w:p>
      <w:pPr>
        <w:spacing w:line="249" w:lineRule="auto" w:before="120"/>
        <w:ind w:left="335" w:right="123" w:firstLine="0"/>
        <w:jc w:val="left"/>
        <w:rPr>
          <w:rFonts w:ascii="Times New Roman" w:hAnsi="Times New Roman"/>
          <w:sz w:val="18"/>
        </w:rPr>
      </w:pPr>
      <w:r>
        <w:rPr>
          <w:rFonts w:ascii="Times New Roman" w:hAnsi="Times New Roman"/>
          <w:sz w:val="18"/>
          <w:vertAlign w:val="superscript"/>
        </w:rPr>
        <w:t>1</w:t>
      </w:r>
      <w:r>
        <w:rPr>
          <w:rFonts w:ascii="Times New Roman" w:hAnsi="Times New Roman"/>
          <w:sz w:val="18"/>
          <w:vertAlign w:val="baseline"/>
        </w:rPr>
        <w:t> Yusuf, I.A. “The</w:t>
      </w:r>
      <w:r>
        <w:rPr>
          <w:rFonts w:ascii="Times New Roman" w:hAnsi="Times New Roman"/>
          <w:spacing w:val="-1"/>
          <w:sz w:val="18"/>
          <w:vertAlign w:val="baseline"/>
        </w:rPr>
        <w:t> </w:t>
      </w:r>
      <w:r>
        <w:rPr>
          <w:rFonts w:ascii="Times New Roman" w:hAnsi="Times New Roman"/>
          <w:sz w:val="18"/>
          <w:vertAlign w:val="baseline"/>
        </w:rPr>
        <w:t>Perils</w:t>
      </w:r>
      <w:r>
        <w:rPr>
          <w:rFonts w:ascii="Times New Roman" w:hAnsi="Times New Roman"/>
          <w:spacing w:val="-1"/>
          <w:sz w:val="18"/>
          <w:vertAlign w:val="baseline"/>
        </w:rPr>
        <w:t> </w:t>
      </w:r>
      <w:r>
        <w:rPr>
          <w:rFonts w:ascii="Times New Roman" w:hAnsi="Times New Roman"/>
          <w:sz w:val="18"/>
          <w:vertAlign w:val="baseline"/>
        </w:rPr>
        <w:t>of</w:t>
      </w:r>
      <w:r>
        <w:rPr>
          <w:rFonts w:ascii="Times New Roman" w:hAnsi="Times New Roman"/>
          <w:spacing w:val="-5"/>
          <w:sz w:val="18"/>
          <w:vertAlign w:val="baseline"/>
        </w:rPr>
        <w:t> </w:t>
      </w:r>
      <w:r>
        <w:rPr>
          <w:rFonts w:ascii="Times New Roman" w:hAnsi="Times New Roman"/>
          <w:sz w:val="18"/>
          <w:vertAlign w:val="baseline"/>
        </w:rPr>
        <w:t>Nigerian</w:t>
      </w:r>
      <w:r>
        <w:rPr>
          <w:rFonts w:ascii="Times New Roman" w:hAnsi="Times New Roman"/>
          <w:spacing w:val="-2"/>
          <w:sz w:val="18"/>
          <w:vertAlign w:val="baseline"/>
        </w:rPr>
        <w:t> </w:t>
      </w:r>
      <w:r>
        <w:rPr>
          <w:rFonts w:ascii="Times New Roman" w:hAnsi="Times New Roman"/>
          <w:sz w:val="18"/>
          <w:vertAlign w:val="baseline"/>
        </w:rPr>
        <w:t>Workers” </w:t>
      </w:r>
      <w:r>
        <w:rPr>
          <w:rFonts w:ascii="Times New Roman" w:hAnsi="Times New Roman"/>
          <w:i/>
          <w:sz w:val="18"/>
          <w:vertAlign w:val="baseline"/>
        </w:rPr>
        <w:t>–</w:t>
      </w:r>
      <w:r>
        <w:rPr>
          <w:rFonts w:ascii="Times New Roman" w:hAnsi="Times New Roman"/>
          <w:i/>
          <w:spacing w:val="-6"/>
          <w:sz w:val="18"/>
          <w:vertAlign w:val="baseline"/>
        </w:rPr>
        <w:t> </w:t>
      </w:r>
      <w:r>
        <w:rPr>
          <w:rFonts w:ascii="Times New Roman" w:hAnsi="Times New Roman"/>
          <w:i/>
          <w:sz w:val="18"/>
          <w:vertAlign w:val="baseline"/>
        </w:rPr>
        <w:t>http//thenationonline.net/web2/articles/7367/1/</w:t>
      </w:r>
      <w:r>
        <w:rPr>
          <w:rFonts w:ascii="Times New Roman" w:hAnsi="Times New Roman"/>
          <w:sz w:val="18"/>
          <w:vertAlign w:val="baseline"/>
        </w:rPr>
        <w:t>-</w:t>
      </w:r>
      <w:r>
        <w:rPr>
          <w:rFonts w:ascii="Times New Roman" w:hAnsi="Times New Roman"/>
          <w:spacing w:val="-9"/>
          <w:sz w:val="18"/>
          <w:vertAlign w:val="baseline"/>
        </w:rPr>
        <w:t> </w:t>
      </w:r>
      <w:r>
        <w:rPr>
          <w:rFonts w:ascii="Times New Roman" w:hAnsi="Times New Roman"/>
          <w:sz w:val="18"/>
          <w:vertAlign w:val="baseline"/>
        </w:rPr>
        <w:t>March</w:t>
      </w:r>
      <w:r>
        <w:rPr>
          <w:rFonts w:ascii="Times New Roman" w:hAnsi="Times New Roman"/>
          <w:spacing w:val="-2"/>
          <w:sz w:val="18"/>
          <w:vertAlign w:val="baseline"/>
        </w:rPr>
        <w:t> </w:t>
      </w:r>
      <w:r>
        <w:rPr>
          <w:rFonts w:ascii="Times New Roman" w:hAnsi="Times New Roman"/>
          <w:sz w:val="18"/>
          <w:vertAlign w:val="baseline"/>
        </w:rPr>
        <w:t>21,</w:t>
      </w:r>
      <w:r>
        <w:rPr>
          <w:rFonts w:ascii="Times New Roman" w:hAnsi="Times New Roman"/>
          <w:spacing w:val="-4"/>
          <w:sz w:val="18"/>
          <w:vertAlign w:val="baseline"/>
        </w:rPr>
        <w:t> </w:t>
      </w:r>
      <w:r>
        <w:rPr>
          <w:rFonts w:ascii="Times New Roman" w:hAnsi="Times New Roman"/>
          <w:sz w:val="18"/>
          <w:vertAlign w:val="baseline"/>
        </w:rPr>
        <w:t>2012</w:t>
      </w:r>
      <w:r>
        <w:rPr>
          <w:rFonts w:ascii="Times New Roman" w:hAnsi="Times New Roman"/>
          <w:spacing w:val="-5"/>
          <w:sz w:val="18"/>
          <w:vertAlign w:val="baseline"/>
        </w:rPr>
        <w:t> </w:t>
      </w:r>
      <w:r>
        <w:rPr>
          <w:rFonts w:ascii="Times New Roman" w:hAnsi="Times New Roman"/>
          <w:sz w:val="18"/>
          <w:vertAlign w:val="baseline"/>
        </w:rPr>
        <w:t>– </w:t>
      </w:r>
      <w:r>
        <w:rPr>
          <w:rFonts w:ascii="Times New Roman" w:hAnsi="Times New Roman"/>
          <w:spacing w:val="-2"/>
          <w:sz w:val="18"/>
          <w:vertAlign w:val="baseline"/>
        </w:rPr>
        <w:t>5:35pm</w:t>
      </w:r>
    </w:p>
    <w:p>
      <w:pPr>
        <w:spacing w:line="240" w:lineRule="auto" w:before="0"/>
        <w:ind w:left="335" w:right="123" w:firstLine="0"/>
        <w:jc w:val="left"/>
        <w:rPr>
          <w:rFonts w:ascii="Times New Roman"/>
          <w:sz w:val="20"/>
        </w:rPr>
      </w:pPr>
      <w:r>
        <w:rPr>
          <w:rFonts w:ascii="Times New Roman"/>
          <w:sz w:val="20"/>
          <w:vertAlign w:val="superscript"/>
        </w:rPr>
        <w:t>2</w:t>
      </w:r>
      <w:r>
        <w:rPr>
          <w:rFonts w:ascii="Times New Roman"/>
          <w:sz w:val="20"/>
          <w:vertAlign w:val="baseline"/>
        </w:rPr>
        <w:t> See </w:t>
      </w:r>
      <w:r>
        <w:rPr>
          <w:rFonts w:ascii="Times New Roman"/>
          <w:i/>
          <w:sz w:val="20"/>
          <w:vertAlign w:val="baseline"/>
        </w:rPr>
        <w:t>Trim Joint District School Board of Management v. Kelly </w:t>
      </w:r>
      <w:r>
        <w:rPr>
          <w:rFonts w:ascii="Times New Roman"/>
          <w:sz w:val="20"/>
          <w:vertAlign w:val="baseline"/>
        </w:rPr>
        <w:t>(1914) AC 667 where a school teacher was attacked to death by</w:t>
      </w:r>
      <w:r>
        <w:rPr>
          <w:rFonts w:ascii="Times New Roman"/>
          <w:spacing w:val="-2"/>
          <w:sz w:val="20"/>
          <w:vertAlign w:val="baseline"/>
        </w:rPr>
        <w:t> </w:t>
      </w:r>
      <w:r>
        <w:rPr>
          <w:rFonts w:ascii="Times New Roman"/>
          <w:sz w:val="20"/>
          <w:vertAlign w:val="baseline"/>
        </w:rPr>
        <w:t>some of his school boys, </w:t>
      </w:r>
      <w:r>
        <w:rPr>
          <w:rFonts w:ascii="Times New Roman"/>
          <w:i/>
          <w:sz w:val="20"/>
          <w:vertAlign w:val="baseline"/>
        </w:rPr>
        <w:t>UAC v. Orekyan </w:t>
      </w:r>
      <w:r>
        <w:rPr>
          <w:rFonts w:ascii="Times New Roman"/>
          <w:sz w:val="20"/>
          <w:vertAlign w:val="baseline"/>
        </w:rPr>
        <w:t>(1961) L.L.R 144 where an employee of a shop lost an eye as a result of an attack by</w:t>
      </w:r>
      <w:r>
        <w:rPr>
          <w:rFonts w:ascii="Times New Roman"/>
          <w:spacing w:val="-2"/>
          <w:sz w:val="20"/>
          <w:vertAlign w:val="baseline"/>
        </w:rPr>
        <w:t> </w:t>
      </w:r>
      <w:r>
        <w:rPr>
          <w:rFonts w:ascii="Times New Roman"/>
          <w:sz w:val="20"/>
          <w:vertAlign w:val="baseline"/>
        </w:rPr>
        <w:t>a customer, </w:t>
      </w:r>
      <w:r>
        <w:rPr>
          <w:rFonts w:ascii="Times New Roman"/>
          <w:i/>
          <w:sz w:val="20"/>
          <w:vertAlign w:val="baseline"/>
        </w:rPr>
        <w:t>Metal Containers (W.A) Ltd v. Momodu Iyomifokhia </w:t>
      </w:r>
      <w:r>
        <w:rPr>
          <w:rFonts w:ascii="Times New Roman"/>
          <w:sz w:val="20"/>
          <w:vertAlign w:val="baseline"/>
        </w:rPr>
        <w:t>(1959)</w:t>
      </w:r>
      <w:r>
        <w:rPr>
          <w:rFonts w:ascii="Times New Roman"/>
          <w:spacing w:val="-1"/>
          <w:sz w:val="20"/>
          <w:vertAlign w:val="baseline"/>
        </w:rPr>
        <w:t> </w:t>
      </w:r>
      <w:r>
        <w:rPr>
          <w:rFonts w:ascii="Times New Roman"/>
          <w:sz w:val="20"/>
          <w:vertAlign w:val="baseline"/>
        </w:rPr>
        <w:t>L.L.R</w:t>
      </w:r>
      <w:r>
        <w:rPr>
          <w:rFonts w:ascii="Times New Roman"/>
          <w:spacing w:val="-1"/>
          <w:sz w:val="20"/>
          <w:vertAlign w:val="baseline"/>
        </w:rPr>
        <w:t> </w:t>
      </w:r>
      <w:r>
        <w:rPr>
          <w:rFonts w:ascii="Times New Roman"/>
          <w:sz w:val="20"/>
          <w:vertAlign w:val="baseline"/>
        </w:rPr>
        <w:t>130, where</w:t>
      </w:r>
      <w:r>
        <w:rPr>
          <w:rFonts w:ascii="Times New Roman"/>
          <w:spacing w:val="-4"/>
          <w:sz w:val="20"/>
          <w:vertAlign w:val="baseline"/>
        </w:rPr>
        <w:t> </w:t>
      </w:r>
      <w:r>
        <w:rPr>
          <w:rFonts w:ascii="Times New Roman"/>
          <w:sz w:val="20"/>
          <w:vertAlign w:val="baseline"/>
        </w:rPr>
        <w:t>an employee lost his</w:t>
      </w:r>
      <w:r>
        <w:rPr>
          <w:rFonts w:ascii="Times New Roman"/>
          <w:spacing w:val="-3"/>
          <w:sz w:val="20"/>
          <w:vertAlign w:val="baseline"/>
        </w:rPr>
        <w:t> </w:t>
      </w:r>
      <w:r>
        <w:rPr>
          <w:rFonts w:ascii="Times New Roman"/>
          <w:sz w:val="20"/>
          <w:vertAlign w:val="baseline"/>
        </w:rPr>
        <w:t>teeth as</w:t>
      </w:r>
      <w:r>
        <w:rPr>
          <w:rFonts w:ascii="Times New Roman"/>
          <w:spacing w:val="-3"/>
          <w:sz w:val="20"/>
          <w:vertAlign w:val="baseline"/>
        </w:rPr>
        <w:t> </w:t>
      </w:r>
      <w:r>
        <w:rPr>
          <w:rFonts w:ascii="Times New Roman"/>
          <w:sz w:val="20"/>
          <w:vertAlign w:val="baseline"/>
        </w:rPr>
        <w:t>a</w:t>
      </w:r>
      <w:r>
        <w:rPr>
          <w:rFonts w:ascii="Times New Roman"/>
          <w:spacing w:val="-4"/>
          <w:sz w:val="20"/>
          <w:vertAlign w:val="baseline"/>
        </w:rPr>
        <w:t> </w:t>
      </w:r>
      <w:r>
        <w:rPr>
          <w:rFonts w:ascii="Times New Roman"/>
          <w:sz w:val="20"/>
          <w:vertAlign w:val="baseline"/>
        </w:rPr>
        <w:t>result of</w:t>
      </w:r>
      <w:r>
        <w:rPr>
          <w:rFonts w:ascii="Times New Roman"/>
          <w:spacing w:val="-1"/>
          <w:sz w:val="20"/>
          <w:vertAlign w:val="baseline"/>
        </w:rPr>
        <w:t> </w:t>
      </w:r>
      <w:r>
        <w:rPr>
          <w:rFonts w:ascii="Times New Roman"/>
          <w:sz w:val="20"/>
          <w:vertAlign w:val="baseline"/>
        </w:rPr>
        <w:t>accident in his place of</w:t>
      </w:r>
      <w:r>
        <w:rPr>
          <w:rFonts w:ascii="Times New Roman"/>
          <w:spacing w:val="-1"/>
          <w:sz w:val="20"/>
          <w:vertAlign w:val="baseline"/>
        </w:rPr>
        <w:t> </w:t>
      </w:r>
      <w:r>
        <w:rPr>
          <w:rFonts w:ascii="Times New Roman"/>
          <w:sz w:val="20"/>
          <w:vertAlign w:val="baseline"/>
        </w:rPr>
        <w:t>work, </w:t>
      </w:r>
      <w:r>
        <w:rPr>
          <w:rFonts w:ascii="Times New Roman"/>
          <w:i/>
          <w:sz w:val="20"/>
          <w:vertAlign w:val="baseline"/>
        </w:rPr>
        <w:t>Thompson</w:t>
      </w:r>
      <w:r>
        <w:rPr>
          <w:rFonts w:ascii="Times New Roman"/>
          <w:i/>
          <w:spacing w:val="-1"/>
          <w:sz w:val="20"/>
          <w:vertAlign w:val="baseline"/>
        </w:rPr>
        <w:t> </w:t>
      </w:r>
      <w:r>
        <w:rPr>
          <w:rFonts w:ascii="Times New Roman"/>
          <w:i/>
          <w:sz w:val="20"/>
          <w:vertAlign w:val="baseline"/>
        </w:rPr>
        <w:t>v. Sinclair</w:t>
      </w:r>
      <w:r>
        <w:rPr>
          <w:rFonts w:ascii="Times New Roman"/>
          <w:i/>
          <w:spacing w:val="-5"/>
          <w:sz w:val="20"/>
          <w:vertAlign w:val="baseline"/>
        </w:rPr>
        <w:t> </w:t>
      </w:r>
      <w:r>
        <w:rPr>
          <w:rFonts w:ascii="Times New Roman"/>
          <w:sz w:val="20"/>
          <w:vertAlign w:val="baseline"/>
        </w:rPr>
        <w:t>(1917) A.C.</w:t>
      </w:r>
      <w:r>
        <w:rPr>
          <w:rFonts w:ascii="Times New Roman"/>
          <w:spacing w:val="-2"/>
          <w:sz w:val="20"/>
          <w:vertAlign w:val="baseline"/>
        </w:rPr>
        <w:t> </w:t>
      </w:r>
      <w:r>
        <w:rPr>
          <w:rFonts w:ascii="Times New Roman"/>
          <w:sz w:val="20"/>
          <w:vertAlign w:val="baseline"/>
        </w:rPr>
        <w:t>127 where</w:t>
      </w:r>
      <w:r>
        <w:rPr>
          <w:rFonts w:ascii="Times New Roman"/>
          <w:spacing w:val="-3"/>
          <w:sz w:val="20"/>
          <w:vertAlign w:val="baseline"/>
        </w:rPr>
        <w:t> </w:t>
      </w:r>
      <w:r>
        <w:rPr>
          <w:rFonts w:ascii="Times New Roman"/>
          <w:sz w:val="20"/>
          <w:vertAlign w:val="baseline"/>
        </w:rPr>
        <w:t>a</w:t>
      </w:r>
      <w:r>
        <w:rPr>
          <w:rFonts w:ascii="Times New Roman"/>
          <w:spacing w:val="-3"/>
          <w:sz w:val="20"/>
          <w:vertAlign w:val="baseline"/>
        </w:rPr>
        <w:t> </w:t>
      </w:r>
      <w:r>
        <w:rPr>
          <w:rFonts w:ascii="Times New Roman"/>
          <w:sz w:val="20"/>
          <w:vertAlign w:val="baseline"/>
        </w:rPr>
        <w:t>woman was</w:t>
      </w:r>
      <w:r>
        <w:rPr>
          <w:rFonts w:ascii="Times New Roman"/>
          <w:spacing w:val="-1"/>
          <w:sz w:val="20"/>
          <w:vertAlign w:val="baseline"/>
        </w:rPr>
        <w:t> </w:t>
      </w:r>
      <w:r>
        <w:rPr>
          <w:rFonts w:ascii="Times New Roman"/>
          <w:sz w:val="20"/>
          <w:vertAlign w:val="baseline"/>
        </w:rPr>
        <w:t>injured by</w:t>
      </w:r>
      <w:r>
        <w:rPr>
          <w:rFonts w:ascii="Times New Roman"/>
          <w:spacing w:val="-9"/>
          <w:sz w:val="20"/>
          <w:vertAlign w:val="baseline"/>
        </w:rPr>
        <w:t> </w:t>
      </w:r>
      <w:r>
        <w:rPr>
          <w:rFonts w:ascii="Times New Roman"/>
          <w:sz w:val="20"/>
          <w:vertAlign w:val="baseline"/>
        </w:rPr>
        <w:t>the</w:t>
      </w:r>
      <w:r>
        <w:rPr>
          <w:rFonts w:ascii="Times New Roman"/>
          <w:spacing w:val="-7"/>
          <w:sz w:val="20"/>
          <w:vertAlign w:val="baseline"/>
        </w:rPr>
        <w:t> </w:t>
      </w:r>
      <w:r>
        <w:rPr>
          <w:rFonts w:ascii="Times New Roman"/>
          <w:sz w:val="20"/>
          <w:vertAlign w:val="baseline"/>
        </w:rPr>
        <w:t>collapse</w:t>
      </w:r>
      <w:r>
        <w:rPr>
          <w:rFonts w:ascii="Times New Roman"/>
          <w:spacing w:val="-3"/>
          <w:sz w:val="20"/>
          <w:vertAlign w:val="baseline"/>
        </w:rPr>
        <w:t> </w:t>
      </w:r>
      <w:r>
        <w:rPr>
          <w:rFonts w:ascii="Times New Roman"/>
          <w:sz w:val="20"/>
          <w:vertAlign w:val="baseline"/>
        </w:rPr>
        <w:t>of</w:t>
      </w:r>
      <w:r>
        <w:rPr>
          <w:rFonts w:ascii="Times New Roman"/>
          <w:spacing w:val="-4"/>
          <w:sz w:val="20"/>
          <w:vertAlign w:val="baseline"/>
        </w:rPr>
        <w:t> </w:t>
      </w:r>
      <w:r>
        <w:rPr>
          <w:rFonts w:ascii="Times New Roman"/>
          <w:sz w:val="20"/>
          <w:vertAlign w:val="baseline"/>
        </w:rPr>
        <w:t>a wall</w:t>
      </w:r>
      <w:r>
        <w:rPr>
          <w:rFonts w:ascii="Times New Roman"/>
          <w:spacing w:val="-3"/>
          <w:sz w:val="20"/>
          <w:vertAlign w:val="baseline"/>
        </w:rPr>
        <w:t> </w:t>
      </w:r>
      <w:r>
        <w:rPr>
          <w:rFonts w:ascii="Times New Roman"/>
          <w:sz w:val="20"/>
          <w:vertAlign w:val="baseline"/>
        </w:rPr>
        <w:t>out of</w:t>
      </w:r>
      <w:r>
        <w:rPr>
          <w:rFonts w:ascii="Times New Roman"/>
          <w:spacing w:val="-4"/>
          <w:sz w:val="20"/>
          <w:vertAlign w:val="baseline"/>
        </w:rPr>
        <w:t> </w:t>
      </w:r>
      <w:r>
        <w:rPr>
          <w:rFonts w:ascii="Times New Roman"/>
          <w:sz w:val="20"/>
          <w:vertAlign w:val="baseline"/>
        </w:rPr>
        <w:t>and</w:t>
      </w:r>
      <w:r>
        <w:rPr>
          <w:rFonts w:ascii="Times New Roman"/>
          <w:spacing w:val="-4"/>
          <w:sz w:val="20"/>
          <w:vertAlign w:val="baseline"/>
        </w:rPr>
        <w:t> </w:t>
      </w:r>
      <w:r>
        <w:rPr>
          <w:rFonts w:ascii="Times New Roman"/>
          <w:sz w:val="20"/>
          <w:vertAlign w:val="baseline"/>
        </w:rPr>
        <w:t>in the</w:t>
      </w:r>
      <w:r>
        <w:rPr>
          <w:rFonts w:ascii="Times New Roman"/>
          <w:spacing w:val="-3"/>
          <w:sz w:val="20"/>
          <w:vertAlign w:val="baseline"/>
        </w:rPr>
        <w:t> </w:t>
      </w:r>
      <w:r>
        <w:rPr>
          <w:rFonts w:ascii="Times New Roman"/>
          <w:sz w:val="20"/>
          <w:vertAlign w:val="baseline"/>
        </w:rPr>
        <w:t>course</w:t>
      </w:r>
      <w:r>
        <w:rPr>
          <w:rFonts w:ascii="Times New Roman"/>
          <w:spacing w:val="-3"/>
          <w:sz w:val="20"/>
          <w:vertAlign w:val="baseline"/>
        </w:rPr>
        <w:t> </w:t>
      </w:r>
      <w:r>
        <w:rPr>
          <w:rFonts w:ascii="Times New Roman"/>
          <w:sz w:val="20"/>
          <w:vertAlign w:val="baseline"/>
        </w:rPr>
        <w:t>of</w:t>
      </w:r>
      <w:r>
        <w:rPr>
          <w:rFonts w:ascii="Times New Roman"/>
          <w:spacing w:val="-4"/>
          <w:sz w:val="20"/>
          <w:vertAlign w:val="baseline"/>
        </w:rPr>
        <w:t> </w:t>
      </w:r>
      <w:r>
        <w:rPr>
          <w:rFonts w:ascii="Times New Roman"/>
          <w:sz w:val="20"/>
          <w:vertAlign w:val="baseline"/>
        </w:rPr>
        <w:t>her employment etc.</w:t>
      </w:r>
    </w:p>
    <w:p>
      <w:pPr>
        <w:spacing w:after="0" w:line="240" w:lineRule="auto"/>
        <w:jc w:val="left"/>
        <w:rPr>
          <w:rFonts w:ascii="Times New Roman"/>
          <w:sz w:val="20"/>
        </w:rPr>
        <w:sectPr>
          <w:footerReference w:type="default" r:id="rId6"/>
          <w:pgSz w:w="12240" w:h="15840"/>
          <w:pgMar w:header="0" w:footer="1070" w:top="1360" w:bottom="1260" w:left="1680" w:right="1320"/>
          <w:pgNumType w:start="1"/>
        </w:sectPr>
      </w:pPr>
    </w:p>
    <w:p>
      <w:pPr>
        <w:spacing w:line="480" w:lineRule="auto" w:before="94"/>
        <w:ind w:left="1056" w:right="121" w:firstLine="0"/>
        <w:jc w:val="both"/>
        <w:rPr>
          <w:sz w:val="25"/>
        </w:rPr>
      </w:pPr>
      <w:r>
        <w:rPr>
          <w:sz w:val="25"/>
        </w:rPr>
        <w:t>involving death, injuries and disabilities.</w:t>
      </w:r>
      <w:r>
        <w:rPr>
          <w:sz w:val="25"/>
          <w:vertAlign w:val="superscript"/>
        </w:rPr>
        <w:t>3</w:t>
      </w:r>
      <w:r>
        <w:rPr>
          <w:sz w:val="25"/>
          <w:vertAlign w:val="baseline"/>
        </w:rPr>
        <w:t> There is need to hold someone accountable to provide compensation to employees out of or in the course of employment and that is why the present Compensation Act</w:t>
      </w:r>
      <w:r>
        <w:rPr>
          <w:sz w:val="25"/>
          <w:vertAlign w:val="superscript"/>
        </w:rPr>
        <w:t>4</w:t>
      </w:r>
      <w:r>
        <w:rPr>
          <w:sz w:val="25"/>
          <w:vertAlign w:val="baseline"/>
        </w:rPr>
        <w:t> is </w:t>
      </w:r>
      <w:r>
        <w:rPr>
          <w:spacing w:val="-2"/>
          <w:sz w:val="25"/>
          <w:vertAlign w:val="baseline"/>
        </w:rPr>
        <w:t>relevant</w:t>
      </w:r>
    </w:p>
    <w:p>
      <w:pPr>
        <w:pStyle w:val="BodyText"/>
        <w:spacing w:before="1"/>
        <w:rPr>
          <w:sz w:val="25"/>
        </w:rPr>
      </w:pPr>
    </w:p>
    <w:p>
      <w:pPr>
        <w:spacing w:line="480" w:lineRule="auto" w:before="0"/>
        <w:ind w:left="1056" w:right="116" w:firstLine="0"/>
        <w:jc w:val="both"/>
        <w:rPr>
          <w:sz w:val="25"/>
        </w:rPr>
      </w:pPr>
      <w:r>
        <w:rPr>
          <w:sz w:val="25"/>
        </w:rPr>
        <w:t>Man should not fold his arms and stay indoors for fear of street risks or outdoor hazards. It is riskier not to take the risk of going out in search</w:t>
      </w:r>
      <w:r>
        <w:rPr>
          <w:spacing w:val="80"/>
          <w:sz w:val="25"/>
        </w:rPr>
        <w:t> </w:t>
      </w:r>
      <w:r>
        <w:rPr>
          <w:sz w:val="25"/>
        </w:rPr>
        <w:t>of the basic needs of life. This is because, failing to take the risk of</w:t>
      </w:r>
      <w:r>
        <w:rPr>
          <w:spacing w:val="40"/>
          <w:sz w:val="25"/>
        </w:rPr>
        <w:t> </w:t>
      </w:r>
      <w:r>
        <w:rPr>
          <w:sz w:val="25"/>
        </w:rPr>
        <w:t>going out in search of necessaries, he opts for the risks of poverty, hunger,</w:t>
      </w:r>
      <w:r>
        <w:rPr>
          <w:spacing w:val="-1"/>
          <w:sz w:val="25"/>
        </w:rPr>
        <w:t> </w:t>
      </w:r>
      <w:r>
        <w:rPr>
          <w:sz w:val="25"/>
        </w:rPr>
        <w:t>starvation,</w:t>
      </w:r>
      <w:r>
        <w:rPr>
          <w:spacing w:val="-1"/>
          <w:sz w:val="25"/>
        </w:rPr>
        <w:t> </w:t>
      </w:r>
      <w:r>
        <w:rPr>
          <w:sz w:val="25"/>
        </w:rPr>
        <w:t>sleeping</w:t>
      </w:r>
      <w:r>
        <w:rPr>
          <w:spacing w:val="-1"/>
          <w:sz w:val="25"/>
        </w:rPr>
        <w:t> </w:t>
      </w:r>
      <w:r>
        <w:rPr>
          <w:sz w:val="25"/>
        </w:rPr>
        <w:t>in</w:t>
      </w:r>
      <w:r>
        <w:rPr>
          <w:spacing w:val="-2"/>
          <w:sz w:val="25"/>
        </w:rPr>
        <w:t> </w:t>
      </w:r>
      <w:r>
        <w:rPr>
          <w:sz w:val="25"/>
        </w:rPr>
        <w:t>the</w:t>
      </w:r>
      <w:r>
        <w:rPr>
          <w:spacing w:val="-3"/>
          <w:sz w:val="25"/>
        </w:rPr>
        <w:t> </w:t>
      </w:r>
      <w:r>
        <w:rPr>
          <w:sz w:val="25"/>
        </w:rPr>
        <w:t>open</w:t>
      </w:r>
      <w:r>
        <w:rPr>
          <w:spacing w:val="40"/>
          <w:sz w:val="25"/>
        </w:rPr>
        <w:t> </w:t>
      </w:r>
      <w:r>
        <w:rPr>
          <w:sz w:val="25"/>
        </w:rPr>
        <w:t>field,</w:t>
      </w:r>
      <w:r>
        <w:rPr>
          <w:spacing w:val="-1"/>
          <w:sz w:val="25"/>
        </w:rPr>
        <w:t> </w:t>
      </w:r>
      <w:r>
        <w:rPr>
          <w:sz w:val="25"/>
        </w:rPr>
        <w:t>in</w:t>
      </w:r>
      <w:r>
        <w:rPr>
          <w:spacing w:val="-2"/>
          <w:sz w:val="25"/>
        </w:rPr>
        <w:t> </w:t>
      </w:r>
      <w:r>
        <w:rPr>
          <w:sz w:val="25"/>
        </w:rPr>
        <w:t>the</w:t>
      </w:r>
      <w:r>
        <w:rPr>
          <w:spacing w:val="-3"/>
          <w:sz w:val="25"/>
        </w:rPr>
        <w:t> </w:t>
      </w:r>
      <w:r>
        <w:rPr>
          <w:sz w:val="25"/>
        </w:rPr>
        <w:t>rain</w:t>
      </w:r>
      <w:r>
        <w:rPr>
          <w:spacing w:val="-2"/>
          <w:sz w:val="25"/>
        </w:rPr>
        <w:t> </w:t>
      </w:r>
      <w:r>
        <w:rPr>
          <w:sz w:val="25"/>
        </w:rPr>
        <w:t>and</w:t>
      </w:r>
      <w:r>
        <w:rPr>
          <w:spacing w:val="-5"/>
          <w:sz w:val="25"/>
        </w:rPr>
        <w:t> </w:t>
      </w:r>
      <w:r>
        <w:rPr>
          <w:sz w:val="25"/>
        </w:rPr>
        <w:t>in</w:t>
      </w:r>
      <w:r>
        <w:rPr>
          <w:spacing w:val="-2"/>
          <w:sz w:val="25"/>
        </w:rPr>
        <w:t> </w:t>
      </w:r>
      <w:r>
        <w:rPr>
          <w:sz w:val="25"/>
        </w:rPr>
        <w:t>the</w:t>
      </w:r>
      <w:r>
        <w:rPr>
          <w:spacing w:val="-3"/>
          <w:sz w:val="25"/>
        </w:rPr>
        <w:t> </w:t>
      </w:r>
      <w:r>
        <w:rPr>
          <w:sz w:val="25"/>
        </w:rPr>
        <w:t>sun. The Employees’ Compensation Act</w:t>
      </w:r>
      <w:r>
        <w:rPr>
          <w:sz w:val="25"/>
          <w:vertAlign w:val="superscript"/>
        </w:rPr>
        <w:t>5</w:t>
      </w:r>
      <w:r>
        <w:rPr>
          <w:sz w:val="25"/>
          <w:vertAlign w:val="baseline"/>
        </w:rPr>
        <w:t> is aimed at inducing and compelling employers to think more in terms of human value so as to provide compensation on humanitarian ground.</w:t>
      </w:r>
      <w:r>
        <w:rPr>
          <w:sz w:val="25"/>
          <w:vertAlign w:val="superscript"/>
        </w:rPr>
        <w:t>6</w:t>
      </w:r>
    </w:p>
    <w:p>
      <w:pPr>
        <w:pStyle w:val="BodyText"/>
        <w:spacing w:before="1"/>
        <w:rPr>
          <w:sz w:val="25"/>
        </w:rPr>
      </w:pPr>
    </w:p>
    <w:p>
      <w:pPr>
        <w:spacing w:line="480" w:lineRule="auto" w:before="1"/>
        <w:ind w:left="1056" w:right="123" w:firstLine="0"/>
        <w:jc w:val="both"/>
        <w:rPr>
          <w:sz w:val="25"/>
        </w:rPr>
      </w:pPr>
      <w:r>
        <w:rPr>
          <w:sz w:val="25"/>
        </w:rPr>
        <w:t>The 2010 Act establishes contributory Pension Fund called “the Fund” into which shall be credited all monies, funds or contributions by employers</w:t>
      </w:r>
      <w:r>
        <w:rPr>
          <w:spacing w:val="-1"/>
          <w:sz w:val="25"/>
        </w:rPr>
        <w:t> </w:t>
      </w:r>
      <w:r>
        <w:rPr>
          <w:sz w:val="25"/>
        </w:rPr>
        <w:t>for adequate</w:t>
      </w:r>
      <w:r>
        <w:rPr>
          <w:spacing w:val="-2"/>
          <w:sz w:val="25"/>
        </w:rPr>
        <w:t> </w:t>
      </w:r>
      <w:r>
        <w:rPr>
          <w:sz w:val="25"/>
        </w:rPr>
        <w:t>compensation to</w:t>
      </w:r>
      <w:r>
        <w:rPr>
          <w:spacing w:val="-1"/>
          <w:sz w:val="25"/>
        </w:rPr>
        <w:t> </w:t>
      </w:r>
      <w:r>
        <w:rPr>
          <w:sz w:val="25"/>
        </w:rPr>
        <w:t>employees</w:t>
      </w:r>
      <w:r>
        <w:rPr>
          <w:spacing w:val="-1"/>
          <w:sz w:val="25"/>
        </w:rPr>
        <w:t> </w:t>
      </w:r>
      <w:r>
        <w:rPr>
          <w:sz w:val="25"/>
        </w:rPr>
        <w:t>or their dependants for any death, injury, disability or disease arising out of or in the course of employment. The Fund established is managed by the Nigeria Social Insurance</w:t>
      </w:r>
      <w:r>
        <w:rPr>
          <w:spacing w:val="28"/>
          <w:sz w:val="25"/>
        </w:rPr>
        <w:t> </w:t>
      </w:r>
      <w:r>
        <w:rPr>
          <w:sz w:val="25"/>
        </w:rPr>
        <w:t>Trust</w:t>
      </w:r>
      <w:r>
        <w:rPr>
          <w:spacing w:val="23"/>
          <w:sz w:val="25"/>
        </w:rPr>
        <w:t> </w:t>
      </w:r>
      <w:r>
        <w:rPr>
          <w:sz w:val="25"/>
        </w:rPr>
        <w:t>Fund</w:t>
      </w:r>
      <w:r>
        <w:rPr>
          <w:spacing w:val="27"/>
          <w:sz w:val="25"/>
        </w:rPr>
        <w:t> </w:t>
      </w:r>
      <w:r>
        <w:rPr>
          <w:sz w:val="25"/>
        </w:rPr>
        <w:t>Management</w:t>
      </w:r>
      <w:r>
        <w:rPr>
          <w:spacing w:val="23"/>
          <w:sz w:val="25"/>
        </w:rPr>
        <w:t> </w:t>
      </w:r>
      <w:r>
        <w:rPr>
          <w:sz w:val="25"/>
        </w:rPr>
        <w:t>Board</w:t>
      </w:r>
      <w:r>
        <w:rPr>
          <w:spacing w:val="31"/>
          <w:sz w:val="25"/>
        </w:rPr>
        <w:t> </w:t>
      </w:r>
      <w:r>
        <w:rPr>
          <w:sz w:val="25"/>
        </w:rPr>
        <w:t>called</w:t>
      </w:r>
      <w:r>
        <w:rPr>
          <w:spacing w:val="27"/>
          <w:sz w:val="25"/>
        </w:rPr>
        <w:t> </w:t>
      </w:r>
      <w:r>
        <w:rPr>
          <w:sz w:val="25"/>
        </w:rPr>
        <w:t>‘the</w:t>
      </w:r>
      <w:r>
        <w:rPr>
          <w:spacing w:val="23"/>
          <w:sz w:val="25"/>
        </w:rPr>
        <w:t> </w:t>
      </w:r>
      <w:r>
        <w:rPr>
          <w:sz w:val="25"/>
        </w:rPr>
        <w:t>Board’.</w:t>
      </w:r>
      <w:r>
        <w:rPr>
          <w:spacing w:val="27"/>
          <w:sz w:val="25"/>
        </w:rPr>
        <w:t> </w:t>
      </w:r>
      <w:r>
        <w:rPr>
          <w:sz w:val="25"/>
        </w:rPr>
        <w:t>The</w:t>
      </w:r>
      <w:r>
        <w:rPr>
          <w:spacing w:val="23"/>
          <w:sz w:val="25"/>
        </w:rPr>
        <w:t> </w:t>
      </w:r>
      <w:r>
        <w:rPr>
          <w:spacing w:val="-4"/>
          <w:sz w:val="25"/>
        </w:rPr>
        <w:t>Fund</w:t>
      </w:r>
    </w:p>
    <w:p>
      <w:pPr>
        <w:pStyle w:val="BodyText"/>
        <w:spacing w:before="7"/>
        <w:rPr>
          <w:sz w:val="16"/>
        </w:rPr>
      </w:pPr>
      <w:r>
        <w:rPr/>
        <mc:AlternateContent>
          <mc:Choice Requires="wps">
            <w:drawing>
              <wp:anchor distT="0" distB="0" distL="0" distR="0" allowOverlap="1" layoutInCell="1" locked="0" behindDoc="1" simplePos="0" relativeHeight="487593472">
                <wp:simplePos x="0" y="0"/>
                <wp:positionH relativeFrom="page">
                  <wp:posOffset>1280160</wp:posOffset>
                </wp:positionH>
                <wp:positionV relativeFrom="paragraph">
                  <wp:posOffset>142368</wp:posOffset>
                </wp:positionV>
                <wp:extent cx="1828800" cy="6350"/>
                <wp:effectExtent l="0" t="0" r="0" b="0"/>
                <wp:wrapTopAndBottom/>
                <wp:docPr id="14" name="Graphic 14"/>
                <wp:cNvGraphicFramePr>
                  <a:graphicFrameLocks/>
                </wp:cNvGraphicFramePr>
                <a:graphic>
                  <a:graphicData uri="http://schemas.microsoft.com/office/word/2010/wordprocessingShape">
                    <wps:wsp>
                      <wps:cNvPr id="14" name="Graphic 14"/>
                      <wps:cNvSpPr/>
                      <wps:spPr>
                        <a:xfrm>
                          <a:off x="0" y="0"/>
                          <a:ext cx="1828800" cy="6350"/>
                        </a:xfrm>
                        <a:custGeom>
                          <a:avLst/>
                          <a:gdLst/>
                          <a:ahLst/>
                          <a:cxnLst/>
                          <a:rect l="l" t="t" r="r" b="b"/>
                          <a:pathLst>
                            <a:path w="1828800" h="6350">
                              <a:moveTo>
                                <a:pt x="1828800" y="0"/>
                              </a:moveTo>
                              <a:lnTo>
                                <a:pt x="0" y="0"/>
                              </a:lnTo>
                              <a:lnTo>
                                <a:pt x="0" y="6096"/>
                              </a:lnTo>
                              <a:lnTo>
                                <a:pt x="1828800" y="6096"/>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1.210156pt;width:144pt;height:.48pt;mso-position-horizontal-relative:page;mso-position-vertical-relative:paragraph;z-index:-15723008;mso-wrap-distance-left:0;mso-wrap-distance-right:0" id="docshape14" filled="true" fillcolor="#000000" stroked="false">
                <v:fill type="solid"/>
                <w10:wrap type="topAndBottom"/>
              </v:rect>
            </w:pict>
          </mc:Fallback>
        </mc:AlternateContent>
      </w:r>
    </w:p>
    <w:p>
      <w:pPr>
        <w:spacing w:before="101"/>
        <w:ind w:left="335" w:right="123" w:firstLine="0"/>
        <w:jc w:val="left"/>
        <w:rPr>
          <w:rFonts w:ascii="Times New Roman" w:hAnsi="Times New Roman"/>
          <w:sz w:val="20"/>
        </w:rPr>
      </w:pPr>
      <w:r>
        <w:rPr>
          <w:rFonts w:ascii="Times New Roman" w:hAnsi="Times New Roman"/>
          <w:sz w:val="20"/>
          <w:vertAlign w:val="superscript"/>
        </w:rPr>
        <w:t>3</w:t>
      </w:r>
      <w:r>
        <w:rPr>
          <w:rFonts w:ascii="Times New Roman" w:hAnsi="Times New Roman"/>
          <w:sz w:val="20"/>
          <w:vertAlign w:val="baseline"/>
        </w:rPr>
        <w:t> Guyton,</w:t>
      </w:r>
      <w:r>
        <w:rPr>
          <w:rFonts w:ascii="Times New Roman" w:hAnsi="Times New Roman"/>
          <w:spacing w:val="-3"/>
          <w:sz w:val="20"/>
          <w:vertAlign w:val="baseline"/>
        </w:rPr>
        <w:t> </w:t>
      </w:r>
      <w:r>
        <w:rPr>
          <w:rFonts w:ascii="Times New Roman" w:hAnsi="Times New Roman"/>
          <w:sz w:val="20"/>
          <w:vertAlign w:val="baseline"/>
        </w:rPr>
        <w:t>G.P.,</w:t>
      </w:r>
      <w:r>
        <w:rPr>
          <w:rFonts w:ascii="Times New Roman" w:hAnsi="Times New Roman"/>
          <w:spacing w:val="-3"/>
          <w:sz w:val="20"/>
          <w:vertAlign w:val="baseline"/>
        </w:rPr>
        <w:t> </w:t>
      </w:r>
      <w:r>
        <w:rPr>
          <w:rFonts w:ascii="Times New Roman" w:hAnsi="Times New Roman"/>
          <w:sz w:val="20"/>
          <w:vertAlign w:val="baseline"/>
        </w:rPr>
        <w:t>“A</w:t>
      </w:r>
      <w:r>
        <w:rPr>
          <w:rFonts w:ascii="Times New Roman" w:hAnsi="Times New Roman"/>
          <w:spacing w:val="-2"/>
          <w:sz w:val="20"/>
          <w:vertAlign w:val="baseline"/>
        </w:rPr>
        <w:t> </w:t>
      </w:r>
      <w:r>
        <w:rPr>
          <w:rFonts w:ascii="Times New Roman" w:hAnsi="Times New Roman"/>
          <w:sz w:val="20"/>
          <w:vertAlign w:val="baseline"/>
        </w:rPr>
        <w:t>Brief</w:t>
      </w:r>
      <w:r>
        <w:rPr>
          <w:rFonts w:ascii="Times New Roman" w:hAnsi="Times New Roman"/>
          <w:spacing w:val="-5"/>
          <w:sz w:val="20"/>
          <w:vertAlign w:val="baseline"/>
        </w:rPr>
        <w:t> </w:t>
      </w:r>
      <w:r>
        <w:rPr>
          <w:rFonts w:ascii="Times New Roman" w:hAnsi="Times New Roman"/>
          <w:sz w:val="20"/>
          <w:vertAlign w:val="baseline"/>
        </w:rPr>
        <w:t>History</w:t>
      </w:r>
      <w:r>
        <w:rPr>
          <w:rFonts w:ascii="Times New Roman" w:hAnsi="Times New Roman"/>
          <w:spacing w:val="-10"/>
          <w:sz w:val="20"/>
          <w:vertAlign w:val="baseline"/>
        </w:rPr>
        <w:t> </w:t>
      </w:r>
      <w:r>
        <w:rPr>
          <w:rFonts w:ascii="Times New Roman" w:hAnsi="Times New Roman"/>
          <w:sz w:val="20"/>
          <w:vertAlign w:val="baseline"/>
        </w:rPr>
        <w:t>of</w:t>
      </w:r>
      <w:r>
        <w:rPr>
          <w:rFonts w:ascii="Times New Roman" w:hAnsi="Times New Roman"/>
          <w:spacing w:val="-5"/>
          <w:sz w:val="20"/>
          <w:vertAlign w:val="baseline"/>
        </w:rPr>
        <w:t> </w:t>
      </w:r>
      <w:r>
        <w:rPr>
          <w:rFonts w:ascii="Times New Roman" w:hAnsi="Times New Roman"/>
          <w:sz w:val="20"/>
          <w:vertAlign w:val="baseline"/>
        </w:rPr>
        <w:t>Workers’</w:t>
      </w:r>
      <w:r>
        <w:rPr>
          <w:rFonts w:ascii="Times New Roman" w:hAnsi="Times New Roman"/>
          <w:spacing w:val="-5"/>
          <w:sz w:val="20"/>
          <w:vertAlign w:val="baseline"/>
        </w:rPr>
        <w:t> </w:t>
      </w:r>
      <w:r>
        <w:rPr>
          <w:rFonts w:ascii="Times New Roman" w:hAnsi="Times New Roman"/>
          <w:sz w:val="20"/>
          <w:vertAlign w:val="baseline"/>
        </w:rPr>
        <w:t>Compensation,” </w:t>
      </w:r>
      <w:r>
        <w:rPr>
          <w:rFonts w:ascii="Times New Roman" w:hAnsi="Times New Roman"/>
          <w:i/>
          <w:sz w:val="20"/>
          <w:vertAlign w:val="baseline"/>
        </w:rPr>
        <w:t>The IOWA</w:t>
      </w:r>
      <w:r>
        <w:rPr>
          <w:rFonts w:ascii="Times New Roman" w:hAnsi="Times New Roman"/>
          <w:i/>
          <w:spacing w:val="-4"/>
          <w:sz w:val="20"/>
          <w:vertAlign w:val="baseline"/>
        </w:rPr>
        <w:t> </w:t>
      </w:r>
      <w:r>
        <w:rPr>
          <w:rFonts w:ascii="Times New Roman" w:hAnsi="Times New Roman"/>
          <w:i/>
          <w:sz w:val="20"/>
          <w:vertAlign w:val="baseline"/>
        </w:rPr>
        <w:t>Orthopaedic</w:t>
      </w:r>
      <w:r>
        <w:rPr>
          <w:rFonts w:ascii="Times New Roman" w:hAnsi="Times New Roman"/>
          <w:i/>
          <w:spacing w:val="-4"/>
          <w:sz w:val="20"/>
          <w:vertAlign w:val="baseline"/>
        </w:rPr>
        <w:t> </w:t>
      </w:r>
      <w:r>
        <w:rPr>
          <w:rFonts w:ascii="Times New Roman" w:hAnsi="Times New Roman"/>
          <w:i/>
          <w:sz w:val="20"/>
          <w:vertAlign w:val="baseline"/>
        </w:rPr>
        <w:t>Journal</w:t>
      </w:r>
      <w:r>
        <w:rPr>
          <w:rFonts w:ascii="Times New Roman" w:hAnsi="Times New Roman"/>
          <w:i/>
          <w:spacing w:val="-3"/>
          <w:sz w:val="20"/>
          <w:vertAlign w:val="baseline"/>
        </w:rPr>
        <w:t> </w:t>
      </w:r>
      <w:r>
        <w:rPr>
          <w:rFonts w:ascii="Times New Roman" w:hAnsi="Times New Roman"/>
          <w:sz w:val="20"/>
          <w:vertAlign w:val="baseline"/>
        </w:rPr>
        <w:t>(1999)</w:t>
      </w:r>
      <w:r>
        <w:rPr>
          <w:rFonts w:ascii="Times New Roman" w:hAnsi="Times New Roman"/>
          <w:spacing w:val="-1"/>
          <w:sz w:val="20"/>
          <w:vertAlign w:val="baseline"/>
        </w:rPr>
        <w:t> </w:t>
      </w:r>
      <w:r>
        <w:rPr>
          <w:rFonts w:ascii="Times New Roman" w:hAnsi="Times New Roman"/>
          <w:sz w:val="20"/>
          <w:vertAlign w:val="baseline"/>
        </w:rPr>
        <w:t>Vol. 19, P. 106</w:t>
      </w:r>
    </w:p>
    <w:p>
      <w:pPr>
        <w:spacing w:before="1"/>
        <w:ind w:left="335" w:right="0" w:firstLine="0"/>
        <w:jc w:val="left"/>
        <w:rPr>
          <w:rFonts w:ascii="Times New Roman"/>
          <w:sz w:val="20"/>
        </w:rPr>
      </w:pPr>
      <w:r>
        <w:rPr>
          <w:rFonts w:ascii="Times New Roman"/>
          <w:sz w:val="20"/>
          <w:vertAlign w:val="superscript"/>
        </w:rPr>
        <w:t>4</w:t>
      </w:r>
      <w:r>
        <w:rPr>
          <w:rFonts w:ascii="Times New Roman"/>
          <w:sz w:val="20"/>
          <w:vertAlign w:val="baseline"/>
        </w:rPr>
        <w:t> No.</w:t>
      </w:r>
      <w:r>
        <w:rPr>
          <w:rFonts w:ascii="Times New Roman"/>
          <w:spacing w:val="1"/>
          <w:sz w:val="20"/>
          <w:vertAlign w:val="baseline"/>
        </w:rPr>
        <w:t> </w:t>
      </w:r>
      <w:r>
        <w:rPr>
          <w:rFonts w:ascii="Times New Roman"/>
          <w:sz w:val="20"/>
          <w:vertAlign w:val="baseline"/>
        </w:rPr>
        <w:t>13,</w:t>
      </w:r>
      <w:r>
        <w:rPr>
          <w:rFonts w:ascii="Times New Roman"/>
          <w:spacing w:val="-4"/>
          <w:sz w:val="20"/>
          <w:vertAlign w:val="baseline"/>
        </w:rPr>
        <w:t> 2010</w:t>
      </w:r>
    </w:p>
    <w:p>
      <w:pPr>
        <w:spacing w:before="0"/>
        <w:ind w:left="335" w:right="0" w:firstLine="0"/>
        <w:jc w:val="left"/>
        <w:rPr>
          <w:rFonts w:ascii="Times New Roman"/>
          <w:i/>
          <w:sz w:val="20"/>
        </w:rPr>
      </w:pPr>
      <w:r>
        <w:rPr>
          <w:rFonts w:ascii="Times New Roman"/>
          <w:sz w:val="20"/>
          <w:vertAlign w:val="superscript"/>
        </w:rPr>
        <w:t>5</w:t>
      </w:r>
      <w:r>
        <w:rPr>
          <w:rFonts w:ascii="Times New Roman"/>
          <w:spacing w:val="4"/>
          <w:sz w:val="20"/>
          <w:vertAlign w:val="baseline"/>
        </w:rPr>
        <w:t> </w:t>
      </w:r>
      <w:r>
        <w:rPr>
          <w:rFonts w:ascii="Times New Roman"/>
          <w:i/>
          <w:spacing w:val="-4"/>
          <w:sz w:val="20"/>
          <w:vertAlign w:val="baseline"/>
        </w:rPr>
        <w:t>Ibid</w:t>
      </w:r>
    </w:p>
    <w:p>
      <w:pPr>
        <w:spacing w:before="1"/>
        <w:ind w:left="335" w:right="0" w:firstLine="0"/>
        <w:jc w:val="left"/>
        <w:rPr>
          <w:rFonts w:ascii="Times New Roman"/>
          <w:i/>
          <w:sz w:val="20"/>
        </w:rPr>
      </w:pPr>
      <w:r>
        <w:rPr>
          <w:rFonts w:ascii="Times New Roman"/>
          <w:sz w:val="20"/>
          <w:vertAlign w:val="superscript"/>
        </w:rPr>
        <w:t>6</w:t>
      </w:r>
      <w:r>
        <w:rPr>
          <w:rFonts w:ascii="Times New Roman"/>
          <w:sz w:val="20"/>
          <w:vertAlign w:val="baseline"/>
        </w:rPr>
        <w:t> Guyton</w:t>
      </w:r>
      <w:r>
        <w:rPr>
          <w:rFonts w:ascii="Times New Roman"/>
          <w:spacing w:val="2"/>
          <w:sz w:val="20"/>
          <w:vertAlign w:val="baseline"/>
        </w:rPr>
        <w:t> </w:t>
      </w:r>
      <w:r>
        <w:rPr>
          <w:rFonts w:ascii="Times New Roman"/>
          <w:sz w:val="20"/>
          <w:vertAlign w:val="baseline"/>
        </w:rPr>
        <w:t>G.P,</w:t>
      </w:r>
      <w:r>
        <w:rPr>
          <w:rFonts w:ascii="Times New Roman"/>
          <w:spacing w:val="-5"/>
          <w:sz w:val="20"/>
          <w:vertAlign w:val="baseline"/>
        </w:rPr>
        <w:t> </w:t>
      </w:r>
      <w:r>
        <w:rPr>
          <w:rFonts w:ascii="Times New Roman"/>
          <w:i/>
          <w:sz w:val="20"/>
          <w:vertAlign w:val="baseline"/>
        </w:rPr>
        <w:t>op</w:t>
      </w:r>
      <w:r>
        <w:rPr>
          <w:rFonts w:ascii="Times New Roman"/>
          <w:i/>
          <w:spacing w:val="-6"/>
          <w:sz w:val="20"/>
          <w:vertAlign w:val="baseline"/>
        </w:rPr>
        <w:t> </w:t>
      </w:r>
      <w:r>
        <w:rPr>
          <w:rFonts w:ascii="Times New Roman"/>
          <w:i/>
          <w:spacing w:val="-5"/>
          <w:sz w:val="20"/>
          <w:vertAlign w:val="baseline"/>
        </w:rPr>
        <w:t>cit</w:t>
      </w:r>
    </w:p>
    <w:p>
      <w:pPr>
        <w:spacing w:after="0"/>
        <w:jc w:val="left"/>
        <w:rPr>
          <w:rFonts w:ascii="Times New Roman"/>
          <w:sz w:val="20"/>
        </w:rPr>
        <w:sectPr>
          <w:pgSz w:w="12240" w:h="15840"/>
          <w:pgMar w:header="0" w:footer="1070" w:top="1340" w:bottom="1260" w:left="1680" w:right="1320"/>
        </w:sectPr>
      </w:pPr>
    </w:p>
    <w:p>
      <w:pPr>
        <w:spacing w:line="480" w:lineRule="auto" w:before="74"/>
        <w:ind w:left="1056" w:right="120" w:firstLine="0"/>
        <w:jc w:val="both"/>
        <w:rPr>
          <w:sz w:val="25"/>
        </w:rPr>
      </w:pPr>
      <w:r>
        <w:rPr>
          <w:sz w:val="25"/>
        </w:rPr>
        <w:t>here consists of take-off grant from the Federal Government, contributions by employers pursuant to the Act, fees and assessments charged</w:t>
      </w:r>
      <w:r>
        <w:rPr>
          <w:spacing w:val="-4"/>
          <w:sz w:val="25"/>
        </w:rPr>
        <w:t> </w:t>
      </w:r>
      <w:r>
        <w:rPr>
          <w:sz w:val="25"/>
        </w:rPr>
        <w:t>on</w:t>
      </w:r>
      <w:r>
        <w:rPr>
          <w:spacing w:val="-1"/>
          <w:sz w:val="25"/>
        </w:rPr>
        <w:t> </w:t>
      </w:r>
      <w:r>
        <w:rPr>
          <w:sz w:val="25"/>
        </w:rPr>
        <w:t>employers,</w:t>
      </w:r>
      <w:r>
        <w:rPr>
          <w:spacing w:val="-4"/>
          <w:sz w:val="25"/>
        </w:rPr>
        <w:t> </w:t>
      </w:r>
      <w:r>
        <w:rPr>
          <w:sz w:val="25"/>
        </w:rPr>
        <w:t>the</w:t>
      </w:r>
      <w:r>
        <w:rPr>
          <w:spacing w:val="-6"/>
          <w:sz w:val="25"/>
        </w:rPr>
        <w:t> </w:t>
      </w:r>
      <w:r>
        <w:rPr>
          <w:sz w:val="25"/>
        </w:rPr>
        <w:t>proceeds</w:t>
      </w:r>
      <w:r>
        <w:rPr>
          <w:spacing w:val="-5"/>
          <w:sz w:val="25"/>
        </w:rPr>
        <w:t> </w:t>
      </w:r>
      <w:r>
        <w:rPr>
          <w:sz w:val="25"/>
        </w:rPr>
        <w:t>of</w:t>
      </w:r>
      <w:r>
        <w:rPr>
          <w:spacing w:val="-3"/>
          <w:sz w:val="25"/>
        </w:rPr>
        <w:t> </w:t>
      </w:r>
      <w:r>
        <w:rPr>
          <w:sz w:val="25"/>
        </w:rPr>
        <w:t>investments</w:t>
      </w:r>
      <w:r>
        <w:rPr>
          <w:spacing w:val="-5"/>
          <w:sz w:val="25"/>
        </w:rPr>
        <w:t> </w:t>
      </w:r>
      <w:r>
        <w:rPr>
          <w:sz w:val="25"/>
        </w:rPr>
        <w:t>of</w:t>
      </w:r>
      <w:r>
        <w:rPr>
          <w:spacing w:val="-3"/>
          <w:sz w:val="25"/>
        </w:rPr>
        <w:t> </w:t>
      </w:r>
      <w:r>
        <w:rPr>
          <w:sz w:val="25"/>
        </w:rPr>
        <w:t>the</w:t>
      </w:r>
      <w:r>
        <w:rPr>
          <w:spacing w:val="-6"/>
          <w:sz w:val="25"/>
        </w:rPr>
        <w:t> </w:t>
      </w:r>
      <w:r>
        <w:rPr>
          <w:sz w:val="25"/>
        </w:rPr>
        <w:t>funds,</w:t>
      </w:r>
      <w:r>
        <w:rPr>
          <w:spacing w:val="-4"/>
          <w:sz w:val="25"/>
        </w:rPr>
        <w:t> </w:t>
      </w:r>
      <w:r>
        <w:rPr>
          <w:sz w:val="25"/>
        </w:rPr>
        <w:t>gifts</w:t>
      </w:r>
      <w:r>
        <w:rPr>
          <w:spacing w:val="-2"/>
          <w:sz w:val="25"/>
        </w:rPr>
        <w:t> </w:t>
      </w:r>
      <w:r>
        <w:rPr>
          <w:sz w:val="25"/>
        </w:rPr>
        <w:t>or grants from any national or international organisations, and other</w:t>
      </w:r>
      <w:r>
        <w:rPr>
          <w:spacing w:val="40"/>
          <w:sz w:val="25"/>
        </w:rPr>
        <w:t> </w:t>
      </w:r>
      <w:r>
        <w:rPr>
          <w:sz w:val="25"/>
        </w:rPr>
        <w:t>monies that may accrue to the Fund from any other source.</w:t>
      </w:r>
      <w:r>
        <w:rPr>
          <w:sz w:val="25"/>
          <w:vertAlign w:val="superscript"/>
        </w:rPr>
        <w:t>7</w:t>
      </w:r>
      <w:r>
        <w:rPr>
          <w:sz w:val="25"/>
          <w:vertAlign w:val="baseline"/>
        </w:rPr>
        <w:t> Employees are</w:t>
      </w:r>
      <w:r>
        <w:rPr>
          <w:spacing w:val="-2"/>
          <w:sz w:val="25"/>
          <w:vertAlign w:val="baseline"/>
        </w:rPr>
        <w:t> </w:t>
      </w:r>
      <w:r>
        <w:rPr>
          <w:sz w:val="25"/>
          <w:vertAlign w:val="baseline"/>
        </w:rPr>
        <w:t>prohibited from contributing to</w:t>
      </w:r>
      <w:r>
        <w:rPr>
          <w:spacing w:val="-2"/>
          <w:sz w:val="25"/>
          <w:vertAlign w:val="baseline"/>
        </w:rPr>
        <w:t> </w:t>
      </w:r>
      <w:r>
        <w:rPr>
          <w:sz w:val="25"/>
          <w:vertAlign w:val="baseline"/>
        </w:rPr>
        <w:t>the</w:t>
      </w:r>
      <w:r>
        <w:rPr>
          <w:spacing w:val="-2"/>
          <w:sz w:val="25"/>
          <w:vertAlign w:val="baseline"/>
        </w:rPr>
        <w:t> </w:t>
      </w:r>
      <w:r>
        <w:rPr>
          <w:sz w:val="25"/>
          <w:vertAlign w:val="baseline"/>
        </w:rPr>
        <w:t>Fund as</w:t>
      </w:r>
      <w:r>
        <w:rPr>
          <w:spacing w:val="-2"/>
          <w:sz w:val="25"/>
          <w:vertAlign w:val="baseline"/>
        </w:rPr>
        <w:t> </w:t>
      </w:r>
      <w:r>
        <w:rPr>
          <w:sz w:val="25"/>
          <w:vertAlign w:val="baseline"/>
        </w:rPr>
        <w:t>the</w:t>
      </w:r>
      <w:r>
        <w:rPr>
          <w:spacing w:val="-2"/>
          <w:sz w:val="25"/>
          <w:vertAlign w:val="baseline"/>
        </w:rPr>
        <w:t> </w:t>
      </w:r>
      <w:r>
        <w:rPr>
          <w:sz w:val="25"/>
          <w:vertAlign w:val="baseline"/>
        </w:rPr>
        <w:t>Act</w:t>
      </w:r>
      <w:r>
        <w:rPr>
          <w:spacing w:val="-3"/>
          <w:sz w:val="25"/>
          <w:vertAlign w:val="baseline"/>
        </w:rPr>
        <w:t> </w:t>
      </w:r>
      <w:r>
        <w:rPr>
          <w:sz w:val="25"/>
          <w:vertAlign w:val="baseline"/>
        </w:rPr>
        <w:t>imposes</w:t>
      </w:r>
      <w:r>
        <w:rPr>
          <w:spacing w:val="-2"/>
          <w:sz w:val="25"/>
          <w:vertAlign w:val="baseline"/>
        </w:rPr>
        <w:t> </w:t>
      </w:r>
      <w:r>
        <w:rPr>
          <w:sz w:val="25"/>
          <w:vertAlign w:val="baseline"/>
        </w:rPr>
        <w:t>sanction against employers who attempt to deduct assessments that are payable to the Fund from the remuneration of employees.</w:t>
      </w:r>
      <w:r>
        <w:rPr>
          <w:sz w:val="25"/>
          <w:vertAlign w:val="superscript"/>
        </w:rPr>
        <w:t>8</w:t>
      </w:r>
    </w:p>
    <w:p>
      <w:pPr>
        <w:pStyle w:val="BodyText"/>
        <w:spacing w:before="2"/>
        <w:rPr>
          <w:sz w:val="25"/>
        </w:rPr>
      </w:pPr>
    </w:p>
    <w:p>
      <w:pPr>
        <w:spacing w:line="480" w:lineRule="auto" w:before="0"/>
        <w:ind w:left="1056" w:right="121" w:firstLine="0"/>
        <w:jc w:val="both"/>
        <w:rPr>
          <w:sz w:val="25"/>
        </w:rPr>
      </w:pPr>
      <w:r>
        <w:rPr>
          <w:sz w:val="25"/>
        </w:rPr>
        <w:t>The Act prohibits waiver of the benefits or rights of employees or dependants to compensation through any agreement made between the employer and employee. Agreements that are made with the aim to waive the employees’ right to compensation are rendered void and </w:t>
      </w:r>
      <w:r>
        <w:rPr>
          <w:spacing w:val="-2"/>
          <w:sz w:val="25"/>
        </w:rPr>
        <w:t>unenforceable.</w:t>
      </w:r>
    </w:p>
    <w:p>
      <w:pPr>
        <w:spacing w:line="480" w:lineRule="auto" w:before="299"/>
        <w:ind w:left="1056" w:right="122" w:firstLine="0"/>
        <w:jc w:val="both"/>
        <w:rPr>
          <w:sz w:val="25"/>
        </w:rPr>
      </w:pPr>
      <w:r>
        <w:rPr>
          <w:sz w:val="25"/>
        </w:rPr>
        <w:t>The Employees’ Compensation scheme now recognises new categories</w:t>
      </w:r>
      <w:r>
        <w:rPr>
          <w:spacing w:val="40"/>
          <w:sz w:val="25"/>
        </w:rPr>
        <w:t> </w:t>
      </w:r>
      <w:r>
        <w:rPr>
          <w:sz w:val="25"/>
        </w:rPr>
        <w:t>of workplace injuries such as mental stress resulting from exceptional circumstances in the course of employment.</w:t>
      </w:r>
      <w:r>
        <w:rPr>
          <w:sz w:val="25"/>
          <w:vertAlign w:val="superscript"/>
        </w:rPr>
        <w:t>9</w:t>
      </w:r>
      <w:r>
        <w:rPr>
          <w:sz w:val="25"/>
          <w:vertAlign w:val="baseline"/>
        </w:rPr>
        <w:t> This is only if the mental stress is an acute reaction to a sudden and unexpected traumatic event arising out of or in the course of the employees’ employment or diagnosed</w:t>
      </w:r>
      <w:r>
        <w:rPr>
          <w:spacing w:val="11"/>
          <w:sz w:val="25"/>
          <w:vertAlign w:val="baseline"/>
        </w:rPr>
        <w:t> </w:t>
      </w:r>
      <w:r>
        <w:rPr>
          <w:sz w:val="25"/>
          <w:vertAlign w:val="baseline"/>
        </w:rPr>
        <w:t>by</w:t>
      </w:r>
      <w:r>
        <w:rPr>
          <w:spacing w:val="11"/>
          <w:sz w:val="25"/>
          <w:vertAlign w:val="baseline"/>
        </w:rPr>
        <w:t> </w:t>
      </w:r>
      <w:r>
        <w:rPr>
          <w:sz w:val="25"/>
          <w:vertAlign w:val="baseline"/>
        </w:rPr>
        <w:t>an</w:t>
      </w:r>
      <w:r>
        <w:rPr>
          <w:spacing w:val="10"/>
          <w:sz w:val="25"/>
          <w:vertAlign w:val="baseline"/>
        </w:rPr>
        <w:t> </w:t>
      </w:r>
      <w:r>
        <w:rPr>
          <w:sz w:val="25"/>
          <w:vertAlign w:val="baseline"/>
        </w:rPr>
        <w:t>accredited</w:t>
      </w:r>
      <w:r>
        <w:rPr>
          <w:spacing w:val="12"/>
          <w:sz w:val="25"/>
          <w:vertAlign w:val="baseline"/>
        </w:rPr>
        <w:t> </w:t>
      </w:r>
      <w:r>
        <w:rPr>
          <w:sz w:val="25"/>
          <w:vertAlign w:val="baseline"/>
        </w:rPr>
        <w:t>medical</w:t>
      </w:r>
      <w:r>
        <w:rPr>
          <w:spacing w:val="11"/>
          <w:sz w:val="25"/>
          <w:vertAlign w:val="baseline"/>
        </w:rPr>
        <w:t> </w:t>
      </w:r>
      <w:r>
        <w:rPr>
          <w:sz w:val="25"/>
          <w:vertAlign w:val="baseline"/>
        </w:rPr>
        <w:t>practitioner</w:t>
      </w:r>
      <w:r>
        <w:rPr>
          <w:spacing w:val="12"/>
          <w:sz w:val="25"/>
          <w:vertAlign w:val="baseline"/>
        </w:rPr>
        <w:t> </w:t>
      </w:r>
      <w:r>
        <w:rPr>
          <w:sz w:val="25"/>
          <w:vertAlign w:val="baseline"/>
        </w:rPr>
        <w:t>as</w:t>
      </w:r>
      <w:r>
        <w:rPr>
          <w:spacing w:val="10"/>
          <w:sz w:val="25"/>
          <w:vertAlign w:val="baseline"/>
        </w:rPr>
        <w:t> </w:t>
      </w:r>
      <w:r>
        <w:rPr>
          <w:sz w:val="25"/>
          <w:vertAlign w:val="baseline"/>
        </w:rPr>
        <w:t>a</w:t>
      </w:r>
      <w:r>
        <w:rPr>
          <w:spacing w:val="9"/>
          <w:sz w:val="25"/>
          <w:vertAlign w:val="baseline"/>
        </w:rPr>
        <w:t> </w:t>
      </w:r>
      <w:r>
        <w:rPr>
          <w:sz w:val="25"/>
          <w:vertAlign w:val="baseline"/>
        </w:rPr>
        <w:t>mental</w:t>
      </w:r>
      <w:r>
        <w:rPr>
          <w:spacing w:val="11"/>
          <w:sz w:val="25"/>
          <w:vertAlign w:val="baseline"/>
        </w:rPr>
        <w:t> </w:t>
      </w:r>
      <w:r>
        <w:rPr>
          <w:sz w:val="25"/>
          <w:vertAlign w:val="baseline"/>
        </w:rPr>
        <w:t>or</w:t>
      </w:r>
      <w:r>
        <w:rPr>
          <w:spacing w:val="12"/>
          <w:sz w:val="25"/>
          <w:vertAlign w:val="baseline"/>
        </w:rPr>
        <w:t> </w:t>
      </w:r>
      <w:r>
        <w:rPr>
          <w:spacing w:val="-2"/>
          <w:sz w:val="25"/>
          <w:vertAlign w:val="baseline"/>
        </w:rPr>
        <w:t>physical</w:t>
      </w:r>
    </w:p>
    <w:p>
      <w:pPr>
        <w:pStyle w:val="BodyText"/>
        <w:rPr>
          <w:sz w:val="5"/>
        </w:rPr>
      </w:pPr>
      <w:r>
        <w:rPr/>
        <mc:AlternateContent>
          <mc:Choice Requires="wps">
            <w:drawing>
              <wp:anchor distT="0" distB="0" distL="0" distR="0" allowOverlap="1" layoutInCell="1" locked="0" behindDoc="1" simplePos="0" relativeHeight="487593984">
                <wp:simplePos x="0" y="0"/>
                <wp:positionH relativeFrom="page">
                  <wp:posOffset>1280160</wp:posOffset>
                </wp:positionH>
                <wp:positionV relativeFrom="paragraph">
                  <wp:posOffset>54130</wp:posOffset>
                </wp:positionV>
                <wp:extent cx="1828800" cy="6350"/>
                <wp:effectExtent l="0" t="0" r="0" b="0"/>
                <wp:wrapTopAndBottom/>
                <wp:docPr id="15" name="Graphic 15"/>
                <wp:cNvGraphicFramePr>
                  <a:graphicFrameLocks/>
                </wp:cNvGraphicFramePr>
                <a:graphic>
                  <a:graphicData uri="http://schemas.microsoft.com/office/word/2010/wordprocessingShape">
                    <wps:wsp>
                      <wps:cNvPr id="15" name="Graphic 15"/>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4.262266pt;width:144pt;height:.48pt;mso-position-horizontal-relative:page;mso-position-vertical-relative:paragraph;z-index:-15722496;mso-wrap-distance-left:0;mso-wrap-distance-right:0" id="docshape15" filled="true" fillcolor="#000000" stroked="false">
                <v:fill type="solid"/>
                <w10:wrap type="topAndBottom"/>
              </v:rect>
            </w:pict>
          </mc:Fallback>
        </mc:AlternateContent>
      </w:r>
    </w:p>
    <w:p>
      <w:pPr>
        <w:spacing w:before="101"/>
        <w:ind w:left="335" w:right="0" w:firstLine="0"/>
        <w:jc w:val="left"/>
        <w:rPr>
          <w:rFonts w:ascii="Times New Roman"/>
          <w:i/>
          <w:sz w:val="20"/>
        </w:rPr>
      </w:pPr>
      <w:r>
        <w:rPr>
          <w:rFonts w:ascii="Times New Roman"/>
          <w:sz w:val="20"/>
          <w:vertAlign w:val="superscript"/>
        </w:rPr>
        <w:t>7</w:t>
      </w:r>
      <w:r>
        <w:rPr>
          <w:rFonts w:ascii="Times New Roman"/>
          <w:spacing w:val="3"/>
          <w:sz w:val="20"/>
          <w:vertAlign w:val="baseline"/>
        </w:rPr>
        <w:t> </w:t>
      </w:r>
      <w:r>
        <w:rPr>
          <w:rFonts w:ascii="Times New Roman"/>
          <w:sz w:val="20"/>
          <w:vertAlign w:val="baseline"/>
        </w:rPr>
        <w:t>Sections</w:t>
      </w:r>
      <w:r>
        <w:rPr>
          <w:rFonts w:ascii="Times New Roman"/>
          <w:spacing w:val="-1"/>
          <w:sz w:val="20"/>
          <w:vertAlign w:val="baseline"/>
        </w:rPr>
        <w:t> </w:t>
      </w:r>
      <w:r>
        <w:rPr>
          <w:rFonts w:ascii="Times New Roman"/>
          <w:sz w:val="20"/>
          <w:vertAlign w:val="baseline"/>
        </w:rPr>
        <w:t>31</w:t>
      </w:r>
      <w:r>
        <w:rPr>
          <w:rFonts w:ascii="Times New Roman"/>
          <w:spacing w:val="-3"/>
          <w:sz w:val="20"/>
          <w:vertAlign w:val="baseline"/>
        </w:rPr>
        <w:t> </w:t>
      </w:r>
      <w:r>
        <w:rPr>
          <w:rFonts w:ascii="Times New Roman"/>
          <w:sz w:val="20"/>
          <w:vertAlign w:val="baseline"/>
        </w:rPr>
        <w:t>&amp;</w:t>
      </w:r>
      <w:r>
        <w:rPr>
          <w:rFonts w:ascii="Times New Roman"/>
          <w:spacing w:val="-3"/>
          <w:sz w:val="20"/>
          <w:vertAlign w:val="baseline"/>
        </w:rPr>
        <w:t> </w:t>
      </w:r>
      <w:r>
        <w:rPr>
          <w:rFonts w:ascii="Times New Roman"/>
          <w:sz w:val="20"/>
          <w:vertAlign w:val="baseline"/>
        </w:rPr>
        <w:t>33</w:t>
      </w:r>
      <w:r>
        <w:rPr>
          <w:rFonts w:ascii="Times New Roman"/>
          <w:spacing w:val="-3"/>
          <w:sz w:val="20"/>
          <w:vertAlign w:val="baseline"/>
        </w:rPr>
        <w:t> </w:t>
      </w:r>
      <w:r>
        <w:rPr>
          <w:rFonts w:ascii="Times New Roman"/>
          <w:i/>
          <w:spacing w:val="-4"/>
          <w:sz w:val="20"/>
          <w:vertAlign w:val="baseline"/>
        </w:rPr>
        <w:t>ibid</w:t>
      </w:r>
    </w:p>
    <w:p>
      <w:pPr>
        <w:spacing w:before="0"/>
        <w:ind w:left="335" w:right="0" w:firstLine="0"/>
        <w:jc w:val="left"/>
        <w:rPr>
          <w:rFonts w:ascii="Times New Roman"/>
          <w:i/>
          <w:sz w:val="20"/>
        </w:rPr>
      </w:pPr>
      <w:r>
        <w:rPr>
          <w:rFonts w:ascii="Times New Roman"/>
          <w:sz w:val="20"/>
          <w:vertAlign w:val="superscript"/>
        </w:rPr>
        <w:t>8</w:t>
      </w:r>
      <w:r>
        <w:rPr>
          <w:rFonts w:ascii="Times New Roman"/>
          <w:spacing w:val="-1"/>
          <w:sz w:val="20"/>
          <w:vertAlign w:val="baseline"/>
        </w:rPr>
        <w:t> </w:t>
      </w:r>
      <w:r>
        <w:rPr>
          <w:rFonts w:ascii="Times New Roman"/>
          <w:sz w:val="20"/>
          <w:vertAlign w:val="baseline"/>
        </w:rPr>
        <w:t>Section</w:t>
      </w:r>
      <w:r>
        <w:rPr>
          <w:rFonts w:ascii="Times New Roman"/>
          <w:spacing w:val="1"/>
          <w:sz w:val="20"/>
          <w:vertAlign w:val="baseline"/>
        </w:rPr>
        <w:t> </w:t>
      </w:r>
      <w:r>
        <w:rPr>
          <w:rFonts w:ascii="Times New Roman"/>
          <w:sz w:val="20"/>
          <w:vertAlign w:val="baseline"/>
        </w:rPr>
        <w:t>14</w:t>
      </w:r>
      <w:r>
        <w:rPr>
          <w:rFonts w:ascii="Times New Roman"/>
          <w:spacing w:val="-8"/>
          <w:sz w:val="20"/>
          <w:vertAlign w:val="baseline"/>
        </w:rPr>
        <w:t> </w:t>
      </w:r>
      <w:r>
        <w:rPr>
          <w:rFonts w:ascii="Times New Roman"/>
          <w:i/>
          <w:spacing w:val="-4"/>
          <w:sz w:val="20"/>
          <w:vertAlign w:val="baseline"/>
        </w:rPr>
        <w:t>ibid</w:t>
      </w:r>
    </w:p>
    <w:p>
      <w:pPr>
        <w:spacing w:before="1"/>
        <w:ind w:left="335" w:right="0" w:firstLine="0"/>
        <w:jc w:val="left"/>
        <w:rPr>
          <w:rFonts w:ascii="Times New Roman"/>
          <w:i/>
          <w:sz w:val="20"/>
        </w:rPr>
      </w:pPr>
      <w:r>
        <w:rPr>
          <w:rFonts w:ascii="Times New Roman"/>
          <w:sz w:val="20"/>
          <w:vertAlign w:val="superscript"/>
        </w:rPr>
        <w:t>9</w:t>
      </w:r>
      <w:r>
        <w:rPr>
          <w:rFonts w:ascii="Times New Roman"/>
          <w:spacing w:val="1"/>
          <w:sz w:val="20"/>
          <w:vertAlign w:val="baseline"/>
        </w:rPr>
        <w:t> </w:t>
      </w:r>
      <w:r>
        <w:rPr>
          <w:rFonts w:ascii="Times New Roman"/>
          <w:sz w:val="20"/>
          <w:vertAlign w:val="baseline"/>
        </w:rPr>
        <w:t>Section</w:t>
      </w:r>
      <w:r>
        <w:rPr>
          <w:rFonts w:ascii="Times New Roman"/>
          <w:spacing w:val="2"/>
          <w:sz w:val="20"/>
          <w:vertAlign w:val="baseline"/>
        </w:rPr>
        <w:t> </w:t>
      </w:r>
      <w:r>
        <w:rPr>
          <w:rFonts w:ascii="Times New Roman"/>
          <w:sz w:val="20"/>
          <w:vertAlign w:val="baseline"/>
        </w:rPr>
        <w:t>8</w:t>
      </w:r>
      <w:r>
        <w:rPr>
          <w:rFonts w:ascii="Times New Roman"/>
          <w:spacing w:val="-5"/>
          <w:sz w:val="20"/>
          <w:vertAlign w:val="baseline"/>
        </w:rPr>
        <w:t> </w:t>
      </w:r>
      <w:r>
        <w:rPr>
          <w:rFonts w:ascii="Times New Roman"/>
          <w:i/>
          <w:spacing w:val="-4"/>
          <w:sz w:val="20"/>
          <w:vertAlign w:val="baseline"/>
        </w:rPr>
        <w:t>ibid</w:t>
      </w:r>
    </w:p>
    <w:p>
      <w:pPr>
        <w:spacing w:after="0"/>
        <w:jc w:val="left"/>
        <w:rPr>
          <w:rFonts w:ascii="Times New Roman"/>
          <w:sz w:val="20"/>
        </w:rPr>
        <w:sectPr>
          <w:pgSz w:w="12240" w:h="15840"/>
          <w:pgMar w:header="0" w:footer="1070" w:top="1360" w:bottom="1260" w:left="1680" w:right="1320"/>
        </w:sectPr>
      </w:pPr>
    </w:p>
    <w:p>
      <w:pPr>
        <w:spacing w:line="480" w:lineRule="auto" w:before="74"/>
        <w:ind w:left="1056" w:right="119" w:firstLine="0"/>
        <w:jc w:val="both"/>
        <w:rPr>
          <w:sz w:val="25"/>
        </w:rPr>
      </w:pPr>
      <w:r>
        <w:rPr>
          <w:sz w:val="25"/>
        </w:rPr>
        <w:t>condition amounting to mental stress arising out of the nature of work</w:t>
      </w:r>
      <w:r>
        <w:rPr>
          <w:spacing w:val="40"/>
          <w:sz w:val="25"/>
        </w:rPr>
        <w:t> </w:t>
      </w:r>
      <w:r>
        <w:rPr>
          <w:sz w:val="25"/>
        </w:rPr>
        <w:t>or the occurrence of any event in the course of the employees’ employment.</w:t>
      </w:r>
      <w:r>
        <w:rPr>
          <w:sz w:val="25"/>
          <w:vertAlign w:val="superscript"/>
        </w:rPr>
        <w:t>10</w:t>
      </w:r>
      <w:r>
        <w:rPr>
          <w:sz w:val="25"/>
          <w:vertAlign w:val="baseline"/>
        </w:rPr>
        <w:t> Where the mental stress is caused as a result of the decision of the employer to change the work, the working condition of work organisation in such a way as to unfairly exceed the work ability and capacity of the employee thereby leading to mental stress, such situation shall be liable to compensation to the degree as may be determined under any regulation made by the Board. </w:t>
      </w:r>
      <w:r>
        <w:rPr>
          <w:sz w:val="25"/>
          <w:vertAlign w:val="superscript"/>
        </w:rPr>
        <w:t>11</w:t>
      </w:r>
    </w:p>
    <w:p>
      <w:pPr>
        <w:pStyle w:val="BodyText"/>
        <w:spacing w:before="2"/>
        <w:rPr>
          <w:sz w:val="25"/>
        </w:rPr>
      </w:pPr>
    </w:p>
    <w:p>
      <w:pPr>
        <w:spacing w:line="480" w:lineRule="auto" w:before="0"/>
        <w:ind w:left="1056" w:right="120" w:firstLine="0"/>
        <w:jc w:val="both"/>
        <w:rPr>
          <w:sz w:val="25"/>
        </w:rPr>
      </w:pPr>
      <w:r>
        <w:rPr>
          <w:sz w:val="25"/>
        </w:rPr>
        <w:t>Payment of compensation under the Act does not affect the employees’ retirement benefits payable under the Pension Reform Act.</w:t>
      </w:r>
      <w:r>
        <w:rPr>
          <w:sz w:val="25"/>
          <w:vertAlign w:val="superscript"/>
        </w:rPr>
        <w:t>12</w:t>
      </w:r>
      <w:r>
        <w:rPr>
          <w:sz w:val="25"/>
          <w:vertAlign w:val="baseline"/>
        </w:rPr>
        <w:t> The</w:t>
      </w:r>
      <w:r>
        <w:rPr>
          <w:spacing w:val="40"/>
          <w:sz w:val="25"/>
          <w:vertAlign w:val="baseline"/>
        </w:rPr>
        <w:t> </w:t>
      </w:r>
      <w:r>
        <w:rPr>
          <w:sz w:val="25"/>
          <w:vertAlign w:val="baseline"/>
        </w:rPr>
        <w:t>scheme has the effect of easing the burden on employers who will not be required to contribute further to the welfare of an injured employee</w:t>
      </w:r>
      <w:r>
        <w:rPr>
          <w:spacing w:val="40"/>
          <w:sz w:val="25"/>
          <w:vertAlign w:val="baseline"/>
        </w:rPr>
        <w:t> </w:t>
      </w:r>
      <w:r>
        <w:rPr>
          <w:sz w:val="25"/>
          <w:vertAlign w:val="baseline"/>
        </w:rPr>
        <w:t>in the event of an accident or injury, no matter the amount of liability </w:t>
      </w:r>
      <w:r>
        <w:rPr>
          <w:spacing w:val="-2"/>
          <w:sz w:val="25"/>
          <w:vertAlign w:val="baseline"/>
        </w:rPr>
        <w:t>involved.</w:t>
      </w:r>
    </w:p>
    <w:p>
      <w:pPr>
        <w:spacing w:line="480" w:lineRule="auto" w:before="300"/>
        <w:ind w:left="1056" w:right="124" w:firstLine="0"/>
        <w:jc w:val="both"/>
        <w:rPr>
          <w:sz w:val="25"/>
        </w:rPr>
      </w:pPr>
      <w:r>
        <w:rPr>
          <w:sz w:val="25"/>
        </w:rPr>
        <w:t>As a general rule, an employee or his dependant is entitled to apply to the Board for compensation within one year after the date of the death or injury or disease or disability arising from any accident or</w:t>
      </w:r>
      <w:r>
        <w:rPr>
          <w:spacing w:val="40"/>
          <w:sz w:val="25"/>
        </w:rPr>
        <w:t> </w:t>
      </w:r>
      <w:r>
        <w:rPr>
          <w:sz w:val="25"/>
        </w:rPr>
        <w:t>occupational disease. Where special circumstances exist, an application for</w:t>
      </w:r>
      <w:r>
        <w:rPr>
          <w:spacing w:val="12"/>
          <w:sz w:val="25"/>
        </w:rPr>
        <w:t> </w:t>
      </w:r>
      <w:r>
        <w:rPr>
          <w:sz w:val="25"/>
        </w:rPr>
        <w:t>compensation</w:t>
      </w:r>
      <w:r>
        <w:rPr>
          <w:spacing w:val="10"/>
          <w:sz w:val="25"/>
        </w:rPr>
        <w:t> </w:t>
      </w:r>
      <w:r>
        <w:rPr>
          <w:sz w:val="25"/>
        </w:rPr>
        <w:t>may</w:t>
      </w:r>
      <w:r>
        <w:rPr>
          <w:spacing w:val="11"/>
          <w:sz w:val="25"/>
        </w:rPr>
        <w:t> </w:t>
      </w:r>
      <w:r>
        <w:rPr>
          <w:sz w:val="25"/>
        </w:rPr>
        <w:t>be</w:t>
      </w:r>
      <w:r>
        <w:rPr>
          <w:spacing w:val="10"/>
          <w:sz w:val="25"/>
        </w:rPr>
        <w:t> </w:t>
      </w:r>
      <w:r>
        <w:rPr>
          <w:sz w:val="25"/>
        </w:rPr>
        <w:t>made</w:t>
      </w:r>
      <w:r>
        <w:rPr>
          <w:spacing w:val="13"/>
          <w:sz w:val="25"/>
        </w:rPr>
        <w:t> </w:t>
      </w:r>
      <w:r>
        <w:rPr>
          <w:sz w:val="25"/>
        </w:rPr>
        <w:t>within</w:t>
      </w:r>
      <w:r>
        <w:rPr>
          <w:spacing w:val="10"/>
          <w:sz w:val="25"/>
        </w:rPr>
        <w:t> </w:t>
      </w:r>
      <w:r>
        <w:rPr>
          <w:sz w:val="25"/>
        </w:rPr>
        <w:t>three</w:t>
      </w:r>
      <w:r>
        <w:rPr>
          <w:spacing w:val="9"/>
          <w:sz w:val="25"/>
        </w:rPr>
        <w:t> </w:t>
      </w:r>
      <w:r>
        <w:rPr>
          <w:sz w:val="25"/>
        </w:rPr>
        <w:t>years</w:t>
      </w:r>
      <w:r>
        <w:rPr>
          <w:spacing w:val="14"/>
          <w:sz w:val="25"/>
        </w:rPr>
        <w:t> </w:t>
      </w:r>
      <w:r>
        <w:rPr>
          <w:sz w:val="25"/>
        </w:rPr>
        <w:t>of</w:t>
      </w:r>
      <w:r>
        <w:rPr>
          <w:spacing w:val="13"/>
          <w:sz w:val="25"/>
        </w:rPr>
        <w:t> </w:t>
      </w:r>
      <w:r>
        <w:rPr>
          <w:sz w:val="25"/>
        </w:rPr>
        <w:t>the</w:t>
      </w:r>
      <w:r>
        <w:rPr>
          <w:spacing w:val="13"/>
          <w:sz w:val="25"/>
        </w:rPr>
        <w:t> </w:t>
      </w:r>
      <w:r>
        <w:rPr>
          <w:sz w:val="25"/>
        </w:rPr>
        <w:t>occurrence</w:t>
      </w:r>
      <w:r>
        <w:rPr>
          <w:spacing w:val="13"/>
          <w:sz w:val="25"/>
        </w:rPr>
        <w:t> </w:t>
      </w:r>
      <w:r>
        <w:rPr>
          <w:spacing w:val="-5"/>
          <w:sz w:val="25"/>
        </w:rPr>
        <w:t>of</w:t>
      </w:r>
    </w:p>
    <w:p>
      <w:pPr>
        <w:pStyle w:val="BodyText"/>
        <w:spacing w:before="11"/>
        <w:rPr>
          <w:sz w:val="4"/>
        </w:rPr>
      </w:pPr>
      <w:r>
        <w:rPr/>
        <mc:AlternateContent>
          <mc:Choice Requires="wps">
            <w:drawing>
              <wp:anchor distT="0" distB="0" distL="0" distR="0" allowOverlap="1" layoutInCell="1" locked="0" behindDoc="1" simplePos="0" relativeHeight="487594496">
                <wp:simplePos x="0" y="0"/>
                <wp:positionH relativeFrom="page">
                  <wp:posOffset>1280160</wp:posOffset>
                </wp:positionH>
                <wp:positionV relativeFrom="paragraph">
                  <wp:posOffset>53495</wp:posOffset>
                </wp:positionV>
                <wp:extent cx="1828800" cy="6350"/>
                <wp:effectExtent l="0" t="0" r="0" b="0"/>
                <wp:wrapTopAndBottom/>
                <wp:docPr id="16" name="Graphic 16"/>
                <wp:cNvGraphicFramePr>
                  <a:graphicFrameLocks/>
                </wp:cNvGraphicFramePr>
                <a:graphic>
                  <a:graphicData uri="http://schemas.microsoft.com/office/word/2010/wordprocessingShape">
                    <wps:wsp>
                      <wps:cNvPr id="16" name="Graphic 16"/>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4.212265pt;width:144pt;height:.48pt;mso-position-horizontal-relative:page;mso-position-vertical-relative:paragraph;z-index:-15721984;mso-wrap-distance-left:0;mso-wrap-distance-right:0" id="docshape16" filled="true" fillcolor="#000000" stroked="false">
                <v:fill type="solid"/>
                <w10:wrap type="topAndBottom"/>
              </v:rect>
            </w:pict>
          </mc:Fallback>
        </mc:AlternateContent>
      </w:r>
    </w:p>
    <w:p>
      <w:pPr>
        <w:spacing w:before="101"/>
        <w:ind w:left="335" w:right="0" w:firstLine="0"/>
        <w:jc w:val="left"/>
        <w:rPr>
          <w:rFonts w:ascii="Times New Roman"/>
          <w:i/>
          <w:sz w:val="20"/>
        </w:rPr>
      </w:pPr>
      <w:r>
        <w:rPr>
          <w:rFonts w:ascii="Times New Roman"/>
          <w:sz w:val="20"/>
          <w:vertAlign w:val="superscript"/>
        </w:rPr>
        <w:t>10</w:t>
      </w:r>
      <w:r>
        <w:rPr>
          <w:rFonts w:ascii="Times New Roman"/>
          <w:spacing w:val="5"/>
          <w:sz w:val="20"/>
          <w:vertAlign w:val="baseline"/>
        </w:rPr>
        <w:t> </w:t>
      </w:r>
      <w:r>
        <w:rPr>
          <w:rFonts w:ascii="Times New Roman"/>
          <w:i/>
          <w:spacing w:val="-4"/>
          <w:sz w:val="20"/>
          <w:vertAlign w:val="baseline"/>
        </w:rPr>
        <w:t>Ibid</w:t>
      </w:r>
    </w:p>
    <w:p>
      <w:pPr>
        <w:spacing w:before="0"/>
        <w:ind w:left="335" w:right="0" w:firstLine="0"/>
        <w:jc w:val="left"/>
        <w:rPr>
          <w:rFonts w:ascii="Times New Roman"/>
          <w:i/>
          <w:sz w:val="20"/>
        </w:rPr>
      </w:pPr>
      <w:r>
        <w:rPr>
          <w:rFonts w:ascii="Times New Roman"/>
          <w:sz w:val="20"/>
          <w:vertAlign w:val="superscript"/>
        </w:rPr>
        <w:t>11</w:t>
      </w:r>
      <w:r>
        <w:rPr>
          <w:rFonts w:ascii="Times New Roman"/>
          <w:spacing w:val="5"/>
          <w:sz w:val="20"/>
          <w:vertAlign w:val="baseline"/>
        </w:rPr>
        <w:t> </w:t>
      </w:r>
      <w:r>
        <w:rPr>
          <w:rFonts w:ascii="Times New Roman"/>
          <w:i/>
          <w:spacing w:val="-4"/>
          <w:sz w:val="20"/>
          <w:vertAlign w:val="baseline"/>
        </w:rPr>
        <w:t>Ibid</w:t>
      </w:r>
    </w:p>
    <w:p>
      <w:pPr>
        <w:spacing w:before="1"/>
        <w:ind w:left="335" w:right="0" w:firstLine="0"/>
        <w:jc w:val="left"/>
        <w:rPr>
          <w:rFonts w:ascii="Times New Roman"/>
          <w:sz w:val="20"/>
        </w:rPr>
      </w:pPr>
      <w:r>
        <w:rPr>
          <w:rFonts w:ascii="Times New Roman"/>
          <w:sz w:val="20"/>
          <w:vertAlign w:val="superscript"/>
        </w:rPr>
        <w:t>12</w:t>
      </w:r>
      <w:r>
        <w:rPr>
          <w:rFonts w:ascii="Times New Roman"/>
          <w:spacing w:val="1"/>
          <w:sz w:val="20"/>
          <w:vertAlign w:val="baseline"/>
        </w:rPr>
        <w:t> </w:t>
      </w:r>
      <w:r>
        <w:rPr>
          <w:rFonts w:ascii="Times New Roman"/>
          <w:sz w:val="20"/>
          <w:vertAlign w:val="baseline"/>
        </w:rPr>
        <w:t>No.</w:t>
      </w:r>
      <w:r>
        <w:rPr>
          <w:rFonts w:ascii="Times New Roman"/>
          <w:spacing w:val="1"/>
          <w:sz w:val="20"/>
          <w:vertAlign w:val="baseline"/>
        </w:rPr>
        <w:t> </w:t>
      </w:r>
      <w:r>
        <w:rPr>
          <w:rFonts w:ascii="Times New Roman"/>
          <w:sz w:val="20"/>
          <w:vertAlign w:val="baseline"/>
        </w:rPr>
        <w:t>2,</w:t>
      </w:r>
      <w:r>
        <w:rPr>
          <w:rFonts w:ascii="Times New Roman"/>
          <w:spacing w:val="1"/>
          <w:sz w:val="20"/>
          <w:vertAlign w:val="baseline"/>
        </w:rPr>
        <w:t> </w:t>
      </w:r>
      <w:r>
        <w:rPr>
          <w:rFonts w:ascii="Times New Roman"/>
          <w:spacing w:val="-4"/>
          <w:sz w:val="20"/>
          <w:vertAlign w:val="baseline"/>
        </w:rPr>
        <w:t>2005</w:t>
      </w:r>
    </w:p>
    <w:p>
      <w:pPr>
        <w:spacing w:after="0"/>
        <w:jc w:val="left"/>
        <w:rPr>
          <w:rFonts w:ascii="Times New Roman"/>
          <w:sz w:val="20"/>
        </w:rPr>
        <w:sectPr>
          <w:pgSz w:w="12240" w:h="15840"/>
          <w:pgMar w:header="0" w:footer="1070" w:top="1360" w:bottom="1260" w:left="1680" w:right="1320"/>
        </w:sectPr>
      </w:pPr>
    </w:p>
    <w:p>
      <w:pPr>
        <w:spacing w:line="480" w:lineRule="auto" w:before="74"/>
        <w:ind w:left="1056" w:right="115" w:firstLine="0"/>
        <w:jc w:val="both"/>
        <w:rPr>
          <w:sz w:val="25"/>
        </w:rPr>
      </w:pPr>
      <w:r>
        <w:rPr>
          <w:sz w:val="25"/>
        </w:rPr>
        <w:t>the accident or injury, or injury, or disease for which a claim is being made.</w:t>
      </w:r>
      <w:r>
        <w:rPr>
          <w:sz w:val="25"/>
          <w:vertAlign w:val="superscript"/>
        </w:rPr>
        <w:t>13</w:t>
      </w:r>
      <w:r>
        <w:rPr>
          <w:sz w:val="25"/>
          <w:vertAlign w:val="baseline"/>
        </w:rPr>
        <w:t> Anybody that is dissatisfied with the decision of the Board on compensation</w:t>
      </w:r>
      <w:r>
        <w:rPr>
          <w:spacing w:val="-2"/>
          <w:sz w:val="25"/>
          <w:vertAlign w:val="baseline"/>
        </w:rPr>
        <w:t> </w:t>
      </w:r>
      <w:r>
        <w:rPr>
          <w:sz w:val="25"/>
          <w:vertAlign w:val="baseline"/>
        </w:rPr>
        <w:t>may</w:t>
      </w:r>
      <w:r>
        <w:rPr>
          <w:spacing w:val="-2"/>
          <w:sz w:val="25"/>
          <w:vertAlign w:val="baseline"/>
        </w:rPr>
        <w:t> </w:t>
      </w:r>
      <w:r>
        <w:rPr>
          <w:sz w:val="25"/>
          <w:vertAlign w:val="baseline"/>
        </w:rPr>
        <w:t>appeal</w:t>
      </w:r>
      <w:r>
        <w:rPr>
          <w:spacing w:val="-2"/>
          <w:sz w:val="25"/>
          <w:vertAlign w:val="baseline"/>
        </w:rPr>
        <w:t> </w:t>
      </w:r>
      <w:r>
        <w:rPr>
          <w:sz w:val="25"/>
          <w:vertAlign w:val="baseline"/>
        </w:rPr>
        <w:t>to</w:t>
      </w:r>
      <w:r>
        <w:rPr>
          <w:spacing w:val="-3"/>
          <w:sz w:val="25"/>
          <w:vertAlign w:val="baseline"/>
        </w:rPr>
        <w:t> </w:t>
      </w:r>
      <w:r>
        <w:rPr>
          <w:sz w:val="25"/>
          <w:vertAlign w:val="baseline"/>
        </w:rPr>
        <w:t>the</w:t>
      </w:r>
      <w:r>
        <w:rPr>
          <w:spacing w:val="-3"/>
          <w:sz w:val="25"/>
          <w:vertAlign w:val="baseline"/>
        </w:rPr>
        <w:t> </w:t>
      </w:r>
      <w:r>
        <w:rPr>
          <w:sz w:val="25"/>
          <w:vertAlign w:val="baseline"/>
        </w:rPr>
        <w:t>Board</w:t>
      </w:r>
      <w:r>
        <w:rPr>
          <w:spacing w:val="-1"/>
          <w:sz w:val="25"/>
          <w:vertAlign w:val="baseline"/>
        </w:rPr>
        <w:t> </w:t>
      </w:r>
      <w:r>
        <w:rPr>
          <w:sz w:val="25"/>
          <w:vertAlign w:val="baseline"/>
        </w:rPr>
        <w:t>for</w:t>
      </w:r>
      <w:r>
        <w:rPr>
          <w:spacing w:val="-5"/>
          <w:sz w:val="25"/>
          <w:vertAlign w:val="baseline"/>
        </w:rPr>
        <w:t> </w:t>
      </w:r>
      <w:r>
        <w:rPr>
          <w:sz w:val="25"/>
          <w:vertAlign w:val="baseline"/>
        </w:rPr>
        <w:t>a</w:t>
      </w:r>
      <w:r>
        <w:rPr>
          <w:spacing w:val="-3"/>
          <w:sz w:val="25"/>
          <w:vertAlign w:val="baseline"/>
        </w:rPr>
        <w:t> </w:t>
      </w:r>
      <w:r>
        <w:rPr>
          <w:sz w:val="25"/>
          <w:vertAlign w:val="baseline"/>
        </w:rPr>
        <w:t>review of such</w:t>
      </w:r>
      <w:r>
        <w:rPr>
          <w:spacing w:val="-2"/>
          <w:sz w:val="25"/>
          <w:vertAlign w:val="baseline"/>
        </w:rPr>
        <w:t> </w:t>
      </w:r>
      <w:r>
        <w:rPr>
          <w:sz w:val="25"/>
          <w:vertAlign w:val="baseline"/>
        </w:rPr>
        <w:t>decision</w:t>
      </w:r>
      <w:r>
        <w:rPr>
          <w:spacing w:val="-2"/>
          <w:sz w:val="25"/>
          <w:vertAlign w:val="baseline"/>
        </w:rPr>
        <w:t> </w:t>
      </w:r>
      <w:r>
        <w:rPr>
          <w:sz w:val="25"/>
          <w:vertAlign w:val="baseline"/>
        </w:rPr>
        <w:t>and it is only upon further dissatisfaction with the review that one can approach the National Industrial Court.</w:t>
      </w:r>
    </w:p>
    <w:p>
      <w:pPr>
        <w:pStyle w:val="BodyText"/>
        <w:spacing w:before="2"/>
        <w:rPr>
          <w:sz w:val="25"/>
        </w:rPr>
      </w:pPr>
    </w:p>
    <w:p>
      <w:pPr>
        <w:pStyle w:val="Heading1"/>
        <w:numPr>
          <w:ilvl w:val="1"/>
          <w:numId w:val="6"/>
        </w:numPr>
        <w:tabs>
          <w:tab w:pos="1053" w:val="left" w:leader="none"/>
        </w:tabs>
        <w:spacing w:line="240" w:lineRule="auto" w:before="1" w:after="0"/>
        <w:ind w:left="1053" w:right="0" w:hanging="718"/>
        <w:jc w:val="both"/>
      </w:pPr>
      <w:bookmarkStart w:name="_TOC_250028" w:id="2"/>
      <w:r>
        <w:rPr/>
        <w:t>Statement</w:t>
      </w:r>
      <w:r>
        <w:rPr>
          <w:spacing w:val="-8"/>
        </w:rPr>
        <w:t> </w:t>
      </w:r>
      <w:r>
        <w:rPr/>
        <w:t>of</w:t>
      </w:r>
      <w:r>
        <w:rPr>
          <w:spacing w:val="-9"/>
        </w:rPr>
        <w:t> </w:t>
      </w:r>
      <w:r>
        <w:rPr/>
        <w:t>the</w:t>
      </w:r>
      <w:r>
        <w:rPr>
          <w:spacing w:val="-9"/>
        </w:rPr>
        <w:t> </w:t>
      </w:r>
      <w:r>
        <w:rPr/>
        <w:t>Research</w:t>
      </w:r>
      <w:r>
        <w:rPr>
          <w:spacing w:val="-11"/>
        </w:rPr>
        <w:t> </w:t>
      </w:r>
      <w:bookmarkEnd w:id="2"/>
      <w:r>
        <w:rPr>
          <w:spacing w:val="-2"/>
        </w:rPr>
        <w:t>Problem</w:t>
      </w:r>
    </w:p>
    <w:p>
      <w:pPr>
        <w:spacing w:line="480" w:lineRule="auto" w:before="298"/>
        <w:ind w:left="1056" w:right="120" w:firstLine="0"/>
        <w:jc w:val="both"/>
        <w:rPr>
          <w:sz w:val="25"/>
        </w:rPr>
      </w:pPr>
      <w:r>
        <w:rPr>
          <w:sz w:val="25"/>
        </w:rPr>
        <w:t>The realization of the policy objectives of Employees’ Compensation Act in Nigeria will be difficult if not impossible without a comprehensive literature on the provisions of the Act, hence the need to find out the new innovations introduced by the present Act.</w:t>
      </w:r>
      <w:r>
        <w:rPr>
          <w:spacing w:val="40"/>
          <w:sz w:val="25"/>
        </w:rPr>
        <w:t> </w:t>
      </w:r>
      <w:r>
        <w:rPr>
          <w:sz w:val="25"/>
        </w:rPr>
        <w:t>Available scattered literature on employees’ compensation in Nigeria, have not in a holistic and comprehensive way discussed the provisions of the Act. Employers, employees and the insurer (the Board) who are all stakeholders in the scheme</w:t>
      </w:r>
      <w:r>
        <w:rPr>
          <w:spacing w:val="-2"/>
          <w:sz w:val="25"/>
        </w:rPr>
        <w:t> </w:t>
      </w:r>
      <w:r>
        <w:rPr>
          <w:sz w:val="25"/>
        </w:rPr>
        <w:t>will</w:t>
      </w:r>
      <w:r>
        <w:rPr>
          <w:spacing w:val="-1"/>
          <w:sz w:val="25"/>
        </w:rPr>
        <w:t> </w:t>
      </w:r>
      <w:r>
        <w:rPr>
          <w:sz w:val="25"/>
        </w:rPr>
        <w:t>grapple</w:t>
      </w:r>
      <w:r>
        <w:rPr>
          <w:spacing w:val="-7"/>
          <w:sz w:val="25"/>
        </w:rPr>
        <w:t> </w:t>
      </w:r>
      <w:r>
        <w:rPr>
          <w:sz w:val="25"/>
        </w:rPr>
        <w:t>with</w:t>
      </w:r>
      <w:r>
        <w:rPr>
          <w:spacing w:val="-2"/>
          <w:sz w:val="25"/>
        </w:rPr>
        <w:t> </w:t>
      </w:r>
      <w:r>
        <w:rPr>
          <w:sz w:val="25"/>
        </w:rPr>
        <w:t>the</w:t>
      </w:r>
      <w:r>
        <w:rPr>
          <w:spacing w:val="-2"/>
          <w:sz w:val="25"/>
        </w:rPr>
        <w:t> </w:t>
      </w:r>
      <w:r>
        <w:rPr>
          <w:sz w:val="25"/>
        </w:rPr>
        <w:t>provisions</w:t>
      </w:r>
      <w:r>
        <w:rPr>
          <w:spacing w:val="-2"/>
          <w:sz w:val="25"/>
        </w:rPr>
        <w:t> </w:t>
      </w:r>
      <w:r>
        <w:rPr>
          <w:sz w:val="25"/>
        </w:rPr>
        <w:t>of the</w:t>
      </w:r>
      <w:r>
        <w:rPr>
          <w:spacing w:val="-2"/>
          <w:sz w:val="25"/>
        </w:rPr>
        <w:t> </w:t>
      </w:r>
      <w:r>
        <w:rPr>
          <w:sz w:val="25"/>
        </w:rPr>
        <w:t>Act</w:t>
      </w:r>
      <w:r>
        <w:rPr>
          <w:spacing w:val="-3"/>
          <w:sz w:val="25"/>
        </w:rPr>
        <w:t> </w:t>
      </w:r>
      <w:r>
        <w:rPr>
          <w:sz w:val="25"/>
        </w:rPr>
        <w:t>relating</w:t>
      </w:r>
      <w:r>
        <w:rPr>
          <w:spacing w:val="-1"/>
          <w:sz w:val="25"/>
        </w:rPr>
        <w:t> </w:t>
      </w:r>
      <w:r>
        <w:rPr>
          <w:sz w:val="25"/>
        </w:rPr>
        <w:t>to</w:t>
      </w:r>
      <w:r>
        <w:rPr>
          <w:spacing w:val="-2"/>
          <w:sz w:val="25"/>
        </w:rPr>
        <w:t> </w:t>
      </w:r>
      <w:r>
        <w:rPr>
          <w:sz w:val="25"/>
        </w:rPr>
        <w:t>their</w:t>
      </w:r>
      <w:r>
        <w:rPr>
          <w:spacing w:val="-1"/>
          <w:sz w:val="25"/>
        </w:rPr>
        <w:t> </w:t>
      </w:r>
      <w:r>
        <w:rPr>
          <w:sz w:val="25"/>
        </w:rPr>
        <w:t>rights, duties and obligations, if no comprehensive research on the Act exists.</w:t>
      </w:r>
    </w:p>
    <w:p>
      <w:pPr>
        <w:pStyle w:val="BodyText"/>
        <w:spacing w:before="2"/>
        <w:rPr>
          <w:sz w:val="25"/>
        </w:rPr>
      </w:pPr>
    </w:p>
    <w:p>
      <w:pPr>
        <w:spacing w:line="480" w:lineRule="auto" w:before="0"/>
        <w:ind w:left="1056" w:right="117" w:firstLine="0"/>
        <w:jc w:val="both"/>
        <w:rPr>
          <w:sz w:val="25"/>
        </w:rPr>
      </w:pPr>
      <w:r>
        <w:rPr>
          <w:sz w:val="25"/>
        </w:rPr>
        <w:t>Awareness is key to the success or otherwise of any new policy. Where there is laxity in getting people to know so much about any new policy,</w:t>
      </w:r>
      <w:r>
        <w:rPr>
          <w:spacing w:val="40"/>
          <w:sz w:val="25"/>
        </w:rPr>
        <w:t> </w:t>
      </w:r>
      <w:r>
        <w:rPr>
          <w:sz w:val="25"/>
        </w:rPr>
        <w:t>it is time to worry. This research finds out the level of awareness of the present</w:t>
      </w:r>
      <w:r>
        <w:rPr>
          <w:spacing w:val="13"/>
          <w:sz w:val="25"/>
        </w:rPr>
        <w:t> </w:t>
      </w:r>
      <w:r>
        <w:rPr>
          <w:sz w:val="25"/>
        </w:rPr>
        <w:t>employees’</w:t>
      </w:r>
      <w:r>
        <w:rPr>
          <w:spacing w:val="10"/>
          <w:sz w:val="25"/>
        </w:rPr>
        <w:t> </w:t>
      </w:r>
      <w:r>
        <w:rPr>
          <w:sz w:val="25"/>
        </w:rPr>
        <w:t>compensation</w:t>
      </w:r>
      <w:r>
        <w:rPr>
          <w:spacing w:val="11"/>
          <w:sz w:val="25"/>
        </w:rPr>
        <w:t> </w:t>
      </w:r>
      <w:r>
        <w:rPr>
          <w:sz w:val="25"/>
        </w:rPr>
        <w:t>scheme</w:t>
      </w:r>
      <w:r>
        <w:rPr>
          <w:spacing w:val="10"/>
          <w:sz w:val="25"/>
        </w:rPr>
        <w:t> </w:t>
      </w:r>
      <w:r>
        <w:rPr>
          <w:sz w:val="25"/>
        </w:rPr>
        <w:t>in</w:t>
      </w:r>
      <w:r>
        <w:rPr>
          <w:spacing w:val="10"/>
          <w:sz w:val="25"/>
        </w:rPr>
        <w:t> </w:t>
      </w:r>
      <w:r>
        <w:rPr>
          <w:sz w:val="25"/>
        </w:rPr>
        <w:t>Nigeria</w:t>
      </w:r>
      <w:r>
        <w:rPr>
          <w:spacing w:val="10"/>
          <w:sz w:val="25"/>
        </w:rPr>
        <w:t> </w:t>
      </w:r>
      <w:r>
        <w:rPr>
          <w:sz w:val="25"/>
        </w:rPr>
        <w:t>as</w:t>
      </w:r>
      <w:r>
        <w:rPr>
          <w:spacing w:val="14"/>
          <w:sz w:val="25"/>
        </w:rPr>
        <w:t> </w:t>
      </w:r>
      <w:r>
        <w:rPr>
          <w:sz w:val="25"/>
        </w:rPr>
        <w:t>it</w:t>
      </w:r>
      <w:r>
        <w:rPr>
          <w:spacing w:val="14"/>
          <w:sz w:val="25"/>
        </w:rPr>
        <w:t> </w:t>
      </w:r>
      <w:r>
        <w:rPr>
          <w:sz w:val="25"/>
        </w:rPr>
        <w:t>relates</w:t>
      </w:r>
      <w:r>
        <w:rPr>
          <w:spacing w:val="14"/>
          <w:sz w:val="25"/>
        </w:rPr>
        <w:t> </w:t>
      </w:r>
      <w:r>
        <w:rPr>
          <w:sz w:val="25"/>
        </w:rPr>
        <w:t>to</w:t>
      </w:r>
      <w:r>
        <w:rPr>
          <w:spacing w:val="14"/>
          <w:sz w:val="25"/>
        </w:rPr>
        <w:t> </w:t>
      </w:r>
      <w:r>
        <w:rPr>
          <w:spacing w:val="-5"/>
          <w:sz w:val="25"/>
        </w:rPr>
        <w:t>the</w:t>
      </w:r>
    </w:p>
    <w:p>
      <w:pPr>
        <w:spacing w:before="1"/>
        <w:ind w:left="1056" w:right="0" w:firstLine="0"/>
        <w:jc w:val="both"/>
        <w:rPr>
          <w:sz w:val="25"/>
        </w:rPr>
      </w:pPr>
      <w:r>
        <w:rPr>
          <w:sz w:val="25"/>
        </w:rPr>
        <w:t>mode</w:t>
      </w:r>
      <w:r>
        <w:rPr>
          <w:spacing w:val="-9"/>
          <w:sz w:val="25"/>
        </w:rPr>
        <w:t> </w:t>
      </w:r>
      <w:r>
        <w:rPr>
          <w:sz w:val="25"/>
        </w:rPr>
        <w:t>of</w:t>
      </w:r>
      <w:r>
        <w:rPr>
          <w:spacing w:val="-4"/>
          <w:sz w:val="25"/>
        </w:rPr>
        <w:t> </w:t>
      </w:r>
      <w:r>
        <w:rPr>
          <w:sz w:val="25"/>
        </w:rPr>
        <w:t>awareness</w:t>
      </w:r>
      <w:r>
        <w:rPr>
          <w:spacing w:val="-7"/>
          <w:sz w:val="25"/>
        </w:rPr>
        <w:t> </w:t>
      </w:r>
      <w:r>
        <w:rPr>
          <w:sz w:val="25"/>
        </w:rPr>
        <w:t>campaign</w:t>
      </w:r>
      <w:r>
        <w:rPr>
          <w:spacing w:val="-8"/>
          <w:sz w:val="25"/>
        </w:rPr>
        <w:t> </w:t>
      </w:r>
      <w:r>
        <w:rPr>
          <w:sz w:val="25"/>
        </w:rPr>
        <w:t>and</w:t>
      </w:r>
      <w:r>
        <w:rPr>
          <w:spacing w:val="-5"/>
          <w:sz w:val="25"/>
        </w:rPr>
        <w:t> </w:t>
      </w:r>
      <w:r>
        <w:rPr>
          <w:sz w:val="25"/>
        </w:rPr>
        <w:t>the</w:t>
      </w:r>
      <w:r>
        <w:rPr>
          <w:spacing w:val="-8"/>
          <w:sz w:val="25"/>
        </w:rPr>
        <w:t> </w:t>
      </w:r>
      <w:r>
        <w:rPr>
          <w:sz w:val="25"/>
        </w:rPr>
        <w:t>strategies</w:t>
      </w:r>
      <w:r>
        <w:rPr>
          <w:spacing w:val="-8"/>
          <w:sz w:val="25"/>
        </w:rPr>
        <w:t> </w:t>
      </w:r>
      <w:r>
        <w:rPr>
          <w:sz w:val="25"/>
        </w:rPr>
        <w:t>adopted</w:t>
      </w:r>
      <w:r>
        <w:rPr>
          <w:spacing w:val="-5"/>
          <w:sz w:val="25"/>
        </w:rPr>
        <w:t> </w:t>
      </w:r>
      <w:r>
        <w:rPr>
          <w:sz w:val="25"/>
        </w:rPr>
        <w:t>by</w:t>
      </w:r>
      <w:r>
        <w:rPr>
          <w:spacing w:val="-6"/>
          <w:sz w:val="25"/>
        </w:rPr>
        <w:t> </w:t>
      </w:r>
      <w:r>
        <w:rPr>
          <w:sz w:val="25"/>
        </w:rPr>
        <w:t>the</w:t>
      </w:r>
      <w:r>
        <w:rPr>
          <w:spacing w:val="-9"/>
          <w:sz w:val="25"/>
        </w:rPr>
        <w:t> </w:t>
      </w:r>
      <w:r>
        <w:rPr>
          <w:spacing w:val="-2"/>
          <w:sz w:val="25"/>
        </w:rPr>
        <w:t>Board.</w:t>
      </w:r>
    </w:p>
    <w:p>
      <w:pPr>
        <w:pStyle w:val="BodyText"/>
        <w:rPr>
          <w:sz w:val="18"/>
        </w:rPr>
      </w:pPr>
      <w:r>
        <w:rPr/>
        <mc:AlternateContent>
          <mc:Choice Requires="wps">
            <w:drawing>
              <wp:anchor distT="0" distB="0" distL="0" distR="0" allowOverlap="1" layoutInCell="1" locked="0" behindDoc="1" simplePos="0" relativeHeight="487595008">
                <wp:simplePos x="0" y="0"/>
                <wp:positionH relativeFrom="page">
                  <wp:posOffset>1280160</wp:posOffset>
                </wp:positionH>
                <wp:positionV relativeFrom="paragraph">
                  <wp:posOffset>153217</wp:posOffset>
                </wp:positionV>
                <wp:extent cx="1828800" cy="6350"/>
                <wp:effectExtent l="0" t="0" r="0" b="0"/>
                <wp:wrapTopAndBottom/>
                <wp:docPr id="17" name="Graphic 17"/>
                <wp:cNvGraphicFramePr>
                  <a:graphicFrameLocks/>
                </wp:cNvGraphicFramePr>
                <a:graphic>
                  <a:graphicData uri="http://schemas.microsoft.com/office/word/2010/wordprocessingShape">
                    <wps:wsp>
                      <wps:cNvPr id="17" name="Graphic 17"/>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2.064375pt;width:144pt;height:.48pt;mso-position-horizontal-relative:page;mso-position-vertical-relative:paragraph;z-index:-15721472;mso-wrap-distance-left:0;mso-wrap-distance-right:0" id="docshape17" filled="true" fillcolor="#000000" stroked="false">
                <v:fill type="solid"/>
                <w10:wrap type="topAndBottom"/>
              </v:rect>
            </w:pict>
          </mc:Fallback>
        </mc:AlternateContent>
      </w:r>
    </w:p>
    <w:p>
      <w:pPr>
        <w:spacing w:before="101"/>
        <w:ind w:left="335" w:right="0" w:firstLine="0"/>
        <w:jc w:val="left"/>
        <w:rPr>
          <w:rFonts w:ascii="Times New Roman" w:hAnsi="Times New Roman"/>
          <w:i/>
          <w:sz w:val="20"/>
        </w:rPr>
      </w:pPr>
      <w:r>
        <w:rPr>
          <w:rFonts w:ascii="Times New Roman" w:hAnsi="Times New Roman"/>
          <w:sz w:val="20"/>
          <w:vertAlign w:val="superscript"/>
        </w:rPr>
        <w:t>13</w:t>
      </w:r>
      <w:r>
        <w:rPr>
          <w:rFonts w:ascii="Times New Roman" w:hAnsi="Times New Roman"/>
          <w:spacing w:val="-2"/>
          <w:sz w:val="20"/>
          <w:vertAlign w:val="baseline"/>
        </w:rPr>
        <w:t> </w:t>
      </w:r>
      <w:r>
        <w:rPr>
          <w:rFonts w:ascii="Times New Roman" w:hAnsi="Times New Roman"/>
          <w:sz w:val="20"/>
          <w:vertAlign w:val="baseline"/>
        </w:rPr>
        <w:t>Section 6</w:t>
      </w:r>
      <w:r>
        <w:rPr>
          <w:rFonts w:ascii="Times New Roman" w:hAnsi="Times New Roman"/>
          <w:spacing w:val="-7"/>
          <w:sz w:val="20"/>
          <w:vertAlign w:val="baseline"/>
        </w:rPr>
        <w:t> </w:t>
      </w:r>
      <w:r>
        <w:rPr>
          <w:rFonts w:ascii="Times New Roman" w:hAnsi="Times New Roman"/>
          <w:sz w:val="20"/>
          <w:vertAlign w:val="baseline"/>
        </w:rPr>
        <w:t>of</w:t>
      </w:r>
      <w:r>
        <w:rPr>
          <w:rFonts w:ascii="Times New Roman" w:hAnsi="Times New Roman"/>
          <w:spacing w:val="-8"/>
          <w:sz w:val="20"/>
          <w:vertAlign w:val="baseline"/>
        </w:rPr>
        <w:t> </w:t>
      </w:r>
      <w:r>
        <w:rPr>
          <w:rFonts w:ascii="Times New Roman" w:hAnsi="Times New Roman"/>
          <w:sz w:val="20"/>
          <w:vertAlign w:val="baseline"/>
        </w:rPr>
        <w:t>Employees’</w:t>
      </w:r>
      <w:r>
        <w:rPr>
          <w:rFonts w:ascii="Times New Roman" w:hAnsi="Times New Roman"/>
          <w:spacing w:val="-4"/>
          <w:sz w:val="20"/>
          <w:vertAlign w:val="baseline"/>
        </w:rPr>
        <w:t> </w:t>
      </w:r>
      <w:r>
        <w:rPr>
          <w:rFonts w:ascii="Times New Roman" w:hAnsi="Times New Roman"/>
          <w:sz w:val="20"/>
          <w:vertAlign w:val="baseline"/>
        </w:rPr>
        <w:t>Compensation</w:t>
      </w:r>
      <w:r>
        <w:rPr>
          <w:rFonts w:ascii="Times New Roman" w:hAnsi="Times New Roman"/>
          <w:spacing w:val="1"/>
          <w:sz w:val="20"/>
          <w:vertAlign w:val="baseline"/>
        </w:rPr>
        <w:t> </w:t>
      </w:r>
      <w:r>
        <w:rPr>
          <w:rFonts w:ascii="Times New Roman" w:hAnsi="Times New Roman"/>
          <w:sz w:val="20"/>
          <w:vertAlign w:val="baseline"/>
        </w:rPr>
        <w:t>Act</w:t>
      </w:r>
      <w:r>
        <w:rPr>
          <w:rFonts w:ascii="Times New Roman" w:hAnsi="Times New Roman"/>
          <w:spacing w:val="-7"/>
          <w:sz w:val="20"/>
          <w:vertAlign w:val="baseline"/>
        </w:rPr>
        <w:t> </w:t>
      </w:r>
      <w:r>
        <w:rPr>
          <w:rFonts w:ascii="Times New Roman" w:hAnsi="Times New Roman"/>
          <w:i/>
          <w:sz w:val="20"/>
          <w:vertAlign w:val="baseline"/>
        </w:rPr>
        <w:t>op</w:t>
      </w:r>
      <w:r>
        <w:rPr>
          <w:rFonts w:ascii="Times New Roman" w:hAnsi="Times New Roman"/>
          <w:i/>
          <w:spacing w:val="-8"/>
          <w:sz w:val="20"/>
          <w:vertAlign w:val="baseline"/>
        </w:rPr>
        <w:t> </w:t>
      </w:r>
      <w:r>
        <w:rPr>
          <w:rFonts w:ascii="Times New Roman" w:hAnsi="Times New Roman"/>
          <w:i/>
          <w:spacing w:val="-5"/>
          <w:sz w:val="20"/>
          <w:vertAlign w:val="baseline"/>
        </w:rPr>
        <w:t>cit</w:t>
      </w:r>
    </w:p>
    <w:p>
      <w:pPr>
        <w:spacing w:after="0"/>
        <w:jc w:val="left"/>
        <w:rPr>
          <w:rFonts w:ascii="Times New Roman" w:hAnsi="Times New Roman"/>
          <w:sz w:val="20"/>
        </w:rPr>
        <w:sectPr>
          <w:pgSz w:w="12240" w:h="15840"/>
          <w:pgMar w:header="0" w:footer="1070" w:top="1360" w:bottom="1260" w:left="1680" w:right="1320"/>
        </w:sectPr>
      </w:pPr>
    </w:p>
    <w:p>
      <w:pPr>
        <w:spacing w:line="480" w:lineRule="auto" w:before="77"/>
        <w:ind w:left="1056" w:right="123" w:firstLine="76"/>
        <w:jc w:val="both"/>
        <w:rPr>
          <w:sz w:val="25"/>
        </w:rPr>
      </w:pPr>
      <w:r>
        <w:rPr>
          <w:sz w:val="25"/>
        </w:rPr>
        <w:t>The available scattered few commentaries on employees compensation Act in Nigeria merely extol new policy on employees’ compensation but this research seeks to find out to what extent the law has been implemented in relation to the benefits it confers.</w:t>
      </w:r>
    </w:p>
    <w:p>
      <w:pPr>
        <w:pStyle w:val="BodyText"/>
        <w:spacing w:before="1"/>
        <w:rPr>
          <w:sz w:val="25"/>
        </w:rPr>
      </w:pPr>
    </w:p>
    <w:p>
      <w:pPr>
        <w:pStyle w:val="Heading1"/>
        <w:ind w:left="335" w:firstLine="0"/>
        <w:jc w:val="left"/>
      </w:pPr>
      <w:bookmarkStart w:name="_TOC_250027" w:id="3"/>
      <w:r>
        <w:rPr/>
        <w:t>1.3.</w:t>
      </w:r>
      <w:r>
        <w:rPr>
          <w:spacing w:val="-12"/>
        </w:rPr>
        <w:t> </w:t>
      </w:r>
      <w:r>
        <w:rPr/>
        <w:t>Research</w:t>
      </w:r>
      <w:r>
        <w:rPr>
          <w:spacing w:val="-12"/>
        </w:rPr>
        <w:t> </w:t>
      </w:r>
      <w:bookmarkEnd w:id="3"/>
      <w:r>
        <w:rPr>
          <w:spacing w:val="-2"/>
        </w:rPr>
        <w:t>Questions</w:t>
      </w:r>
    </w:p>
    <w:p>
      <w:pPr>
        <w:spacing w:line="480" w:lineRule="auto" w:before="298"/>
        <w:ind w:left="1056" w:right="82" w:firstLine="0"/>
        <w:jc w:val="left"/>
        <w:rPr>
          <w:sz w:val="25"/>
        </w:rPr>
      </w:pPr>
      <w:r>
        <w:rPr>
          <w:sz w:val="25"/>
        </w:rPr>
        <w:t>In</w:t>
      </w:r>
      <w:r>
        <w:rPr>
          <w:spacing w:val="-2"/>
          <w:sz w:val="25"/>
        </w:rPr>
        <w:t> </w:t>
      </w:r>
      <w:r>
        <w:rPr>
          <w:sz w:val="25"/>
        </w:rPr>
        <w:t>order</w:t>
      </w:r>
      <w:r>
        <w:rPr>
          <w:spacing w:val="-1"/>
          <w:sz w:val="25"/>
        </w:rPr>
        <w:t> </w:t>
      </w:r>
      <w:r>
        <w:rPr>
          <w:sz w:val="25"/>
        </w:rPr>
        <w:t>to</w:t>
      </w:r>
      <w:r>
        <w:rPr>
          <w:spacing w:val="-3"/>
          <w:sz w:val="25"/>
        </w:rPr>
        <w:t> </w:t>
      </w:r>
      <w:r>
        <w:rPr>
          <w:sz w:val="25"/>
        </w:rPr>
        <w:t>achieve</w:t>
      </w:r>
      <w:r>
        <w:rPr>
          <w:spacing w:val="-3"/>
          <w:sz w:val="25"/>
        </w:rPr>
        <w:t> </w:t>
      </w:r>
      <w:r>
        <w:rPr>
          <w:sz w:val="25"/>
        </w:rPr>
        <w:t>the aim and</w:t>
      </w:r>
      <w:r>
        <w:rPr>
          <w:spacing w:val="-1"/>
          <w:sz w:val="25"/>
        </w:rPr>
        <w:t> </w:t>
      </w:r>
      <w:r>
        <w:rPr>
          <w:sz w:val="25"/>
        </w:rPr>
        <w:t>objectives</w:t>
      </w:r>
      <w:r>
        <w:rPr>
          <w:spacing w:val="-3"/>
          <w:sz w:val="25"/>
        </w:rPr>
        <w:t> </w:t>
      </w:r>
      <w:r>
        <w:rPr>
          <w:sz w:val="25"/>
        </w:rPr>
        <w:t>of this</w:t>
      </w:r>
      <w:r>
        <w:rPr>
          <w:spacing w:val="-3"/>
          <w:sz w:val="25"/>
        </w:rPr>
        <w:t> </w:t>
      </w:r>
      <w:r>
        <w:rPr>
          <w:sz w:val="25"/>
        </w:rPr>
        <w:t>research,</w:t>
      </w:r>
      <w:r>
        <w:rPr>
          <w:spacing w:val="-1"/>
          <w:sz w:val="25"/>
        </w:rPr>
        <w:t> </w:t>
      </w:r>
      <w:r>
        <w:rPr>
          <w:sz w:val="25"/>
        </w:rPr>
        <w:t>the</w:t>
      </w:r>
      <w:r>
        <w:rPr>
          <w:spacing w:val="-3"/>
          <w:sz w:val="25"/>
        </w:rPr>
        <w:t> </w:t>
      </w:r>
      <w:r>
        <w:rPr>
          <w:sz w:val="25"/>
        </w:rPr>
        <w:t>following research questions are framed.</w:t>
      </w:r>
    </w:p>
    <w:p>
      <w:pPr>
        <w:pStyle w:val="ListParagraph"/>
        <w:numPr>
          <w:ilvl w:val="0"/>
          <w:numId w:val="7"/>
        </w:numPr>
        <w:tabs>
          <w:tab w:pos="1776" w:val="left" w:leader="none"/>
          <w:tab w:pos="2567" w:val="left" w:leader="none"/>
          <w:tab w:pos="3139" w:val="left" w:leader="none"/>
          <w:tab w:pos="3709" w:val="left" w:leader="none"/>
          <w:tab w:pos="4381" w:val="left" w:leader="none"/>
          <w:tab w:pos="5849" w:val="left" w:leader="none"/>
          <w:tab w:pos="7236" w:val="left" w:leader="none"/>
          <w:tab w:pos="7715" w:val="left" w:leader="none"/>
          <w:tab w:pos="8282" w:val="left" w:leader="none"/>
        </w:tabs>
        <w:spacing w:line="480" w:lineRule="auto" w:before="3" w:after="0"/>
        <w:ind w:left="1776" w:right="128" w:hanging="720"/>
        <w:jc w:val="left"/>
        <w:rPr>
          <w:sz w:val="25"/>
        </w:rPr>
      </w:pPr>
      <w:r>
        <w:rPr>
          <w:spacing w:val="-4"/>
          <w:sz w:val="25"/>
        </w:rPr>
        <w:t>What</w:t>
      </w:r>
      <w:r>
        <w:rPr>
          <w:sz w:val="25"/>
        </w:rPr>
        <w:tab/>
      </w:r>
      <w:r>
        <w:rPr>
          <w:spacing w:val="-4"/>
          <w:sz w:val="25"/>
        </w:rPr>
        <w:t>are</w:t>
      </w:r>
      <w:r>
        <w:rPr>
          <w:sz w:val="25"/>
        </w:rPr>
        <w:tab/>
      </w:r>
      <w:r>
        <w:rPr>
          <w:spacing w:val="-4"/>
          <w:sz w:val="25"/>
        </w:rPr>
        <w:t>the</w:t>
      </w:r>
      <w:r>
        <w:rPr>
          <w:sz w:val="25"/>
        </w:rPr>
        <w:tab/>
      </w:r>
      <w:r>
        <w:rPr>
          <w:spacing w:val="-4"/>
          <w:sz w:val="25"/>
        </w:rPr>
        <w:t>new</w:t>
      </w:r>
      <w:r>
        <w:rPr>
          <w:sz w:val="25"/>
        </w:rPr>
        <w:tab/>
      </w:r>
      <w:r>
        <w:rPr>
          <w:spacing w:val="-2"/>
          <w:sz w:val="25"/>
        </w:rPr>
        <w:t>innovations</w:t>
      </w:r>
      <w:r>
        <w:rPr>
          <w:sz w:val="25"/>
        </w:rPr>
        <w:tab/>
      </w:r>
      <w:r>
        <w:rPr>
          <w:spacing w:val="-2"/>
          <w:sz w:val="25"/>
        </w:rPr>
        <w:t>introduced</w:t>
      </w:r>
      <w:r>
        <w:rPr>
          <w:sz w:val="25"/>
        </w:rPr>
        <w:tab/>
      </w:r>
      <w:r>
        <w:rPr>
          <w:spacing w:val="-6"/>
          <w:sz w:val="25"/>
        </w:rPr>
        <w:t>by</w:t>
      </w:r>
      <w:r>
        <w:rPr>
          <w:sz w:val="25"/>
        </w:rPr>
        <w:tab/>
      </w:r>
      <w:r>
        <w:rPr>
          <w:spacing w:val="-4"/>
          <w:sz w:val="25"/>
        </w:rPr>
        <w:t>the</w:t>
      </w:r>
      <w:r>
        <w:rPr>
          <w:sz w:val="25"/>
        </w:rPr>
        <w:tab/>
      </w:r>
      <w:r>
        <w:rPr>
          <w:spacing w:val="-2"/>
          <w:sz w:val="25"/>
        </w:rPr>
        <w:t>present </w:t>
      </w:r>
      <w:r>
        <w:rPr>
          <w:sz w:val="25"/>
        </w:rPr>
        <w:t>employees’ compensation under Nigerian law?</w:t>
      </w:r>
    </w:p>
    <w:p>
      <w:pPr>
        <w:pStyle w:val="ListParagraph"/>
        <w:numPr>
          <w:ilvl w:val="0"/>
          <w:numId w:val="7"/>
        </w:numPr>
        <w:tabs>
          <w:tab w:pos="1776" w:val="left" w:leader="none"/>
        </w:tabs>
        <w:spacing w:line="480" w:lineRule="auto" w:before="0" w:after="0"/>
        <w:ind w:left="1776" w:right="127" w:hanging="720"/>
        <w:jc w:val="left"/>
        <w:rPr>
          <w:sz w:val="25"/>
        </w:rPr>
      </w:pPr>
      <w:r>
        <w:rPr>
          <w:sz w:val="25"/>
        </w:rPr>
        <w:t>To</w:t>
      </w:r>
      <w:r>
        <w:rPr>
          <w:spacing w:val="40"/>
          <w:sz w:val="25"/>
        </w:rPr>
        <w:t> </w:t>
      </w:r>
      <w:r>
        <w:rPr>
          <w:sz w:val="25"/>
        </w:rPr>
        <w:t>what</w:t>
      </w:r>
      <w:r>
        <w:rPr>
          <w:spacing w:val="40"/>
          <w:sz w:val="25"/>
        </w:rPr>
        <w:t> </w:t>
      </w:r>
      <w:r>
        <w:rPr>
          <w:sz w:val="25"/>
        </w:rPr>
        <w:t>extend</w:t>
      </w:r>
      <w:r>
        <w:rPr>
          <w:spacing w:val="40"/>
          <w:sz w:val="25"/>
        </w:rPr>
        <w:t> </w:t>
      </w:r>
      <w:r>
        <w:rPr>
          <w:sz w:val="25"/>
        </w:rPr>
        <w:t>are</w:t>
      </w:r>
      <w:r>
        <w:rPr>
          <w:spacing w:val="40"/>
          <w:sz w:val="25"/>
        </w:rPr>
        <w:t> </w:t>
      </w:r>
      <w:r>
        <w:rPr>
          <w:sz w:val="25"/>
        </w:rPr>
        <w:t>people</w:t>
      </w:r>
      <w:r>
        <w:rPr>
          <w:spacing w:val="40"/>
          <w:sz w:val="25"/>
        </w:rPr>
        <w:t> </w:t>
      </w:r>
      <w:r>
        <w:rPr>
          <w:sz w:val="25"/>
        </w:rPr>
        <w:t>aware</w:t>
      </w:r>
      <w:r>
        <w:rPr>
          <w:spacing w:val="40"/>
          <w:sz w:val="25"/>
        </w:rPr>
        <w:t> </w:t>
      </w:r>
      <w:r>
        <w:rPr>
          <w:sz w:val="25"/>
        </w:rPr>
        <w:t>of</w:t>
      </w:r>
      <w:r>
        <w:rPr>
          <w:spacing w:val="40"/>
          <w:sz w:val="25"/>
        </w:rPr>
        <w:t> </w:t>
      </w:r>
      <w:r>
        <w:rPr>
          <w:sz w:val="25"/>
        </w:rPr>
        <w:t>the</w:t>
      </w:r>
      <w:r>
        <w:rPr>
          <w:spacing w:val="40"/>
          <w:sz w:val="25"/>
        </w:rPr>
        <w:t> </w:t>
      </w:r>
      <w:r>
        <w:rPr>
          <w:sz w:val="25"/>
        </w:rPr>
        <w:t>present</w:t>
      </w:r>
      <w:r>
        <w:rPr>
          <w:spacing w:val="40"/>
          <w:sz w:val="25"/>
        </w:rPr>
        <w:t> </w:t>
      </w:r>
      <w:r>
        <w:rPr>
          <w:sz w:val="25"/>
        </w:rPr>
        <w:t>employees’</w:t>
      </w:r>
      <w:r>
        <w:rPr>
          <w:spacing w:val="80"/>
          <w:sz w:val="25"/>
        </w:rPr>
        <w:t> </w:t>
      </w:r>
      <w:r>
        <w:rPr>
          <w:sz w:val="25"/>
        </w:rPr>
        <w:t>compensation under Nigerian law?</w:t>
      </w:r>
    </w:p>
    <w:p>
      <w:pPr>
        <w:pStyle w:val="ListParagraph"/>
        <w:numPr>
          <w:ilvl w:val="0"/>
          <w:numId w:val="7"/>
        </w:numPr>
        <w:tabs>
          <w:tab w:pos="1776" w:val="left" w:leader="none"/>
        </w:tabs>
        <w:spacing w:line="480" w:lineRule="auto" w:before="0" w:after="0"/>
        <w:ind w:left="1776" w:right="123" w:hanging="720"/>
        <w:jc w:val="left"/>
        <w:rPr>
          <w:sz w:val="25"/>
        </w:rPr>
      </w:pPr>
      <w:r>
        <w:rPr>
          <w:sz w:val="25"/>
        </w:rPr>
        <w:t>Are</w:t>
      </w:r>
      <w:r>
        <w:rPr>
          <w:spacing w:val="40"/>
          <w:sz w:val="25"/>
        </w:rPr>
        <w:t> </w:t>
      </w:r>
      <w:r>
        <w:rPr>
          <w:sz w:val="25"/>
        </w:rPr>
        <w:t>there</w:t>
      </w:r>
      <w:r>
        <w:rPr>
          <w:spacing w:val="40"/>
          <w:sz w:val="25"/>
        </w:rPr>
        <w:t> </w:t>
      </w:r>
      <w:r>
        <w:rPr>
          <w:sz w:val="25"/>
        </w:rPr>
        <w:t>lacunae</w:t>
      </w:r>
      <w:r>
        <w:rPr>
          <w:spacing w:val="40"/>
          <w:sz w:val="25"/>
        </w:rPr>
        <w:t> </w:t>
      </w:r>
      <w:r>
        <w:rPr>
          <w:sz w:val="25"/>
        </w:rPr>
        <w:t>or</w:t>
      </w:r>
      <w:r>
        <w:rPr>
          <w:spacing w:val="80"/>
          <w:sz w:val="25"/>
        </w:rPr>
        <w:t> </w:t>
      </w:r>
      <w:r>
        <w:rPr>
          <w:sz w:val="25"/>
        </w:rPr>
        <w:t>inadequacies</w:t>
      </w:r>
      <w:r>
        <w:rPr>
          <w:spacing w:val="40"/>
          <w:sz w:val="25"/>
        </w:rPr>
        <w:t> </w:t>
      </w:r>
      <w:r>
        <w:rPr>
          <w:sz w:val="25"/>
        </w:rPr>
        <w:t>in</w:t>
      </w:r>
      <w:r>
        <w:rPr>
          <w:spacing w:val="79"/>
          <w:sz w:val="25"/>
        </w:rPr>
        <w:t> </w:t>
      </w:r>
      <w:r>
        <w:rPr>
          <w:sz w:val="25"/>
        </w:rPr>
        <w:t>the</w:t>
      </w:r>
      <w:r>
        <w:rPr>
          <w:spacing w:val="40"/>
          <w:sz w:val="25"/>
        </w:rPr>
        <w:t> </w:t>
      </w:r>
      <w:r>
        <w:rPr>
          <w:sz w:val="25"/>
        </w:rPr>
        <w:t>present</w:t>
      </w:r>
      <w:r>
        <w:rPr>
          <w:spacing w:val="40"/>
          <w:sz w:val="25"/>
        </w:rPr>
        <w:t> </w:t>
      </w:r>
      <w:r>
        <w:rPr>
          <w:sz w:val="25"/>
        </w:rPr>
        <w:t>Employees’</w:t>
      </w:r>
      <w:r>
        <w:rPr>
          <w:spacing w:val="40"/>
          <w:sz w:val="25"/>
        </w:rPr>
        <w:t> </w:t>
      </w:r>
      <w:r>
        <w:rPr>
          <w:sz w:val="25"/>
        </w:rPr>
        <w:t>Compensation Act in Nigeria?</w:t>
      </w:r>
    </w:p>
    <w:p>
      <w:pPr>
        <w:pStyle w:val="ListParagraph"/>
        <w:numPr>
          <w:ilvl w:val="0"/>
          <w:numId w:val="7"/>
        </w:numPr>
        <w:tabs>
          <w:tab w:pos="1776" w:val="left" w:leader="none"/>
        </w:tabs>
        <w:spacing w:line="480" w:lineRule="auto" w:before="0" w:after="0"/>
        <w:ind w:left="1776" w:right="124" w:hanging="720"/>
        <w:jc w:val="left"/>
        <w:rPr>
          <w:sz w:val="25"/>
        </w:rPr>
      </w:pPr>
      <w:r>
        <w:rPr>
          <w:sz w:val="25"/>
        </w:rPr>
        <w:t>What</w:t>
      </w:r>
      <w:r>
        <w:rPr>
          <w:spacing w:val="80"/>
          <w:sz w:val="25"/>
        </w:rPr>
        <w:t> </w:t>
      </w:r>
      <w:r>
        <w:rPr>
          <w:sz w:val="25"/>
        </w:rPr>
        <w:t>are</w:t>
      </w:r>
      <w:r>
        <w:rPr>
          <w:spacing w:val="80"/>
          <w:sz w:val="25"/>
        </w:rPr>
        <w:t> </w:t>
      </w:r>
      <w:r>
        <w:rPr>
          <w:sz w:val="25"/>
        </w:rPr>
        <w:t>the</w:t>
      </w:r>
      <w:r>
        <w:rPr>
          <w:spacing w:val="80"/>
          <w:sz w:val="25"/>
        </w:rPr>
        <w:t> </w:t>
      </w:r>
      <w:r>
        <w:rPr>
          <w:sz w:val="25"/>
        </w:rPr>
        <w:t>challenges</w:t>
      </w:r>
      <w:r>
        <w:rPr>
          <w:spacing w:val="80"/>
          <w:sz w:val="25"/>
        </w:rPr>
        <w:t> </w:t>
      </w:r>
      <w:r>
        <w:rPr>
          <w:sz w:val="25"/>
        </w:rPr>
        <w:t>of</w:t>
      </w:r>
      <w:r>
        <w:rPr>
          <w:spacing w:val="80"/>
          <w:sz w:val="25"/>
        </w:rPr>
        <w:t> </w:t>
      </w:r>
      <w:r>
        <w:rPr>
          <w:sz w:val="25"/>
        </w:rPr>
        <w:t>implementation</w:t>
      </w:r>
      <w:r>
        <w:rPr>
          <w:spacing w:val="80"/>
          <w:sz w:val="25"/>
        </w:rPr>
        <w:t> </w:t>
      </w:r>
      <w:r>
        <w:rPr>
          <w:sz w:val="25"/>
        </w:rPr>
        <w:t>inherent</w:t>
      </w:r>
      <w:r>
        <w:rPr>
          <w:spacing w:val="80"/>
          <w:sz w:val="25"/>
        </w:rPr>
        <w:t> </w:t>
      </w:r>
      <w:r>
        <w:rPr>
          <w:sz w:val="25"/>
        </w:rPr>
        <w:t>in</w:t>
      </w:r>
      <w:r>
        <w:rPr>
          <w:spacing w:val="80"/>
          <w:sz w:val="25"/>
        </w:rPr>
        <w:t> </w:t>
      </w:r>
      <w:r>
        <w:rPr>
          <w:sz w:val="25"/>
        </w:rPr>
        <w:t>the present employees’ compensation under Nigerian law?</w:t>
      </w:r>
    </w:p>
    <w:p>
      <w:pPr>
        <w:pStyle w:val="Heading1"/>
        <w:numPr>
          <w:ilvl w:val="1"/>
          <w:numId w:val="8"/>
        </w:numPr>
        <w:tabs>
          <w:tab w:pos="1055" w:val="left" w:leader="none"/>
        </w:tabs>
        <w:spacing w:line="240" w:lineRule="auto" w:before="0" w:after="0"/>
        <w:ind w:left="1055" w:right="0" w:hanging="720"/>
        <w:jc w:val="left"/>
      </w:pPr>
      <w:bookmarkStart w:name="_TOC_250026" w:id="4"/>
      <w:r>
        <w:rPr/>
        <w:t>Aim</w:t>
      </w:r>
      <w:r>
        <w:rPr>
          <w:spacing w:val="-6"/>
        </w:rPr>
        <w:t> </w:t>
      </w:r>
      <w:r>
        <w:rPr/>
        <w:t>and</w:t>
      </w:r>
      <w:r>
        <w:rPr>
          <w:spacing w:val="-6"/>
        </w:rPr>
        <w:t> </w:t>
      </w:r>
      <w:r>
        <w:rPr/>
        <w:t>Objectives</w:t>
      </w:r>
      <w:r>
        <w:rPr>
          <w:spacing w:val="-6"/>
        </w:rPr>
        <w:t> </w:t>
      </w:r>
      <w:r>
        <w:rPr/>
        <w:t>of</w:t>
      </w:r>
      <w:r>
        <w:rPr>
          <w:spacing w:val="-8"/>
        </w:rPr>
        <w:t> </w:t>
      </w:r>
      <w:r>
        <w:rPr/>
        <w:t>the</w:t>
      </w:r>
      <w:r>
        <w:rPr>
          <w:spacing w:val="-7"/>
        </w:rPr>
        <w:t> </w:t>
      </w:r>
      <w:bookmarkEnd w:id="4"/>
      <w:r>
        <w:rPr>
          <w:spacing w:val="-2"/>
        </w:rPr>
        <w:t>Research</w:t>
      </w:r>
    </w:p>
    <w:p>
      <w:pPr>
        <w:pStyle w:val="ListParagraph"/>
        <w:numPr>
          <w:ilvl w:val="2"/>
          <w:numId w:val="8"/>
        </w:numPr>
        <w:tabs>
          <w:tab w:pos="1052" w:val="left" w:leader="none"/>
        </w:tabs>
        <w:spacing w:line="240" w:lineRule="auto" w:before="298" w:after="0"/>
        <w:ind w:left="1052" w:right="0" w:hanging="717"/>
        <w:jc w:val="left"/>
        <w:rPr>
          <w:b/>
          <w:sz w:val="25"/>
        </w:rPr>
      </w:pPr>
      <w:r>
        <w:rPr>
          <w:b/>
          <w:sz w:val="25"/>
        </w:rPr>
        <w:t>Aim</w:t>
      </w:r>
      <w:r>
        <w:rPr>
          <w:b/>
          <w:spacing w:val="-3"/>
          <w:sz w:val="25"/>
        </w:rPr>
        <w:t> </w:t>
      </w:r>
      <w:r>
        <w:rPr>
          <w:b/>
          <w:sz w:val="25"/>
        </w:rPr>
        <w:t>of</w:t>
      </w:r>
      <w:r>
        <w:rPr>
          <w:b/>
          <w:spacing w:val="-5"/>
          <w:sz w:val="25"/>
        </w:rPr>
        <w:t> </w:t>
      </w:r>
      <w:r>
        <w:rPr>
          <w:b/>
          <w:sz w:val="25"/>
        </w:rPr>
        <w:t>the</w:t>
      </w:r>
      <w:r>
        <w:rPr>
          <w:b/>
          <w:spacing w:val="-4"/>
          <w:sz w:val="25"/>
        </w:rPr>
        <w:t> </w:t>
      </w:r>
      <w:r>
        <w:rPr>
          <w:b/>
          <w:spacing w:val="-2"/>
          <w:sz w:val="25"/>
        </w:rPr>
        <w:t>Research</w:t>
      </w:r>
    </w:p>
    <w:p>
      <w:pPr>
        <w:pStyle w:val="BodyText"/>
        <w:spacing w:before="2"/>
        <w:rPr>
          <w:b/>
          <w:sz w:val="25"/>
        </w:rPr>
      </w:pPr>
    </w:p>
    <w:p>
      <w:pPr>
        <w:spacing w:line="480" w:lineRule="auto" w:before="0"/>
        <w:ind w:left="936" w:right="0" w:firstLine="0"/>
        <w:jc w:val="left"/>
        <w:rPr>
          <w:sz w:val="25"/>
        </w:rPr>
      </w:pPr>
      <w:r>
        <w:rPr>
          <w:sz w:val="25"/>
        </w:rPr>
        <w:t>The</w:t>
      </w:r>
      <w:r>
        <w:rPr>
          <w:spacing w:val="40"/>
          <w:sz w:val="25"/>
        </w:rPr>
        <w:t> </w:t>
      </w:r>
      <w:r>
        <w:rPr>
          <w:sz w:val="25"/>
        </w:rPr>
        <w:t>aim</w:t>
      </w:r>
      <w:r>
        <w:rPr>
          <w:spacing w:val="40"/>
          <w:sz w:val="25"/>
        </w:rPr>
        <w:t> </w:t>
      </w:r>
      <w:r>
        <w:rPr>
          <w:sz w:val="25"/>
        </w:rPr>
        <w:t>of</w:t>
      </w:r>
      <w:r>
        <w:rPr>
          <w:spacing w:val="40"/>
          <w:sz w:val="25"/>
        </w:rPr>
        <w:t> </w:t>
      </w:r>
      <w:r>
        <w:rPr>
          <w:sz w:val="25"/>
        </w:rPr>
        <w:t>this</w:t>
      </w:r>
      <w:r>
        <w:rPr>
          <w:spacing w:val="40"/>
          <w:sz w:val="25"/>
        </w:rPr>
        <w:t> </w:t>
      </w:r>
      <w:r>
        <w:rPr>
          <w:sz w:val="25"/>
        </w:rPr>
        <w:t>research</w:t>
      </w:r>
      <w:r>
        <w:rPr>
          <w:spacing w:val="40"/>
          <w:sz w:val="25"/>
        </w:rPr>
        <w:t> </w:t>
      </w:r>
      <w:r>
        <w:rPr>
          <w:sz w:val="25"/>
        </w:rPr>
        <w:t>is</w:t>
      </w:r>
      <w:r>
        <w:rPr>
          <w:spacing w:val="40"/>
          <w:sz w:val="25"/>
        </w:rPr>
        <w:t> </w:t>
      </w:r>
      <w:r>
        <w:rPr>
          <w:sz w:val="25"/>
        </w:rPr>
        <w:t>to</w:t>
      </w:r>
      <w:r>
        <w:rPr>
          <w:spacing w:val="40"/>
          <w:sz w:val="25"/>
        </w:rPr>
        <w:t> </w:t>
      </w:r>
      <w:r>
        <w:rPr>
          <w:sz w:val="25"/>
        </w:rPr>
        <w:t>carry</w:t>
      </w:r>
      <w:r>
        <w:rPr>
          <w:spacing w:val="40"/>
          <w:sz w:val="25"/>
        </w:rPr>
        <w:t> </w:t>
      </w:r>
      <w:r>
        <w:rPr>
          <w:sz w:val="25"/>
        </w:rPr>
        <w:t>out</w:t>
      </w:r>
      <w:r>
        <w:rPr>
          <w:spacing w:val="40"/>
          <w:sz w:val="25"/>
        </w:rPr>
        <w:t> </w:t>
      </w:r>
      <w:r>
        <w:rPr>
          <w:sz w:val="25"/>
        </w:rPr>
        <w:t>a</w:t>
      </w:r>
      <w:r>
        <w:rPr>
          <w:spacing w:val="40"/>
          <w:sz w:val="25"/>
        </w:rPr>
        <w:t> </w:t>
      </w:r>
      <w:r>
        <w:rPr>
          <w:sz w:val="25"/>
        </w:rPr>
        <w:t>comprehensive</w:t>
      </w:r>
      <w:r>
        <w:rPr>
          <w:spacing w:val="40"/>
          <w:sz w:val="25"/>
        </w:rPr>
        <w:t> </w:t>
      </w:r>
      <w:r>
        <w:rPr>
          <w:sz w:val="25"/>
        </w:rPr>
        <w:t>and</w:t>
      </w:r>
      <w:r>
        <w:rPr>
          <w:spacing w:val="40"/>
          <w:sz w:val="25"/>
        </w:rPr>
        <w:t> </w:t>
      </w:r>
      <w:r>
        <w:rPr>
          <w:sz w:val="25"/>
        </w:rPr>
        <w:t>holistic appraisal of employees’ compensation under Nigerian law.</w:t>
      </w:r>
    </w:p>
    <w:p>
      <w:pPr>
        <w:pStyle w:val="Heading1"/>
        <w:numPr>
          <w:ilvl w:val="2"/>
          <w:numId w:val="8"/>
        </w:numPr>
        <w:tabs>
          <w:tab w:pos="1052" w:val="left" w:leader="none"/>
        </w:tabs>
        <w:spacing w:line="240" w:lineRule="auto" w:before="2" w:after="0"/>
        <w:ind w:left="1052" w:right="0" w:hanging="717"/>
        <w:jc w:val="left"/>
      </w:pPr>
      <w:r>
        <w:rPr/>
        <w:t>Objectives</w:t>
      </w:r>
      <w:r>
        <w:rPr>
          <w:spacing w:val="-8"/>
        </w:rPr>
        <w:t> </w:t>
      </w:r>
      <w:r>
        <w:rPr/>
        <w:t>of</w:t>
      </w:r>
      <w:r>
        <w:rPr>
          <w:spacing w:val="-8"/>
        </w:rPr>
        <w:t> </w:t>
      </w:r>
      <w:r>
        <w:rPr/>
        <w:t>the</w:t>
      </w:r>
      <w:r>
        <w:rPr>
          <w:spacing w:val="-8"/>
        </w:rPr>
        <w:t> </w:t>
      </w:r>
      <w:r>
        <w:rPr>
          <w:spacing w:val="-2"/>
        </w:rPr>
        <w:t>Research.</w:t>
      </w:r>
    </w:p>
    <w:p>
      <w:pPr>
        <w:spacing w:after="0" w:line="240" w:lineRule="auto"/>
        <w:jc w:val="left"/>
        <w:sectPr>
          <w:pgSz w:w="12240" w:h="15840"/>
          <w:pgMar w:header="0" w:footer="1070" w:top="1660" w:bottom="1260" w:left="1680" w:right="1320"/>
        </w:sectPr>
      </w:pPr>
    </w:p>
    <w:p>
      <w:pPr>
        <w:pStyle w:val="ListParagraph"/>
        <w:numPr>
          <w:ilvl w:val="3"/>
          <w:numId w:val="8"/>
        </w:numPr>
        <w:tabs>
          <w:tab w:pos="964" w:val="left" w:leader="none"/>
          <w:tab w:pos="1196" w:val="left" w:leader="none"/>
        </w:tabs>
        <w:spacing w:line="480" w:lineRule="auto" w:before="74" w:after="0"/>
        <w:ind w:left="964" w:right="119" w:hanging="629"/>
        <w:jc w:val="both"/>
        <w:rPr>
          <w:b/>
          <w:sz w:val="25"/>
        </w:rPr>
      </w:pPr>
      <w:r>
        <w:rPr>
          <w:b/>
          <w:sz w:val="25"/>
        </w:rPr>
        <w:t>To Carry Out a Comprehensive and a Holistic Appraisal of the Employees’ Compensation Act</w:t>
      </w:r>
      <w:r>
        <w:rPr>
          <w:b/>
          <w:sz w:val="25"/>
          <w:vertAlign w:val="superscript"/>
        </w:rPr>
        <w:t>14</w:t>
      </w:r>
    </w:p>
    <w:p>
      <w:pPr>
        <w:spacing w:line="480" w:lineRule="auto" w:before="0"/>
        <w:ind w:left="964" w:right="122" w:firstLine="0"/>
        <w:jc w:val="both"/>
        <w:rPr>
          <w:sz w:val="25"/>
        </w:rPr>
      </w:pPr>
      <w:r>
        <w:rPr>
          <w:sz w:val="25"/>
        </w:rPr>
        <w:t>One of the fundamental objectives of this research was to carry out a careful, comprehensive and holistic appraisal of this Act </w:t>
      </w:r>
      <w:r>
        <w:rPr>
          <w:sz w:val="25"/>
          <w:vertAlign w:val="superscript"/>
        </w:rPr>
        <w:t>15</w:t>
      </w:r>
      <w:r>
        <w:rPr>
          <w:sz w:val="25"/>
          <w:vertAlign w:val="baseline"/>
        </w:rPr>
        <w:t>which repeals the Workmen’s Compensation Act</w:t>
      </w:r>
      <w:r>
        <w:rPr>
          <w:sz w:val="25"/>
          <w:vertAlign w:val="superscript"/>
        </w:rPr>
        <w:t>16</w:t>
      </w:r>
      <w:r>
        <w:rPr>
          <w:sz w:val="25"/>
          <w:vertAlign w:val="baseline"/>
        </w:rPr>
        <w:t> with the view to unveiling the innovations introduced by the new scheme.</w:t>
      </w:r>
    </w:p>
    <w:p>
      <w:pPr>
        <w:pStyle w:val="Heading1"/>
        <w:numPr>
          <w:ilvl w:val="3"/>
          <w:numId w:val="8"/>
        </w:numPr>
        <w:tabs>
          <w:tab w:pos="964" w:val="left" w:leader="none"/>
          <w:tab w:pos="1196" w:val="left" w:leader="none"/>
        </w:tabs>
        <w:spacing w:line="480" w:lineRule="auto" w:before="0" w:after="0"/>
        <w:ind w:left="964" w:right="123" w:hanging="629"/>
        <w:jc w:val="both"/>
      </w:pPr>
      <w:r>
        <w:rPr/>
        <w:t>To Discover and Discuss Certain Lacunae or Inadequacies in the New Act (Employees’ Compensation Act) With a View to Proffer Solutions.</w:t>
      </w:r>
    </w:p>
    <w:p>
      <w:pPr>
        <w:spacing w:line="480" w:lineRule="auto" w:before="2"/>
        <w:ind w:left="964" w:right="124" w:firstLine="0"/>
        <w:jc w:val="both"/>
        <w:rPr>
          <w:sz w:val="25"/>
        </w:rPr>
      </w:pPr>
      <w:r>
        <w:rPr>
          <w:sz w:val="25"/>
        </w:rPr>
        <w:t>The research seeks to discover and discuss certain lacunae or inadequacies and challenges which may be inherent in the provisions of the new Act and its implementation with the view to proffering solutions to the problems.</w:t>
      </w:r>
    </w:p>
    <w:p>
      <w:pPr>
        <w:pStyle w:val="Heading1"/>
        <w:numPr>
          <w:ilvl w:val="3"/>
          <w:numId w:val="8"/>
        </w:numPr>
        <w:tabs>
          <w:tab w:pos="1056" w:val="left" w:leader="none"/>
          <w:tab w:pos="1197" w:val="left" w:leader="none"/>
        </w:tabs>
        <w:spacing w:line="480" w:lineRule="auto" w:before="298" w:after="0"/>
        <w:ind w:left="1056" w:right="120" w:hanging="720"/>
        <w:jc w:val="both"/>
      </w:pPr>
      <w:r>
        <w:rPr/>
        <w:t>To Ascertain</w:t>
      </w:r>
      <w:r>
        <w:rPr>
          <w:spacing w:val="-2"/>
        </w:rPr>
        <w:t> </w:t>
      </w:r>
      <w:r>
        <w:rPr/>
        <w:t>the Level of Awareness Strategies Adopted by</w:t>
      </w:r>
      <w:r>
        <w:rPr>
          <w:spacing w:val="-5"/>
        </w:rPr>
        <w:t> </w:t>
      </w:r>
      <w:r>
        <w:rPr/>
        <w:t>the </w:t>
      </w:r>
      <w:r>
        <w:rPr>
          <w:spacing w:val="-2"/>
        </w:rPr>
        <w:t>Board.</w:t>
      </w:r>
    </w:p>
    <w:p>
      <w:pPr>
        <w:spacing w:line="480" w:lineRule="auto" w:before="3"/>
        <w:ind w:left="1056" w:right="123" w:firstLine="0"/>
        <w:jc w:val="both"/>
        <w:rPr>
          <w:sz w:val="25"/>
        </w:rPr>
      </w:pPr>
      <w:r>
        <w:rPr>
          <w:sz w:val="25"/>
        </w:rPr>
        <w:t>It is one of the objectives of this research to ascertain the level of awareness strategies adopted by the Board to get employers and employees know about the existence of the compensation scheme so as to proffer solutions if any problems exist.</w:t>
      </w:r>
    </w:p>
    <w:p>
      <w:pPr>
        <w:pStyle w:val="BodyText"/>
        <w:spacing w:before="119"/>
        <w:rPr>
          <w:sz w:val="20"/>
        </w:rPr>
      </w:pPr>
      <w:r>
        <w:rPr/>
        <mc:AlternateContent>
          <mc:Choice Requires="wps">
            <w:drawing>
              <wp:anchor distT="0" distB="0" distL="0" distR="0" allowOverlap="1" layoutInCell="1" locked="0" behindDoc="1" simplePos="0" relativeHeight="487595520">
                <wp:simplePos x="0" y="0"/>
                <wp:positionH relativeFrom="page">
                  <wp:posOffset>1280160</wp:posOffset>
                </wp:positionH>
                <wp:positionV relativeFrom="paragraph">
                  <wp:posOffset>244476</wp:posOffset>
                </wp:positionV>
                <wp:extent cx="1828800" cy="6350"/>
                <wp:effectExtent l="0" t="0" r="0" b="0"/>
                <wp:wrapTopAndBottom/>
                <wp:docPr id="18" name="Graphic 18"/>
                <wp:cNvGraphicFramePr>
                  <a:graphicFrameLocks/>
                </wp:cNvGraphicFramePr>
                <a:graphic>
                  <a:graphicData uri="http://schemas.microsoft.com/office/word/2010/wordprocessingShape">
                    <wps:wsp>
                      <wps:cNvPr id="18" name="Graphic 18"/>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9.250156pt;width:144pt;height:.48pt;mso-position-horizontal-relative:page;mso-position-vertical-relative:paragraph;z-index:-15720960;mso-wrap-distance-left:0;mso-wrap-distance-right:0" id="docshape18" filled="true" fillcolor="#000000" stroked="false">
                <v:fill type="solid"/>
                <w10:wrap type="topAndBottom"/>
              </v:rect>
            </w:pict>
          </mc:Fallback>
        </mc:AlternateContent>
      </w:r>
    </w:p>
    <w:p>
      <w:pPr>
        <w:spacing w:before="101"/>
        <w:ind w:left="335" w:right="0" w:firstLine="0"/>
        <w:jc w:val="left"/>
        <w:rPr>
          <w:rFonts w:ascii="Times New Roman"/>
          <w:i/>
          <w:sz w:val="20"/>
        </w:rPr>
      </w:pPr>
      <w:r>
        <w:rPr>
          <w:rFonts w:ascii="Times New Roman"/>
          <w:sz w:val="20"/>
          <w:vertAlign w:val="superscript"/>
        </w:rPr>
        <w:t>14</w:t>
      </w:r>
      <w:r>
        <w:rPr>
          <w:rFonts w:ascii="Times New Roman"/>
          <w:spacing w:val="5"/>
          <w:sz w:val="20"/>
          <w:vertAlign w:val="baseline"/>
        </w:rPr>
        <w:t> </w:t>
      </w:r>
      <w:r>
        <w:rPr>
          <w:rFonts w:ascii="Times New Roman"/>
          <w:i/>
          <w:spacing w:val="-4"/>
          <w:sz w:val="20"/>
          <w:vertAlign w:val="baseline"/>
        </w:rPr>
        <w:t>ibid</w:t>
      </w:r>
    </w:p>
    <w:p>
      <w:pPr>
        <w:spacing w:before="0"/>
        <w:ind w:left="335" w:right="0" w:firstLine="0"/>
        <w:jc w:val="left"/>
        <w:rPr>
          <w:rFonts w:ascii="Times New Roman"/>
          <w:i/>
          <w:sz w:val="20"/>
        </w:rPr>
      </w:pPr>
      <w:r>
        <w:rPr>
          <w:rFonts w:ascii="Times New Roman"/>
          <w:sz w:val="20"/>
          <w:vertAlign w:val="superscript"/>
        </w:rPr>
        <w:t>15</w:t>
      </w:r>
      <w:r>
        <w:rPr>
          <w:rFonts w:ascii="Times New Roman"/>
          <w:spacing w:val="5"/>
          <w:sz w:val="20"/>
          <w:vertAlign w:val="baseline"/>
        </w:rPr>
        <w:t> </w:t>
      </w:r>
      <w:r>
        <w:rPr>
          <w:rFonts w:ascii="Times New Roman"/>
          <w:i/>
          <w:spacing w:val="-4"/>
          <w:sz w:val="20"/>
          <w:vertAlign w:val="baseline"/>
        </w:rPr>
        <w:t>Ibid</w:t>
      </w:r>
    </w:p>
    <w:p>
      <w:pPr>
        <w:spacing w:before="1"/>
        <w:ind w:left="335" w:right="0" w:firstLine="0"/>
        <w:jc w:val="left"/>
        <w:rPr>
          <w:rFonts w:ascii="Times New Roman"/>
          <w:i/>
          <w:sz w:val="20"/>
        </w:rPr>
      </w:pPr>
      <w:r>
        <w:rPr>
          <w:rFonts w:ascii="Times New Roman"/>
          <w:sz w:val="20"/>
          <w:vertAlign w:val="superscript"/>
        </w:rPr>
        <w:t>16</w:t>
      </w:r>
      <w:r>
        <w:rPr>
          <w:rFonts w:ascii="Times New Roman"/>
          <w:spacing w:val="4"/>
          <w:sz w:val="20"/>
          <w:vertAlign w:val="baseline"/>
        </w:rPr>
        <w:t> </w:t>
      </w:r>
      <w:r>
        <w:rPr>
          <w:rFonts w:ascii="Times New Roman"/>
          <w:i/>
          <w:sz w:val="20"/>
          <w:vertAlign w:val="baseline"/>
        </w:rPr>
        <w:t>Op</w:t>
      </w:r>
      <w:r>
        <w:rPr>
          <w:rFonts w:ascii="Times New Roman"/>
          <w:i/>
          <w:spacing w:val="-3"/>
          <w:sz w:val="20"/>
          <w:vertAlign w:val="baseline"/>
        </w:rPr>
        <w:t> </w:t>
      </w:r>
      <w:r>
        <w:rPr>
          <w:rFonts w:ascii="Times New Roman"/>
          <w:i/>
          <w:spacing w:val="-5"/>
          <w:sz w:val="20"/>
          <w:vertAlign w:val="baseline"/>
        </w:rPr>
        <w:t>cit</w:t>
      </w:r>
    </w:p>
    <w:p>
      <w:pPr>
        <w:spacing w:after="0"/>
        <w:jc w:val="left"/>
        <w:rPr>
          <w:rFonts w:ascii="Times New Roman"/>
          <w:sz w:val="20"/>
        </w:rPr>
        <w:sectPr>
          <w:pgSz w:w="12240" w:h="15840"/>
          <w:pgMar w:header="0" w:footer="1070" w:top="1360" w:bottom="1260" w:left="1680" w:right="1320"/>
        </w:sectPr>
      </w:pPr>
    </w:p>
    <w:p>
      <w:pPr>
        <w:pStyle w:val="Heading1"/>
        <w:numPr>
          <w:ilvl w:val="1"/>
          <w:numId w:val="8"/>
        </w:numPr>
        <w:tabs>
          <w:tab w:pos="1053" w:val="left" w:leader="none"/>
        </w:tabs>
        <w:spacing w:line="240" w:lineRule="auto" w:before="77" w:after="0"/>
        <w:ind w:left="1053" w:right="0" w:hanging="718"/>
        <w:jc w:val="both"/>
      </w:pPr>
      <w:bookmarkStart w:name="_TOC_250025" w:id="5"/>
      <w:r>
        <w:rPr/>
        <w:t>Justification</w:t>
      </w:r>
      <w:r>
        <w:rPr>
          <w:spacing w:val="-11"/>
        </w:rPr>
        <w:t> </w:t>
      </w:r>
      <w:r>
        <w:rPr/>
        <w:t>of</w:t>
      </w:r>
      <w:r>
        <w:rPr>
          <w:spacing w:val="-9"/>
        </w:rPr>
        <w:t> </w:t>
      </w:r>
      <w:r>
        <w:rPr/>
        <w:t>the</w:t>
      </w:r>
      <w:r>
        <w:rPr>
          <w:spacing w:val="-10"/>
        </w:rPr>
        <w:t> </w:t>
      </w:r>
      <w:bookmarkEnd w:id="5"/>
      <w:r>
        <w:rPr>
          <w:spacing w:val="-2"/>
        </w:rPr>
        <w:t>Research</w:t>
      </w:r>
    </w:p>
    <w:p>
      <w:pPr>
        <w:pStyle w:val="BodyText"/>
        <w:spacing w:before="1"/>
        <w:rPr>
          <w:b/>
          <w:sz w:val="25"/>
        </w:rPr>
      </w:pPr>
    </w:p>
    <w:p>
      <w:pPr>
        <w:spacing w:line="480" w:lineRule="auto" w:before="0"/>
        <w:ind w:left="1056" w:right="123" w:firstLine="0"/>
        <w:jc w:val="both"/>
        <w:rPr>
          <w:sz w:val="25"/>
        </w:rPr>
      </w:pPr>
      <w:r>
        <w:rPr>
          <w:sz w:val="25"/>
        </w:rPr>
        <w:t>The research is very important because it addresses certain important issues. It envisages better undev{tanding of the law on compensation for injuries and death under the Employees’ Compensation Act 2010. It also discusses certain inadequacies in the law which writers have not addressed, with the view to proffering solutions to the problems. Therefore, law teachers, law students, Nigerian employees, judges, scholars and the general public will benefit immensely from the fruits of this research.</w:t>
      </w:r>
    </w:p>
    <w:p>
      <w:pPr>
        <w:pStyle w:val="Heading1"/>
        <w:numPr>
          <w:ilvl w:val="1"/>
          <w:numId w:val="8"/>
        </w:numPr>
        <w:tabs>
          <w:tab w:pos="1053" w:val="left" w:leader="none"/>
        </w:tabs>
        <w:spacing w:line="240" w:lineRule="auto" w:before="298" w:after="0"/>
        <w:ind w:left="1053" w:right="0" w:hanging="718"/>
        <w:jc w:val="both"/>
      </w:pPr>
      <w:bookmarkStart w:name="_TOC_250024" w:id="6"/>
      <w:r>
        <w:rPr/>
        <w:t>Scope</w:t>
      </w:r>
      <w:r>
        <w:rPr>
          <w:spacing w:val="-8"/>
        </w:rPr>
        <w:t> </w:t>
      </w:r>
      <w:r>
        <w:rPr/>
        <w:t>of</w:t>
      </w:r>
      <w:r>
        <w:rPr>
          <w:spacing w:val="-7"/>
        </w:rPr>
        <w:t> </w:t>
      </w:r>
      <w:r>
        <w:rPr/>
        <w:t>the</w:t>
      </w:r>
      <w:r>
        <w:rPr>
          <w:spacing w:val="-7"/>
        </w:rPr>
        <w:t> </w:t>
      </w:r>
      <w:bookmarkEnd w:id="6"/>
      <w:r>
        <w:rPr>
          <w:spacing w:val="-2"/>
        </w:rPr>
        <w:t>Research</w:t>
      </w:r>
    </w:p>
    <w:p>
      <w:pPr>
        <w:pStyle w:val="BodyText"/>
        <w:spacing w:before="1"/>
        <w:rPr>
          <w:b/>
          <w:sz w:val="25"/>
        </w:rPr>
      </w:pPr>
    </w:p>
    <w:p>
      <w:pPr>
        <w:spacing w:line="480" w:lineRule="auto" w:before="1"/>
        <w:ind w:left="1056" w:right="118" w:firstLine="0"/>
        <w:jc w:val="both"/>
        <w:rPr>
          <w:sz w:val="25"/>
        </w:rPr>
      </w:pPr>
      <w:r>
        <w:rPr>
          <w:sz w:val="25"/>
        </w:rPr>
        <w:t>The scope of the research is only the Employees’ Compensation Act</w:t>
      </w:r>
      <w:r>
        <w:rPr>
          <w:sz w:val="25"/>
          <w:vertAlign w:val="superscript"/>
        </w:rPr>
        <w:t>17</w:t>
      </w:r>
      <w:r>
        <w:rPr>
          <w:sz w:val="25"/>
          <w:vertAlign w:val="baseline"/>
        </w:rPr>
        <w:t> in Nigeria. References are however made to some jurisdictions outside Nigeria in order trace the history of compensation for job-related risks and disabilities.</w:t>
      </w:r>
    </w:p>
    <w:p>
      <w:pPr>
        <w:pStyle w:val="BodyText"/>
        <w:rPr>
          <w:sz w:val="25"/>
        </w:rPr>
      </w:pPr>
    </w:p>
    <w:p>
      <w:pPr>
        <w:pStyle w:val="Heading1"/>
        <w:numPr>
          <w:ilvl w:val="1"/>
          <w:numId w:val="8"/>
        </w:numPr>
        <w:tabs>
          <w:tab w:pos="1053" w:val="left" w:leader="none"/>
        </w:tabs>
        <w:spacing w:line="240" w:lineRule="auto" w:before="1" w:after="0"/>
        <w:ind w:left="1053" w:right="0" w:hanging="718"/>
        <w:jc w:val="both"/>
      </w:pPr>
      <w:bookmarkStart w:name="_TOC_250023" w:id="7"/>
      <w:r>
        <w:rPr/>
        <w:t>Research</w:t>
      </w:r>
      <w:r>
        <w:rPr>
          <w:spacing w:val="-14"/>
        </w:rPr>
        <w:t> </w:t>
      </w:r>
      <w:bookmarkEnd w:id="7"/>
      <w:r>
        <w:rPr>
          <w:spacing w:val="-2"/>
        </w:rPr>
        <w:t>Methodology</w:t>
      </w:r>
    </w:p>
    <w:p>
      <w:pPr>
        <w:pStyle w:val="BodyText"/>
        <w:spacing w:before="1"/>
        <w:rPr>
          <w:b/>
          <w:sz w:val="25"/>
        </w:rPr>
      </w:pPr>
    </w:p>
    <w:p>
      <w:pPr>
        <w:spacing w:line="480" w:lineRule="auto" w:before="0"/>
        <w:ind w:left="1056" w:right="118" w:firstLine="0"/>
        <w:jc w:val="both"/>
        <w:rPr>
          <w:sz w:val="25"/>
        </w:rPr>
      </w:pPr>
      <w:r>
        <w:rPr>
          <w:sz w:val="25"/>
        </w:rPr>
        <w:t>The research methodology used is doctrinal and empirical. Doctrinal method of research means the type of research that theorizes with the aid</w:t>
      </w:r>
      <w:r>
        <w:rPr>
          <w:spacing w:val="60"/>
          <w:sz w:val="25"/>
        </w:rPr>
        <w:t> </w:t>
      </w:r>
      <w:r>
        <w:rPr>
          <w:sz w:val="25"/>
        </w:rPr>
        <w:t>of</w:t>
      </w:r>
      <w:r>
        <w:rPr>
          <w:spacing w:val="60"/>
          <w:sz w:val="25"/>
        </w:rPr>
        <w:t> </w:t>
      </w:r>
      <w:r>
        <w:rPr>
          <w:sz w:val="25"/>
        </w:rPr>
        <w:t>books,</w:t>
      </w:r>
      <w:r>
        <w:rPr>
          <w:spacing w:val="60"/>
          <w:sz w:val="25"/>
        </w:rPr>
        <w:t> </w:t>
      </w:r>
      <w:r>
        <w:rPr>
          <w:sz w:val="25"/>
        </w:rPr>
        <w:t>statutes</w:t>
      </w:r>
      <w:r>
        <w:rPr>
          <w:spacing w:val="62"/>
          <w:sz w:val="25"/>
        </w:rPr>
        <w:t> </w:t>
      </w:r>
      <w:r>
        <w:rPr>
          <w:sz w:val="25"/>
        </w:rPr>
        <w:t>and</w:t>
      </w:r>
      <w:r>
        <w:rPr>
          <w:spacing w:val="60"/>
          <w:sz w:val="25"/>
        </w:rPr>
        <w:t> </w:t>
      </w:r>
      <w:r>
        <w:rPr>
          <w:sz w:val="25"/>
        </w:rPr>
        <w:t>cases</w:t>
      </w:r>
      <w:r>
        <w:rPr>
          <w:spacing w:val="58"/>
          <w:sz w:val="25"/>
        </w:rPr>
        <w:t> </w:t>
      </w:r>
      <w:r>
        <w:rPr>
          <w:sz w:val="25"/>
        </w:rPr>
        <w:t>and</w:t>
      </w:r>
      <w:r>
        <w:rPr>
          <w:spacing w:val="61"/>
          <w:sz w:val="25"/>
        </w:rPr>
        <w:t> </w:t>
      </w:r>
      <w:r>
        <w:rPr>
          <w:sz w:val="25"/>
        </w:rPr>
        <w:t>thereafter</w:t>
      </w:r>
      <w:r>
        <w:rPr>
          <w:spacing w:val="60"/>
          <w:sz w:val="25"/>
        </w:rPr>
        <w:t> </w:t>
      </w:r>
      <w:r>
        <w:rPr>
          <w:sz w:val="25"/>
        </w:rPr>
        <w:t>makes</w:t>
      </w:r>
      <w:r>
        <w:rPr>
          <w:spacing w:val="58"/>
          <w:sz w:val="25"/>
        </w:rPr>
        <w:t> </w:t>
      </w:r>
      <w:r>
        <w:rPr>
          <w:sz w:val="25"/>
        </w:rPr>
        <w:t>findings</w:t>
      </w:r>
      <w:r>
        <w:rPr>
          <w:spacing w:val="58"/>
          <w:sz w:val="25"/>
        </w:rPr>
        <w:t> </w:t>
      </w:r>
      <w:r>
        <w:rPr>
          <w:spacing w:val="-5"/>
          <w:sz w:val="25"/>
        </w:rPr>
        <w:t>and</w:t>
      </w:r>
    </w:p>
    <w:p>
      <w:pPr>
        <w:pStyle w:val="BodyText"/>
        <w:rPr>
          <w:sz w:val="20"/>
        </w:rPr>
      </w:pPr>
    </w:p>
    <w:p>
      <w:pPr>
        <w:pStyle w:val="BodyText"/>
        <w:rPr>
          <w:sz w:val="20"/>
        </w:rPr>
      </w:pPr>
    </w:p>
    <w:p>
      <w:pPr>
        <w:pStyle w:val="BodyText"/>
        <w:spacing w:before="96"/>
        <w:rPr>
          <w:sz w:val="20"/>
        </w:rPr>
      </w:pPr>
      <w:r>
        <w:rPr/>
        <mc:AlternateContent>
          <mc:Choice Requires="wps">
            <w:drawing>
              <wp:anchor distT="0" distB="0" distL="0" distR="0" allowOverlap="1" layoutInCell="1" locked="0" behindDoc="1" simplePos="0" relativeHeight="487596032">
                <wp:simplePos x="0" y="0"/>
                <wp:positionH relativeFrom="page">
                  <wp:posOffset>1280160</wp:posOffset>
                </wp:positionH>
                <wp:positionV relativeFrom="paragraph">
                  <wp:posOffset>229710</wp:posOffset>
                </wp:positionV>
                <wp:extent cx="1828800" cy="6350"/>
                <wp:effectExtent l="0" t="0" r="0" b="0"/>
                <wp:wrapTopAndBottom/>
                <wp:docPr id="19" name="Graphic 19"/>
                <wp:cNvGraphicFramePr>
                  <a:graphicFrameLocks/>
                </wp:cNvGraphicFramePr>
                <a:graphic>
                  <a:graphicData uri="http://schemas.microsoft.com/office/word/2010/wordprocessingShape">
                    <wps:wsp>
                      <wps:cNvPr id="19" name="Graphic 19"/>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8.087421pt;width:144pt;height:.48pt;mso-position-horizontal-relative:page;mso-position-vertical-relative:paragraph;z-index:-15720448;mso-wrap-distance-left:0;mso-wrap-distance-right:0" id="docshape19" filled="true" fillcolor="#000000" stroked="false">
                <v:fill type="solid"/>
                <w10:wrap type="topAndBottom"/>
              </v:rect>
            </w:pict>
          </mc:Fallback>
        </mc:AlternateContent>
      </w:r>
    </w:p>
    <w:p>
      <w:pPr>
        <w:spacing w:before="101"/>
        <w:ind w:left="335" w:right="0" w:firstLine="0"/>
        <w:jc w:val="left"/>
        <w:rPr>
          <w:rFonts w:ascii="Times New Roman"/>
          <w:i/>
          <w:sz w:val="20"/>
        </w:rPr>
      </w:pPr>
      <w:r>
        <w:rPr>
          <w:rFonts w:ascii="Times New Roman"/>
          <w:sz w:val="20"/>
          <w:vertAlign w:val="superscript"/>
        </w:rPr>
        <w:t>17</w:t>
      </w:r>
      <w:r>
        <w:rPr>
          <w:rFonts w:ascii="Times New Roman"/>
          <w:spacing w:val="5"/>
          <w:sz w:val="20"/>
          <w:vertAlign w:val="baseline"/>
        </w:rPr>
        <w:t> </w:t>
      </w:r>
      <w:r>
        <w:rPr>
          <w:rFonts w:ascii="Times New Roman"/>
          <w:i/>
          <w:spacing w:val="-4"/>
          <w:sz w:val="20"/>
          <w:vertAlign w:val="baseline"/>
        </w:rPr>
        <w:t>Ibid</w:t>
      </w:r>
    </w:p>
    <w:p>
      <w:pPr>
        <w:spacing w:after="0"/>
        <w:jc w:val="left"/>
        <w:rPr>
          <w:rFonts w:ascii="Times New Roman"/>
          <w:sz w:val="20"/>
        </w:rPr>
        <w:sectPr>
          <w:pgSz w:w="12240" w:h="15840"/>
          <w:pgMar w:header="0" w:footer="1070" w:top="1660" w:bottom="1260" w:left="1680" w:right="1320"/>
        </w:sectPr>
      </w:pPr>
    </w:p>
    <w:p>
      <w:pPr>
        <w:spacing w:line="480" w:lineRule="auto" w:before="94"/>
        <w:ind w:left="1056" w:right="121" w:firstLine="0"/>
        <w:jc w:val="both"/>
        <w:rPr>
          <w:sz w:val="25"/>
        </w:rPr>
      </w:pPr>
      <w:r>
        <w:rPr>
          <w:sz w:val="25"/>
        </w:rPr>
        <w:t>recommendations.</w:t>
      </w:r>
      <w:r>
        <w:rPr>
          <w:sz w:val="25"/>
          <w:vertAlign w:val="superscript"/>
        </w:rPr>
        <w:t>18</w:t>
      </w:r>
      <w:r>
        <w:rPr>
          <w:sz w:val="25"/>
          <w:vertAlign w:val="baseline"/>
        </w:rPr>
        <w:t> This is based on relevant statutes, case laws, textbooks, newspapers, internet sources etc for</w:t>
      </w:r>
      <w:r>
        <w:rPr>
          <w:spacing w:val="80"/>
          <w:sz w:val="25"/>
          <w:vertAlign w:val="baseline"/>
        </w:rPr>
        <w:t> </w:t>
      </w:r>
      <w:r>
        <w:rPr>
          <w:sz w:val="25"/>
          <w:vertAlign w:val="baseline"/>
        </w:rPr>
        <w:t>good understanding of the scheme being appraised. Empirical method of this research on the other hand, involves the collection of facts and data through interviews</w:t>
      </w:r>
      <w:r>
        <w:rPr>
          <w:sz w:val="25"/>
          <w:vertAlign w:val="superscript"/>
        </w:rPr>
        <w:t>19</w:t>
      </w:r>
      <w:r>
        <w:rPr>
          <w:sz w:val="25"/>
          <w:vertAlign w:val="baseline"/>
        </w:rPr>
        <w:t>. The research uses interview for the purpose of extracting certain information about the present employees’ compensation scheme in Nigeria from the Board</w:t>
      </w:r>
    </w:p>
    <w:p>
      <w:pPr>
        <w:pStyle w:val="BodyText"/>
        <w:rPr>
          <w:sz w:val="25"/>
        </w:rPr>
      </w:pPr>
    </w:p>
    <w:p>
      <w:pPr>
        <w:pStyle w:val="Heading1"/>
        <w:numPr>
          <w:ilvl w:val="1"/>
          <w:numId w:val="8"/>
        </w:numPr>
        <w:tabs>
          <w:tab w:pos="1055" w:val="left" w:leader="none"/>
        </w:tabs>
        <w:spacing w:line="240" w:lineRule="auto" w:before="0" w:after="0"/>
        <w:ind w:left="1055" w:right="0" w:hanging="720"/>
        <w:jc w:val="left"/>
      </w:pPr>
      <w:bookmarkStart w:name="_TOC_250022" w:id="8"/>
      <w:r>
        <w:rPr/>
        <w:t>Literature</w:t>
      </w:r>
      <w:r>
        <w:rPr>
          <w:spacing w:val="-13"/>
        </w:rPr>
        <w:t> </w:t>
      </w:r>
      <w:bookmarkEnd w:id="8"/>
      <w:r>
        <w:rPr>
          <w:spacing w:val="-2"/>
        </w:rPr>
        <w:t>Review</w:t>
      </w:r>
    </w:p>
    <w:p>
      <w:pPr>
        <w:pStyle w:val="BodyText"/>
        <w:spacing w:before="2"/>
        <w:rPr>
          <w:b/>
          <w:sz w:val="25"/>
        </w:rPr>
      </w:pPr>
    </w:p>
    <w:p>
      <w:pPr>
        <w:spacing w:line="477" w:lineRule="auto" w:before="0"/>
        <w:ind w:left="1056" w:right="124" w:firstLine="0"/>
        <w:jc w:val="both"/>
        <w:rPr>
          <w:sz w:val="25"/>
        </w:rPr>
      </w:pPr>
      <w:r>
        <w:rPr>
          <w:sz w:val="25"/>
        </w:rPr>
        <w:t>In understanding the research on this topic, review of books, articles</w:t>
      </w:r>
      <w:r>
        <w:rPr>
          <w:spacing w:val="40"/>
          <w:sz w:val="25"/>
        </w:rPr>
        <w:t> </w:t>
      </w:r>
      <w:r>
        <w:rPr>
          <w:sz w:val="25"/>
        </w:rPr>
        <w:t>and other materials are resorted to, with the aim of enriching the work.</w:t>
      </w:r>
    </w:p>
    <w:p>
      <w:pPr>
        <w:pStyle w:val="BodyText"/>
        <w:spacing w:before="4"/>
        <w:rPr>
          <w:sz w:val="25"/>
        </w:rPr>
      </w:pPr>
    </w:p>
    <w:p>
      <w:pPr>
        <w:spacing w:line="480" w:lineRule="auto" w:before="0"/>
        <w:ind w:left="1056" w:right="118" w:firstLine="0"/>
        <w:jc w:val="both"/>
        <w:rPr>
          <w:sz w:val="25"/>
        </w:rPr>
      </w:pPr>
      <w:r>
        <w:rPr>
          <w:sz w:val="25"/>
        </w:rPr>
        <w:t>There are many textbooks written on Workmen’s Compensation Act</w:t>
      </w:r>
      <w:r>
        <w:rPr>
          <w:sz w:val="25"/>
          <w:vertAlign w:val="superscript"/>
        </w:rPr>
        <w:t>20</w:t>
      </w:r>
      <w:r>
        <w:rPr>
          <w:spacing w:val="40"/>
          <w:sz w:val="25"/>
          <w:vertAlign w:val="baseline"/>
        </w:rPr>
        <w:t> </w:t>
      </w:r>
      <w:r>
        <w:rPr>
          <w:sz w:val="25"/>
          <w:vertAlign w:val="baseline"/>
        </w:rPr>
        <w:t>but not on the Nigerian Employees’ Compensation Act</w:t>
      </w:r>
      <w:r>
        <w:rPr>
          <w:sz w:val="25"/>
          <w:vertAlign w:val="superscript"/>
        </w:rPr>
        <w:t>21</w:t>
      </w:r>
      <w:r>
        <w:rPr>
          <w:sz w:val="25"/>
          <w:vertAlign w:val="baseline"/>
        </w:rPr>
        <w:t> to the best of the researcher’s knowledge. This is because the latter Act was passed in November, 2010. However, the contributions made by such literature</w:t>
      </w:r>
      <w:r>
        <w:rPr>
          <w:spacing w:val="40"/>
          <w:sz w:val="25"/>
          <w:vertAlign w:val="baseline"/>
        </w:rPr>
        <w:t> </w:t>
      </w:r>
      <w:r>
        <w:rPr>
          <w:sz w:val="25"/>
          <w:vertAlign w:val="baseline"/>
        </w:rPr>
        <w:t>are relevant to this area of research. To the best of the researcher’s knowledge, only Agomo in her book “Nigerian Employment and Labour Relations</w:t>
      </w:r>
      <w:r>
        <w:rPr>
          <w:spacing w:val="37"/>
          <w:sz w:val="25"/>
          <w:vertAlign w:val="baseline"/>
        </w:rPr>
        <w:t> </w:t>
      </w:r>
      <w:r>
        <w:rPr>
          <w:sz w:val="25"/>
          <w:vertAlign w:val="baseline"/>
        </w:rPr>
        <w:t>Law</w:t>
      </w:r>
      <w:r>
        <w:rPr>
          <w:spacing w:val="41"/>
          <w:sz w:val="25"/>
          <w:vertAlign w:val="baseline"/>
        </w:rPr>
        <w:t> </w:t>
      </w:r>
      <w:r>
        <w:rPr>
          <w:sz w:val="25"/>
          <w:vertAlign w:val="baseline"/>
        </w:rPr>
        <w:t>and</w:t>
      </w:r>
      <w:r>
        <w:rPr>
          <w:spacing w:val="40"/>
          <w:sz w:val="25"/>
          <w:vertAlign w:val="baseline"/>
        </w:rPr>
        <w:t> </w:t>
      </w:r>
      <w:r>
        <w:rPr>
          <w:sz w:val="25"/>
          <w:vertAlign w:val="baseline"/>
        </w:rPr>
        <w:t>Practice”</w:t>
      </w:r>
      <w:r>
        <w:rPr>
          <w:sz w:val="25"/>
          <w:vertAlign w:val="superscript"/>
        </w:rPr>
        <w:t>22</w:t>
      </w:r>
      <w:r>
        <w:rPr>
          <w:spacing w:val="39"/>
          <w:sz w:val="25"/>
          <w:vertAlign w:val="baseline"/>
        </w:rPr>
        <w:t>  </w:t>
      </w:r>
      <w:r>
        <w:rPr>
          <w:sz w:val="25"/>
          <w:vertAlign w:val="baseline"/>
        </w:rPr>
        <w:t>has</w:t>
      </w:r>
      <w:r>
        <w:rPr>
          <w:spacing w:val="39"/>
          <w:sz w:val="25"/>
          <w:vertAlign w:val="baseline"/>
        </w:rPr>
        <w:t> </w:t>
      </w:r>
      <w:r>
        <w:rPr>
          <w:sz w:val="25"/>
          <w:vertAlign w:val="baseline"/>
        </w:rPr>
        <w:t>made</w:t>
      </w:r>
      <w:r>
        <w:rPr>
          <w:spacing w:val="37"/>
          <w:sz w:val="25"/>
          <w:vertAlign w:val="baseline"/>
        </w:rPr>
        <w:t> </w:t>
      </w:r>
      <w:r>
        <w:rPr>
          <w:sz w:val="25"/>
          <w:vertAlign w:val="baseline"/>
        </w:rPr>
        <w:t>an</w:t>
      </w:r>
      <w:r>
        <w:rPr>
          <w:spacing w:val="39"/>
          <w:sz w:val="25"/>
          <w:vertAlign w:val="baseline"/>
        </w:rPr>
        <w:t> </w:t>
      </w:r>
      <w:r>
        <w:rPr>
          <w:sz w:val="25"/>
          <w:vertAlign w:val="baseline"/>
        </w:rPr>
        <w:t>attempt</w:t>
      </w:r>
      <w:r>
        <w:rPr>
          <w:spacing w:val="37"/>
          <w:sz w:val="25"/>
          <w:vertAlign w:val="baseline"/>
        </w:rPr>
        <w:t> </w:t>
      </w:r>
      <w:r>
        <w:rPr>
          <w:sz w:val="25"/>
          <w:vertAlign w:val="baseline"/>
        </w:rPr>
        <w:t>to</w:t>
      </w:r>
      <w:r>
        <w:rPr>
          <w:spacing w:val="38"/>
          <w:sz w:val="25"/>
          <w:vertAlign w:val="baseline"/>
        </w:rPr>
        <w:t> </w:t>
      </w:r>
      <w:r>
        <w:rPr>
          <w:sz w:val="25"/>
          <w:vertAlign w:val="baseline"/>
        </w:rPr>
        <w:t>discuss</w:t>
      </w:r>
      <w:r>
        <w:rPr>
          <w:spacing w:val="38"/>
          <w:sz w:val="25"/>
          <w:vertAlign w:val="baseline"/>
        </w:rPr>
        <w:t> </w:t>
      </w:r>
      <w:r>
        <w:rPr>
          <w:spacing w:val="-4"/>
          <w:sz w:val="25"/>
          <w:vertAlign w:val="baseline"/>
        </w:rPr>
        <w:t>some</w:t>
      </w:r>
    </w:p>
    <w:p>
      <w:pPr>
        <w:pStyle w:val="BodyText"/>
        <w:spacing w:before="104"/>
        <w:rPr>
          <w:sz w:val="20"/>
        </w:rPr>
      </w:pPr>
      <w:r>
        <w:rPr/>
        <mc:AlternateContent>
          <mc:Choice Requires="wps">
            <w:drawing>
              <wp:anchor distT="0" distB="0" distL="0" distR="0" allowOverlap="1" layoutInCell="1" locked="0" behindDoc="1" simplePos="0" relativeHeight="487596544">
                <wp:simplePos x="0" y="0"/>
                <wp:positionH relativeFrom="page">
                  <wp:posOffset>1280160</wp:posOffset>
                </wp:positionH>
                <wp:positionV relativeFrom="paragraph">
                  <wp:posOffset>234920</wp:posOffset>
                </wp:positionV>
                <wp:extent cx="1828800" cy="6350"/>
                <wp:effectExtent l="0" t="0" r="0" b="0"/>
                <wp:wrapTopAndBottom/>
                <wp:docPr id="20" name="Graphic 20"/>
                <wp:cNvGraphicFramePr>
                  <a:graphicFrameLocks/>
                </wp:cNvGraphicFramePr>
                <a:graphic>
                  <a:graphicData uri="http://schemas.microsoft.com/office/word/2010/wordprocessingShape">
                    <wps:wsp>
                      <wps:cNvPr id="20" name="Graphic 20"/>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8.497696pt;width:144pt;height:.48pt;mso-position-horizontal-relative:page;mso-position-vertical-relative:paragraph;z-index:-15719936;mso-wrap-distance-left:0;mso-wrap-distance-right:0" id="docshape20" filled="true" fillcolor="#000000" stroked="false">
                <v:fill type="solid"/>
                <w10:wrap type="topAndBottom"/>
              </v:rect>
            </w:pict>
          </mc:Fallback>
        </mc:AlternateContent>
      </w:r>
    </w:p>
    <w:p>
      <w:pPr>
        <w:spacing w:before="106"/>
        <w:ind w:left="335" w:right="0" w:firstLine="0"/>
        <w:jc w:val="left"/>
        <w:rPr>
          <w:rFonts w:ascii="Times New Roman"/>
          <w:sz w:val="20"/>
        </w:rPr>
      </w:pPr>
      <w:r>
        <w:rPr>
          <w:rFonts w:ascii="Times New Roman"/>
          <w:sz w:val="20"/>
          <w:vertAlign w:val="superscript"/>
        </w:rPr>
        <w:t>18</w:t>
      </w:r>
      <w:r>
        <w:rPr>
          <w:rFonts w:ascii="Times New Roman"/>
          <w:sz w:val="20"/>
          <w:vertAlign w:val="baseline"/>
        </w:rPr>
        <w:t> Aboki, Y.</w:t>
      </w:r>
      <w:r>
        <w:rPr>
          <w:rFonts w:ascii="Times New Roman"/>
          <w:spacing w:val="-5"/>
          <w:sz w:val="20"/>
          <w:vertAlign w:val="baseline"/>
        </w:rPr>
        <w:t> </w:t>
      </w:r>
      <w:r>
        <w:rPr>
          <w:rFonts w:ascii="Times New Roman"/>
          <w:sz w:val="20"/>
          <w:u w:val="single"/>
          <w:vertAlign w:val="baseline"/>
        </w:rPr>
        <w:t>Introduction</w:t>
      </w:r>
      <w:r>
        <w:rPr>
          <w:rFonts w:ascii="Times New Roman"/>
          <w:spacing w:val="-3"/>
          <w:sz w:val="20"/>
          <w:u w:val="single"/>
          <w:vertAlign w:val="baseline"/>
        </w:rPr>
        <w:t> </w:t>
      </w:r>
      <w:r>
        <w:rPr>
          <w:rFonts w:ascii="Times New Roman"/>
          <w:sz w:val="20"/>
          <w:u w:val="single"/>
          <w:vertAlign w:val="baseline"/>
        </w:rPr>
        <w:t>to</w:t>
      </w:r>
      <w:r>
        <w:rPr>
          <w:rFonts w:ascii="Times New Roman"/>
          <w:spacing w:val="-6"/>
          <w:sz w:val="20"/>
          <w:u w:val="single"/>
          <w:vertAlign w:val="baseline"/>
        </w:rPr>
        <w:t> </w:t>
      </w:r>
      <w:r>
        <w:rPr>
          <w:rFonts w:ascii="Times New Roman"/>
          <w:sz w:val="20"/>
          <w:u w:val="single"/>
          <w:vertAlign w:val="baseline"/>
        </w:rPr>
        <w:t>Legal</w:t>
      </w:r>
      <w:r>
        <w:rPr>
          <w:rFonts w:ascii="Times New Roman"/>
          <w:spacing w:val="-1"/>
          <w:sz w:val="20"/>
          <w:u w:val="single"/>
          <w:vertAlign w:val="baseline"/>
        </w:rPr>
        <w:t> </w:t>
      </w:r>
      <w:r>
        <w:rPr>
          <w:rFonts w:ascii="Times New Roman"/>
          <w:sz w:val="20"/>
          <w:u w:val="single"/>
          <w:vertAlign w:val="baseline"/>
        </w:rPr>
        <w:t>Research Methodology, </w:t>
      </w:r>
      <w:r>
        <w:rPr>
          <w:rFonts w:ascii="Times New Roman"/>
          <w:sz w:val="20"/>
          <w:vertAlign w:val="baseline"/>
        </w:rPr>
        <w:t>2</w:t>
      </w:r>
      <w:r>
        <w:rPr>
          <w:rFonts w:ascii="Times New Roman"/>
          <w:sz w:val="20"/>
          <w:vertAlign w:val="superscript"/>
        </w:rPr>
        <w:t>nd</w:t>
      </w:r>
      <w:r>
        <w:rPr>
          <w:rFonts w:ascii="Times New Roman"/>
          <w:spacing w:val="-9"/>
          <w:sz w:val="20"/>
          <w:vertAlign w:val="baseline"/>
        </w:rPr>
        <w:t> </w:t>
      </w:r>
      <w:r>
        <w:rPr>
          <w:rFonts w:ascii="Times New Roman"/>
          <w:sz w:val="20"/>
          <w:vertAlign w:val="baseline"/>
        </w:rPr>
        <w:t>Edition,Tamaza</w:t>
      </w:r>
      <w:r>
        <w:rPr>
          <w:rFonts w:ascii="Times New Roman"/>
          <w:spacing w:val="-5"/>
          <w:sz w:val="20"/>
          <w:vertAlign w:val="baseline"/>
        </w:rPr>
        <w:t> </w:t>
      </w:r>
      <w:r>
        <w:rPr>
          <w:rFonts w:ascii="Times New Roman"/>
          <w:sz w:val="20"/>
          <w:vertAlign w:val="baseline"/>
        </w:rPr>
        <w:t>Publishing</w:t>
      </w:r>
      <w:r>
        <w:rPr>
          <w:rFonts w:ascii="Times New Roman"/>
          <w:spacing w:val="-6"/>
          <w:sz w:val="20"/>
          <w:vertAlign w:val="baseline"/>
        </w:rPr>
        <w:t> </w:t>
      </w:r>
      <w:r>
        <w:rPr>
          <w:rFonts w:ascii="Times New Roman"/>
          <w:sz w:val="20"/>
          <w:vertAlign w:val="baseline"/>
        </w:rPr>
        <w:t>Co.</w:t>
      </w:r>
      <w:r>
        <w:rPr>
          <w:rFonts w:ascii="Times New Roman"/>
          <w:spacing w:val="-5"/>
          <w:sz w:val="20"/>
          <w:vertAlign w:val="baseline"/>
        </w:rPr>
        <w:t> </w:t>
      </w:r>
      <w:r>
        <w:rPr>
          <w:rFonts w:ascii="Times New Roman"/>
          <w:sz w:val="20"/>
          <w:vertAlign w:val="baseline"/>
        </w:rPr>
        <w:t>Ltd, </w:t>
      </w:r>
      <w:r>
        <w:rPr>
          <w:rFonts w:ascii="Times New Roman"/>
          <w:spacing w:val="-2"/>
          <w:sz w:val="20"/>
          <w:vertAlign w:val="baseline"/>
        </w:rPr>
        <w:t>Zaria,(2009)p.3</w:t>
      </w:r>
    </w:p>
    <w:p>
      <w:pPr>
        <w:spacing w:line="226" w:lineRule="exact" w:before="0"/>
        <w:ind w:left="335" w:right="0" w:firstLine="0"/>
        <w:jc w:val="left"/>
        <w:rPr>
          <w:rFonts w:ascii="Times New Roman"/>
          <w:i/>
          <w:sz w:val="20"/>
        </w:rPr>
      </w:pPr>
      <w:r>
        <w:rPr>
          <w:rFonts w:ascii="Times New Roman"/>
          <w:sz w:val="20"/>
          <w:vertAlign w:val="superscript"/>
        </w:rPr>
        <w:t>19</w:t>
      </w:r>
      <w:r>
        <w:rPr>
          <w:rFonts w:ascii="Times New Roman"/>
          <w:spacing w:val="5"/>
          <w:sz w:val="20"/>
          <w:vertAlign w:val="baseline"/>
        </w:rPr>
        <w:t> </w:t>
      </w:r>
      <w:r>
        <w:rPr>
          <w:rFonts w:ascii="Times New Roman"/>
          <w:i/>
          <w:spacing w:val="-4"/>
          <w:sz w:val="20"/>
          <w:vertAlign w:val="baseline"/>
        </w:rPr>
        <w:t>Ibid</w:t>
      </w:r>
    </w:p>
    <w:p>
      <w:pPr>
        <w:spacing w:before="0"/>
        <w:ind w:left="335" w:right="0" w:firstLine="0"/>
        <w:jc w:val="left"/>
        <w:rPr>
          <w:rFonts w:ascii="Times New Roman"/>
          <w:i/>
          <w:sz w:val="20"/>
        </w:rPr>
      </w:pPr>
      <w:r>
        <w:rPr>
          <w:rFonts w:ascii="Times New Roman"/>
          <w:sz w:val="20"/>
          <w:vertAlign w:val="superscript"/>
        </w:rPr>
        <w:t>20</w:t>
      </w:r>
      <w:r>
        <w:rPr>
          <w:rFonts w:ascii="Times New Roman"/>
          <w:spacing w:val="5"/>
          <w:sz w:val="20"/>
          <w:vertAlign w:val="baseline"/>
        </w:rPr>
        <w:t> </w:t>
      </w:r>
      <w:r>
        <w:rPr>
          <w:rFonts w:ascii="Times New Roman"/>
          <w:i/>
          <w:spacing w:val="-4"/>
          <w:sz w:val="20"/>
          <w:vertAlign w:val="baseline"/>
        </w:rPr>
        <w:t>Ibid</w:t>
      </w:r>
    </w:p>
    <w:p>
      <w:pPr>
        <w:spacing w:before="1"/>
        <w:ind w:left="335" w:right="0" w:firstLine="0"/>
        <w:jc w:val="left"/>
        <w:rPr>
          <w:rFonts w:ascii="Times New Roman"/>
          <w:i/>
          <w:sz w:val="20"/>
        </w:rPr>
      </w:pPr>
      <w:r>
        <w:rPr>
          <w:rFonts w:ascii="Times New Roman"/>
          <w:sz w:val="20"/>
          <w:vertAlign w:val="superscript"/>
        </w:rPr>
        <w:t>21</w:t>
      </w:r>
      <w:r>
        <w:rPr>
          <w:rFonts w:ascii="Times New Roman"/>
          <w:spacing w:val="4"/>
          <w:sz w:val="20"/>
          <w:vertAlign w:val="baseline"/>
        </w:rPr>
        <w:t> </w:t>
      </w:r>
      <w:r>
        <w:rPr>
          <w:rFonts w:ascii="Times New Roman"/>
          <w:i/>
          <w:sz w:val="20"/>
          <w:vertAlign w:val="baseline"/>
        </w:rPr>
        <w:t>Op.</w:t>
      </w:r>
      <w:r>
        <w:rPr>
          <w:rFonts w:ascii="Times New Roman"/>
          <w:i/>
          <w:spacing w:val="-1"/>
          <w:sz w:val="20"/>
          <w:vertAlign w:val="baseline"/>
        </w:rPr>
        <w:t> </w:t>
      </w:r>
      <w:r>
        <w:rPr>
          <w:rFonts w:ascii="Times New Roman"/>
          <w:i/>
          <w:spacing w:val="-5"/>
          <w:sz w:val="20"/>
          <w:vertAlign w:val="baseline"/>
        </w:rPr>
        <w:t>cit</w:t>
      </w:r>
    </w:p>
    <w:p>
      <w:pPr>
        <w:spacing w:before="0"/>
        <w:ind w:left="335" w:right="0" w:firstLine="0"/>
        <w:jc w:val="left"/>
        <w:rPr>
          <w:rFonts w:ascii="Times New Roman"/>
          <w:sz w:val="20"/>
        </w:rPr>
      </w:pPr>
      <w:r>
        <w:rPr>
          <w:rFonts w:ascii="Times New Roman"/>
          <w:sz w:val="20"/>
          <w:vertAlign w:val="superscript"/>
        </w:rPr>
        <w:t>22</w:t>
      </w:r>
      <w:r>
        <w:rPr>
          <w:rFonts w:ascii="Times New Roman"/>
          <w:sz w:val="20"/>
          <w:vertAlign w:val="baseline"/>
        </w:rPr>
        <w:t> Agomo</w:t>
      </w:r>
      <w:r>
        <w:rPr>
          <w:rFonts w:ascii="Times New Roman"/>
          <w:spacing w:val="-5"/>
          <w:sz w:val="20"/>
          <w:vertAlign w:val="baseline"/>
        </w:rPr>
        <w:t> </w:t>
      </w:r>
      <w:r>
        <w:rPr>
          <w:rFonts w:ascii="Times New Roman"/>
          <w:sz w:val="20"/>
          <w:vertAlign w:val="baseline"/>
        </w:rPr>
        <w:t>CK</w:t>
      </w:r>
      <w:r>
        <w:rPr>
          <w:rFonts w:ascii="Times New Roman"/>
          <w:spacing w:val="-2"/>
          <w:sz w:val="20"/>
          <w:vertAlign w:val="baseline"/>
        </w:rPr>
        <w:t> </w:t>
      </w:r>
      <w:r>
        <w:rPr>
          <w:rFonts w:ascii="Times New Roman"/>
          <w:sz w:val="20"/>
          <w:u w:val="single"/>
          <w:vertAlign w:val="baseline"/>
        </w:rPr>
        <w:t>Nigerian</w:t>
      </w:r>
      <w:r>
        <w:rPr>
          <w:rFonts w:ascii="Times New Roman"/>
          <w:spacing w:val="-1"/>
          <w:sz w:val="20"/>
          <w:u w:val="single"/>
          <w:vertAlign w:val="baseline"/>
        </w:rPr>
        <w:t> </w:t>
      </w:r>
      <w:r>
        <w:rPr>
          <w:rFonts w:ascii="Times New Roman"/>
          <w:sz w:val="20"/>
          <w:u w:val="single"/>
          <w:vertAlign w:val="baseline"/>
        </w:rPr>
        <w:t>Employment</w:t>
      </w:r>
      <w:r>
        <w:rPr>
          <w:rFonts w:ascii="Times New Roman"/>
          <w:spacing w:val="-4"/>
          <w:sz w:val="20"/>
          <w:u w:val="single"/>
          <w:vertAlign w:val="baseline"/>
        </w:rPr>
        <w:t> </w:t>
      </w:r>
      <w:r>
        <w:rPr>
          <w:rFonts w:ascii="Times New Roman"/>
          <w:sz w:val="20"/>
          <w:u w:val="single"/>
          <w:vertAlign w:val="baseline"/>
        </w:rPr>
        <w:t>and</w:t>
      </w:r>
      <w:r>
        <w:rPr>
          <w:rFonts w:ascii="Times New Roman"/>
          <w:spacing w:val="-5"/>
          <w:sz w:val="20"/>
          <w:u w:val="single"/>
          <w:vertAlign w:val="baseline"/>
        </w:rPr>
        <w:t> </w:t>
      </w:r>
      <w:r>
        <w:rPr>
          <w:rFonts w:ascii="Times New Roman"/>
          <w:sz w:val="20"/>
          <w:u w:val="single"/>
          <w:vertAlign w:val="baseline"/>
        </w:rPr>
        <w:t>Labour Relations</w:t>
      </w:r>
      <w:r>
        <w:rPr>
          <w:rFonts w:ascii="Times New Roman"/>
          <w:spacing w:val="-2"/>
          <w:sz w:val="20"/>
          <w:u w:val="single"/>
          <w:vertAlign w:val="baseline"/>
        </w:rPr>
        <w:t> </w:t>
      </w:r>
      <w:r>
        <w:rPr>
          <w:rFonts w:ascii="Times New Roman"/>
          <w:sz w:val="20"/>
          <w:u w:val="single"/>
          <w:vertAlign w:val="baseline"/>
        </w:rPr>
        <w:t>law</w:t>
      </w:r>
      <w:r>
        <w:rPr>
          <w:rFonts w:ascii="Times New Roman"/>
          <w:spacing w:val="-7"/>
          <w:sz w:val="20"/>
          <w:u w:val="single"/>
          <w:vertAlign w:val="baseline"/>
        </w:rPr>
        <w:t> </w:t>
      </w:r>
      <w:r>
        <w:rPr>
          <w:rFonts w:ascii="Times New Roman"/>
          <w:sz w:val="20"/>
          <w:u w:val="single"/>
          <w:vertAlign w:val="baseline"/>
        </w:rPr>
        <w:t>and</w:t>
      </w:r>
      <w:r>
        <w:rPr>
          <w:rFonts w:ascii="Times New Roman"/>
          <w:spacing w:val="-5"/>
          <w:sz w:val="20"/>
          <w:u w:val="single"/>
          <w:vertAlign w:val="baseline"/>
        </w:rPr>
        <w:t> </w:t>
      </w:r>
      <w:r>
        <w:rPr>
          <w:rFonts w:ascii="Times New Roman"/>
          <w:sz w:val="20"/>
          <w:u w:val="single"/>
          <w:vertAlign w:val="baseline"/>
        </w:rPr>
        <w:t>Practice</w:t>
      </w:r>
      <w:r>
        <w:rPr>
          <w:rFonts w:ascii="Times New Roman"/>
          <w:spacing w:val="-4"/>
          <w:sz w:val="20"/>
          <w:u w:val="single"/>
          <w:vertAlign w:val="baseline"/>
        </w:rPr>
        <w:t> </w:t>
      </w:r>
      <w:r>
        <w:rPr>
          <w:rFonts w:ascii="Times New Roman"/>
          <w:sz w:val="20"/>
          <w:u w:val="single"/>
          <w:vertAlign w:val="baseline"/>
        </w:rPr>
        <w:t>,</w:t>
      </w:r>
      <w:r>
        <w:rPr>
          <w:rFonts w:ascii="Times New Roman"/>
          <w:sz w:val="20"/>
          <w:vertAlign w:val="baseline"/>
        </w:rPr>
        <w:t>Concept publications</w:t>
      </w:r>
      <w:r>
        <w:rPr>
          <w:rFonts w:ascii="Times New Roman"/>
          <w:spacing w:val="40"/>
          <w:sz w:val="20"/>
          <w:vertAlign w:val="baseline"/>
        </w:rPr>
        <w:t> </w:t>
      </w:r>
      <w:r>
        <w:rPr>
          <w:rFonts w:ascii="Times New Roman"/>
          <w:sz w:val="20"/>
          <w:vertAlign w:val="baseline"/>
        </w:rPr>
        <w:t>Limited, Lagos (2012)</w:t>
      </w:r>
    </w:p>
    <w:p>
      <w:pPr>
        <w:spacing w:after="0"/>
        <w:jc w:val="left"/>
        <w:rPr>
          <w:rFonts w:ascii="Times New Roman"/>
          <w:sz w:val="20"/>
        </w:rPr>
        <w:sectPr>
          <w:pgSz w:w="12240" w:h="15840"/>
          <w:pgMar w:header="0" w:footer="1070" w:top="1340" w:bottom="1260" w:left="1680" w:right="1320"/>
        </w:sectPr>
      </w:pPr>
    </w:p>
    <w:p>
      <w:pPr>
        <w:spacing w:line="480" w:lineRule="auto" w:before="74"/>
        <w:ind w:left="1056" w:right="117" w:firstLine="0"/>
        <w:jc w:val="both"/>
        <w:rPr>
          <w:sz w:val="25"/>
        </w:rPr>
      </w:pPr>
      <w:r>
        <w:rPr>
          <w:sz w:val="25"/>
        </w:rPr>
        <w:t>aspects of the present employees’ compensation under Nigerian law.</w:t>
      </w:r>
      <w:r>
        <w:rPr>
          <w:spacing w:val="40"/>
          <w:sz w:val="25"/>
        </w:rPr>
        <w:t> </w:t>
      </w:r>
      <w:r>
        <w:rPr>
          <w:sz w:val="25"/>
        </w:rPr>
        <w:t>The author amonw(□ther things discussed the objectives of the present Employees’ Compensation Act in Nigeria, the Scope and Application of the Act, Right of Appeal and the National industrial Court. However, the work did not address the issues of challenges faced by the present employees’ compensation scheme in Nigeria. Also, some lacunae in the present Employees’ Compensation Act in Nigeria were not discussed in her work. These aspects lacking in her work are part of what this research addresses. They serve to throw light on the concept of employees’ compensation and the shortcomings of the repealed Act.</w:t>
      </w:r>
    </w:p>
    <w:p>
      <w:pPr>
        <w:spacing w:before="301"/>
        <w:ind w:left="1056" w:right="0" w:firstLine="0"/>
        <w:jc w:val="both"/>
        <w:rPr>
          <w:sz w:val="25"/>
        </w:rPr>
      </w:pPr>
      <w:r>
        <w:rPr>
          <w:sz w:val="25"/>
        </w:rPr>
        <w:t>A</w:t>
      </w:r>
      <w:r>
        <w:rPr>
          <w:spacing w:val="13"/>
          <w:sz w:val="25"/>
        </w:rPr>
        <w:t> </w:t>
      </w:r>
      <w:r>
        <w:rPr>
          <w:sz w:val="25"/>
        </w:rPr>
        <w:t>notable</w:t>
      </w:r>
      <w:r>
        <w:rPr>
          <w:spacing w:val="13"/>
          <w:sz w:val="25"/>
        </w:rPr>
        <w:t> </w:t>
      </w:r>
      <w:r>
        <w:rPr>
          <w:sz w:val="25"/>
        </w:rPr>
        <w:t>Nigerian</w:t>
      </w:r>
      <w:r>
        <w:rPr>
          <w:spacing w:val="13"/>
          <w:sz w:val="25"/>
        </w:rPr>
        <w:t> </w:t>
      </w:r>
      <w:r>
        <w:rPr>
          <w:sz w:val="25"/>
        </w:rPr>
        <w:t>author,</w:t>
      </w:r>
      <w:r>
        <w:rPr>
          <w:spacing w:val="14"/>
          <w:sz w:val="25"/>
        </w:rPr>
        <w:t> </w:t>
      </w:r>
      <w:r>
        <w:rPr>
          <w:sz w:val="25"/>
        </w:rPr>
        <w:t>Akintunde,</w:t>
      </w:r>
      <w:r>
        <w:rPr>
          <w:spacing w:val="15"/>
          <w:sz w:val="25"/>
        </w:rPr>
        <w:t> </w:t>
      </w:r>
      <w:r>
        <w:rPr>
          <w:sz w:val="25"/>
        </w:rPr>
        <w:t>in</w:t>
      </w:r>
      <w:r>
        <w:rPr>
          <w:spacing w:val="13"/>
          <w:sz w:val="25"/>
        </w:rPr>
        <w:t> </w:t>
      </w:r>
      <w:r>
        <w:rPr>
          <w:sz w:val="25"/>
        </w:rPr>
        <w:t>his</w:t>
      </w:r>
      <w:r>
        <w:rPr>
          <w:spacing w:val="13"/>
          <w:sz w:val="25"/>
        </w:rPr>
        <w:t> </w:t>
      </w:r>
      <w:r>
        <w:rPr>
          <w:sz w:val="25"/>
        </w:rPr>
        <w:t>book</w:t>
      </w:r>
      <w:r>
        <w:rPr>
          <w:spacing w:val="16"/>
          <w:sz w:val="25"/>
        </w:rPr>
        <w:t> </w:t>
      </w:r>
      <w:r>
        <w:rPr>
          <w:sz w:val="25"/>
          <w:u w:val="single"/>
        </w:rPr>
        <w:t>Nigerian</w:t>
      </w:r>
      <w:r>
        <w:rPr>
          <w:spacing w:val="14"/>
          <w:sz w:val="25"/>
          <w:u w:val="single"/>
        </w:rPr>
        <w:t> </w:t>
      </w:r>
      <w:r>
        <w:rPr>
          <w:sz w:val="25"/>
          <w:u w:val="single"/>
        </w:rPr>
        <w:t>Labour</w:t>
      </w:r>
      <w:r>
        <w:rPr>
          <w:spacing w:val="14"/>
          <w:sz w:val="25"/>
          <w:u w:val="single"/>
        </w:rPr>
        <w:t> </w:t>
      </w:r>
      <w:r>
        <w:rPr>
          <w:spacing w:val="-4"/>
          <w:sz w:val="25"/>
          <w:u w:val="single"/>
        </w:rPr>
        <w:t>Law,</w:t>
      </w:r>
    </w:p>
    <w:p>
      <w:pPr>
        <w:pStyle w:val="BodyText"/>
        <w:spacing w:before="1"/>
        <w:rPr>
          <w:sz w:val="25"/>
        </w:rPr>
      </w:pPr>
    </w:p>
    <w:p>
      <w:pPr>
        <w:spacing w:line="480" w:lineRule="auto" w:before="1"/>
        <w:ind w:left="1056" w:right="119" w:firstLine="0"/>
        <w:jc w:val="both"/>
        <w:rPr>
          <w:sz w:val="25"/>
        </w:rPr>
      </w:pPr>
      <w:r>
        <w:rPr>
          <w:sz w:val="25"/>
        </w:rPr>
        <w:t>said: “Compensation within the context of Labour Law is a monetary payment for a worker’s injury as agreed between employer and worker and/or as approved by the court.</w:t>
      </w:r>
      <w:r>
        <w:rPr>
          <w:sz w:val="25"/>
          <w:vertAlign w:val="superscript"/>
        </w:rPr>
        <w:t>23</w:t>
      </w:r>
      <w:r>
        <w:rPr>
          <w:sz w:val="25"/>
          <w:vertAlign w:val="baseline"/>
        </w:rPr>
        <w:t>” Under the present law, this</w:t>
      </w:r>
      <w:r>
        <w:rPr>
          <w:spacing w:val="40"/>
          <w:sz w:val="25"/>
          <w:vertAlign w:val="baseline"/>
        </w:rPr>
        <w:t> </w:t>
      </w:r>
      <w:r>
        <w:rPr>
          <w:sz w:val="25"/>
          <w:vertAlign w:val="baseline"/>
        </w:rPr>
        <w:t>definition of compensation will no longer be tenable, because, compensation is now not only monetary but may involve rehabilitation and counselling which this work addresses in chapters two and three. Also, compensation under the present Act is not “as agreed between employer and worker” but it is statutorily spelt out and administered by the</w:t>
      </w:r>
      <w:r>
        <w:rPr>
          <w:spacing w:val="47"/>
          <w:sz w:val="25"/>
          <w:vertAlign w:val="baseline"/>
        </w:rPr>
        <w:t> </w:t>
      </w:r>
      <w:r>
        <w:rPr>
          <w:sz w:val="25"/>
          <w:vertAlign w:val="baseline"/>
        </w:rPr>
        <w:t>Nigeria</w:t>
      </w:r>
      <w:r>
        <w:rPr>
          <w:spacing w:val="47"/>
          <w:sz w:val="25"/>
          <w:vertAlign w:val="baseline"/>
        </w:rPr>
        <w:t> </w:t>
      </w:r>
      <w:r>
        <w:rPr>
          <w:sz w:val="25"/>
          <w:vertAlign w:val="baseline"/>
        </w:rPr>
        <w:t>Social</w:t>
      </w:r>
      <w:r>
        <w:rPr>
          <w:spacing w:val="49"/>
          <w:sz w:val="25"/>
          <w:vertAlign w:val="baseline"/>
        </w:rPr>
        <w:t> </w:t>
      </w:r>
      <w:r>
        <w:rPr>
          <w:sz w:val="25"/>
          <w:vertAlign w:val="baseline"/>
        </w:rPr>
        <w:t>Insurance</w:t>
      </w:r>
      <w:r>
        <w:rPr>
          <w:spacing w:val="47"/>
          <w:sz w:val="25"/>
          <w:vertAlign w:val="baseline"/>
        </w:rPr>
        <w:t> </w:t>
      </w:r>
      <w:r>
        <w:rPr>
          <w:sz w:val="25"/>
          <w:vertAlign w:val="baseline"/>
        </w:rPr>
        <w:t>Trust</w:t>
      </w:r>
      <w:r>
        <w:rPr>
          <w:spacing w:val="47"/>
          <w:sz w:val="25"/>
          <w:vertAlign w:val="baseline"/>
        </w:rPr>
        <w:t> </w:t>
      </w:r>
      <w:r>
        <w:rPr>
          <w:sz w:val="25"/>
          <w:vertAlign w:val="baseline"/>
        </w:rPr>
        <w:t>Fund</w:t>
      </w:r>
      <w:r>
        <w:rPr>
          <w:spacing w:val="55"/>
          <w:sz w:val="25"/>
          <w:vertAlign w:val="baseline"/>
        </w:rPr>
        <w:t> </w:t>
      </w:r>
      <w:r>
        <w:rPr>
          <w:sz w:val="25"/>
          <w:vertAlign w:val="baseline"/>
        </w:rPr>
        <w:t>Management</w:t>
      </w:r>
      <w:r>
        <w:rPr>
          <w:spacing w:val="47"/>
          <w:sz w:val="25"/>
          <w:vertAlign w:val="baseline"/>
        </w:rPr>
        <w:t> </w:t>
      </w:r>
      <w:r>
        <w:rPr>
          <w:sz w:val="25"/>
          <w:vertAlign w:val="baseline"/>
        </w:rPr>
        <w:t>Board</w:t>
      </w:r>
      <w:r>
        <w:rPr>
          <w:spacing w:val="50"/>
          <w:sz w:val="25"/>
          <w:vertAlign w:val="baseline"/>
        </w:rPr>
        <w:t> </w:t>
      </w:r>
      <w:r>
        <w:rPr>
          <w:sz w:val="25"/>
          <w:vertAlign w:val="baseline"/>
        </w:rPr>
        <w:t>which</w:t>
      </w:r>
      <w:r>
        <w:rPr>
          <w:spacing w:val="49"/>
          <w:sz w:val="25"/>
          <w:vertAlign w:val="baseline"/>
        </w:rPr>
        <w:t> </w:t>
      </w:r>
      <w:r>
        <w:rPr>
          <w:spacing w:val="-5"/>
          <w:sz w:val="25"/>
          <w:vertAlign w:val="baseline"/>
        </w:rPr>
        <w:t>is</w:t>
      </w:r>
    </w:p>
    <w:p>
      <w:pPr>
        <w:pStyle w:val="BodyText"/>
        <w:spacing w:before="1"/>
        <w:rPr>
          <w:sz w:val="18"/>
        </w:rPr>
      </w:pPr>
      <w:r>
        <w:rPr/>
        <mc:AlternateContent>
          <mc:Choice Requires="wps">
            <w:drawing>
              <wp:anchor distT="0" distB="0" distL="0" distR="0" allowOverlap="1" layoutInCell="1" locked="0" behindDoc="1" simplePos="0" relativeHeight="487597056">
                <wp:simplePos x="0" y="0"/>
                <wp:positionH relativeFrom="page">
                  <wp:posOffset>1280160</wp:posOffset>
                </wp:positionH>
                <wp:positionV relativeFrom="paragraph">
                  <wp:posOffset>153852</wp:posOffset>
                </wp:positionV>
                <wp:extent cx="1828800" cy="6350"/>
                <wp:effectExtent l="0" t="0" r="0" b="0"/>
                <wp:wrapTopAndBottom/>
                <wp:docPr id="21" name="Graphic 21"/>
                <wp:cNvGraphicFramePr>
                  <a:graphicFrameLocks/>
                </wp:cNvGraphicFramePr>
                <a:graphic>
                  <a:graphicData uri="http://schemas.microsoft.com/office/word/2010/wordprocessingShape">
                    <wps:wsp>
                      <wps:cNvPr id="21" name="Graphic 21"/>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2.114375pt;width:144pt;height:.48pt;mso-position-horizontal-relative:page;mso-position-vertical-relative:paragraph;z-index:-15719424;mso-wrap-distance-left:0;mso-wrap-distance-right:0" id="docshape21" filled="true" fillcolor="#000000" stroked="false">
                <v:fill type="solid"/>
                <w10:wrap type="topAndBottom"/>
              </v:rect>
            </w:pict>
          </mc:Fallback>
        </mc:AlternateContent>
      </w:r>
    </w:p>
    <w:p>
      <w:pPr>
        <w:spacing w:before="101"/>
        <w:ind w:left="335" w:right="0" w:firstLine="0"/>
        <w:jc w:val="left"/>
        <w:rPr>
          <w:rFonts w:ascii="Times New Roman"/>
          <w:sz w:val="20"/>
        </w:rPr>
      </w:pPr>
      <w:r>
        <w:rPr>
          <w:rFonts w:ascii="Times New Roman"/>
          <w:sz w:val="20"/>
          <w:vertAlign w:val="superscript"/>
        </w:rPr>
        <w:t>23</w:t>
      </w:r>
      <w:r>
        <w:rPr>
          <w:rFonts w:ascii="Times New Roman"/>
          <w:spacing w:val="-3"/>
          <w:sz w:val="20"/>
          <w:vertAlign w:val="baseline"/>
        </w:rPr>
        <w:t> </w:t>
      </w:r>
      <w:r>
        <w:rPr>
          <w:rFonts w:ascii="Times New Roman"/>
          <w:sz w:val="20"/>
          <w:vertAlign w:val="baseline"/>
        </w:rPr>
        <w:t>Akintunde,</w:t>
      </w:r>
      <w:r>
        <w:rPr>
          <w:rFonts w:ascii="Times New Roman"/>
          <w:spacing w:val="-7"/>
          <w:sz w:val="20"/>
          <w:vertAlign w:val="baseline"/>
        </w:rPr>
        <w:t> </w:t>
      </w:r>
      <w:r>
        <w:rPr>
          <w:rFonts w:ascii="Times New Roman"/>
          <w:sz w:val="20"/>
          <w:vertAlign w:val="baseline"/>
        </w:rPr>
        <w:t>E.</w:t>
      </w:r>
      <w:r>
        <w:rPr>
          <w:rFonts w:ascii="Times New Roman"/>
          <w:spacing w:val="-6"/>
          <w:sz w:val="20"/>
          <w:vertAlign w:val="baseline"/>
        </w:rPr>
        <w:t> </w:t>
      </w:r>
      <w:r>
        <w:rPr>
          <w:rFonts w:ascii="Times New Roman"/>
          <w:sz w:val="20"/>
          <w:u w:val="single"/>
          <w:vertAlign w:val="baseline"/>
        </w:rPr>
        <w:t>Nigerian</w:t>
      </w:r>
      <w:r>
        <w:rPr>
          <w:rFonts w:ascii="Times New Roman"/>
          <w:spacing w:val="-1"/>
          <w:sz w:val="20"/>
          <w:u w:val="single"/>
          <w:vertAlign w:val="baseline"/>
        </w:rPr>
        <w:t> </w:t>
      </w:r>
      <w:r>
        <w:rPr>
          <w:rFonts w:ascii="Times New Roman"/>
          <w:sz w:val="20"/>
          <w:u w:val="single"/>
          <w:vertAlign w:val="baseline"/>
        </w:rPr>
        <w:t>Labour</w:t>
      </w:r>
      <w:r>
        <w:rPr>
          <w:rFonts w:ascii="Times New Roman"/>
          <w:spacing w:val="-5"/>
          <w:sz w:val="20"/>
          <w:u w:val="single"/>
          <w:vertAlign w:val="baseline"/>
        </w:rPr>
        <w:t> </w:t>
      </w:r>
      <w:r>
        <w:rPr>
          <w:rFonts w:ascii="Times New Roman"/>
          <w:sz w:val="20"/>
          <w:u w:val="single"/>
          <w:vertAlign w:val="baseline"/>
        </w:rPr>
        <w:t>Law,</w:t>
      </w:r>
      <w:r>
        <w:rPr>
          <w:rFonts w:ascii="Times New Roman"/>
          <w:spacing w:val="-2"/>
          <w:sz w:val="20"/>
          <w:vertAlign w:val="baseline"/>
        </w:rPr>
        <w:t> </w:t>
      </w:r>
      <w:r>
        <w:rPr>
          <w:rFonts w:ascii="Times New Roman"/>
          <w:sz w:val="20"/>
          <w:vertAlign w:val="baseline"/>
        </w:rPr>
        <w:t>Ibadan</w:t>
      </w:r>
      <w:r>
        <w:rPr>
          <w:rFonts w:ascii="Times New Roman"/>
          <w:spacing w:val="-5"/>
          <w:sz w:val="20"/>
          <w:vertAlign w:val="baseline"/>
        </w:rPr>
        <w:t> </w:t>
      </w:r>
      <w:r>
        <w:rPr>
          <w:rFonts w:ascii="Times New Roman"/>
          <w:sz w:val="20"/>
          <w:vertAlign w:val="baseline"/>
        </w:rPr>
        <w:t>University</w:t>
      </w:r>
      <w:r>
        <w:rPr>
          <w:rFonts w:ascii="Times New Roman"/>
          <w:spacing w:val="-13"/>
          <w:sz w:val="20"/>
          <w:vertAlign w:val="baseline"/>
        </w:rPr>
        <w:t> </w:t>
      </w:r>
      <w:r>
        <w:rPr>
          <w:rFonts w:ascii="Times New Roman"/>
          <w:sz w:val="20"/>
          <w:vertAlign w:val="baseline"/>
        </w:rPr>
        <w:t>Press,</w:t>
      </w:r>
      <w:r>
        <w:rPr>
          <w:rFonts w:ascii="Times New Roman"/>
          <w:spacing w:val="-2"/>
          <w:sz w:val="20"/>
          <w:vertAlign w:val="baseline"/>
        </w:rPr>
        <w:t> </w:t>
      </w:r>
      <w:r>
        <w:rPr>
          <w:rFonts w:ascii="Times New Roman"/>
          <w:sz w:val="20"/>
          <w:vertAlign w:val="baseline"/>
        </w:rPr>
        <w:t>Ibadan</w:t>
      </w:r>
      <w:r>
        <w:rPr>
          <w:rFonts w:ascii="Times New Roman"/>
          <w:spacing w:val="-4"/>
          <w:sz w:val="20"/>
          <w:vertAlign w:val="baseline"/>
        </w:rPr>
        <w:t> </w:t>
      </w:r>
      <w:r>
        <w:rPr>
          <w:rFonts w:ascii="Times New Roman"/>
          <w:sz w:val="20"/>
          <w:vertAlign w:val="baseline"/>
        </w:rPr>
        <w:t>(1979)</w:t>
      </w:r>
      <w:r>
        <w:rPr>
          <w:rFonts w:ascii="Times New Roman"/>
          <w:spacing w:val="-9"/>
          <w:sz w:val="20"/>
          <w:vertAlign w:val="baseline"/>
        </w:rPr>
        <w:t> </w:t>
      </w:r>
      <w:r>
        <w:rPr>
          <w:rFonts w:ascii="Times New Roman"/>
          <w:spacing w:val="-2"/>
          <w:sz w:val="20"/>
          <w:vertAlign w:val="baseline"/>
        </w:rPr>
        <w:t>p.108</w:t>
      </w:r>
    </w:p>
    <w:p>
      <w:pPr>
        <w:spacing w:after="0"/>
        <w:jc w:val="left"/>
        <w:rPr>
          <w:rFonts w:ascii="Times New Roman"/>
          <w:sz w:val="20"/>
        </w:rPr>
        <w:sectPr>
          <w:pgSz w:w="12240" w:h="15840"/>
          <w:pgMar w:header="0" w:footer="1070" w:top="1360" w:bottom="1260" w:left="1680" w:right="1320"/>
        </w:sectPr>
      </w:pPr>
    </w:p>
    <w:p>
      <w:pPr>
        <w:spacing w:line="480" w:lineRule="auto" w:before="74"/>
        <w:ind w:left="1056" w:right="128" w:firstLine="0"/>
        <w:jc w:val="both"/>
        <w:rPr>
          <w:sz w:val="25"/>
        </w:rPr>
      </w:pPr>
      <w:r>
        <w:rPr>
          <w:sz w:val="25"/>
        </w:rPr>
        <w:t>also studied in this Thesis. One only goes to court by way of further </w:t>
      </w:r>
      <w:r>
        <w:rPr>
          <w:spacing w:val="-2"/>
          <w:sz w:val="25"/>
        </w:rPr>
        <w:t>appeal.</w:t>
      </w:r>
      <w:r>
        <w:rPr>
          <w:spacing w:val="-2"/>
          <w:sz w:val="25"/>
          <w:vertAlign w:val="superscript"/>
        </w:rPr>
        <w:t>24</w:t>
      </w:r>
    </w:p>
    <w:p>
      <w:pPr>
        <w:spacing w:line="480" w:lineRule="auto" w:before="301"/>
        <w:ind w:left="1056" w:right="119" w:firstLine="0"/>
        <w:jc w:val="both"/>
        <w:rPr>
          <w:sz w:val="25"/>
        </w:rPr>
      </w:pPr>
      <w:r>
        <w:rPr>
          <w:sz w:val="25"/>
        </w:rPr>
        <w:t>Another author, Ogunniyi also defined compensation as: “Monetary payment made to on injured workman in respect of injury which he has sustained in the course of the employment. Such compensation may be as agreed by the employer and the workman or as may be approved by the court.</w:t>
      </w:r>
      <w:r>
        <w:rPr>
          <w:sz w:val="25"/>
          <w:vertAlign w:val="superscript"/>
        </w:rPr>
        <w:t>25</w:t>
      </w:r>
      <w:r>
        <w:rPr>
          <w:sz w:val="25"/>
          <w:vertAlign w:val="baseline"/>
        </w:rPr>
        <w:t>” The definition given by this learned author is similar to the one proffered by Emiola and agrees only partly with the present law. Therefore, an</w:t>
      </w:r>
      <w:r>
        <w:rPr>
          <w:spacing w:val="-2"/>
          <w:sz w:val="25"/>
          <w:vertAlign w:val="baseline"/>
        </w:rPr>
        <w:t> </w:t>
      </w:r>
      <w:r>
        <w:rPr>
          <w:sz w:val="25"/>
          <w:vertAlign w:val="baseline"/>
        </w:rPr>
        <w:t>understanding</w:t>
      </w:r>
      <w:r>
        <w:rPr>
          <w:spacing w:val="-1"/>
          <w:sz w:val="25"/>
          <w:vertAlign w:val="baseline"/>
        </w:rPr>
        <w:t> </w:t>
      </w:r>
      <w:r>
        <w:rPr>
          <w:sz w:val="25"/>
          <w:vertAlign w:val="baseline"/>
        </w:rPr>
        <w:t>of the</w:t>
      </w:r>
      <w:r>
        <w:rPr>
          <w:spacing w:val="-3"/>
          <w:sz w:val="25"/>
          <w:vertAlign w:val="baseline"/>
        </w:rPr>
        <w:t> </w:t>
      </w:r>
      <w:r>
        <w:rPr>
          <w:sz w:val="25"/>
          <w:vertAlign w:val="baseline"/>
        </w:rPr>
        <w:t>concept of employees’</w:t>
      </w:r>
      <w:r>
        <w:rPr>
          <w:spacing w:val="-2"/>
          <w:sz w:val="25"/>
          <w:vertAlign w:val="baseline"/>
        </w:rPr>
        <w:t> </w:t>
      </w:r>
      <w:r>
        <w:rPr>
          <w:sz w:val="25"/>
          <w:vertAlign w:val="baseline"/>
        </w:rPr>
        <w:t>compensation under the present legal regime is imperative.</w:t>
      </w:r>
    </w:p>
    <w:p>
      <w:pPr>
        <w:pStyle w:val="BodyText"/>
        <w:spacing w:before="1"/>
        <w:rPr>
          <w:sz w:val="25"/>
        </w:rPr>
      </w:pPr>
    </w:p>
    <w:p>
      <w:pPr>
        <w:spacing w:before="0"/>
        <w:ind w:left="1056" w:right="0" w:firstLine="0"/>
        <w:jc w:val="both"/>
        <w:rPr>
          <w:sz w:val="25"/>
        </w:rPr>
      </w:pPr>
      <w:r>
        <w:rPr>
          <w:sz w:val="25"/>
        </w:rPr>
        <w:t>A</w:t>
      </w:r>
      <w:r>
        <w:rPr>
          <w:spacing w:val="73"/>
          <w:sz w:val="25"/>
        </w:rPr>
        <w:t> </w:t>
      </w:r>
      <w:r>
        <w:rPr>
          <w:sz w:val="25"/>
        </w:rPr>
        <w:t>Nigerian</w:t>
      </w:r>
      <w:r>
        <w:rPr>
          <w:spacing w:val="74"/>
          <w:sz w:val="25"/>
        </w:rPr>
        <w:t> </w:t>
      </w:r>
      <w:r>
        <w:rPr>
          <w:sz w:val="25"/>
        </w:rPr>
        <w:t>scholar,</w:t>
      </w:r>
      <w:r>
        <w:rPr>
          <w:spacing w:val="74"/>
          <w:sz w:val="25"/>
        </w:rPr>
        <w:t> </w:t>
      </w:r>
      <w:r>
        <w:rPr>
          <w:sz w:val="25"/>
        </w:rPr>
        <w:t>Uvieghara,</w:t>
      </w:r>
      <w:r>
        <w:rPr>
          <w:spacing w:val="75"/>
          <w:sz w:val="25"/>
        </w:rPr>
        <w:t> </w:t>
      </w:r>
      <w:r>
        <w:rPr>
          <w:sz w:val="25"/>
        </w:rPr>
        <w:t>in</w:t>
      </w:r>
      <w:r>
        <w:rPr>
          <w:spacing w:val="74"/>
          <w:sz w:val="25"/>
        </w:rPr>
        <w:t> </w:t>
      </w:r>
      <w:r>
        <w:rPr>
          <w:sz w:val="25"/>
        </w:rPr>
        <w:t>his</w:t>
      </w:r>
      <w:r>
        <w:rPr>
          <w:spacing w:val="73"/>
          <w:sz w:val="25"/>
        </w:rPr>
        <w:t> </w:t>
      </w:r>
      <w:r>
        <w:rPr>
          <w:sz w:val="25"/>
        </w:rPr>
        <w:t>book</w:t>
      </w:r>
      <w:r>
        <w:rPr>
          <w:spacing w:val="76"/>
          <w:sz w:val="25"/>
        </w:rPr>
        <w:t> </w:t>
      </w:r>
      <w:r>
        <w:rPr>
          <w:sz w:val="25"/>
          <w:u w:val="single"/>
        </w:rPr>
        <w:t>Labour</w:t>
      </w:r>
      <w:r>
        <w:rPr>
          <w:spacing w:val="75"/>
          <w:sz w:val="25"/>
          <w:u w:val="single"/>
        </w:rPr>
        <w:t> </w:t>
      </w:r>
      <w:r>
        <w:rPr>
          <w:sz w:val="25"/>
          <w:u w:val="single"/>
        </w:rPr>
        <w:t>Law</w:t>
      </w:r>
      <w:r>
        <w:rPr>
          <w:spacing w:val="76"/>
          <w:sz w:val="25"/>
          <w:u w:val="single"/>
        </w:rPr>
        <w:t> </w:t>
      </w:r>
      <w:r>
        <w:rPr>
          <w:sz w:val="25"/>
          <w:u w:val="single"/>
        </w:rPr>
        <w:t>in</w:t>
      </w:r>
      <w:r>
        <w:rPr>
          <w:spacing w:val="74"/>
          <w:sz w:val="25"/>
          <w:u w:val="single"/>
        </w:rPr>
        <w:t> </w:t>
      </w:r>
      <w:r>
        <w:rPr>
          <w:spacing w:val="-2"/>
          <w:sz w:val="25"/>
          <w:u w:val="single"/>
        </w:rPr>
        <w:t>Nigeria</w:t>
      </w:r>
      <w:r>
        <w:rPr>
          <w:spacing w:val="-2"/>
          <w:sz w:val="25"/>
          <w:vertAlign w:val="superscript"/>
        </w:rPr>
        <w:t>26</w:t>
      </w:r>
    </w:p>
    <w:p>
      <w:pPr>
        <w:pStyle w:val="BodyText"/>
        <w:spacing w:before="1"/>
        <w:rPr>
          <w:sz w:val="25"/>
        </w:rPr>
      </w:pPr>
    </w:p>
    <w:p>
      <w:pPr>
        <w:spacing w:line="480" w:lineRule="auto" w:before="0"/>
        <w:ind w:left="1056" w:right="122" w:firstLine="0"/>
        <w:jc w:val="both"/>
        <w:rPr>
          <w:sz w:val="25"/>
        </w:rPr>
      </w:pPr>
      <w:r>
        <w:rPr>
          <w:sz w:val="25"/>
        </w:rPr>
        <w:t>explains the concept of compensation payable to employees under the Workmen’s Compensation Act and not as it is under Employees’ Compensation</w:t>
      </w:r>
      <w:r>
        <w:rPr>
          <w:spacing w:val="-2"/>
          <w:sz w:val="25"/>
        </w:rPr>
        <w:t> </w:t>
      </w:r>
      <w:r>
        <w:rPr>
          <w:sz w:val="25"/>
        </w:rPr>
        <w:t>Act,</w:t>
      </w:r>
      <w:r>
        <w:rPr>
          <w:spacing w:val="-1"/>
          <w:sz w:val="25"/>
        </w:rPr>
        <w:t> </w:t>
      </w:r>
      <w:r>
        <w:rPr>
          <w:sz w:val="25"/>
        </w:rPr>
        <w:t>because</w:t>
      </w:r>
      <w:r>
        <w:rPr>
          <w:spacing w:val="-3"/>
          <w:sz w:val="25"/>
        </w:rPr>
        <w:t> </w:t>
      </w:r>
      <w:r>
        <w:rPr>
          <w:sz w:val="25"/>
        </w:rPr>
        <w:t>the</w:t>
      </w:r>
      <w:r>
        <w:rPr>
          <w:spacing w:val="-3"/>
          <w:sz w:val="25"/>
        </w:rPr>
        <w:t> </w:t>
      </w:r>
      <w:r>
        <w:rPr>
          <w:sz w:val="25"/>
        </w:rPr>
        <w:t>latter</w:t>
      </w:r>
      <w:r>
        <w:rPr>
          <w:spacing w:val="-1"/>
          <w:sz w:val="25"/>
        </w:rPr>
        <w:t> </w:t>
      </w:r>
      <w:r>
        <w:rPr>
          <w:sz w:val="25"/>
        </w:rPr>
        <w:t>had</w:t>
      </w:r>
      <w:r>
        <w:rPr>
          <w:spacing w:val="-1"/>
          <w:sz w:val="25"/>
        </w:rPr>
        <w:t> </w:t>
      </w:r>
      <w:r>
        <w:rPr>
          <w:sz w:val="25"/>
        </w:rPr>
        <w:t>not</w:t>
      </w:r>
      <w:r>
        <w:rPr>
          <w:spacing w:val="-4"/>
          <w:sz w:val="25"/>
        </w:rPr>
        <w:t> </w:t>
      </w:r>
      <w:r>
        <w:rPr>
          <w:sz w:val="25"/>
        </w:rPr>
        <w:t>yet</w:t>
      </w:r>
      <w:r>
        <w:rPr>
          <w:spacing w:val="-4"/>
          <w:sz w:val="25"/>
        </w:rPr>
        <w:t> </w:t>
      </w:r>
      <w:r>
        <w:rPr>
          <w:sz w:val="25"/>
        </w:rPr>
        <w:t>repealed</w:t>
      </w:r>
      <w:r>
        <w:rPr>
          <w:spacing w:val="-1"/>
          <w:sz w:val="25"/>
        </w:rPr>
        <w:t> </w:t>
      </w:r>
      <w:r>
        <w:rPr>
          <w:sz w:val="25"/>
        </w:rPr>
        <w:t>the</w:t>
      </w:r>
      <w:r>
        <w:rPr>
          <w:spacing w:val="-3"/>
          <w:sz w:val="25"/>
        </w:rPr>
        <w:t> </w:t>
      </w:r>
      <w:r>
        <w:rPr>
          <w:sz w:val="25"/>
        </w:rPr>
        <w:t>former</w:t>
      </w:r>
      <w:r>
        <w:rPr>
          <w:spacing w:val="-1"/>
          <w:sz w:val="25"/>
        </w:rPr>
        <w:t> </w:t>
      </w:r>
      <w:r>
        <w:rPr>
          <w:sz w:val="25"/>
        </w:rPr>
        <w:t>at the time. The concept of compensation in the author’s work reflects principally, the position of the former law.</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79"/>
        <w:rPr>
          <w:sz w:val="20"/>
        </w:rPr>
      </w:pPr>
      <w:r>
        <w:rPr/>
        <mc:AlternateContent>
          <mc:Choice Requires="wps">
            <w:drawing>
              <wp:anchor distT="0" distB="0" distL="0" distR="0" allowOverlap="1" layoutInCell="1" locked="0" behindDoc="1" simplePos="0" relativeHeight="487597568">
                <wp:simplePos x="0" y="0"/>
                <wp:positionH relativeFrom="page">
                  <wp:posOffset>1280160</wp:posOffset>
                </wp:positionH>
                <wp:positionV relativeFrom="paragraph">
                  <wp:posOffset>282800</wp:posOffset>
                </wp:positionV>
                <wp:extent cx="1828800" cy="6350"/>
                <wp:effectExtent l="0" t="0" r="0" b="0"/>
                <wp:wrapTopAndBottom/>
                <wp:docPr id="22" name="Graphic 22"/>
                <wp:cNvGraphicFramePr>
                  <a:graphicFrameLocks/>
                </wp:cNvGraphicFramePr>
                <a:graphic>
                  <a:graphicData uri="http://schemas.microsoft.com/office/word/2010/wordprocessingShape">
                    <wps:wsp>
                      <wps:cNvPr id="22" name="Graphic 22"/>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22.267735pt;width:144pt;height:.48pt;mso-position-horizontal-relative:page;mso-position-vertical-relative:paragraph;z-index:-15718912;mso-wrap-distance-left:0;mso-wrap-distance-right:0" id="docshape22" filled="true" fillcolor="#000000" stroked="false">
                <v:fill type="solid"/>
                <w10:wrap type="topAndBottom"/>
              </v:rect>
            </w:pict>
          </mc:Fallback>
        </mc:AlternateContent>
      </w:r>
    </w:p>
    <w:p>
      <w:pPr>
        <w:spacing w:before="101"/>
        <w:ind w:left="335" w:right="0" w:firstLine="0"/>
        <w:jc w:val="left"/>
        <w:rPr>
          <w:rFonts w:ascii="Times New Roman" w:hAnsi="Times New Roman"/>
          <w:i/>
          <w:sz w:val="20"/>
        </w:rPr>
      </w:pPr>
      <w:r>
        <w:rPr>
          <w:rFonts w:ascii="Times New Roman" w:hAnsi="Times New Roman"/>
          <w:sz w:val="20"/>
          <w:vertAlign w:val="superscript"/>
        </w:rPr>
        <w:t>24</w:t>
      </w:r>
      <w:r>
        <w:rPr>
          <w:rFonts w:ascii="Times New Roman" w:hAnsi="Times New Roman"/>
          <w:spacing w:val="-1"/>
          <w:sz w:val="20"/>
          <w:vertAlign w:val="baseline"/>
        </w:rPr>
        <w:t> </w:t>
      </w:r>
      <w:r>
        <w:rPr>
          <w:rFonts w:ascii="Times New Roman" w:hAnsi="Times New Roman"/>
          <w:sz w:val="20"/>
          <w:vertAlign w:val="baseline"/>
        </w:rPr>
        <w:t>See</w:t>
      </w:r>
      <w:r>
        <w:rPr>
          <w:rFonts w:ascii="Times New Roman" w:hAnsi="Times New Roman"/>
          <w:spacing w:val="-6"/>
          <w:sz w:val="20"/>
          <w:vertAlign w:val="baseline"/>
        </w:rPr>
        <w:t> </w:t>
      </w:r>
      <w:r>
        <w:rPr>
          <w:rFonts w:ascii="Times New Roman" w:hAnsi="Times New Roman"/>
          <w:sz w:val="20"/>
          <w:vertAlign w:val="baseline"/>
        </w:rPr>
        <w:t>sections</w:t>
      </w:r>
      <w:r>
        <w:rPr>
          <w:rFonts w:ascii="Times New Roman" w:hAnsi="Times New Roman"/>
          <w:spacing w:val="-4"/>
          <w:sz w:val="20"/>
          <w:vertAlign w:val="baseline"/>
        </w:rPr>
        <w:t> </w:t>
      </w:r>
      <w:r>
        <w:rPr>
          <w:rFonts w:ascii="Times New Roman" w:hAnsi="Times New Roman"/>
          <w:sz w:val="20"/>
          <w:vertAlign w:val="baseline"/>
        </w:rPr>
        <w:t>73,</w:t>
      </w:r>
      <w:r>
        <w:rPr>
          <w:rFonts w:ascii="Times New Roman" w:hAnsi="Times New Roman"/>
          <w:spacing w:val="-5"/>
          <w:sz w:val="20"/>
          <w:vertAlign w:val="baseline"/>
        </w:rPr>
        <w:t> </w:t>
      </w:r>
      <w:r>
        <w:rPr>
          <w:rFonts w:ascii="Times New Roman" w:hAnsi="Times New Roman"/>
          <w:sz w:val="20"/>
          <w:vertAlign w:val="baseline"/>
        </w:rPr>
        <w:t>32(d),</w:t>
      </w:r>
      <w:r>
        <w:rPr>
          <w:rFonts w:ascii="Times New Roman" w:hAnsi="Times New Roman"/>
          <w:spacing w:val="-5"/>
          <w:sz w:val="20"/>
          <w:vertAlign w:val="baseline"/>
        </w:rPr>
        <w:t> </w:t>
      </w:r>
      <w:r>
        <w:rPr>
          <w:rFonts w:ascii="Times New Roman" w:hAnsi="Times New Roman"/>
          <w:sz w:val="20"/>
          <w:vertAlign w:val="baseline"/>
        </w:rPr>
        <w:t>and</w:t>
      </w:r>
      <w:r>
        <w:rPr>
          <w:rFonts w:ascii="Times New Roman" w:hAnsi="Times New Roman"/>
          <w:spacing w:val="-3"/>
          <w:sz w:val="20"/>
          <w:vertAlign w:val="baseline"/>
        </w:rPr>
        <w:t> </w:t>
      </w:r>
      <w:r>
        <w:rPr>
          <w:rFonts w:ascii="Times New Roman" w:hAnsi="Times New Roman"/>
          <w:sz w:val="20"/>
          <w:vertAlign w:val="baseline"/>
        </w:rPr>
        <w:t>55</w:t>
      </w:r>
      <w:r>
        <w:rPr>
          <w:rFonts w:ascii="Times New Roman" w:hAnsi="Times New Roman"/>
          <w:spacing w:val="-3"/>
          <w:sz w:val="20"/>
          <w:vertAlign w:val="baseline"/>
        </w:rPr>
        <w:t> </w:t>
      </w:r>
      <w:r>
        <w:rPr>
          <w:rFonts w:ascii="Times New Roman" w:hAnsi="Times New Roman"/>
          <w:sz w:val="20"/>
          <w:vertAlign w:val="baseline"/>
        </w:rPr>
        <w:t>of</w:t>
      </w:r>
      <w:r>
        <w:rPr>
          <w:rFonts w:ascii="Times New Roman" w:hAnsi="Times New Roman"/>
          <w:spacing w:val="-7"/>
          <w:sz w:val="20"/>
          <w:vertAlign w:val="baseline"/>
        </w:rPr>
        <w:t> </w:t>
      </w:r>
      <w:r>
        <w:rPr>
          <w:rFonts w:ascii="Times New Roman" w:hAnsi="Times New Roman"/>
          <w:sz w:val="20"/>
          <w:vertAlign w:val="baseline"/>
        </w:rPr>
        <w:t>Employees’</w:t>
      </w:r>
      <w:r>
        <w:rPr>
          <w:rFonts w:ascii="Times New Roman" w:hAnsi="Times New Roman"/>
          <w:spacing w:val="-3"/>
          <w:sz w:val="20"/>
          <w:vertAlign w:val="baseline"/>
        </w:rPr>
        <w:t> </w:t>
      </w:r>
      <w:r>
        <w:rPr>
          <w:rFonts w:ascii="Times New Roman" w:hAnsi="Times New Roman"/>
          <w:sz w:val="20"/>
          <w:vertAlign w:val="baseline"/>
        </w:rPr>
        <w:t>Compensation</w:t>
      </w:r>
      <w:r>
        <w:rPr>
          <w:rFonts w:ascii="Times New Roman" w:hAnsi="Times New Roman"/>
          <w:spacing w:val="-4"/>
          <w:sz w:val="20"/>
          <w:vertAlign w:val="baseline"/>
        </w:rPr>
        <w:t> </w:t>
      </w:r>
      <w:r>
        <w:rPr>
          <w:rFonts w:ascii="Times New Roman" w:hAnsi="Times New Roman"/>
          <w:sz w:val="20"/>
          <w:vertAlign w:val="baseline"/>
        </w:rPr>
        <w:t>Act </w:t>
      </w:r>
      <w:r>
        <w:rPr>
          <w:rFonts w:ascii="Times New Roman" w:hAnsi="Times New Roman"/>
          <w:i/>
          <w:sz w:val="20"/>
          <w:vertAlign w:val="baseline"/>
        </w:rPr>
        <w:t>op</w:t>
      </w:r>
      <w:r>
        <w:rPr>
          <w:rFonts w:ascii="Times New Roman" w:hAnsi="Times New Roman"/>
          <w:i/>
          <w:spacing w:val="-7"/>
          <w:sz w:val="20"/>
          <w:vertAlign w:val="baseline"/>
        </w:rPr>
        <w:t> </w:t>
      </w:r>
      <w:r>
        <w:rPr>
          <w:rFonts w:ascii="Times New Roman" w:hAnsi="Times New Roman"/>
          <w:i/>
          <w:spacing w:val="-5"/>
          <w:sz w:val="20"/>
          <w:vertAlign w:val="baseline"/>
        </w:rPr>
        <w:t>cit</w:t>
      </w:r>
    </w:p>
    <w:p>
      <w:pPr>
        <w:spacing w:before="0"/>
        <w:ind w:left="335" w:right="0" w:firstLine="0"/>
        <w:jc w:val="left"/>
        <w:rPr>
          <w:rFonts w:ascii="Times New Roman"/>
          <w:i/>
          <w:sz w:val="20"/>
        </w:rPr>
      </w:pPr>
      <w:r>
        <w:rPr>
          <w:rFonts w:ascii="Times New Roman"/>
          <w:sz w:val="20"/>
          <w:vertAlign w:val="superscript"/>
        </w:rPr>
        <w:t>25</w:t>
      </w:r>
      <w:r>
        <w:rPr>
          <w:rFonts w:ascii="Times New Roman"/>
          <w:spacing w:val="-3"/>
          <w:sz w:val="20"/>
          <w:vertAlign w:val="baseline"/>
        </w:rPr>
        <w:t> </w:t>
      </w:r>
      <w:r>
        <w:rPr>
          <w:rFonts w:ascii="Times New Roman"/>
          <w:sz w:val="20"/>
          <w:vertAlign w:val="baseline"/>
        </w:rPr>
        <w:t>Ogunniyi,</w:t>
      </w:r>
      <w:r>
        <w:rPr>
          <w:rFonts w:ascii="Times New Roman"/>
          <w:spacing w:val="-2"/>
          <w:sz w:val="20"/>
          <w:vertAlign w:val="baseline"/>
        </w:rPr>
        <w:t> </w:t>
      </w:r>
      <w:r>
        <w:rPr>
          <w:rFonts w:ascii="Times New Roman"/>
          <w:sz w:val="20"/>
          <w:vertAlign w:val="baseline"/>
        </w:rPr>
        <w:t>O.</w:t>
      </w:r>
      <w:r>
        <w:rPr>
          <w:rFonts w:ascii="Times New Roman"/>
          <w:spacing w:val="-2"/>
          <w:sz w:val="20"/>
          <w:vertAlign w:val="baseline"/>
        </w:rPr>
        <w:t> </w:t>
      </w:r>
      <w:r>
        <w:rPr>
          <w:rFonts w:ascii="Times New Roman"/>
          <w:sz w:val="20"/>
          <w:u w:val="single"/>
          <w:vertAlign w:val="baseline"/>
        </w:rPr>
        <w:t>Nigerian Labour</w:t>
      </w:r>
      <w:r>
        <w:rPr>
          <w:rFonts w:ascii="Times New Roman"/>
          <w:spacing w:val="-5"/>
          <w:sz w:val="20"/>
          <w:u w:val="single"/>
          <w:vertAlign w:val="baseline"/>
        </w:rPr>
        <w:t> </w:t>
      </w:r>
      <w:r>
        <w:rPr>
          <w:rFonts w:ascii="Times New Roman"/>
          <w:sz w:val="20"/>
          <w:u w:val="single"/>
          <w:vertAlign w:val="baseline"/>
        </w:rPr>
        <w:t>Law</w:t>
      </w:r>
      <w:r>
        <w:rPr>
          <w:rFonts w:ascii="Times New Roman"/>
          <w:spacing w:val="-10"/>
          <w:sz w:val="20"/>
          <w:u w:val="single"/>
          <w:vertAlign w:val="baseline"/>
        </w:rPr>
        <w:t> </w:t>
      </w:r>
      <w:r>
        <w:rPr>
          <w:rFonts w:ascii="Times New Roman"/>
          <w:sz w:val="20"/>
          <w:u w:val="single"/>
          <w:vertAlign w:val="baseline"/>
        </w:rPr>
        <w:t>and</w:t>
      </w:r>
      <w:r>
        <w:rPr>
          <w:rFonts w:ascii="Times New Roman"/>
          <w:spacing w:val="-8"/>
          <w:sz w:val="20"/>
          <w:u w:val="single"/>
          <w:vertAlign w:val="baseline"/>
        </w:rPr>
        <w:t> </w:t>
      </w:r>
      <w:r>
        <w:rPr>
          <w:rFonts w:ascii="Times New Roman"/>
          <w:sz w:val="20"/>
          <w:u w:val="single"/>
          <w:vertAlign w:val="baseline"/>
        </w:rPr>
        <w:t>Employment</w:t>
      </w:r>
      <w:r>
        <w:rPr>
          <w:rFonts w:ascii="Times New Roman"/>
          <w:spacing w:val="-3"/>
          <w:sz w:val="20"/>
          <w:u w:val="single"/>
          <w:vertAlign w:val="baseline"/>
        </w:rPr>
        <w:t> </w:t>
      </w:r>
      <w:r>
        <w:rPr>
          <w:rFonts w:ascii="Times New Roman"/>
          <w:sz w:val="20"/>
          <w:u w:val="single"/>
          <w:vertAlign w:val="baseline"/>
        </w:rPr>
        <w:t>Law</w:t>
      </w:r>
      <w:r>
        <w:rPr>
          <w:rFonts w:ascii="Times New Roman"/>
          <w:spacing w:val="-10"/>
          <w:sz w:val="20"/>
          <w:u w:val="single"/>
          <w:vertAlign w:val="baseline"/>
        </w:rPr>
        <w:t> </w:t>
      </w:r>
      <w:r>
        <w:rPr>
          <w:rFonts w:ascii="Times New Roman"/>
          <w:sz w:val="20"/>
          <w:u w:val="single"/>
          <w:vertAlign w:val="baseline"/>
        </w:rPr>
        <w:t>in</w:t>
      </w:r>
      <w:r>
        <w:rPr>
          <w:rFonts w:ascii="Times New Roman"/>
          <w:spacing w:val="-4"/>
          <w:sz w:val="20"/>
          <w:u w:val="single"/>
          <w:vertAlign w:val="baseline"/>
        </w:rPr>
        <w:t> </w:t>
      </w:r>
      <w:r>
        <w:rPr>
          <w:rFonts w:ascii="Times New Roman"/>
          <w:sz w:val="20"/>
          <w:u w:val="single"/>
          <w:vertAlign w:val="baseline"/>
        </w:rPr>
        <w:t>Perspective</w:t>
      </w:r>
      <w:r>
        <w:rPr>
          <w:rFonts w:ascii="Times New Roman"/>
          <w:i/>
          <w:sz w:val="20"/>
          <w:u w:val="single"/>
          <w:vertAlign w:val="baseline"/>
        </w:rPr>
        <w:t>,</w:t>
      </w:r>
      <w:r>
        <w:rPr>
          <w:rFonts w:ascii="Times New Roman"/>
          <w:i/>
          <w:spacing w:val="-2"/>
          <w:sz w:val="20"/>
          <w:u w:val="single"/>
          <w:vertAlign w:val="baseline"/>
        </w:rPr>
        <w:t> </w:t>
      </w:r>
      <w:r>
        <w:rPr>
          <w:rFonts w:ascii="Times New Roman"/>
          <w:i/>
          <w:sz w:val="20"/>
          <w:vertAlign w:val="baseline"/>
        </w:rPr>
        <w:t>op</w:t>
      </w:r>
      <w:r>
        <w:rPr>
          <w:rFonts w:ascii="Times New Roman"/>
          <w:i/>
          <w:spacing w:val="-8"/>
          <w:sz w:val="20"/>
          <w:vertAlign w:val="baseline"/>
        </w:rPr>
        <w:t> </w:t>
      </w:r>
      <w:r>
        <w:rPr>
          <w:rFonts w:ascii="Times New Roman"/>
          <w:i/>
          <w:spacing w:val="-5"/>
          <w:sz w:val="20"/>
          <w:vertAlign w:val="baseline"/>
        </w:rPr>
        <w:t>cit</w:t>
      </w:r>
    </w:p>
    <w:p>
      <w:pPr>
        <w:spacing w:before="1"/>
        <w:ind w:left="335" w:right="0" w:firstLine="0"/>
        <w:jc w:val="left"/>
        <w:rPr>
          <w:rFonts w:ascii="Times New Roman"/>
          <w:i/>
          <w:sz w:val="20"/>
        </w:rPr>
      </w:pPr>
      <w:r>
        <w:rPr>
          <w:rFonts w:ascii="Times New Roman"/>
          <w:sz w:val="20"/>
          <w:vertAlign w:val="superscript"/>
        </w:rPr>
        <w:t>26</w:t>
      </w:r>
      <w:r>
        <w:rPr>
          <w:rFonts w:ascii="Times New Roman"/>
          <w:spacing w:val="-1"/>
          <w:sz w:val="20"/>
          <w:vertAlign w:val="baseline"/>
        </w:rPr>
        <w:t> </w:t>
      </w:r>
      <w:r>
        <w:rPr>
          <w:rFonts w:ascii="Times New Roman"/>
          <w:sz w:val="20"/>
          <w:vertAlign w:val="baseline"/>
        </w:rPr>
        <w:t>Uvieghara,</w:t>
      </w:r>
      <w:r>
        <w:rPr>
          <w:rFonts w:ascii="Times New Roman"/>
          <w:spacing w:val="-5"/>
          <w:sz w:val="20"/>
          <w:vertAlign w:val="baseline"/>
        </w:rPr>
        <w:t> </w:t>
      </w:r>
      <w:r>
        <w:rPr>
          <w:rFonts w:ascii="Times New Roman"/>
          <w:sz w:val="20"/>
          <w:vertAlign w:val="baseline"/>
        </w:rPr>
        <w:t>E.E.</w:t>
      </w:r>
      <w:r>
        <w:rPr>
          <w:rFonts w:ascii="Times New Roman"/>
          <w:spacing w:val="-1"/>
          <w:sz w:val="20"/>
          <w:vertAlign w:val="baseline"/>
        </w:rPr>
        <w:t> </w:t>
      </w:r>
      <w:r>
        <w:rPr>
          <w:rFonts w:ascii="Times New Roman"/>
          <w:sz w:val="20"/>
          <w:u w:val="single"/>
          <w:vertAlign w:val="baseline"/>
        </w:rPr>
        <w:t>Labour</w:t>
      </w:r>
      <w:r>
        <w:rPr>
          <w:rFonts w:ascii="Times New Roman"/>
          <w:spacing w:val="1"/>
          <w:sz w:val="20"/>
          <w:u w:val="single"/>
          <w:vertAlign w:val="baseline"/>
        </w:rPr>
        <w:t> </w:t>
      </w:r>
      <w:r>
        <w:rPr>
          <w:rFonts w:ascii="Times New Roman"/>
          <w:sz w:val="20"/>
          <w:u w:val="single"/>
          <w:vertAlign w:val="baseline"/>
        </w:rPr>
        <w:t>Law</w:t>
      </w:r>
      <w:r>
        <w:rPr>
          <w:rFonts w:ascii="Times New Roman"/>
          <w:spacing w:val="-9"/>
          <w:sz w:val="20"/>
          <w:u w:val="single"/>
          <w:vertAlign w:val="baseline"/>
        </w:rPr>
        <w:t> </w:t>
      </w:r>
      <w:r>
        <w:rPr>
          <w:rFonts w:ascii="Times New Roman"/>
          <w:sz w:val="20"/>
          <w:u w:val="single"/>
          <w:vertAlign w:val="baseline"/>
        </w:rPr>
        <w:t>in</w:t>
      </w:r>
      <w:r>
        <w:rPr>
          <w:rFonts w:ascii="Times New Roman"/>
          <w:spacing w:val="-4"/>
          <w:sz w:val="20"/>
          <w:u w:val="single"/>
          <w:vertAlign w:val="baseline"/>
        </w:rPr>
        <w:t> </w:t>
      </w:r>
      <w:r>
        <w:rPr>
          <w:rFonts w:ascii="Times New Roman"/>
          <w:sz w:val="20"/>
          <w:u w:val="single"/>
          <w:vertAlign w:val="baseline"/>
        </w:rPr>
        <w:t>Nigeria,</w:t>
      </w:r>
      <w:r>
        <w:rPr>
          <w:rFonts w:ascii="Times New Roman"/>
          <w:spacing w:val="-5"/>
          <w:sz w:val="20"/>
          <w:u w:val="single"/>
          <w:vertAlign w:val="baseline"/>
        </w:rPr>
        <w:t> </w:t>
      </w:r>
      <w:r>
        <w:rPr>
          <w:rFonts w:ascii="Times New Roman"/>
          <w:i/>
          <w:sz w:val="20"/>
          <w:u w:val="single"/>
          <w:vertAlign w:val="baseline"/>
        </w:rPr>
        <w:t>op</w:t>
      </w:r>
      <w:r>
        <w:rPr>
          <w:rFonts w:ascii="Times New Roman"/>
          <w:i/>
          <w:spacing w:val="-7"/>
          <w:sz w:val="20"/>
          <w:u w:val="single"/>
          <w:vertAlign w:val="baseline"/>
        </w:rPr>
        <w:t> </w:t>
      </w:r>
      <w:r>
        <w:rPr>
          <w:rFonts w:ascii="Times New Roman"/>
          <w:i/>
          <w:spacing w:val="-5"/>
          <w:sz w:val="20"/>
          <w:u w:val="single"/>
          <w:vertAlign w:val="baseline"/>
        </w:rPr>
        <w:t>cit</w:t>
      </w:r>
    </w:p>
    <w:p>
      <w:pPr>
        <w:spacing w:after="0"/>
        <w:jc w:val="left"/>
        <w:rPr>
          <w:rFonts w:ascii="Times New Roman"/>
          <w:sz w:val="20"/>
        </w:rPr>
        <w:sectPr>
          <w:pgSz w:w="12240" w:h="15840"/>
          <w:pgMar w:header="0" w:footer="1070" w:top="1360" w:bottom="1260" w:left="1680" w:right="1320"/>
        </w:sectPr>
      </w:pPr>
    </w:p>
    <w:p>
      <w:pPr>
        <w:spacing w:before="94"/>
        <w:ind w:left="1056" w:right="0" w:firstLine="0"/>
        <w:jc w:val="left"/>
        <w:rPr>
          <w:sz w:val="25"/>
        </w:rPr>
      </w:pPr>
      <w:r>
        <w:rPr>
          <w:sz w:val="25"/>
        </w:rPr>
        <w:t>Samuel</w:t>
      </w:r>
      <w:r>
        <w:rPr>
          <w:spacing w:val="68"/>
          <w:sz w:val="25"/>
        </w:rPr>
        <w:t> </w:t>
      </w:r>
      <w:r>
        <w:rPr>
          <w:sz w:val="25"/>
        </w:rPr>
        <w:t>in</w:t>
      </w:r>
      <w:r>
        <w:rPr>
          <w:spacing w:val="69"/>
          <w:sz w:val="25"/>
        </w:rPr>
        <w:t> </w:t>
      </w:r>
      <w:r>
        <w:rPr>
          <w:sz w:val="25"/>
        </w:rPr>
        <w:t>his</w:t>
      </w:r>
      <w:r>
        <w:rPr>
          <w:spacing w:val="68"/>
          <w:sz w:val="25"/>
        </w:rPr>
        <w:t> </w:t>
      </w:r>
      <w:r>
        <w:rPr>
          <w:sz w:val="25"/>
        </w:rPr>
        <w:t>book</w:t>
      </w:r>
      <w:r>
        <w:rPr>
          <w:spacing w:val="71"/>
          <w:sz w:val="25"/>
        </w:rPr>
        <w:t> </w:t>
      </w:r>
      <w:r>
        <w:rPr>
          <w:sz w:val="25"/>
          <w:u w:val="single"/>
        </w:rPr>
        <w:t>Industrial</w:t>
      </w:r>
      <w:r>
        <w:rPr>
          <w:spacing w:val="69"/>
          <w:sz w:val="25"/>
          <w:u w:val="single"/>
        </w:rPr>
        <w:t> </w:t>
      </w:r>
      <w:r>
        <w:rPr>
          <w:sz w:val="25"/>
          <w:u w:val="single"/>
        </w:rPr>
        <w:t>Law</w:t>
      </w:r>
      <w:r>
        <w:rPr>
          <w:sz w:val="25"/>
          <w:vertAlign w:val="superscript"/>
        </w:rPr>
        <w:t>27</w:t>
      </w:r>
      <w:r>
        <w:rPr>
          <w:spacing w:val="69"/>
          <w:sz w:val="25"/>
          <w:vertAlign w:val="baseline"/>
        </w:rPr>
        <w:t> </w:t>
      </w:r>
      <w:r>
        <w:rPr>
          <w:sz w:val="25"/>
          <w:vertAlign w:val="baseline"/>
        </w:rPr>
        <w:t>discussed</w:t>
      </w:r>
      <w:r>
        <w:rPr>
          <w:spacing w:val="70"/>
          <w:sz w:val="25"/>
          <w:vertAlign w:val="baseline"/>
        </w:rPr>
        <w:t> </w:t>
      </w:r>
      <w:r>
        <w:rPr>
          <w:sz w:val="25"/>
          <w:vertAlign w:val="baseline"/>
        </w:rPr>
        <w:t>injuries</w:t>
      </w:r>
      <w:r>
        <w:rPr>
          <w:spacing w:val="68"/>
          <w:sz w:val="25"/>
          <w:vertAlign w:val="baseline"/>
        </w:rPr>
        <w:t> </w:t>
      </w:r>
      <w:r>
        <w:rPr>
          <w:sz w:val="25"/>
          <w:vertAlign w:val="baseline"/>
        </w:rPr>
        <w:t>at</w:t>
      </w:r>
      <w:r>
        <w:rPr>
          <w:spacing w:val="67"/>
          <w:sz w:val="25"/>
          <w:vertAlign w:val="baseline"/>
        </w:rPr>
        <w:t> </w:t>
      </w:r>
      <w:r>
        <w:rPr>
          <w:sz w:val="25"/>
          <w:vertAlign w:val="baseline"/>
        </w:rPr>
        <w:t>work</w:t>
      </w:r>
      <w:r>
        <w:rPr>
          <w:spacing w:val="69"/>
          <w:sz w:val="25"/>
          <w:vertAlign w:val="baseline"/>
        </w:rPr>
        <w:t> </w:t>
      </w:r>
      <w:r>
        <w:rPr>
          <w:spacing w:val="-5"/>
          <w:sz w:val="25"/>
          <w:vertAlign w:val="baseline"/>
        </w:rPr>
        <w:t>and</w:t>
      </w:r>
    </w:p>
    <w:p>
      <w:pPr>
        <w:pStyle w:val="BodyText"/>
        <w:spacing w:before="1"/>
        <w:rPr>
          <w:sz w:val="25"/>
        </w:rPr>
      </w:pPr>
    </w:p>
    <w:p>
      <w:pPr>
        <w:spacing w:line="480" w:lineRule="auto" w:before="1"/>
        <w:ind w:left="1056" w:right="118" w:firstLine="0"/>
        <w:jc w:val="both"/>
        <w:rPr>
          <w:sz w:val="25"/>
        </w:rPr>
      </w:pPr>
      <w:r>
        <w:rPr>
          <w:sz w:val="25"/>
        </w:rPr>
        <w:t>especially, claims at common law. The author did not also include in his work, mental stress introduced by the current law in Nigeria. This research explores this area of the law.</w:t>
      </w:r>
    </w:p>
    <w:p>
      <w:pPr>
        <w:spacing w:line="480" w:lineRule="auto" w:before="301"/>
        <w:ind w:left="1056" w:right="118" w:firstLine="0"/>
        <w:jc w:val="both"/>
        <w:rPr>
          <w:sz w:val="25"/>
        </w:rPr>
      </w:pPr>
      <w:r>
        <w:rPr>
          <w:sz w:val="25"/>
        </w:rPr>
        <w:t>Some attributes of the nature of Workers’ Compensation in Australia were given by Sykes in his book </w:t>
      </w:r>
      <w:r>
        <w:rPr>
          <w:sz w:val="25"/>
          <w:u w:val="single"/>
        </w:rPr>
        <w:t>The Employer, Employee and the Law</w:t>
      </w:r>
      <w:r>
        <w:rPr>
          <w:sz w:val="25"/>
          <w:vertAlign w:val="superscript"/>
        </w:rPr>
        <w:t>28</w:t>
      </w:r>
      <w:r>
        <w:rPr>
          <w:sz w:val="25"/>
          <w:vertAlign w:val="baseline"/>
        </w:rPr>
        <w:t> and some of these attributes are shared by our present Nigerian</w:t>
      </w:r>
      <w:r>
        <w:rPr>
          <w:spacing w:val="40"/>
          <w:sz w:val="25"/>
          <w:vertAlign w:val="baseline"/>
        </w:rPr>
        <w:t> </w:t>
      </w:r>
      <w:r>
        <w:rPr>
          <w:sz w:val="25"/>
          <w:vertAlign w:val="baseline"/>
        </w:rPr>
        <w:t>scheme. The author said:</w:t>
      </w:r>
    </w:p>
    <w:p>
      <w:pPr>
        <w:spacing w:line="240" w:lineRule="auto" w:before="0"/>
        <w:ind w:left="1776" w:right="1557" w:firstLine="0"/>
        <w:jc w:val="both"/>
        <w:rPr>
          <w:sz w:val="25"/>
        </w:rPr>
      </w:pPr>
      <w:r>
        <w:rPr>
          <w:sz w:val="25"/>
        </w:rPr>
        <w:t>… here the object is to insure the workman against injuries, showing a certain connection with his employment. The action is not one for unliquidated damage in tort but consists of a claim for a certain amount of weekly wage or for a fixed sum determined</w:t>
      </w:r>
      <w:r>
        <w:rPr>
          <w:spacing w:val="-2"/>
          <w:sz w:val="25"/>
        </w:rPr>
        <w:t> </w:t>
      </w:r>
      <w:r>
        <w:rPr>
          <w:sz w:val="25"/>
        </w:rPr>
        <w:t>by</w:t>
      </w:r>
      <w:r>
        <w:rPr>
          <w:spacing w:val="-3"/>
          <w:sz w:val="25"/>
        </w:rPr>
        <w:t> </w:t>
      </w:r>
      <w:r>
        <w:rPr>
          <w:sz w:val="25"/>
        </w:rPr>
        <w:t>the</w:t>
      </w:r>
      <w:r>
        <w:rPr>
          <w:spacing w:val="-4"/>
          <w:sz w:val="25"/>
        </w:rPr>
        <w:t> </w:t>
      </w:r>
      <w:r>
        <w:rPr>
          <w:sz w:val="25"/>
        </w:rPr>
        <w:t>statute.</w:t>
      </w:r>
      <w:r>
        <w:rPr>
          <w:spacing w:val="-2"/>
          <w:sz w:val="25"/>
        </w:rPr>
        <w:t> </w:t>
      </w:r>
      <w:r>
        <w:rPr>
          <w:sz w:val="25"/>
        </w:rPr>
        <w:t>No</w:t>
      </w:r>
      <w:r>
        <w:rPr>
          <w:spacing w:val="-4"/>
          <w:sz w:val="25"/>
        </w:rPr>
        <w:t> </w:t>
      </w:r>
      <w:r>
        <w:rPr>
          <w:sz w:val="25"/>
        </w:rPr>
        <w:t>negligence</w:t>
      </w:r>
      <w:r>
        <w:rPr>
          <w:spacing w:val="-4"/>
          <w:sz w:val="25"/>
        </w:rPr>
        <w:t> </w:t>
      </w:r>
      <w:r>
        <w:rPr>
          <w:sz w:val="25"/>
        </w:rPr>
        <w:t>on</w:t>
      </w:r>
      <w:r>
        <w:rPr>
          <w:spacing w:val="-3"/>
          <w:sz w:val="25"/>
        </w:rPr>
        <w:t> </w:t>
      </w:r>
      <w:r>
        <w:rPr>
          <w:sz w:val="25"/>
        </w:rPr>
        <w:t>the</w:t>
      </w:r>
      <w:r>
        <w:rPr>
          <w:spacing w:val="-4"/>
          <w:sz w:val="25"/>
        </w:rPr>
        <w:t> </w:t>
      </w:r>
      <w:r>
        <w:rPr>
          <w:sz w:val="25"/>
        </w:rPr>
        <w:t>part of the employer or any other person has to be proved, nor the contributory negligence of the workman operates as a bar or affects the matter in any way, unless he has been guilty of wilful misconduct. In most states, the “injury” or “personal injury by accident (which may include results attributable to disease or in some cases the contracting of disease itself) in order to be compensable may arise either “in the course of the employment” or “out of the employment … It is also usual to provide for the coverage of injury or accident</w:t>
      </w:r>
      <w:r>
        <w:rPr>
          <w:spacing w:val="18"/>
          <w:sz w:val="25"/>
        </w:rPr>
        <w:t> </w:t>
      </w:r>
      <w:r>
        <w:rPr>
          <w:sz w:val="25"/>
        </w:rPr>
        <w:t>occurring</w:t>
      </w:r>
      <w:r>
        <w:rPr>
          <w:spacing w:val="20"/>
          <w:sz w:val="25"/>
        </w:rPr>
        <w:t> </w:t>
      </w:r>
      <w:r>
        <w:rPr>
          <w:sz w:val="25"/>
        </w:rPr>
        <w:t>on</w:t>
      </w:r>
      <w:r>
        <w:rPr>
          <w:spacing w:val="20"/>
          <w:sz w:val="25"/>
        </w:rPr>
        <w:t> </w:t>
      </w:r>
      <w:r>
        <w:rPr>
          <w:sz w:val="25"/>
        </w:rPr>
        <w:t>the</w:t>
      </w:r>
      <w:r>
        <w:rPr>
          <w:spacing w:val="18"/>
          <w:sz w:val="25"/>
        </w:rPr>
        <w:t> </w:t>
      </w:r>
      <w:r>
        <w:rPr>
          <w:sz w:val="25"/>
        </w:rPr>
        <w:t>journey</w:t>
      </w:r>
      <w:r>
        <w:rPr>
          <w:spacing w:val="20"/>
          <w:sz w:val="25"/>
        </w:rPr>
        <w:t> </w:t>
      </w:r>
      <w:r>
        <w:rPr>
          <w:sz w:val="25"/>
        </w:rPr>
        <w:t>to</w:t>
      </w:r>
      <w:r>
        <w:rPr>
          <w:spacing w:val="19"/>
          <w:sz w:val="25"/>
        </w:rPr>
        <w:t> </w:t>
      </w:r>
      <w:r>
        <w:rPr>
          <w:sz w:val="25"/>
        </w:rPr>
        <w:t>and</w:t>
      </w:r>
      <w:r>
        <w:rPr>
          <w:spacing w:val="21"/>
          <w:sz w:val="25"/>
        </w:rPr>
        <w:t> </w:t>
      </w:r>
      <w:r>
        <w:rPr>
          <w:sz w:val="25"/>
        </w:rPr>
        <w:t>from</w:t>
      </w:r>
      <w:r>
        <w:rPr>
          <w:spacing w:val="22"/>
          <w:sz w:val="25"/>
        </w:rPr>
        <w:t> </w:t>
      </w:r>
      <w:r>
        <w:rPr>
          <w:spacing w:val="-4"/>
          <w:sz w:val="25"/>
        </w:rPr>
        <w:t>work</w:t>
      </w:r>
    </w:p>
    <w:p>
      <w:pPr>
        <w:spacing w:line="240" w:lineRule="auto" w:before="0"/>
        <w:ind w:left="1776" w:right="1563" w:firstLine="0"/>
        <w:jc w:val="both"/>
        <w:rPr>
          <w:sz w:val="25"/>
        </w:rPr>
      </w:pPr>
      <w:r>
        <w:rPr>
          <w:sz w:val="25"/>
        </w:rPr>
        <w:t>.... the employer is under an obligation to ensure against the liability …</w:t>
      </w:r>
    </w:p>
    <w:p>
      <w:pPr>
        <w:pStyle w:val="BodyText"/>
        <w:rPr>
          <w:sz w:val="20"/>
        </w:rPr>
      </w:pPr>
    </w:p>
    <w:p>
      <w:pPr>
        <w:pStyle w:val="BodyText"/>
        <w:rPr>
          <w:sz w:val="20"/>
        </w:rPr>
      </w:pPr>
    </w:p>
    <w:p>
      <w:pPr>
        <w:pStyle w:val="BodyText"/>
        <w:spacing w:before="240"/>
        <w:rPr>
          <w:sz w:val="20"/>
        </w:rPr>
      </w:pPr>
      <w:r>
        <w:rPr/>
        <mc:AlternateContent>
          <mc:Choice Requires="wps">
            <w:drawing>
              <wp:anchor distT="0" distB="0" distL="0" distR="0" allowOverlap="1" layoutInCell="1" locked="0" behindDoc="1" simplePos="0" relativeHeight="487598080">
                <wp:simplePos x="0" y="0"/>
                <wp:positionH relativeFrom="page">
                  <wp:posOffset>1280160</wp:posOffset>
                </wp:positionH>
                <wp:positionV relativeFrom="paragraph">
                  <wp:posOffset>321123</wp:posOffset>
                </wp:positionV>
                <wp:extent cx="1828800" cy="6350"/>
                <wp:effectExtent l="0" t="0" r="0" b="0"/>
                <wp:wrapTopAndBottom/>
                <wp:docPr id="23" name="Graphic 23"/>
                <wp:cNvGraphicFramePr>
                  <a:graphicFrameLocks/>
                </wp:cNvGraphicFramePr>
                <a:graphic>
                  <a:graphicData uri="http://schemas.microsoft.com/office/word/2010/wordprocessingShape">
                    <wps:wsp>
                      <wps:cNvPr id="23" name="Graphic 23"/>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25.285313pt;width:144pt;height:.48pt;mso-position-horizontal-relative:page;mso-position-vertical-relative:paragraph;z-index:-15718400;mso-wrap-distance-left:0;mso-wrap-distance-right:0" id="docshape23" filled="true" fillcolor="#000000" stroked="false">
                <v:fill type="solid"/>
                <w10:wrap type="topAndBottom"/>
              </v:rect>
            </w:pict>
          </mc:Fallback>
        </mc:AlternateContent>
      </w:r>
    </w:p>
    <w:p>
      <w:pPr>
        <w:spacing w:before="101"/>
        <w:ind w:left="335" w:right="0" w:firstLine="0"/>
        <w:jc w:val="left"/>
        <w:rPr>
          <w:rFonts w:ascii="Times New Roman" w:hAnsi="Times New Roman"/>
          <w:sz w:val="20"/>
        </w:rPr>
      </w:pPr>
      <w:r>
        <w:rPr>
          <w:rFonts w:ascii="Times New Roman" w:hAnsi="Times New Roman"/>
          <w:sz w:val="20"/>
          <w:vertAlign w:val="superscript"/>
        </w:rPr>
        <w:t>27</w:t>
      </w:r>
      <w:r>
        <w:rPr>
          <w:rFonts w:ascii="Times New Roman" w:hAnsi="Times New Roman"/>
          <w:sz w:val="20"/>
          <w:vertAlign w:val="baseline"/>
        </w:rPr>
        <w:t> Samuel,</w:t>
      </w:r>
      <w:r>
        <w:rPr>
          <w:rFonts w:ascii="Times New Roman" w:hAnsi="Times New Roman"/>
          <w:spacing w:val="-4"/>
          <w:sz w:val="20"/>
          <w:vertAlign w:val="baseline"/>
        </w:rPr>
        <w:t> </w:t>
      </w:r>
      <w:r>
        <w:rPr>
          <w:rFonts w:ascii="Times New Roman" w:hAnsi="Times New Roman"/>
          <w:sz w:val="20"/>
          <w:vertAlign w:val="baseline"/>
        </w:rPr>
        <w:t>H.</w:t>
      </w:r>
      <w:r>
        <w:rPr>
          <w:rFonts w:ascii="Times New Roman" w:hAnsi="Times New Roman"/>
          <w:spacing w:val="1"/>
          <w:sz w:val="20"/>
          <w:vertAlign w:val="baseline"/>
        </w:rPr>
        <w:t> </w:t>
      </w:r>
      <w:r>
        <w:rPr>
          <w:rFonts w:ascii="Times New Roman" w:hAnsi="Times New Roman"/>
          <w:sz w:val="20"/>
          <w:u w:val="single"/>
          <w:vertAlign w:val="baseline"/>
        </w:rPr>
        <w:t>Industrial</w:t>
      </w:r>
      <w:r>
        <w:rPr>
          <w:rFonts w:ascii="Times New Roman" w:hAnsi="Times New Roman"/>
          <w:spacing w:val="-5"/>
          <w:sz w:val="20"/>
          <w:u w:val="single"/>
          <w:vertAlign w:val="baseline"/>
        </w:rPr>
        <w:t> </w:t>
      </w:r>
      <w:r>
        <w:rPr>
          <w:rFonts w:ascii="Times New Roman" w:hAnsi="Times New Roman"/>
          <w:sz w:val="20"/>
          <w:u w:val="single"/>
          <w:vertAlign w:val="baseline"/>
        </w:rPr>
        <w:t>Law</w:t>
      </w:r>
      <w:r>
        <w:rPr>
          <w:rFonts w:ascii="Times New Roman" w:hAnsi="Times New Roman"/>
          <w:spacing w:val="-7"/>
          <w:sz w:val="20"/>
          <w:vertAlign w:val="baseline"/>
        </w:rPr>
        <w:t> </w:t>
      </w:r>
      <w:r>
        <w:rPr>
          <w:rFonts w:ascii="Times New Roman" w:hAnsi="Times New Roman"/>
          <w:sz w:val="20"/>
          <w:vertAlign w:val="baseline"/>
        </w:rPr>
        <w:t>7</w:t>
      </w:r>
      <w:r>
        <w:rPr>
          <w:rFonts w:ascii="Times New Roman" w:hAnsi="Times New Roman"/>
          <w:sz w:val="20"/>
          <w:vertAlign w:val="superscript"/>
        </w:rPr>
        <w:t>th</w:t>
      </w:r>
      <w:r>
        <w:rPr>
          <w:rFonts w:ascii="Times New Roman" w:hAnsi="Times New Roman"/>
          <w:spacing w:val="-9"/>
          <w:sz w:val="20"/>
          <w:vertAlign w:val="baseline"/>
        </w:rPr>
        <w:t> </w:t>
      </w:r>
      <w:r>
        <w:rPr>
          <w:rFonts w:ascii="Times New Roman" w:hAnsi="Times New Roman"/>
          <w:sz w:val="20"/>
          <w:vertAlign w:val="baseline"/>
        </w:rPr>
        <w:t>Edition,</w:t>
      </w:r>
      <w:r>
        <w:rPr>
          <w:rFonts w:ascii="Times New Roman" w:hAnsi="Times New Roman"/>
          <w:spacing w:val="-3"/>
          <w:sz w:val="20"/>
          <w:vertAlign w:val="baseline"/>
        </w:rPr>
        <w:t> </w:t>
      </w:r>
      <w:r>
        <w:rPr>
          <w:rFonts w:ascii="Times New Roman" w:hAnsi="Times New Roman"/>
          <w:sz w:val="20"/>
          <w:vertAlign w:val="baseline"/>
        </w:rPr>
        <w:t>Sir</w:t>
      </w:r>
      <w:r>
        <w:rPr>
          <w:rFonts w:ascii="Times New Roman" w:hAnsi="Times New Roman"/>
          <w:spacing w:val="-2"/>
          <w:sz w:val="20"/>
          <w:vertAlign w:val="baseline"/>
        </w:rPr>
        <w:t> </w:t>
      </w:r>
      <w:r>
        <w:rPr>
          <w:rFonts w:ascii="Times New Roman" w:hAnsi="Times New Roman"/>
          <w:sz w:val="20"/>
          <w:vertAlign w:val="baseline"/>
        </w:rPr>
        <w:t>Isaac</w:t>
      </w:r>
      <w:r>
        <w:rPr>
          <w:rFonts w:ascii="Times New Roman" w:hAnsi="Times New Roman"/>
          <w:spacing w:val="-9"/>
          <w:sz w:val="20"/>
          <w:vertAlign w:val="baseline"/>
        </w:rPr>
        <w:t> </w:t>
      </w:r>
      <w:r>
        <w:rPr>
          <w:rFonts w:ascii="Times New Roman" w:hAnsi="Times New Roman"/>
          <w:sz w:val="20"/>
          <w:vertAlign w:val="baseline"/>
        </w:rPr>
        <w:t>Pitman</w:t>
      </w:r>
      <w:r>
        <w:rPr>
          <w:rFonts w:ascii="Times New Roman" w:hAnsi="Times New Roman"/>
          <w:spacing w:val="-2"/>
          <w:sz w:val="20"/>
          <w:vertAlign w:val="baseline"/>
        </w:rPr>
        <w:t> </w:t>
      </w:r>
      <w:r>
        <w:rPr>
          <w:rFonts w:ascii="Times New Roman" w:hAnsi="Times New Roman"/>
          <w:sz w:val="20"/>
          <w:vertAlign w:val="baseline"/>
        </w:rPr>
        <w:t>&amp;</w:t>
      </w:r>
      <w:r>
        <w:rPr>
          <w:rFonts w:ascii="Times New Roman" w:hAnsi="Times New Roman"/>
          <w:spacing w:val="-5"/>
          <w:sz w:val="20"/>
          <w:vertAlign w:val="baseline"/>
        </w:rPr>
        <w:t> </w:t>
      </w:r>
      <w:r>
        <w:rPr>
          <w:rFonts w:ascii="Times New Roman" w:hAnsi="Times New Roman"/>
          <w:sz w:val="20"/>
          <w:vertAlign w:val="baseline"/>
        </w:rPr>
        <w:t>Sons</w:t>
      </w:r>
      <w:r>
        <w:rPr>
          <w:rFonts w:ascii="Times New Roman" w:hAnsi="Times New Roman"/>
          <w:spacing w:val="-3"/>
          <w:sz w:val="20"/>
          <w:vertAlign w:val="baseline"/>
        </w:rPr>
        <w:t> </w:t>
      </w:r>
      <w:r>
        <w:rPr>
          <w:rFonts w:ascii="Times New Roman" w:hAnsi="Times New Roman"/>
          <w:sz w:val="20"/>
          <w:vertAlign w:val="baseline"/>
        </w:rPr>
        <w:t>Ltd,</w:t>
      </w:r>
      <w:r>
        <w:rPr>
          <w:rFonts w:ascii="Times New Roman" w:hAnsi="Times New Roman"/>
          <w:spacing w:val="-3"/>
          <w:sz w:val="20"/>
          <w:vertAlign w:val="baseline"/>
        </w:rPr>
        <w:t> </w:t>
      </w:r>
      <w:r>
        <w:rPr>
          <w:rFonts w:ascii="Times New Roman" w:hAnsi="Times New Roman"/>
          <w:sz w:val="20"/>
          <w:vertAlign w:val="baseline"/>
        </w:rPr>
        <w:t>London</w:t>
      </w:r>
      <w:r>
        <w:rPr>
          <w:rFonts w:ascii="Times New Roman" w:hAnsi="Times New Roman"/>
          <w:spacing w:val="-2"/>
          <w:sz w:val="20"/>
          <w:vertAlign w:val="baseline"/>
        </w:rPr>
        <w:t> </w:t>
      </w:r>
      <w:r>
        <w:rPr>
          <w:rFonts w:ascii="Times New Roman" w:hAnsi="Times New Roman"/>
          <w:sz w:val="20"/>
          <w:vertAlign w:val="baseline"/>
        </w:rPr>
        <w:t>(1967)</w:t>
      </w:r>
      <w:r>
        <w:rPr>
          <w:rFonts w:ascii="Times New Roman" w:hAnsi="Times New Roman"/>
          <w:spacing w:val="-6"/>
          <w:sz w:val="20"/>
          <w:vertAlign w:val="baseline"/>
        </w:rPr>
        <w:t> </w:t>
      </w:r>
      <w:r>
        <w:rPr>
          <w:rFonts w:ascii="Times New Roman" w:hAnsi="Times New Roman"/>
          <w:sz w:val="20"/>
          <w:vertAlign w:val="baseline"/>
        </w:rPr>
        <w:t>pp.</w:t>
      </w:r>
      <w:r>
        <w:rPr>
          <w:rFonts w:ascii="Times New Roman" w:hAnsi="Times New Roman"/>
          <w:spacing w:val="-4"/>
          <w:sz w:val="20"/>
          <w:vertAlign w:val="baseline"/>
        </w:rPr>
        <w:t> </w:t>
      </w:r>
      <w:r>
        <w:rPr>
          <w:rFonts w:ascii="Times New Roman" w:hAnsi="Times New Roman"/>
          <w:sz w:val="20"/>
          <w:vertAlign w:val="baseline"/>
        </w:rPr>
        <w:t>117 –</w:t>
      </w:r>
      <w:r>
        <w:rPr>
          <w:rFonts w:ascii="Times New Roman" w:hAnsi="Times New Roman"/>
          <w:spacing w:val="-6"/>
          <w:sz w:val="20"/>
          <w:vertAlign w:val="baseline"/>
        </w:rPr>
        <w:t> </w:t>
      </w:r>
      <w:r>
        <w:rPr>
          <w:rFonts w:ascii="Times New Roman" w:hAnsi="Times New Roman"/>
          <w:spacing w:val="-5"/>
          <w:sz w:val="20"/>
          <w:vertAlign w:val="baseline"/>
        </w:rPr>
        <w:t>142</w:t>
      </w:r>
    </w:p>
    <w:p>
      <w:pPr>
        <w:spacing w:before="0"/>
        <w:ind w:left="335" w:right="0" w:firstLine="0"/>
        <w:jc w:val="left"/>
        <w:rPr>
          <w:rFonts w:ascii="Times New Roman"/>
          <w:sz w:val="20"/>
        </w:rPr>
      </w:pPr>
      <w:r>
        <w:rPr>
          <w:rFonts w:ascii="Times New Roman"/>
          <w:sz w:val="20"/>
          <w:vertAlign w:val="superscript"/>
        </w:rPr>
        <w:t>28</w:t>
      </w:r>
      <w:r>
        <w:rPr>
          <w:rFonts w:ascii="Times New Roman"/>
          <w:sz w:val="20"/>
          <w:vertAlign w:val="baseline"/>
        </w:rPr>
        <w:t> Sykes, E.I.</w:t>
      </w:r>
      <w:r>
        <w:rPr>
          <w:rFonts w:ascii="Times New Roman"/>
          <w:spacing w:val="-2"/>
          <w:sz w:val="20"/>
          <w:vertAlign w:val="baseline"/>
        </w:rPr>
        <w:t> </w:t>
      </w:r>
      <w:r>
        <w:rPr>
          <w:rFonts w:ascii="Times New Roman"/>
          <w:sz w:val="20"/>
          <w:u w:val="single"/>
          <w:vertAlign w:val="baseline"/>
        </w:rPr>
        <w:t>The</w:t>
      </w:r>
      <w:r>
        <w:rPr>
          <w:rFonts w:ascii="Times New Roman"/>
          <w:spacing w:val="-7"/>
          <w:sz w:val="20"/>
          <w:u w:val="single"/>
          <w:vertAlign w:val="baseline"/>
        </w:rPr>
        <w:t> </w:t>
      </w:r>
      <w:r>
        <w:rPr>
          <w:rFonts w:ascii="Times New Roman"/>
          <w:sz w:val="20"/>
          <w:u w:val="single"/>
          <w:vertAlign w:val="baseline"/>
        </w:rPr>
        <w:t>Employer,</w:t>
      </w:r>
      <w:r>
        <w:rPr>
          <w:rFonts w:ascii="Times New Roman"/>
          <w:spacing w:val="-2"/>
          <w:sz w:val="20"/>
          <w:u w:val="single"/>
          <w:vertAlign w:val="baseline"/>
        </w:rPr>
        <w:t> </w:t>
      </w:r>
      <w:r>
        <w:rPr>
          <w:rFonts w:ascii="Times New Roman"/>
          <w:sz w:val="20"/>
          <w:u w:val="single"/>
          <w:vertAlign w:val="baseline"/>
        </w:rPr>
        <w:t>the</w:t>
      </w:r>
      <w:r>
        <w:rPr>
          <w:rFonts w:ascii="Times New Roman"/>
          <w:spacing w:val="-7"/>
          <w:sz w:val="20"/>
          <w:u w:val="single"/>
          <w:vertAlign w:val="baseline"/>
        </w:rPr>
        <w:t> </w:t>
      </w:r>
      <w:r>
        <w:rPr>
          <w:rFonts w:ascii="Times New Roman"/>
          <w:sz w:val="20"/>
          <w:u w:val="single"/>
          <w:vertAlign w:val="baseline"/>
        </w:rPr>
        <w:t>Employee</w:t>
      </w:r>
      <w:r>
        <w:rPr>
          <w:rFonts w:ascii="Times New Roman"/>
          <w:spacing w:val="-3"/>
          <w:sz w:val="20"/>
          <w:u w:val="single"/>
          <w:vertAlign w:val="baseline"/>
        </w:rPr>
        <w:t> </w:t>
      </w:r>
      <w:r>
        <w:rPr>
          <w:rFonts w:ascii="Times New Roman"/>
          <w:sz w:val="20"/>
          <w:u w:val="single"/>
          <w:vertAlign w:val="baseline"/>
        </w:rPr>
        <w:t>and</w:t>
      </w:r>
      <w:r>
        <w:rPr>
          <w:rFonts w:ascii="Times New Roman"/>
          <w:spacing w:val="-4"/>
          <w:sz w:val="20"/>
          <w:u w:val="single"/>
          <w:vertAlign w:val="baseline"/>
        </w:rPr>
        <w:t> </w:t>
      </w:r>
      <w:r>
        <w:rPr>
          <w:rFonts w:ascii="Times New Roman"/>
          <w:sz w:val="20"/>
          <w:u w:val="single"/>
          <w:vertAlign w:val="baseline"/>
        </w:rPr>
        <w:t>the</w:t>
      </w:r>
      <w:r>
        <w:rPr>
          <w:rFonts w:ascii="Times New Roman"/>
          <w:spacing w:val="-3"/>
          <w:sz w:val="20"/>
          <w:u w:val="single"/>
          <w:vertAlign w:val="baseline"/>
        </w:rPr>
        <w:t> </w:t>
      </w:r>
      <w:r>
        <w:rPr>
          <w:rFonts w:ascii="Times New Roman"/>
          <w:sz w:val="20"/>
          <w:u w:val="single"/>
          <w:vertAlign w:val="baseline"/>
        </w:rPr>
        <w:t>Law</w:t>
      </w:r>
      <w:r>
        <w:rPr>
          <w:rFonts w:ascii="Times New Roman"/>
          <w:spacing w:val="-6"/>
          <w:sz w:val="20"/>
          <w:vertAlign w:val="baseline"/>
        </w:rPr>
        <w:t> </w:t>
      </w:r>
      <w:r>
        <w:rPr>
          <w:rFonts w:ascii="Times New Roman"/>
          <w:sz w:val="20"/>
          <w:vertAlign w:val="baseline"/>
        </w:rPr>
        <w:t>3</w:t>
      </w:r>
      <w:r>
        <w:rPr>
          <w:rFonts w:ascii="Times New Roman"/>
          <w:sz w:val="20"/>
          <w:vertAlign w:val="superscript"/>
        </w:rPr>
        <w:t>rd</w:t>
      </w:r>
      <w:r>
        <w:rPr>
          <w:rFonts w:ascii="Times New Roman"/>
          <w:spacing w:val="-2"/>
          <w:sz w:val="20"/>
          <w:vertAlign w:val="baseline"/>
        </w:rPr>
        <w:t> </w:t>
      </w:r>
      <w:r>
        <w:rPr>
          <w:rFonts w:ascii="Times New Roman"/>
          <w:sz w:val="20"/>
          <w:vertAlign w:val="baseline"/>
        </w:rPr>
        <w:t>Edition,</w:t>
      </w:r>
      <w:r>
        <w:rPr>
          <w:rFonts w:ascii="Times New Roman"/>
          <w:spacing w:val="-2"/>
          <w:sz w:val="20"/>
          <w:vertAlign w:val="baseline"/>
        </w:rPr>
        <w:t> </w:t>
      </w:r>
      <w:r>
        <w:rPr>
          <w:rFonts w:ascii="Times New Roman"/>
          <w:sz w:val="20"/>
          <w:vertAlign w:val="baseline"/>
        </w:rPr>
        <w:t>the</w:t>
      </w:r>
      <w:r>
        <w:rPr>
          <w:rFonts w:ascii="Times New Roman"/>
          <w:spacing w:val="-3"/>
          <w:sz w:val="20"/>
          <w:vertAlign w:val="baseline"/>
        </w:rPr>
        <w:t> </w:t>
      </w:r>
      <w:r>
        <w:rPr>
          <w:rFonts w:ascii="Times New Roman"/>
          <w:sz w:val="20"/>
          <w:vertAlign w:val="baseline"/>
        </w:rPr>
        <w:t>Law</w:t>
      </w:r>
      <w:r>
        <w:rPr>
          <w:rFonts w:ascii="Times New Roman"/>
          <w:spacing w:val="-6"/>
          <w:sz w:val="20"/>
          <w:vertAlign w:val="baseline"/>
        </w:rPr>
        <w:t> </w:t>
      </w:r>
      <w:r>
        <w:rPr>
          <w:rFonts w:ascii="Times New Roman"/>
          <w:sz w:val="20"/>
          <w:vertAlign w:val="baseline"/>
        </w:rPr>
        <w:t>Book Company</w:t>
      </w:r>
      <w:r>
        <w:rPr>
          <w:rFonts w:ascii="Times New Roman"/>
          <w:spacing w:val="-9"/>
          <w:sz w:val="20"/>
          <w:vertAlign w:val="baseline"/>
        </w:rPr>
        <w:t> </w:t>
      </w:r>
      <w:r>
        <w:rPr>
          <w:rFonts w:ascii="Times New Roman"/>
          <w:sz w:val="20"/>
          <w:vertAlign w:val="baseline"/>
        </w:rPr>
        <w:t>Ltd, Sydney, (1973) p.108</w:t>
      </w:r>
    </w:p>
    <w:p>
      <w:pPr>
        <w:spacing w:after="0"/>
        <w:jc w:val="left"/>
        <w:rPr>
          <w:rFonts w:ascii="Times New Roman"/>
          <w:sz w:val="20"/>
        </w:rPr>
        <w:sectPr>
          <w:pgSz w:w="12240" w:h="15840"/>
          <w:pgMar w:header="0" w:footer="1070" w:top="1340" w:bottom="1260" w:left="1680" w:right="1320"/>
        </w:sectPr>
      </w:pPr>
    </w:p>
    <w:p>
      <w:pPr>
        <w:spacing w:line="480" w:lineRule="auto" w:before="74"/>
        <w:ind w:left="1056" w:right="1560" w:firstLine="0"/>
        <w:jc w:val="both"/>
        <w:rPr>
          <w:sz w:val="25"/>
        </w:rPr>
      </w:pPr>
      <w:r>
        <w:rPr>
          <w:sz w:val="25"/>
        </w:rPr>
        <w:t>The</w:t>
      </w:r>
      <w:r>
        <w:rPr>
          <w:spacing w:val="-4"/>
          <w:sz w:val="25"/>
        </w:rPr>
        <w:t> </w:t>
      </w:r>
      <w:r>
        <w:rPr>
          <w:sz w:val="25"/>
        </w:rPr>
        <w:t>above</w:t>
      </w:r>
      <w:r>
        <w:rPr>
          <w:spacing w:val="-4"/>
          <w:sz w:val="25"/>
        </w:rPr>
        <w:t> </w:t>
      </w:r>
      <w:r>
        <w:rPr>
          <w:sz w:val="25"/>
        </w:rPr>
        <w:t>position</w:t>
      </w:r>
      <w:r>
        <w:rPr>
          <w:spacing w:val="-3"/>
          <w:sz w:val="25"/>
        </w:rPr>
        <w:t> </w:t>
      </w:r>
      <w:r>
        <w:rPr>
          <w:sz w:val="25"/>
        </w:rPr>
        <w:t>though</w:t>
      </w:r>
      <w:r>
        <w:rPr>
          <w:spacing w:val="-3"/>
          <w:sz w:val="25"/>
        </w:rPr>
        <w:t> </w:t>
      </w:r>
      <w:r>
        <w:rPr>
          <w:sz w:val="25"/>
        </w:rPr>
        <w:t>similar</w:t>
      </w:r>
      <w:r>
        <w:rPr>
          <w:spacing w:val="-2"/>
          <w:sz w:val="25"/>
        </w:rPr>
        <w:t> </w:t>
      </w:r>
      <w:r>
        <w:rPr>
          <w:sz w:val="25"/>
        </w:rPr>
        <w:t>to</w:t>
      </w:r>
      <w:r>
        <w:rPr>
          <w:spacing w:val="-4"/>
          <w:sz w:val="25"/>
        </w:rPr>
        <w:t> </w:t>
      </w:r>
      <w:r>
        <w:rPr>
          <w:sz w:val="25"/>
        </w:rPr>
        <w:t>the</w:t>
      </w:r>
      <w:r>
        <w:rPr>
          <w:spacing w:val="-4"/>
          <w:sz w:val="25"/>
        </w:rPr>
        <w:t> </w:t>
      </w:r>
      <w:r>
        <w:rPr>
          <w:sz w:val="25"/>
        </w:rPr>
        <w:t>position</w:t>
      </w:r>
      <w:r>
        <w:rPr>
          <w:spacing w:val="-3"/>
          <w:sz w:val="25"/>
        </w:rPr>
        <w:t> </w:t>
      </w:r>
      <w:r>
        <w:rPr>
          <w:sz w:val="25"/>
        </w:rPr>
        <w:t>in</w:t>
      </w:r>
      <w:r>
        <w:rPr>
          <w:spacing w:val="-3"/>
          <w:sz w:val="25"/>
        </w:rPr>
        <w:t> </w:t>
      </w:r>
      <w:r>
        <w:rPr>
          <w:sz w:val="25"/>
        </w:rPr>
        <w:t>Nigeria, was</w:t>
      </w:r>
      <w:r>
        <w:rPr>
          <w:spacing w:val="-2"/>
          <w:sz w:val="25"/>
        </w:rPr>
        <w:t> </w:t>
      </w:r>
      <w:r>
        <w:rPr>
          <w:sz w:val="25"/>
        </w:rPr>
        <w:t>on</w:t>
      </w:r>
      <w:r>
        <w:rPr>
          <w:spacing w:val="-1"/>
          <w:sz w:val="25"/>
        </w:rPr>
        <w:t> </w:t>
      </w:r>
      <w:r>
        <w:rPr>
          <w:sz w:val="25"/>
        </w:rPr>
        <w:t>Australian</w:t>
      </w:r>
      <w:r>
        <w:rPr>
          <w:spacing w:val="-1"/>
          <w:sz w:val="25"/>
        </w:rPr>
        <w:t> </w:t>
      </w:r>
      <w:r>
        <w:rPr>
          <w:sz w:val="25"/>
        </w:rPr>
        <w:t>jurisdiction</w:t>
      </w:r>
      <w:r>
        <w:rPr>
          <w:spacing w:val="-1"/>
          <w:sz w:val="25"/>
        </w:rPr>
        <w:t> </w:t>
      </w:r>
      <w:r>
        <w:rPr>
          <w:sz w:val="25"/>
        </w:rPr>
        <w:t>hence the</w:t>
      </w:r>
      <w:r>
        <w:rPr>
          <w:spacing w:val="-2"/>
          <w:sz w:val="25"/>
        </w:rPr>
        <w:t> </w:t>
      </w:r>
      <w:r>
        <w:rPr>
          <w:sz w:val="25"/>
        </w:rPr>
        <w:t>need to</w:t>
      </w:r>
      <w:r>
        <w:rPr>
          <w:spacing w:val="-2"/>
          <w:sz w:val="25"/>
        </w:rPr>
        <w:t> </w:t>
      </w:r>
      <w:r>
        <w:rPr>
          <w:sz w:val="25"/>
        </w:rPr>
        <w:t>carry</w:t>
      </w:r>
      <w:r>
        <w:rPr>
          <w:spacing w:val="-1"/>
          <w:sz w:val="25"/>
        </w:rPr>
        <w:t> </w:t>
      </w:r>
      <w:r>
        <w:rPr>
          <w:sz w:val="25"/>
        </w:rPr>
        <w:t>out a comprehensive appraisal of the Act governing the position in Nigeria.</w:t>
      </w:r>
    </w:p>
    <w:p>
      <w:pPr>
        <w:pStyle w:val="BodyText"/>
        <w:spacing w:before="1"/>
        <w:rPr>
          <w:sz w:val="25"/>
        </w:rPr>
      </w:pPr>
    </w:p>
    <w:p>
      <w:pPr>
        <w:spacing w:line="480" w:lineRule="auto" w:before="0"/>
        <w:ind w:left="1056" w:right="125" w:firstLine="0"/>
        <w:jc w:val="both"/>
        <w:rPr>
          <w:sz w:val="25"/>
        </w:rPr>
      </w:pPr>
      <w:r>
        <w:rPr>
          <w:sz w:val="25"/>
        </w:rPr>
        <w:t>Murray while discussing workers’ compensation in the U.S also said</w:t>
      </w:r>
      <w:r>
        <w:rPr>
          <w:spacing w:val="40"/>
          <w:sz w:val="25"/>
        </w:rPr>
        <w:t> </w:t>
      </w:r>
      <w:r>
        <w:rPr>
          <w:sz w:val="25"/>
        </w:rPr>
        <w:t>some things which may be similar to the Nigerian scheme as thus:</w:t>
      </w:r>
    </w:p>
    <w:p>
      <w:pPr>
        <w:spacing w:line="240" w:lineRule="auto" w:before="0"/>
        <w:ind w:left="1776" w:right="1555" w:firstLine="0"/>
        <w:jc w:val="both"/>
        <w:rPr>
          <w:sz w:val="25"/>
        </w:rPr>
      </w:pPr>
      <w:r>
        <w:rPr>
          <w:sz w:val="25"/>
        </w:rPr>
        <w:t>Workers’ compensation is insurance paid by companies to provide benefits to m}ployees who become ill or injured on the job. By this programme, workers are provided with benefits and medical care and employers have the assurance that they will not be sued by the employee. The cost of workers’ compensation benefits is based on the gross payroll and the number and severity of illness and injuries that type of employee experiences … </w:t>
      </w:r>
      <w:r>
        <w:rPr>
          <w:sz w:val="25"/>
          <w:vertAlign w:val="superscript"/>
        </w:rPr>
        <w:t>29</w:t>
      </w:r>
    </w:p>
    <w:p>
      <w:pPr>
        <w:pStyle w:val="BodyText"/>
        <w:rPr>
          <w:sz w:val="25"/>
        </w:rPr>
      </w:pPr>
    </w:p>
    <w:p>
      <w:pPr>
        <w:spacing w:line="480" w:lineRule="auto" w:before="0"/>
        <w:ind w:left="1056" w:right="118" w:firstLine="0"/>
        <w:jc w:val="both"/>
        <w:rPr>
          <w:sz w:val="25"/>
        </w:rPr>
      </w:pPr>
      <w:r>
        <w:rPr>
          <w:sz w:val="25"/>
        </w:rPr>
        <w:t>Under the Nigerian law the body in charge of payment is Nigerian Social Insurance Trust Fund Management Board under section 32 of the Act.</w:t>
      </w:r>
      <w:r>
        <w:rPr>
          <w:sz w:val="25"/>
          <w:vertAlign w:val="superscript"/>
        </w:rPr>
        <w:t>30</w:t>
      </w:r>
      <w:r>
        <w:rPr>
          <w:sz w:val="25"/>
          <w:vertAlign w:val="baseline"/>
        </w:rPr>
        <w:t> Murray’s discourse was on the US jurisdiction while this research is on the Act applicable in Nigeria.</w:t>
      </w:r>
    </w:p>
    <w:p>
      <w:pPr>
        <w:pStyle w:val="BodyText"/>
        <w:spacing w:before="1"/>
        <w:rPr>
          <w:sz w:val="25"/>
        </w:rPr>
      </w:pPr>
    </w:p>
    <w:p>
      <w:pPr>
        <w:spacing w:line="480" w:lineRule="auto" w:before="0"/>
        <w:ind w:left="1056" w:right="120" w:firstLine="0"/>
        <w:jc w:val="both"/>
        <w:rPr>
          <w:sz w:val="25"/>
        </w:rPr>
      </w:pPr>
      <w:r>
        <w:rPr>
          <w:sz w:val="25"/>
        </w:rPr>
        <w:t>Selwyn</w:t>
      </w:r>
      <w:r>
        <w:rPr>
          <w:sz w:val="25"/>
          <w:vertAlign w:val="superscript"/>
        </w:rPr>
        <w:t>31</w:t>
      </w:r>
      <w:r>
        <w:rPr>
          <w:sz w:val="25"/>
          <w:vertAlign w:val="baseline"/>
        </w:rPr>
        <w:t> discussed health and safety at work, in his book. The author’s work as regard injury to employees only covers health and safety at work. This present research has a wider scope as it covers even injuries outside</w:t>
      </w:r>
      <w:r>
        <w:rPr>
          <w:spacing w:val="5"/>
          <w:sz w:val="25"/>
          <w:vertAlign w:val="baseline"/>
        </w:rPr>
        <w:t> </w:t>
      </w:r>
      <w:r>
        <w:rPr>
          <w:sz w:val="25"/>
          <w:vertAlign w:val="baseline"/>
        </w:rPr>
        <w:t>the</w:t>
      </w:r>
      <w:r>
        <w:rPr>
          <w:spacing w:val="5"/>
          <w:sz w:val="25"/>
          <w:vertAlign w:val="baseline"/>
        </w:rPr>
        <w:t> </w:t>
      </w:r>
      <w:r>
        <w:rPr>
          <w:sz w:val="25"/>
          <w:vertAlign w:val="baseline"/>
        </w:rPr>
        <w:t>place</w:t>
      </w:r>
      <w:r>
        <w:rPr>
          <w:spacing w:val="5"/>
          <w:sz w:val="25"/>
          <w:vertAlign w:val="baseline"/>
        </w:rPr>
        <w:t> </w:t>
      </w:r>
      <w:r>
        <w:rPr>
          <w:sz w:val="25"/>
          <w:vertAlign w:val="baseline"/>
        </w:rPr>
        <w:t>of</w:t>
      </w:r>
      <w:r>
        <w:rPr>
          <w:spacing w:val="5"/>
          <w:sz w:val="25"/>
          <w:vertAlign w:val="baseline"/>
        </w:rPr>
        <w:t> </w:t>
      </w:r>
      <w:r>
        <w:rPr>
          <w:sz w:val="25"/>
          <w:vertAlign w:val="baseline"/>
        </w:rPr>
        <w:t>work</w:t>
      </w:r>
      <w:r>
        <w:rPr>
          <w:spacing w:val="2"/>
          <w:sz w:val="25"/>
          <w:vertAlign w:val="baseline"/>
        </w:rPr>
        <w:t> </w:t>
      </w:r>
      <w:r>
        <w:rPr>
          <w:sz w:val="25"/>
          <w:vertAlign w:val="baseline"/>
        </w:rPr>
        <w:t>provided</w:t>
      </w:r>
      <w:r>
        <w:rPr>
          <w:spacing w:val="4"/>
          <w:sz w:val="25"/>
          <w:vertAlign w:val="baseline"/>
        </w:rPr>
        <w:t> </w:t>
      </w:r>
      <w:r>
        <w:rPr>
          <w:sz w:val="25"/>
          <w:vertAlign w:val="baseline"/>
        </w:rPr>
        <w:t>it</w:t>
      </w:r>
      <w:r>
        <w:rPr>
          <w:spacing w:val="4"/>
          <w:sz w:val="25"/>
          <w:vertAlign w:val="baseline"/>
        </w:rPr>
        <w:t> </w:t>
      </w:r>
      <w:r>
        <w:rPr>
          <w:sz w:val="25"/>
          <w:vertAlign w:val="baseline"/>
        </w:rPr>
        <w:t>is</w:t>
      </w:r>
      <w:r>
        <w:rPr>
          <w:spacing w:val="1"/>
          <w:sz w:val="25"/>
          <w:vertAlign w:val="baseline"/>
        </w:rPr>
        <w:t> </w:t>
      </w:r>
      <w:r>
        <w:rPr>
          <w:sz w:val="25"/>
          <w:vertAlign w:val="baseline"/>
        </w:rPr>
        <w:t>job-related.</w:t>
      </w:r>
      <w:r>
        <w:rPr>
          <w:spacing w:val="4"/>
          <w:sz w:val="25"/>
          <w:vertAlign w:val="baseline"/>
        </w:rPr>
        <w:t> </w:t>
      </w:r>
      <w:r>
        <w:rPr>
          <w:sz w:val="25"/>
          <w:vertAlign w:val="baseline"/>
        </w:rPr>
        <w:t>For</w:t>
      </w:r>
      <w:r>
        <w:rPr>
          <w:spacing w:val="3"/>
          <w:sz w:val="25"/>
          <w:vertAlign w:val="baseline"/>
        </w:rPr>
        <w:t> </w:t>
      </w:r>
      <w:r>
        <w:rPr>
          <w:sz w:val="25"/>
          <w:vertAlign w:val="baseline"/>
        </w:rPr>
        <w:t>example</w:t>
      </w:r>
      <w:r>
        <w:rPr>
          <w:spacing w:val="6"/>
          <w:sz w:val="25"/>
          <w:vertAlign w:val="baseline"/>
        </w:rPr>
        <w:t> </w:t>
      </w:r>
      <w:r>
        <w:rPr>
          <w:spacing w:val="-2"/>
          <w:sz w:val="25"/>
          <w:vertAlign w:val="baseline"/>
        </w:rPr>
        <w:t>injuries</w:t>
      </w:r>
    </w:p>
    <w:p>
      <w:pPr>
        <w:pStyle w:val="BodyText"/>
        <w:spacing w:before="10"/>
        <w:rPr>
          <w:sz w:val="4"/>
        </w:rPr>
      </w:pPr>
      <w:r>
        <w:rPr/>
        <mc:AlternateContent>
          <mc:Choice Requires="wps">
            <w:drawing>
              <wp:anchor distT="0" distB="0" distL="0" distR="0" allowOverlap="1" layoutInCell="1" locked="0" behindDoc="1" simplePos="0" relativeHeight="487598592">
                <wp:simplePos x="0" y="0"/>
                <wp:positionH relativeFrom="page">
                  <wp:posOffset>1280160</wp:posOffset>
                </wp:positionH>
                <wp:positionV relativeFrom="paragraph">
                  <wp:posOffset>52379</wp:posOffset>
                </wp:positionV>
                <wp:extent cx="1828800" cy="6350"/>
                <wp:effectExtent l="0" t="0" r="0" b="0"/>
                <wp:wrapTopAndBottom/>
                <wp:docPr id="24" name="Graphic 24"/>
                <wp:cNvGraphicFramePr>
                  <a:graphicFrameLocks/>
                </wp:cNvGraphicFramePr>
                <a:graphic>
                  <a:graphicData uri="http://schemas.microsoft.com/office/word/2010/wordprocessingShape">
                    <wps:wsp>
                      <wps:cNvPr id="24" name="Graphic 24"/>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4.124375pt;width:144pt;height:.48pt;mso-position-horizontal-relative:page;mso-position-vertical-relative:paragraph;z-index:-15717888;mso-wrap-distance-left:0;mso-wrap-distance-right:0" id="docshape24" filled="true" fillcolor="#000000" stroked="false">
                <v:fill type="solid"/>
                <w10:wrap type="topAndBottom"/>
              </v:rect>
            </w:pict>
          </mc:Fallback>
        </mc:AlternateContent>
      </w:r>
    </w:p>
    <w:p>
      <w:pPr>
        <w:spacing w:before="101"/>
        <w:ind w:left="335" w:right="0" w:firstLine="0"/>
        <w:jc w:val="left"/>
        <w:rPr>
          <w:rFonts w:ascii="Times New Roman" w:hAnsi="Times New Roman"/>
          <w:sz w:val="20"/>
        </w:rPr>
      </w:pPr>
      <w:r>
        <w:rPr>
          <w:rFonts w:ascii="Times New Roman" w:hAnsi="Times New Roman"/>
          <w:spacing w:val="-2"/>
          <w:sz w:val="20"/>
          <w:vertAlign w:val="superscript"/>
        </w:rPr>
        <w:t>29</w:t>
      </w:r>
      <w:r>
        <w:rPr>
          <w:rFonts w:ascii="Times New Roman" w:hAnsi="Times New Roman"/>
          <w:spacing w:val="21"/>
          <w:sz w:val="20"/>
          <w:vertAlign w:val="baseline"/>
        </w:rPr>
        <w:t> </w:t>
      </w:r>
      <w:r>
        <w:rPr>
          <w:rFonts w:ascii="Times New Roman" w:hAnsi="Times New Roman"/>
          <w:spacing w:val="-2"/>
          <w:sz w:val="20"/>
          <w:vertAlign w:val="baseline"/>
        </w:rPr>
        <w:t>Murray,</w:t>
      </w:r>
      <w:r>
        <w:rPr>
          <w:rFonts w:ascii="Times New Roman" w:hAnsi="Times New Roman"/>
          <w:spacing w:val="22"/>
          <w:sz w:val="20"/>
          <w:vertAlign w:val="baseline"/>
        </w:rPr>
        <w:t> </w:t>
      </w:r>
      <w:r>
        <w:rPr>
          <w:rFonts w:ascii="Times New Roman" w:hAnsi="Times New Roman"/>
          <w:spacing w:val="-2"/>
          <w:sz w:val="20"/>
          <w:vertAlign w:val="baseline"/>
        </w:rPr>
        <w:t>J.</w:t>
      </w:r>
      <w:r>
        <w:rPr>
          <w:rFonts w:ascii="Times New Roman" w:hAnsi="Times New Roman"/>
          <w:spacing w:val="15"/>
          <w:sz w:val="20"/>
          <w:vertAlign w:val="baseline"/>
        </w:rPr>
        <w:t> </w:t>
      </w:r>
      <w:r>
        <w:rPr>
          <w:rFonts w:ascii="Times New Roman" w:hAnsi="Times New Roman"/>
          <w:spacing w:val="-2"/>
          <w:sz w:val="20"/>
          <w:vertAlign w:val="baseline"/>
        </w:rPr>
        <w:t>“Workers</w:t>
      </w:r>
      <w:r>
        <w:rPr>
          <w:rFonts w:ascii="Times New Roman" w:hAnsi="Times New Roman"/>
          <w:spacing w:val="10"/>
          <w:sz w:val="20"/>
          <w:vertAlign w:val="baseline"/>
        </w:rPr>
        <w:t> </w:t>
      </w:r>
      <w:r>
        <w:rPr>
          <w:rFonts w:ascii="Times New Roman" w:hAnsi="Times New Roman"/>
          <w:spacing w:val="-2"/>
          <w:sz w:val="20"/>
          <w:vertAlign w:val="baseline"/>
        </w:rPr>
        <w:t>Compensation”</w:t>
      </w:r>
      <w:r>
        <w:rPr>
          <w:rFonts w:ascii="Times New Roman" w:hAnsi="Times New Roman"/>
          <w:spacing w:val="14"/>
          <w:sz w:val="20"/>
          <w:vertAlign w:val="baseline"/>
        </w:rPr>
        <w:t> </w:t>
      </w:r>
      <w:r>
        <w:rPr>
          <w:rFonts w:ascii="Times New Roman" w:hAnsi="Times New Roman"/>
          <w:spacing w:val="-2"/>
          <w:sz w:val="20"/>
          <w:vertAlign w:val="baseline"/>
        </w:rPr>
        <w:t>biztaxlawabout.com/od/glossaryw/g/workerscomp.ht.m-3/3/2012</w:t>
      </w:r>
    </w:p>
    <w:p>
      <w:pPr>
        <w:spacing w:before="0"/>
        <w:ind w:left="335" w:right="0" w:firstLine="0"/>
        <w:jc w:val="left"/>
        <w:rPr>
          <w:rFonts w:ascii="Times New Roman" w:hAnsi="Times New Roman"/>
          <w:i/>
          <w:sz w:val="20"/>
        </w:rPr>
      </w:pPr>
      <w:r>
        <w:rPr>
          <w:rFonts w:ascii="Times New Roman" w:hAnsi="Times New Roman"/>
          <w:sz w:val="20"/>
          <w:vertAlign w:val="superscript"/>
        </w:rPr>
        <w:t>30</w:t>
      </w:r>
      <w:r>
        <w:rPr>
          <w:rFonts w:ascii="Times New Roman" w:hAnsi="Times New Roman"/>
          <w:spacing w:val="-3"/>
          <w:sz w:val="20"/>
          <w:vertAlign w:val="baseline"/>
        </w:rPr>
        <w:t> </w:t>
      </w:r>
      <w:r>
        <w:rPr>
          <w:rFonts w:ascii="Times New Roman" w:hAnsi="Times New Roman"/>
          <w:sz w:val="20"/>
          <w:vertAlign w:val="baseline"/>
        </w:rPr>
        <w:t>Employees’</w:t>
      </w:r>
      <w:r>
        <w:rPr>
          <w:rFonts w:ascii="Times New Roman" w:hAnsi="Times New Roman"/>
          <w:spacing w:val="-6"/>
          <w:sz w:val="20"/>
          <w:vertAlign w:val="baseline"/>
        </w:rPr>
        <w:t> </w:t>
      </w:r>
      <w:r>
        <w:rPr>
          <w:rFonts w:ascii="Times New Roman" w:hAnsi="Times New Roman"/>
          <w:sz w:val="20"/>
          <w:vertAlign w:val="baseline"/>
        </w:rPr>
        <w:t>Compensation</w:t>
      </w:r>
      <w:r>
        <w:rPr>
          <w:rFonts w:ascii="Times New Roman" w:hAnsi="Times New Roman"/>
          <w:spacing w:val="-1"/>
          <w:sz w:val="20"/>
          <w:vertAlign w:val="baseline"/>
        </w:rPr>
        <w:t> </w:t>
      </w:r>
      <w:r>
        <w:rPr>
          <w:rFonts w:ascii="Times New Roman" w:hAnsi="Times New Roman"/>
          <w:sz w:val="20"/>
          <w:vertAlign w:val="baseline"/>
        </w:rPr>
        <w:t>Act</w:t>
      </w:r>
      <w:r>
        <w:rPr>
          <w:rFonts w:ascii="Times New Roman" w:hAnsi="Times New Roman"/>
          <w:spacing w:val="-8"/>
          <w:sz w:val="20"/>
          <w:vertAlign w:val="baseline"/>
        </w:rPr>
        <w:t> </w:t>
      </w:r>
      <w:r>
        <w:rPr>
          <w:rFonts w:ascii="Times New Roman" w:hAnsi="Times New Roman"/>
          <w:i/>
          <w:sz w:val="20"/>
          <w:vertAlign w:val="baseline"/>
        </w:rPr>
        <w:t>Op</w:t>
      </w:r>
      <w:r>
        <w:rPr>
          <w:rFonts w:ascii="Times New Roman" w:hAnsi="Times New Roman"/>
          <w:i/>
          <w:spacing w:val="-9"/>
          <w:sz w:val="20"/>
          <w:vertAlign w:val="baseline"/>
        </w:rPr>
        <w:t> </w:t>
      </w:r>
      <w:r>
        <w:rPr>
          <w:rFonts w:ascii="Times New Roman" w:hAnsi="Times New Roman"/>
          <w:i/>
          <w:spacing w:val="-5"/>
          <w:sz w:val="20"/>
          <w:vertAlign w:val="baseline"/>
        </w:rPr>
        <w:t>cit</w:t>
      </w:r>
    </w:p>
    <w:p>
      <w:pPr>
        <w:spacing w:before="1"/>
        <w:ind w:left="335" w:right="0" w:firstLine="0"/>
        <w:jc w:val="left"/>
        <w:rPr>
          <w:rFonts w:ascii="Times New Roman"/>
          <w:sz w:val="20"/>
        </w:rPr>
      </w:pPr>
      <w:r>
        <w:rPr>
          <w:rFonts w:ascii="Times New Roman"/>
          <w:sz w:val="20"/>
          <w:vertAlign w:val="superscript"/>
        </w:rPr>
        <w:t>31</w:t>
      </w:r>
      <w:r>
        <w:rPr>
          <w:rFonts w:ascii="Times New Roman"/>
          <w:spacing w:val="-2"/>
          <w:sz w:val="20"/>
          <w:vertAlign w:val="baseline"/>
        </w:rPr>
        <w:t> </w:t>
      </w:r>
      <w:r>
        <w:rPr>
          <w:rFonts w:ascii="Times New Roman"/>
          <w:sz w:val="20"/>
          <w:vertAlign w:val="baseline"/>
        </w:rPr>
        <w:t>Selwyn,</w:t>
      </w:r>
      <w:r>
        <w:rPr>
          <w:rFonts w:ascii="Times New Roman"/>
          <w:spacing w:val="-2"/>
          <w:sz w:val="20"/>
          <w:vertAlign w:val="baseline"/>
        </w:rPr>
        <w:t> </w:t>
      </w:r>
      <w:r>
        <w:rPr>
          <w:rFonts w:ascii="Times New Roman"/>
          <w:sz w:val="20"/>
          <w:vertAlign w:val="baseline"/>
        </w:rPr>
        <w:t>N.M.</w:t>
      </w:r>
      <w:r>
        <w:rPr>
          <w:rFonts w:ascii="Times New Roman"/>
          <w:spacing w:val="-2"/>
          <w:sz w:val="20"/>
          <w:vertAlign w:val="baseline"/>
        </w:rPr>
        <w:t> </w:t>
      </w:r>
      <w:r>
        <w:rPr>
          <w:rFonts w:ascii="Times New Roman"/>
          <w:sz w:val="20"/>
          <w:u w:val="single"/>
          <w:vertAlign w:val="baseline"/>
        </w:rPr>
        <w:t>Law</w:t>
      </w:r>
      <w:r>
        <w:rPr>
          <w:rFonts w:ascii="Times New Roman"/>
          <w:spacing w:val="-10"/>
          <w:sz w:val="20"/>
          <w:u w:val="single"/>
          <w:vertAlign w:val="baseline"/>
        </w:rPr>
        <w:t> </w:t>
      </w:r>
      <w:r>
        <w:rPr>
          <w:rFonts w:ascii="Times New Roman"/>
          <w:sz w:val="20"/>
          <w:u w:val="single"/>
          <w:vertAlign w:val="baseline"/>
        </w:rPr>
        <w:t>of</w:t>
      </w:r>
      <w:r>
        <w:rPr>
          <w:rFonts w:ascii="Times New Roman"/>
          <w:spacing w:val="-8"/>
          <w:sz w:val="20"/>
          <w:u w:val="single"/>
          <w:vertAlign w:val="baseline"/>
        </w:rPr>
        <w:t> </w:t>
      </w:r>
      <w:r>
        <w:rPr>
          <w:rFonts w:ascii="Times New Roman"/>
          <w:sz w:val="20"/>
          <w:u w:val="single"/>
          <w:vertAlign w:val="baseline"/>
        </w:rPr>
        <w:t>Employment,</w:t>
      </w:r>
      <w:r>
        <w:rPr>
          <w:rFonts w:ascii="Times New Roman"/>
          <w:spacing w:val="-6"/>
          <w:sz w:val="20"/>
          <w:vertAlign w:val="baseline"/>
        </w:rPr>
        <w:t> </w:t>
      </w:r>
      <w:r>
        <w:rPr>
          <w:rFonts w:ascii="Times New Roman"/>
          <w:sz w:val="20"/>
          <w:vertAlign w:val="baseline"/>
        </w:rPr>
        <w:t>2</w:t>
      </w:r>
      <w:r>
        <w:rPr>
          <w:rFonts w:ascii="Times New Roman"/>
          <w:sz w:val="20"/>
          <w:vertAlign w:val="superscript"/>
        </w:rPr>
        <w:t>nd</w:t>
      </w:r>
      <w:r>
        <w:rPr>
          <w:rFonts w:ascii="Times New Roman"/>
          <w:spacing w:val="-6"/>
          <w:sz w:val="20"/>
          <w:vertAlign w:val="baseline"/>
        </w:rPr>
        <w:t> </w:t>
      </w:r>
      <w:r>
        <w:rPr>
          <w:rFonts w:ascii="Times New Roman"/>
          <w:sz w:val="20"/>
          <w:vertAlign w:val="baseline"/>
        </w:rPr>
        <w:t>Edition,</w:t>
      </w:r>
      <w:r>
        <w:rPr>
          <w:rFonts w:ascii="Times New Roman"/>
          <w:spacing w:val="-6"/>
          <w:sz w:val="20"/>
          <w:vertAlign w:val="baseline"/>
        </w:rPr>
        <w:t> </w:t>
      </w:r>
      <w:r>
        <w:rPr>
          <w:rFonts w:ascii="Times New Roman"/>
          <w:sz w:val="20"/>
          <w:vertAlign w:val="baseline"/>
        </w:rPr>
        <w:t>Butterworth</w:t>
      </w:r>
      <w:r>
        <w:rPr>
          <w:rFonts w:ascii="Times New Roman"/>
          <w:spacing w:val="-5"/>
          <w:sz w:val="20"/>
          <w:vertAlign w:val="baseline"/>
        </w:rPr>
        <w:t> </w:t>
      </w:r>
      <w:r>
        <w:rPr>
          <w:rFonts w:ascii="Times New Roman"/>
          <w:sz w:val="20"/>
          <w:vertAlign w:val="baseline"/>
        </w:rPr>
        <w:t>Guilford,</w:t>
      </w:r>
      <w:r>
        <w:rPr>
          <w:rFonts w:ascii="Times New Roman"/>
          <w:spacing w:val="-2"/>
          <w:sz w:val="20"/>
          <w:vertAlign w:val="baseline"/>
        </w:rPr>
        <w:t> </w:t>
      </w:r>
      <w:r>
        <w:rPr>
          <w:rFonts w:ascii="Times New Roman"/>
          <w:sz w:val="20"/>
          <w:vertAlign w:val="baseline"/>
        </w:rPr>
        <w:t>London (1978)</w:t>
      </w:r>
      <w:r>
        <w:rPr>
          <w:rFonts w:ascii="Times New Roman"/>
          <w:spacing w:val="-8"/>
          <w:sz w:val="20"/>
          <w:vertAlign w:val="baseline"/>
        </w:rPr>
        <w:t> </w:t>
      </w:r>
      <w:r>
        <w:rPr>
          <w:rFonts w:ascii="Times New Roman"/>
          <w:sz w:val="20"/>
          <w:vertAlign w:val="baseline"/>
        </w:rPr>
        <w:t>pp.</w:t>
      </w:r>
      <w:r>
        <w:rPr>
          <w:rFonts w:ascii="Times New Roman"/>
          <w:spacing w:val="-2"/>
          <w:sz w:val="20"/>
          <w:vertAlign w:val="baseline"/>
        </w:rPr>
        <w:t> </w:t>
      </w:r>
      <w:r>
        <w:rPr>
          <w:rFonts w:ascii="Times New Roman"/>
          <w:sz w:val="20"/>
          <w:vertAlign w:val="baseline"/>
        </w:rPr>
        <w:t>21,</w:t>
      </w:r>
      <w:r>
        <w:rPr>
          <w:rFonts w:ascii="Times New Roman"/>
          <w:spacing w:val="-6"/>
          <w:sz w:val="20"/>
          <w:vertAlign w:val="baseline"/>
        </w:rPr>
        <w:t> </w:t>
      </w:r>
      <w:r>
        <w:rPr>
          <w:rFonts w:ascii="Times New Roman"/>
          <w:sz w:val="20"/>
          <w:vertAlign w:val="baseline"/>
        </w:rPr>
        <w:t>266</w:t>
      </w:r>
      <w:r>
        <w:rPr>
          <w:rFonts w:ascii="Times New Roman"/>
          <w:spacing w:val="-7"/>
          <w:sz w:val="20"/>
          <w:vertAlign w:val="baseline"/>
        </w:rPr>
        <w:t> </w:t>
      </w:r>
      <w:r>
        <w:rPr>
          <w:rFonts w:ascii="Times New Roman"/>
          <w:sz w:val="20"/>
          <w:vertAlign w:val="baseline"/>
        </w:rPr>
        <w:t>-</w:t>
      </w:r>
      <w:r>
        <w:rPr>
          <w:rFonts w:ascii="Times New Roman"/>
          <w:spacing w:val="-8"/>
          <w:sz w:val="20"/>
          <w:vertAlign w:val="baseline"/>
        </w:rPr>
        <w:t> </w:t>
      </w:r>
      <w:r>
        <w:rPr>
          <w:rFonts w:ascii="Times New Roman"/>
          <w:spacing w:val="-5"/>
          <w:sz w:val="20"/>
          <w:vertAlign w:val="baseline"/>
        </w:rPr>
        <w:t>284</w:t>
      </w:r>
    </w:p>
    <w:p>
      <w:pPr>
        <w:spacing w:after="0"/>
        <w:jc w:val="left"/>
        <w:rPr>
          <w:rFonts w:ascii="Times New Roman"/>
          <w:sz w:val="20"/>
        </w:rPr>
        <w:sectPr>
          <w:pgSz w:w="12240" w:h="15840"/>
          <w:pgMar w:header="0" w:footer="1070" w:top="1360" w:bottom="1260" w:left="1680" w:right="1320"/>
        </w:sectPr>
      </w:pPr>
    </w:p>
    <w:p>
      <w:pPr>
        <w:spacing w:line="480" w:lineRule="auto" w:before="74"/>
        <w:ind w:left="1056" w:right="122" w:firstLine="0"/>
        <w:jc w:val="both"/>
        <w:rPr>
          <w:sz w:val="25"/>
        </w:rPr>
      </w:pPr>
      <w:r>
        <w:rPr>
          <w:sz w:val="25"/>
        </w:rPr>
        <w:t>which may occur while on the way between the place of work to the place where the employee usually receive remuneration or to the employees’</w:t>
      </w:r>
      <w:r>
        <w:rPr>
          <w:spacing w:val="-8"/>
          <w:sz w:val="25"/>
        </w:rPr>
        <w:t> </w:t>
      </w:r>
      <w:r>
        <w:rPr>
          <w:sz w:val="25"/>
        </w:rPr>
        <w:t>primary</w:t>
      </w:r>
      <w:r>
        <w:rPr>
          <w:spacing w:val="-7"/>
          <w:sz w:val="25"/>
        </w:rPr>
        <w:t> </w:t>
      </w:r>
      <w:r>
        <w:rPr>
          <w:sz w:val="25"/>
        </w:rPr>
        <w:t>or</w:t>
      </w:r>
      <w:r>
        <w:rPr>
          <w:spacing w:val="-6"/>
          <w:sz w:val="25"/>
        </w:rPr>
        <w:t> </w:t>
      </w:r>
      <w:r>
        <w:rPr>
          <w:sz w:val="25"/>
        </w:rPr>
        <w:t>secondary</w:t>
      </w:r>
      <w:r>
        <w:rPr>
          <w:spacing w:val="-7"/>
          <w:sz w:val="25"/>
        </w:rPr>
        <w:t> </w:t>
      </w:r>
      <w:r>
        <w:rPr>
          <w:sz w:val="25"/>
        </w:rPr>
        <w:t>residence,</w:t>
      </w:r>
      <w:r>
        <w:rPr>
          <w:spacing w:val="-2"/>
          <w:sz w:val="25"/>
        </w:rPr>
        <w:t> </w:t>
      </w:r>
      <w:r>
        <w:rPr>
          <w:sz w:val="25"/>
        </w:rPr>
        <w:t>are</w:t>
      </w:r>
      <w:r>
        <w:rPr>
          <w:spacing w:val="-9"/>
          <w:sz w:val="25"/>
        </w:rPr>
        <w:t> </w:t>
      </w:r>
      <w:r>
        <w:rPr>
          <w:sz w:val="25"/>
        </w:rPr>
        <w:t>compensable.</w:t>
      </w:r>
      <w:r>
        <w:rPr>
          <w:sz w:val="25"/>
          <w:vertAlign w:val="superscript"/>
        </w:rPr>
        <w:t>32</w:t>
      </w:r>
      <w:r>
        <w:rPr>
          <w:spacing w:val="-8"/>
          <w:sz w:val="25"/>
          <w:vertAlign w:val="baseline"/>
        </w:rPr>
        <w:t> </w:t>
      </w:r>
      <w:r>
        <w:rPr>
          <w:sz w:val="25"/>
          <w:vertAlign w:val="baseline"/>
        </w:rPr>
        <w:t>Selwyn’s work reveals also the flexible nature of the meaning of an employee when he said an employee though easy to define is not easy to describe and that</w:t>
      </w:r>
      <w:r>
        <w:rPr>
          <w:spacing w:val="-3"/>
          <w:sz w:val="25"/>
          <w:vertAlign w:val="baseline"/>
        </w:rPr>
        <w:t> </w:t>
      </w:r>
      <w:r>
        <w:rPr>
          <w:sz w:val="25"/>
          <w:vertAlign w:val="baseline"/>
        </w:rPr>
        <w:t>it</w:t>
      </w:r>
      <w:r>
        <w:rPr>
          <w:spacing w:val="-3"/>
          <w:sz w:val="25"/>
          <w:vertAlign w:val="baseline"/>
        </w:rPr>
        <w:t> </w:t>
      </w:r>
      <w:r>
        <w:rPr>
          <w:sz w:val="25"/>
          <w:vertAlign w:val="baseline"/>
        </w:rPr>
        <w:t>is</w:t>
      </w:r>
      <w:r>
        <w:rPr>
          <w:spacing w:val="-2"/>
          <w:sz w:val="25"/>
          <w:vertAlign w:val="baseline"/>
        </w:rPr>
        <w:t> </w:t>
      </w:r>
      <w:r>
        <w:rPr>
          <w:sz w:val="25"/>
          <w:vertAlign w:val="baseline"/>
        </w:rPr>
        <w:t>possible that a</w:t>
      </w:r>
      <w:r>
        <w:rPr>
          <w:spacing w:val="-2"/>
          <w:sz w:val="25"/>
          <w:vertAlign w:val="baseline"/>
        </w:rPr>
        <w:t> </w:t>
      </w:r>
      <w:r>
        <w:rPr>
          <w:sz w:val="25"/>
          <w:vertAlign w:val="baseline"/>
        </w:rPr>
        <w:t>person</w:t>
      </w:r>
      <w:r>
        <w:rPr>
          <w:spacing w:val="-1"/>
          <w:sz w:val="25"/>
          <w:vertAlign w:val="baseline"/>
        </w:rPr>
        <w:t> </w:t>
      </w:r>
      <w:r>
        <w:rPr>
          <w:sz w:val="25"/>
          <w:vertAlign w:val="baseline"/>
        </w:rPr>
        <w:t>can</w:t>
      </w:r>
      <w:r>
        <w:rPr>
          <w:spacing w:val="-1"/>
          <w:sz w:val="25"/>
          <w:vertAlign w:val="baseline"/>
        </w:rPr>
        <w:t> </w:t>
      </w:r>
      <w:r>
        <w:rPr>
          <w:sz w:val="25"/>
          <w:vertAlign w:val="baseline"/>
        </w:rPr>
        <w:t>be an</w:t>
      </w:r>
      <w:r>
        <w:rPr>
          <w:spacing w:val="-1"/>
          <w:sz w:val="25"/>
          <w:vertAlign w:val="baseline"/>
        </w:rPr>
        <w:t> </w:t>
      </w:r>
      <w:r>
        <w:rPr>
          <w:sz w:val="25"/>
          <w:vertAlign w:val="baseline"/>
        </w:rPr>
        <w:t>employee</w:t>
      </w:r>
      <w:r>
        <w:rPr>
          <w:spacing w:val="-2"/>
          <w:sz w:val="25"/>
          <w:vertAlign w:val="baseline"/>
        </w:rPr>
        <w:t> </w:t>
      </w:r>
      <w:r>
        <w:rPr>
          <w:sz w:val="25"/>
          <w:vertAlign w:val="baseline"/>
        </w:rPr>
        <w:t>for one</w:t>
      </w:r>
      <w:r>
        <w:rPr>
          <w:spacing w:val="-2"/>
          <w:sz w:val="25"/>
          <w:vertAlign w:val="baseline"/>
        </w:rPr>
        <w:t> </w:t>
      </w:r>
      <w:r>
        <w:rPr>
          <w:sz w:val="25"/>
          <w:vertAlign w:val="baseline"/>
        </w:rPr>
        <w:t>purpose but not an employee for another. The statement is true when it comes</w:t>
      </w:r>
      <w:r>
        <w:rPr>
          <w:spacing w:val="40"/>
          <w:sz w:val="25"/>
          <w:vertAlign w:val="baseline"/>
        </w:rPr>
        <w:t> </w:t>
      </w:r>
      <w:r>
        <w:rPr>
          <w:sz w:val="25"/>
          <w:vertAlign w:val="baseline"/>
        </w:rPr>
        <w:t>to defining who is an employee under the Act presently being appraised because when an injury is not related or connected to work, the injured employee will not be treated as an employee for the purpose of </w:t>
      </w:r>
      <w:r>
        <w:rPr>
          <w:spacing w:val="-2"/>
          <w:sz w:val="25"/>
          <w:vertAlign w:val="baseline"/>
        </w:rPr>
        <w:t>compensation.</w:t>
      </w:r>
    </w:p>
    <w:p>
      <w:pPr>
        <w:pStyle w:val="BodyText"/>
        <w:spacing w:before="1"/>
        <w:rPr>
          <w:sz w:val="25"/>
        </w:rPr>
      </w:pPr>
    </w:p>
    <w:p>
      <w:pPr>
        <w:spacing w:line="480" w:lineRule="auto" w:before="0"/>
        <w:ind w:left="1056" w:right="121" w:firstLine="0"/>
        <w:jc w:val="both"/>
        <w:rPr>
          <w:sz w:val="25"/>
        </w:rPr>
      </w:pPr>
      <w:r>
        <w:rPr/>
        <mc:AlternateContent>
          <mc:Choice Requires="wps">
            <w:drawing>
              <wp:anchor distT="0" distB="0" distL="0" distR="0" allowOverlap="1" layoutInCell="1" locked="0" behindDoc="0" simplePos="0" relativeHeight="15740416">
                <wp:simplePos x="0" y="0"/>
                <wp:positionH relativeFrom="page">
                  <wp:posOffset>1737360</wp:posOffset>
                </wp:positionH>
                <wp:positionV relativeFrom="paragraph">
                  <wp:posOffset>555098</wp:posOffset>
                </wp:positionV>
                <wp:extent cx="1777364" cy="9525"/>
                <wp:effectExtent l="0" t="0" r="0" b="0"/>
                <wp:wrapNone/>
                <wp:docPr id="25" name="Graphic 25"/>
                <wp:cNvGraphicFramePr>
                  <a:graphicFrameLocks/>
                </wp:cNvGraphicFramePr>
                <a:graphic>
                  <a:graphicData uri="http://schemas.microsoft.com/office/word/2010/wordprocessingShape">
                    <wps:wsp>
                      <wps:cNvPr id="25" name="Graphic 25"/>
                      <wps:cNvSpPr/>
                      <wps:spPr>
                        <a:xfrm>
                          <a:off x="0" y="0"/>
                          <a:ext cx="1777364" cy="9525"/>
                        </a:xfrm>
                        <a:custGeom>
                          <a:avLst/>
                          <a:gdLst/>
                          <a:ahLst/>
                          <a:cxnLst/>
                          <a:rect l="l" t="t" r="r" b="b"/>
                          <a:pathLst>
                            <a:path w="1777364" h="9525">
                              <a:moveTo>
                                <a:pt x="1776984" y="0"/>
                              </a:moveTo>
                              <a:lnTo>
                                <a:pt x="0" y="0"/>
                              </a:lnTo>
                              <a:lnTo>
                                <a:pt x="0" y="9144"/>
                              </a:lnTo>
                              <a:lnTo>
                                <a:pt x="1776984" y="9144"/>
                              </a:lnTo>
                              <a:lnTo>
                                <a:pt x="177698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36.800003pt;margin-top:43.708515pt;width:139.920pt;height:.72pt;mso-position-horizontal-relative:page;mso-position-vertical-relative:paragraph;z-index:15740416" id="docshape25" filled="true" fillcolor="#000000" stroked="false">
                <v:fill type="solid"/>
                <w10:wrap type="none"/>
              </v:rect>
            </w:pict>
          </mc:Fallback>
        </mc:AlternateContent>
      </w:r>
      <w:r>
        <w:rPr>
          <w:sz w:val="25"/>
        </w:rPr>
        <w:t>Closely related to Selwyn’s work is that of Slade titled </w:t>
      </w:r>
      <w:r>
        <w:rPr>
          <w:sz w:val="25"/>
          <w:u w:val="single"/>
        </w:rPr>
        <w:t>Tolley’s</w:t>
      </w:r>
      <w:r>
        <w:rPr>
          <w:sz w:val="25"/>
        </w:rPr>
        <w:t> Employment Handbook</w:t>
      </w:r>
      <w:r>
        <w:rPr>
          <w:sz w:val="25"/>
          <w:vertAlign w:val="superscript"/>
        </w:rPr>
        <w:t>33</w:t>
      </w:r>
      <w:r>
        <w:rPr>
          <w:sz w:val="25"/>
          <w:vertAlign w:val="baseline"/>
        </w:rPr>
        <w:t> which discusses health and safety at work. Therefore, it is needless to say that this present research is on Employees’</w:t>
      </w:r>
      <w:r>
        <w:rPr>
          <w:spacing w:val="-2"/>
          <w:sz w:val="25"/>
          <w:vertAlign w:val="baseline"/>
        </w:rPr>
        <w:t> </w:t>
      </w:r>
      <w:r>
        <w:rPr>
          <w:sz w:val="25"/>
          <w:vertAlign w:val="baseline"/>
        </w:rPr>
        <w:t>Compensation</w:t>
      </w:r>
      <w:r>
        <w:rPr>
          <w:spacing w:val="-2"/>
          <w:sz w:val="25"/>
          <w:vertAlign w:val="baseline"/>
        </w:rPr>
        <w:t> </w:t>
      </w:r>
      <w:r>
        <w:rPr>
          <w:sz w:val="25"/>
          <w:vertAlign w:val="baseline"/>
        </w:rPr>
        <w:t>Act</w:t>
      </w:r>
      <w:r>
        <w:rPr>
          <w:spacing w:val="-4"/>
          <w:sz w:val="25"/>
          <w:vertAlign w:val="baseline"/>
        </w:rPr>
        <w:t> </w:t>
      </w:r>
      <w:r>
        <w:rPr>
          <w:sz w:val="25"/>
          <w:vertAlign w:val="baseline"/>
        </w:rPr>
        <w:t>in</w:t>
      </w:r>
      <w:r>
        <w:rPr>
          <w:spacing w:val="-7"/>
          <w:sz w:val="25"/>
          <w:vertAlign w:val="baseline"/>
        </w:rPr>
        <w:t> </w:t>
      </w:r>
      <w:r>
        <w:rPr>
          <w:sz w:val="25"/>
          <w:vertAlign w:val="baseline"/>
        </w:rPr>
        <w:t>Nigeria,</w:t>
      </w:r>
      <w:r>
        <w:rPr>
          <w:spacing w:val="-5"/>
          <w:sz w:val="25"/>
          <w:vertAlign w:val="baseline"/>
        </w:rPr>
        <w:t> </w:t>
      </w:r>
      <w:r>
        <w:rPr>
          <w:sz w:val="25"/>
          <w:vertAlign w:val="baseline"/>
        </w:rPr>
        <w:t>being</w:t>
      </w:r>
      <w:r>
        <w:rPr>
          <w:spacing w:val="-5"/>
          <w:sz w:val="25"/>
          <w:vertAlign w:val="baseline"/>
        </w:rPr>
        <w:t> </w:t>
      </w:r>
      <w:r>
        <w:rPr>
          <w:sz w:val="25"/>
          <w:vertAlign w:val="baseline"/>
        </w:rPr>
        <w:t>the</w:t>
      </w:r>
      <w:r>
        <w:rPr>
          <w:spacing w:val="-3"/>
          <w:sz w:val="25"/>
          <w:vertAlign w:val="baseline"/>
        </w:rPr>
        <w:t> </w:t>
      </w:r>
      <w:r>
        <w:rPr>
          <w:sz w:val="25"/>
          <w:vertAlign w:val="baseline"/>
        </w:rPr>
        <w:t>legislation</w:t>
      </w:r>
      <w:r>
        <w:rPr>
          <w:spacing w:val="-7"/>
          <w:sz w:val="25"/>
          <w:vertAlign w:val="baseline"/>
        </w:rPr>
        <w:t> </w:t>
      </w:r>
      <w:r>
        <w:rPr>
          <w:sz w:val="25"/>
          <w:vertAlign w:val="baseline"/>
        </w:rPr>
        <w:t>devoted to compensation for work-related injuries.</w:t>
      </w:r>
    </w:p>
    <w:p>
      <w:pPr>
        <w:spacing w:before="299"/>
        <w:ind w:left="1056" w:right="0" w:firstLine="0"/>
        <w:jc w:val="both"/>
        <w:rPr>
          <w:sz w:val="25"/>
        </w:rPr>
      </w:pPr>
      <w:r>
        <w:rPr/>
        <mc:AlternateContent>
          <mc:Choice Requires="wps">
            <w:drawing>
              <wp:anchor distT="0" distB="0" distL="0" distR="0" allowOverlap="1" layoutInCell="1" locked="0" behindDoc="0" simplePos="0" relativeHeight="15740928">
                <wp:simplePos x="0" y="0"/>
                <wp:positionH relativeFrom="page">
                  <wp:posOffset>4084320</wp:posOffset>
                </wp:positionH>
                <wp:positionV relativeFrom="paragraph">
                  <wp:posOffset>361056</wp:posOffset>
                </wp:positionV>
                <wp:extent cx="1965960" cy="9525"/>
                <wp:effectExtent l="0" t="0" r="0" b="0"/>
                <wp:wrapNone/>
                <wp:docPr id="26" name="Graphic 26"/>
                <wp:cNvGraphicFramePr>
                  <a:graphicFrameLocks/>
                </wp:cNvGraphicFramePr>
                <a:graphic>
                  <a:graphicData uri="http://schemas.microsoft.com/office/word/2010/wordprocessingShape">
                    <wps:wsp>
                      <wps:cNvPr id="26" name="Graphic 26"/>
                      <wps:cNvSpPr/>
                      <wps:spPr>
                        <a:xfrm>
                          <a:off x="0" y="0"/>
                          <a:ext cx="1965960" cy="9525"/>
                        </a:xfrm>
                        <a:custGeom>
                          <a:avLst/>
                          <a:gdLst/>
                          <a:ahLst/>
                          <a:cxnLst/>
                          <a:rect l="l" t="t" r="r" b="b"/>
                          <a:pathLst>
                            <a:path w="1965960" h="9525">
                              <a:moveTo>
                                <a:pt x="1965960" y="0"/>
                              </a:moveTo>
                              <a:lnTo>
                                <a:pt x="0" y="0"/>
                              </a:lnTo>
                              <a:lnTo>
                                <a:pt x="0" y="9143"/>
                              </a:lnTo>
                              <a:lnTo>
                                <a:pt x="1965960" y="9143"/>
                              </a:lnTo>
                              <a:lnTo>
                                <a:pt x="196596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21.600006pt;margin-top:28.429609pt;width:154.8pt;height:.72pt;mso-position-horizontal-relative:page;mso-position-vertical-relative:paragraph;z-index:15740928" id="docshape26" filled="true" fillcolor="#000000" stroked="false">
                <v:fill type="solid"/>
                <w10:wrap type="none"/>
              </v:rect>
            </w:pict>
          </mc:Fallback>
        </mc:AlternateContent>
      </w:r>
      <w:r>
        <w:rPr>
          <w:sz w:val="25"/>
        </w:rPr>
        <w:t>Cooper</w:t>
      </w:r>
      <w:r>
        <w:rPr>
          <w:spacing w:val="27"/>
          <w:sz w:val="25"/>
        </w:rPr>
        <w:t> </w:t>
      </w:r>
      <w:r>
        <w:rPr>
          <w:sz w:val="25"/>
        </w:rPr>
        <w:t>and</w:t>
      </w:r>
      <w:r>
        <w:rPr>
          <w:spacing w:val="22"/>
          <w:sz w:val="25"/>
        </w:rPr>
        <w:t> </w:t>
      </w:r>
      <w:r>
        <w:rPr>
          <w:sz w:val="25"/>
        </w:rPr>
        <w:t>Wood</w:t>
      </w:r>
      <w:r>
        <w:rPr>
          <w:spacing w:val="22"/>
          <w:sz w:val="25"/>
        </w:rPr>
        <w:t> </w:t>
      </w:r>
      <w:r>
        <w:rPr>
          <w:sz w:val="25"/>
        </w:rPr>
        <w:t>in</w:t>
      </w:r>
      <w:r>
        <w:rPr>
          <w:spacing w:val="26"/>
          <w:sz w:val="25"/>
        </w:rPr>
        <w:t> </w:t>
      </w:r>
      <w:r>
        <w:rPr>
          <w:sz w:val="25"/>
        </w:rPr>
        <w:t>their</w:t>
      </w:r>
      <w:r>
        <w:rPr>
          <w:spacing w:val="24"/>
          <w:sz w:val="25"/>
        </w:rPr>
        <w:t> </w:t>
      </w:r>
      <w:r>
        <w:rPr>
          <w:sz w:val="25"/>
        </w:rPr>
        <w:t>book</w:t>
      </w:r>
      <w:r>
        <w:rPr>
          <w:spacing w:val="22"/>
          <w:sz w:val="25"/>
        </w:rPr>
        <w:t> </w:t>
      </w:r>
      <w:r>
        <w:rPr>
          <w:sz w:val="25"/>
        </w:rPr>
        <w:t>Outlines</w:t>
      </w:r>
      <w:r>
        <w:rPr>
          <w:spacing w:val="25"/>
          <w:sz w:val="25"/>
        </w:rPr>
        <w:t> </w:t>
      </w:r>
      <w:r>
        <w:rPr>
          <w:sz w:val="25"/>
        </w:rPr>
        <w:t>of</w:t>
      </w:r>
      <w:r>
        <w:rPr>
          <w:spacing w:val="24"/>
          <w:sz w:val="25"/>
        </w:rPr>
        <w:t> </w:t>
      </w:r>
      <w:r>
        <w:rPr>
          <w:sz w:val="25"/>
        </w:rPr>
        <w:t>Industrial</w:t>
      </w:r>
      <w:r>
        <w:rPr>
          <w:spacing w:val="21"/>
          <w:sz w:val="25"/>
        </w:rPr>
        <w:t> </w:t>
      </w:r>
      <w:r>
        <w:rPr>
          <w:sz w:val="25"/>
        </w:rPr>
        <w:t>Law</w:t>
      </w:r>
      <w:r>
        <w:rPr>
          <w:sz w:val="25"/>
          <w:vertAlign w:val="superscript"/>
        </w:rPr>
        <w:t>34</w:t>
      </w:r>
      <w:r>
        <w:rPr>
          <w:spacing w:val="22"/>
          <w:sz w:val="25"/>
          <w:vertAlign w:val="baseline"/>
        </w:rPr>
        <w:t>  </w:t>
      </w:r>
      <w:r>
        <w:rPr>
          <w:spacing w:val="-2"/>
          <w:sz w:val="25"/>
          <w:vertAlign w:val="baseline"/>
        </w:rPr>
        <w:t>discussed</w:t>
      </w:r>
    </w:p>
    <w:p>
      <w:pPr>
        <w:pStyle w:val="BodyText"/>
        <w:spacing w:before="1"/>
        <w:rPr>
          <w:sz w:val="25"/>
        </w:rPr>
      </w:pPr>
    </w:p>
    <w:p>
      <w:pPr>
        <w:spacing w:before="0"/>
        <w:ind w:left="1056" w:right="0" w:firstLine="0"/>
        <w:jc w:val="left"/>
        <w:rPr>
          <w:sz w:val="25"/>
        </w:rPr>
      </w:pPr>
      <w:r>
        <w:rPr>
          <w:sz w:val="25"/>
        </w:rPr>
        <w:t>National</w:t>
      </w:r>
      <w:r>
        <w:rPr>
          <w:spacing w:val="28"/>
          <w:sz w:val="25"/>
        </w:rPr>
        <w:t> </w:t>
      </w:r>
      <w:r>
        <w:rPr>
          <w:sz w:val="25"/>
        </w:rPr>
        <w:t>Insurance</w:t>
      </w:r>
      <w:r>
        <w:rPr>
          <w:spacing w:val="26"/>
          <w:sz w:val="25"/>
        </w:rPr>
        <w:t> </w:t>
      </w:r>
      <w:r>
        <w:rPr>
          <w:sz w:val="25"/>
        </w:rPr>
        <w:t>Industrial</w:t>
      </w:r>
      <w:r>
        <w:rPr>
          <w:spacing w:val="29"/>
          <w:sz w:val="25"/>
        </w:rPr>
        <w:t> </w:t>
      </w:r>
      <w:r>
        <w:rPr>
          <w:sz w:val="25"/>
        </w:rPr>
        <w:t>Injuries</w:t>
      </w:r>
      <w:r>
        <w:rPr>
          <w:spacing w:val="27"/>
          <w:sz w:val="25"/>
        </w:rPr>
        <w:t> </w:t>
      </w:r>
      <w:r>
        <w:rPr>
          <w:sz w:val="25"/>
        </w:rPr>
        <w:t>Act</w:t>
      </w:r>
      <w:r>
        <w:rPr>
          <w:spacing w:val="30"/>
          <w:sz w:val="25"/>
        </w:rPr>
        <w:t> </w:t>
      </w:r>
      <w:r>
        <w:rPr>
          <w:sz w:val="25"/>
        </w:rPr>
        <w:t>1965</w:t>
      </w:r>
      <w:r>
        <w:rPr>
          <w:spacing w:val="27"/>
          <w:sz w:val="25"/>
        </w:rPr>
        <w:t> </w:t>
      </w:r>
      <w:r>
        <w:rPr>
          <w:sz w:val="25"/>
        </w:rPr>
        <w:t>in</w:t>
      </w:r>
      <w:r>
        <w:rPr>
          <w:spacing w:val="28"/>
          <w:sz w:val="25"/>
        </w:rPr>
        <w:t> </w:t>
      </w:r>
      <w:r>
        <w:rPr>
          <w:sz w:val="25"/>
        </w:rPr>
        <w:t>Britain.</w:t>
      </w:r>
      <w:r>
        <w:rPr>
          <w:spacing w:val="29"/>
          <w:sz w:val="25"/>
        </w:rPr>
        <w:t> </w:t>
      </w:r>
      <w:r>
        <w:rPr>
          <w:sz w:val="25"/>
        </w:rPr>
        <w:t>The</w:t>
      </w:r>
      <w:r>
        <w:rPr>
          <w:spacing w:val="27"/>
          <w:sz w:val="25"/>
        </w:rPr>
        <w:t> </w:t>
      </w:r>
      <w:r>
        <w:rPr>
          <w:spacing w:val="-2"/>
          <w:sz w:val="25"/>
        </w:rPr>
        <w:t>authors’</w:t>
      </w:r>
    </w:p>
    <w:p>
      <w:pPr>
        <w:pStyle w:val="BodyText"/>
        <w:rPr>
          <w:sz w:val="20"/>
        </w:rPr>
      </w:pPr>
    </w:p>
    <w:p>
      <w:pPr>
        <w:pStyle w:val="BodyText"/>
        <w:rPr>
          <w:sz w:val="20"/>
        </w:rPr>
      </w:pPr>
    </w:p>
    <w:p>
      <w:pPr>
        <w:pStyle w:val="BodyText"/>
        <w:spacing w:before="11"/>
        <w:rPr>
          <w:sz w:val="20"/>
        </w:rPr>
      </w:pPr>
      <w:r>
        <w:rPr/>
        <mc:AlternateContent>
          <mc:Choice Requires="wps">
            <w:drawing>
              <wp:anchor distT="0" distB="0" distL="0" distR="0" allowOverlap="1" layoutInCell="1" locked="0" behindDoc="1" simplePos="0" relativeHeight="487599104">
                <wp:simplePos x="0" y="0"/>
                <wp:positionH relativeFrom="page">
                  <wp:posOffset>1280160</wp:posOffset>
                </wp:positionH>
                <wp:positionV relativeFrom="paragraph">
                  <wp:posOffset>176089</wp:posOffset>
                </wp:positionV>
                <wp:extent cx="1828800" cy="6350"/>
                <wp:effectExtent l="0" t="0" r="0" b="0"/>
                <wp:wrapTopAndBottom/>
                <wp:docPr id="27" name="Graphic 27"/>
                <wp:cNvGraphicFramePr>
                  <a:graphicFrameLocks/>
                </wp:cNvGraphicFramePr>
                <a:graphic>
                  <a:graphicData uri="http://schemas.microsoft.com/office/word/2010/wordprocessingShape">
                    <wps:wsp>
                      <wps:cNvPr id="27" name="Graphic 27"/>
                      <wps:cNvSpPr/>
                      <wps:spPr>
                        <a:xfrm>
                          <a:off x="0" y="0"/>
                          <a:ext cx="1828800" cy="6350"/>
                        </a:xfrm>
                        <a:custGeom>
                          <a:avLst/>
                          <a:gdLst/>
                          <a:ahLst/>
                          <a:cxnLst/>
                          <a:rect l="l" t="t" r="r" b="b"/>
                          <a:pathLst>
                            <a:path w="1828800" h="6350">
                              <a:moveTo>
                                <a:pt x="1828800" y="0"/>
                              </a:moveTo>
                              <a:lnTo>
                                <a:pt x="0" y="0"/>
                              </a:lnTo>
                              <a:lnTo>
                                <a:pt x="0" y="6096"/>
                              </a:lnTo>
                              <a:lnTo>
                                <a:pt x="1828800" y="6096"/>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3.865313pt;width:144pt;height:.48pt;mso-position-horizontal-relative:page;mso-position-vertical-relative:paragraph;z-index:-15717376;mso-wrap-distance-left:0;mso-wrap-distance-right:0" id="docshape27" filled="true" fillcolor="#000000" stroked="false">
                <v:fill type="solid"/>
                <w10:wrap type="topAndBottom"/>
              </v:rect>
            </w:pict>
          </mc:Fallback>
        </mc:AlternateContent>
      </w:r>
    </w:p>
    <w:p>
      <w:pPr>
        <w:spacing w:before="101"/>
        <w:ind w:left="335" w:right="0" w:firstLine="0"/>
        <w:jc w:val="left"/>
        <w:rPr>
          <w:rFonts w:ascii="Times New Roman" w:hAnsi="Times New Roman"/>
          <w:i/>
          <w:sz w:val="20"/>
        </w:rPr>
      </w:pPr>
      <w:r>
        <w:rPr>
          <w:rFonts w:ascii="Times New Roman" w:hAnsi="Times New Roman"/>
          <w:sz w:val="20"/>
          <w:vertAlign w:val="superscript"/>
        </w:rPr>
        <w:t>32</w:t>
      </w:r>
      <w:r>
        <w:rPr>
          <w:rFonts w:ascii="Times New Roman" w:hAnsi="Times New Roman"/>
          <w:spacing w:val="-1"/>
          <w:sz w:val="20"/>
          <w:vertAlign w:val="baseline"/>
        </w:rPr>
        <w:t> </w:t>
      </w:r>
      <w:r>
        <w:rPr>
          <w:rFonts w:ascii="Times New Roman" w:hAnsi="Times New Roman"/>
          <w:sz w:val="20"/>
          <w:vertAlign w:val="baseline"/>
        </w:rPr>
        <w:t>See</w:t>
      </w:r>
      <w:r>
        <w:rPr>
          <w:rFonts w:ascii="Times New Roman" w:hAnsi="Times New Roman"/>
          <w:spacing w:val="-7"/>
          <w:sz w:val="20"/>
          <w:vertAlign w:val="baseline"/>
        </w:rPr>
        <w:t> </w:t>
      </w:r>
      <w:r>
        <w:rPr>
          <w:rFonts w:ascii="Times New Roman" w:hAnsi="Times New Roman"/>
          <w:sz w:val="20"/>
          <w:vertAlign w:val="baseline"/>
        </w:rPr>
        <w:t>section</w:t>
      </w:r>
      <w:r>
        <w:rPr>
          <w:rFonts w:ascii="Times New Roman" w:hAnsi="Times New Roman"/>
          <w:spacing w:val="1"/>
          <w:sz w:val="20"/>
          <w:vertAlign w:val="baseline"/>
        </w:rPr>
        <w:t> </w:t>
      </w:r>
      <w:r>
        <w:rPr>
          <w:rFonts w:ascii="Times New Roman" w:hAnsi="Times New Roman"/>
          <w:sz w:val="20"/>
          <w:vertAlign w:val="baseline"/>
        </w:rPr>
        <w:t>7</w:t>
      </w:r>
      <w:r>
        <w:rPr>
          <w:rFonts w:ascii="Times New Roman" w:hAnsi="Times New Roman"/>
          <w:spacing w:val="-3"/>
          <w:sz w:val="20"/>
          <w:vertAlign w:val="baseline"/>
        </w:rPr>
        <w:t> </w:t>
      </w:r>
      <w:r>
        <w:rPr>
          <w:rFonts w:ascii="Times New Roman" w:hAnsi="Times New Roman"/>
          <w:sz w:val="20"/>
          <w:vertAlign w:val="baseline"/>
        </w:rPr>
        <w:t>of</w:t>
      </w:r>
      <w:r>
        <w:rPr>
          <w:rFonts w:ascii="Times New Roman" w:hAnsi="Times New Roman"/>
          <w:spacing w:val="-7"/>
          <w:sz w:val="20"/>
          <w:vertAlign w:val="baseline"/>
        </w:rPr>
        <w:t> </w:t>
      </w:r>
      <w:r>
        <w:rPr>
          <w:rFonts w:ascii="Times New Roman" w:hAnsi="Times New Roman"/>
          <w:sz w:val="20"/>
          <w:vertAlign w:val="baseline"/>
        </w:rPr>
        <w:t>the</w:t>
      </w:r>
      <w:r>
        <w:rPr>
          <w:rFonts w:ascii="Times New Roman" w:hAnsi="Times New Roman"/>
          <w:spacing w:val="-7"/>
          <w:sz w:val="20"/>
          <w:vertAlign w:val="baseline"/>
        </w:rPr>
        <w:t> </w:t>
      </w:r>
      <w:r>
        <w:rPr>
          <w:rFonts w:ascii="Times New Roman" w:hAnsi="Times New Roman"/>
          <w:sz w:val="20"/>
          <w:vertAlign w:val="baseline"/>
        </w:rPr>
        <w:t>Employees’</w:t>
      </w:r>
      <w:r>
        <w:rPr>
          <w:rFonts w:ascii="Times New Roman" w:hAnsi="Times New Roman"/>
          <w:spacing w:val="-3"/>
          <w:sz w:val="20"/>
          <w:vertAlign w:val="baseline"/>
        </w:rPr>
        <w:t> </w:t>
      </w:r>
      <w:r>
        <w:rPr>
          <w:rFonts w:ascii="Times New Roman" w:hAnsi="Times New Roman"/>
          <w:sz w:val="20"/>
          <w:vertAlign w:val="baseline"/>
        </w:rPr>
        <w:t>Compensation</w:t>
      </w:r>
      <w:r>
        <w:rPr>
          <w:rFonts w:ascii="Times New Roman" w:hAnsi="Times New Roman"/>
          <w:spacing w:val="1"/>
          <w:sz w:val="20"/>
          <w:vertAlign w:val="baseline"/>
        </w:rPr>
        <w:t> </w:t>
      </w:r>
      <w:r>
        <w:rPr>
          <w:rFonts w:ascii="Times New Roman" w:hAnsi="Times New Roman"/>
          <w:sz w:val="20"/>
          <w:vertAlign w:val="baseline"/>
        </w:rPr>
        <w:t>Act</w:t>
      </w:r>
      <w:r>
        <w:rPr>
          <w:rFonts w:ascii="Times New Roman" w:hAnsi="Times New Roman"/>
          <w:spacing w:val="-7"/>
          <w:sz w:val="20"/>
          <w:vertAlign w:val="baseline"/>
        </w:rPr>
        <w:t> </w:t>
      </w:r>
      <w:r>
        <w:rPr>
          <w:rFonts w:ascii="Times New Roman" w:hAnsi="Times New Roman"/>
          <w:i/>
          <w:sz w:val="20"/>
          <w:vertAlign w:val="baseline"/>
        </w:rPr>
        <w:t>op</w:t>
      </w:r>
      <w:r>
        <w:rPr>
          <w:rFonts w:ascii="Times New Roman" w:hAnsi="Times New Roman"/>
          <w:i/>
          <w:spacing w:val="-7"/>
          <w:sz w:val="20"/>
          <w:vertAlign w:val="baseline"/>
        </w:rPr>
        <w:t> </w:t>
      </w:r>
      <w:r>
        <w:rPr>
          <w:rFonts w:ascii="Times New Roman" w:hAnsi="Times New Roman"/>
          <w:i/>
          <w:spacing w:val="-5"/>
          <w:sz w:val="20"/>
          <w:vertAlign w:val="baseline"/>
        </w:rPr>
        <w:t>cit</w:t>
      </w:r>
    </w:p>
    <w:p>
      <w:pPr>
        <w:spacing w:before="0"/>
        <w:ind w:left="335" w:right="0" w:firstLine="0"/>
        <w:jc w:val="left"/>
        <w:rPr>
          <w:rFonts w:ascii="Times New Roman" w:hAnsi="Times New Roman"/>
          <w:sz w:val="20"/>
        </w:rPr>
      </w:pPr>
      <w:r>
        <w:rPr>
          <w:rFonts w:ascii="Times New Roman" w:hAnsi="Times New Roman"/>
          <w:sz w:val="20"/>
          <w:vertAlign w:val="superscript"/>
        </w:rPr>
        <w:t>33</w:t>
      </w:r>
      <w:r>
        <w:rPr>
          <w:rFonts w:ascii="Times New Roman" w:hAnsi="Times New Roman"/>
          <w:spacing w:val="-3"/>
          <w:sz w:val="20"/>
          <w:vertAlign w:val="baseline"/>
        </w:rPr>
        <w:t> </w:t>
      </w:r>
      <w:r>
        <w:rPr>
          <w:rFonts w:ascii="Times New Roman" w:hAnsi="Times New Roman"/>
          <w:sz w:val="20"/>
          <w:vertAlign w:val="baseline"/>
        </w:rPr>
        <w:t>Slade,</w:t>
      </w:r>
      <w:r>
        <w:rPr>
          <w:rFonts w:ascii="Times New Roman" w:hAnsi="Times New Roman"/>
          <w:spacing w:val="-6"/>
          <w:sz w:val="20"/>
          <w:vertAlign w:val="baseline"/>
        </w:rPr>
        <w:t> </w:t>
      </w:r>
      <w:r>
        <w:rPr>
          <w:rFonts w:ascii="Times New Roman" w:hAnsi="Times New Roman"/>
          <w:sz w:val="20"/>
          <w:vertAlign w:val="baseline"/>
        </w:rPr>
        <w:t>E.</w:t>
      </w:r>
      <w:r>
        <w:rPr>
          <w:rFonts w:ascii="Times New Roman" w:hAnsi="Times New Roman"/>
          <w:spacing w:val="-7"/>
          <w:sz w:val="20"/>
          <w:vertAlign w:val="baseline"/>
        </w:rPr>
        <w:t> </w:t>
      </w:r>
      <w:r>
        <w:rPr>
          <w:rFonts w:ascii="Times New Roman" w:hAnsi="Times New Roman"/>
          <w:sz w:val="20"/>
          <w:vertAlign w:val="baseline"/>
        </w:rPr>
        <w:t>Tolley’s</w:t>
      </w:r>
      <w:r>
        <w:rPr>
          <w:rFonts w:ascii="Times New Roman" w:hAnsi="Times New Roman"/>
          <w:spacing w:val="-5"/>
          <w:sz w:val="20"/>
          <w:u w:val="single"/>
          <w:vertAlign w:val="baseline"/>
        </w:rPr>
        <w:t> </w:t>
      </w:r>
      <w:r>
        <w:rPr>
          <w:rFonts w:ascii="Times New Roman" w:hAnsi="Times New Roman"/>
          <w:sz w:val="20"/>
          <w:u w:val="single"/>
          <w:vertAlign w:val="baseline"/>
        </w:rPr>
        <w:t>Employment</w:t>
      </w:r>
      <w:r>
        <w:rPr>
          <w:rFonts w:ascii="Times New Roman" w:hAnsi="Times New Roman"/>
          <w:spacing w:val="-3"/>
          <w:sz w:val="20"/>
          <w:u w:val="single"/>
          <w:vertAlign w:val="baseline"/>
        </w:rPr>
        <w:t> </w:t>
      </w:r>
      <w:r>
        <w:rPr>
          <w:rFonts w:ascii="Times New Roman" w:hAnsi="Times New Roman"/>
          <w:sz w:val="20"/>
          <w:u w:val="single"/>
          <w:vertAlign w:val="baseline"/>
        </w:rPr>
        <w:t>Handbook,</w:t>
      </w:r>
      <w:r>
        <w:rPr>
          <w:rFonts w:ascii="Times New Roman" w:hAnsi="Times New Roman"/>
          <w:spacing w:val="-2"/>
          <w:sz w:val="20"/>
          <w:vertAlign w:val="baseline"/>
        </w:rPr>
        <w:t> </w:t>
      </w:r>
      <w:r>
        <w:rPr>
          <w:rFonts w:ascii="Times New Roman" w:hAnsi="Times New Roman"/>
          <w:sz w:val="20"/>
          <w:vertAlign w:val="baseline"/>
        </w:rPr>
        <w:t>17</w:t>
      </w:r>
      <w:r>
        <w:rPr>
          <w:rFonts w:ascii="Times New Roman" w:hAnsi="Times New Roman"/>
          <w:sz w:val="20"/>
          <w:vertAlign w:val="superscript"/>
        </w:rPr>
        <w:t>th</w:t>
      </w:r>
      <w:r>
        <w:rPr>
          <w:rFonts w:ascii="Times New Roman" w:hAnsi="Times New Roman"/>
          <w:spacing w:val="-7"/>
          <w:sz w:val="20"/>
          <w:vertAlign w:val="baseline"/>
        </w:rPr>
        <w:t> </w:t>
      </w:r>
      <w:r>
        <w:rPr>
          <w:rFonts w:ascii="Times New Roman" w:hAnsi="Times New Roman"/>
          <w:sz w:val="20"/>
          <w:vertAlign w:val="baseline"/>
        </w:rPr>
        <w:t>Edition,</w:t>
      </w:r>
      <w:r>
        <w:rPr>
          <w:rFonts w:ascii="Times New Roman" w:hAnsi="Times New Roman"/>
          <w:spacing w:val="-6"/>
          <w:sz w:val="20"/>
          <w:vertAlign w:val="baseline"/>
        </w:rPr>
        <w:t> </w:t>
      </w:r>
      <w:r>
        <w:rPr>
          <w:rFonts w:ascii="Times New Roman" w:hAnsi="Times New Roman"/>
          <w:sz w:val="20"/>
          <w:vertAlign w:val="baseline"/>
        </w:rPr>
        <w:t>Clays</w:t>
      </w:r>
      <w:r>
        <w:rPr>
          <w:rFonts w:ascii="Times New Roman" w:hAnsi="Times New Roman"/>
          <w:spacing w:val="-6"/>
          <w:sz w:val="20"/>
          <w:vertAlign w:val="baseline"/>
        </w:rPr>
        <w:t> </w:t>
      </w:r>
      <w:r>
        <w:rPr>
          <w:rFonts w:ascii="Times New Roman" w:hAnsi="Times New Roman"/>
          <w:sz w:val="20"/>
          <w:vertAlign w:val="baseline"/>
        </w:rPr>
        <w:t>Ltd,</w:t>
      </w:r>
      <w:r>
        <w:rPr>
          <w:rFonts w:ascii="Times New Roman" w:hAnsi="Times New Roman"/>
          <w:spacing w:val="-2"/>
          <w:sz w:val="20"/>
          <w:vertAlign w:val="baseline"/>
        </w:rPr>
        <w:t> </w:t>
      </w:r>
      <w:r>
        <w:rPr>
          <w:rFonts w:ascii="Times New Roman" w:hAnsi="Times New Roman"/>
          <w:sz w:val="20"/>
          <w:vertAlign w:val="baseline"/>
        </w:rPr>
        <w:t>England</w:t>
      </w:r>
      <w:r>
        <w:rPr>
          <w:rFonts w:ascii="Times New Roman" w:hAnsi="Times New Roman"/>
          <w:spacing w:val="-8"/>
          <w:sz w:val="20"/>
          <w:vertAlign w:val="baseline"/>
        </w:rPr>
        <w:t> </w:t>
      </w:r>
      <w:r>
        <w:rPr>
          <w:rFonts w:ascii="Times New Roman" w:hAnsi="Times New Roman"/>
          <w:sz w:val="20"/>
          <w:vertAlign w:val="baseline"/>
        </w:rPr>
        <w:t>(2003)</w:t>
      </w:r>
      <w:r>
        <w:rPr>
          <w:rFonts w:ascii="Times New Roman" w:hAnsi="Times New Roman"/>
          <w:spacing w:val="-5"/>
          <w:sz w:val="20"/>
          <w:vertAlign w:val="baseline"/>
        </w:rPr>
        <w:t> </w:t>
      </w:r>
      <w:r>
        <w:rPr>
          <w:rFonts w:ascii="Times New Roman" w:hAnsi="Times New Roman"/>
          <w:sz w:val="20"/>
          <w:vertAlign w:val="baseline"/>
        </w:rPr>
        <w:t>p.</w:t>
      </w:r>
      <w:r>
        <w:rPr>
          <w:rFonts w:ascii="Times New Roman" w:hAnsi="Times New Roman"/>
          <w:spacing w:val="-7"/>
          <w:sz w:val="20"/>
          <w:vertAlign w:val="baseline"/>
        </w:rPr>
        <w:t> </w:t>
      </w:r>
      <w:r>
        <w:rPr>
          <w:rFonts w:ascii="Times New Roman" w:hAnsi="Times New Roman"/>
          <w:spacing w:val="-5"/>
          <w:sz w:val="20"/>
          <w:vertAlign w:val="baseline"/>
        </w:rPr>
        <w:t>305</w:t>
      </w:r>
    </w:p>
    <w:p>
      <w:pPr>
        <w:spacing w:before="1"/>
        <w:ind w:left="335" w:right="0" w:firstLine="0"/>
        <w:jc w:val="left"/>
        <w:rPr>
          <w:rFonts w:ascii="Times New Roman" w:hAnsi="Times New Roman"/>
          <w:sz w:val="20"/>
        </w:rPr>
      </w:pPr>
      <w:r>
        <w:rPr>
          <w:rFonts w:ascii="Times New Roman" w:hAnsi="Times New Roman"/>
          <w:sz w:val="20"/>
          <w:vertAlign w:val="superscript"/>
        </w:rPr>
        <w:t>34</w:t>
      </w:r>
      <w:r>
        <w:rPr>
          <w:rFonts w:ascii="Times New Roman" w:hAnsi="Times New Roman"/>
          <w:sz w:val="20"/>
          <w:vertAlign w:val="baseline"/>
        </w:rPr>
        <w:t> Cooper, W.M.</w:t>
      </w:r>
      <w:r>
        <w:rPr>
          <w:rFonts w:ascii="Times New Roman" w:hAnsi="Times New Roman"/>
          <w:spacing w:val="-3"/>
          <w:sz w:val="20"/>
          <w:vertAlign w:val="baseline"/>
        </w:rPr>
        <w:t> </w:t>
      </w:r>
      <w:r>
        <w:rPr>
          <w:rFonts w:ascii="Times New Roman" w:hAnsi="Times New Roman"/>
          <w:sz w:val="20"/>
          <w:vertAlign w:val="baseline"/>
        </w:rPr>
        <w:t>and</w:t>
      </w:r>
      <w:r>
        <w:rPr>
          <w:rFonts w:ascii="Times New Roman" w:hAnsi="Times New Roman"/>
          <w:spacing w:val="-5"/>
          <w:sz w:val="20"/>
          <w:vertAlign w:val="baseline"/>
        </w:rPr>
        <w:t> </w:t>
      </w:r>
      <w:r>
        <w:rPr>
          <w:rFonts w:ascii="Times New Roman" w:hAnsi="Times New Roman"/>
          <w:sz w:val="20"/>
          <w:vertAlign w:val="baseline"/>
        </w:rPr>
        <w:t>Wood, J.C.</w:t>
      </w:r>
      <w:r>
        <w:rPr>
          <w:rFonts w:ascii="Times New Roman" w:hAnsi="Times New Roman"/>
          <w:spacing w:val="-3"/>
          <w:sz w:val="20"/>
          <w:vertAlign w:val="baseline"/>
        </w:rPr>
        <w:t> </w:t>
      </w:r>
      <w:r>
        <w:rPr>
          <w:rFonts w:ascii="Times New Roman" w:hAnsi="Times New Roman"/>
          <w:sz w:val="20"/>
          <w:u w:val="single"/>
          <w:vertAlign w:val="baseline"/>
        </w:rPr>
        <w:t>Outlines</w:t>
      </w:r>
      <w:r>
        <w:rPr>
          <w:rFonts w:ascii="Times New Roman" w:hAnsi="Times New Roman"/>
          <w:spacing w:val="-3"/>
          <w:sz w:val="20"/>
          <w:u w:val="single"/>
          <w:vertAlign w:val="baseline"/>
        </w:rPr>
        <w:t> </w:t>
      </w:r>
      <w:r>
        <w:rPr>
          <w:rFonts w:ascii="Times New Roman" w:hAnsi="Times New Roman"/>
          <w:sz w:val="20"/>
          <w:u w:val="single"/>
          <w:vertAlign w:val="baseline"/>
        </w:rPr>
        <w:t>of</w:t>
      </w:r>
      <w:r>
        <w:rPr>
          <w:rFonts w:ascii="Times New Roman" w:hAnsi="Times New Roman"/>
          <w:spacing w:val="-5"/>
          <w:sz w:val="20"/>
          <w:u w:val="single"/>
          <w:vertAlign w:val="baseline"/>
        </w:rPr>
        <w:t> </w:t>
      </w:r>
      <w:r>
        <w:rPr>
          <w:rFonts w:ascii="Times New Roman" w:hAnsi="Times New Roman"/>
          <w:sz w:val="20"/>
          <w:u w:val="single"/>
          <w:vertAlign w:val="baseline"/>
        </w:rPr>
        <w:t>Industrial Law,</w:t>
      </w:r>
      <w:r>
        <w:rPr>
          <w:rFonts w:ascii="Times New Roman" w:hAnsi="Times New Roman"/>
          <w:spacing w:val="-3"/>
          <w:sz w:val="20"/>
          <w:vertAlign w:val="baseline"/>
        </w:rPr>
        <w:t> </w:t>
      </w:r>
      <w:r>
        <w:rPr>
          <w:rFonts w:ascii="Times New Roman" w:hAnsi="Times New Roman"/>
          <w:sz w:val="20"/>
          <w:vertAlign w:val="baseline"/>
        </w:rPr>
        <w:t>5</w:t>
      </w:r>
      <w:r>
        <w:rPr>
          <w:rFonts w:ascii="Times New Roman" w:hAnsi="Times New Roman"/>
          <w:sz w:val="20"/>
          <w:vertAlign w:val="superscript"/>
        </w:rPr>
        <w:t>th</w:t>
      </w:r>
      <w:r>
        <w:rPr>
          <w:rFonts w:ascii="Times New Roman" w:hAnsi="Times New Roman"/>
          <w:spacing w:val="-3"/>
          <w:sz w:val="20"/>
          <w:vertAlign w:val="baseline"/>
        </w:rPr>
        <w:t> </w:t>
      </w:r>
      <w:r>
        <w:rPr>
          <w:rFonts w:ascii="Times New Roman" w:hAnsi="Times New Roman"/>
          <w:sz w:val="20"/>
          <w:vertAlign w:val="baseline"/>
        </w:rPr>
        <w:t>Edition,</w:t>
      </w:r>
      <w:r>
        <w:rPr>
          <w:rFonts w:ascii="Times New Roman" w:hAnsi="Times New Roman"/>
          <w:spacing w:val="-3"/>
          <w:sz w:val="20"/>
          <w:vertAlign w:val="baseline"/>
        </w:rPr>
        <w:t> </w:t>
      </w:r>
      <w:r>
        <w:rPr>
          <w:rFonts w:ascii="Times New Roman" w:hAnsi="Times New Roman"/>
          <w:sz w:val="20"/>
          <w:vertAlign w:val="baseline"/>
        </w:rPr>
        <w:t>Butterworth</w:t>
      </w:r>
      <w:r>
        <w:rPr>
          <w:rFonts w:ascii="Times New Roman" w:hAnsi="Times New Roman"/>
          <w:spacing w:val="-2"/>
          <w:sz w:val="20"/>
          <w:vertAlign w:val="baseline"/>
        </w:rPr>
        <w:t> </w:t>
      </w:r>
      <w:r>
        <w:rPr>
          <w:rFonts w:ascii="Times New Roman" w:hAnsi="Times New Roman"/>
          <w:sz w:val="20"/>
          <w:vertAlign w:val="baseline"/>
        </w:rPr>
        <w:t>&amp;</w:t>
      </w:r>
      <w:r>
        <w:rPr>
          <w:rFonts w:ascii="Times New Roman" w:hAnsi="Times New Roman"/>
          <w:spacing w:val="-4"/>
          <w:sz w:val="20"/>
          <w:vertAlign w:val="baseline"/>
        </w:rPr>
        <w:t> </w:t>
      </w:r>
      <w:r>
        <w:rPr>
          <w:rFonts w:ascii="Times New Roman" w:hAnsi="Times New Roman"/>
          <w:sz w:val="20"/>
          <w:vertAlign w:val="baseline"/>
        </w:rPr>
        <w:t>Co.</w:t>
      </w:r>
      <w:r>
        <w:rPr>
          <w:rFonts w:ascii="Times New Roman" w:hAnsi="Times New Roman"/>
          <w:spacing w:val="-3"/>
          <w:sz w:val="20"/>
          <w:vertAlign w:val="baseline"/>
        </w:rPr>
        <w:t> </w:t>
      </w:r>
      <w:r>
        <w:rPr>
          <w:rFonts w:ascii="Times New Roman" w:hAnsi="Times New Roman"/>
          <w:sz w:val="20"/>
          <w:vertAlign w:val="baseline"/>
        </w:rPr>
        <w:t>(Publishers)</w:t>
      </w:r>
      <w:r>
        <w:rPr>
          <w:rFonts w:ascii="Times New Roman" w:hAnsi="Times New Roman"/>
          <w:spacing w:val="-5"/>
          <w:sz w:val="20"/>
          <w:vertAlign w:val="baseline"/>
        </w:rPr>
        <w:t> </w:t>
      </w:r>
      <w:r>
        <w:rPr>
          <w:rFonts w:ascii="Times New Roman" w:hAnsi="Times New Roman"/>
          <w:sz w:val="20"/>
          <w:vertAlign w:val="baseline"/>
        </w:rPr>
        <w:t>Ltd, London (1966) pp. 365 – 403</w:t>
      </w:r>
    </w:p>
    <w:p>
      <w:pPr>
        <w:spacing w:after="0"/>
        <w:jc w:val="left"/>
        <w:rPr>
          <w:rFonts w:ascii="Times New Roman" w:hAnsi="Times New Roman"/>
          <w:sz w:val="20"/>
        </w:rPr>
        <w:sectPr>
          <w:pgSz w:w="12240" w:h="15840"/>
          <w:pgMar w:header="0" w:footer="1070" w:top="1360" w:bottom="1260" w:left="1680" w:right="1320"/>
        </w:sectPr>
      </w:pPr>
    </w:p>
    <w:p>
      <w:pPr>
        <w:spacing w:line="480" w:lineRule="auto" w:before="74"/>
        <w:ind w:left="1056" w:right="120" w:firstLine="0"/>
        <w:jc w:val="both"/>
        <w:rPr>
          <w:sz w:val="25"/>
        </w:rPr>
      </w:pPr>
      <w:r>
        <w:rPr>
          <w:sz w:val="25"/>
        </w:rPr>
        <w:t>position is that under the said Act, particularly in section 3, an employer’s liability is in the first instance, to pay contribution of himself and employee’s and it is an offence for the employer to deduct or attempt to deduct any part of his contribution from the employee’s remuneration. This position is similar to the one in section 14 of Employee’s Compensation Act. However, needless to say that the authors discussed National Insurance Industrial Injuries Act 1965 in Britain and not the Nigerian employees’ compensation Act 2010. An appraisal of the latter Act is therefore imperative.</w:t>
      </w:r>
    </w:p>
    <w:p>
      <w:pPr>
        <w:spacing w:line="480" w:lineRule="auto" w:before="300"/>
        <w:ind w:left="1056" w:right="118" w:firstLine="0"/>
        <w:jc w:val="both"/>
        <w:rPr>
          <w:sz w:val="25"/>
        </w:rPr>
      </w:pPr>
      <w:r>
        <w:rPr/>
        <mc:AlternateContent>
          <mc:Choice Requires="wps">
            <w:drawing>
              <wp:anchor distT="0" distB="0" distL="0" distR="0" allowOverlap="1" layoutInCell="1" locked="0" behindDoc="1" simplePos="0" relativeHeight="487600640">
                <wp:simplePos x="0" y="0"/>
                <wp:positionH relativeFrom="page">
                  <wp:posOffset>1280160</wp:posOffset>
                </wp:positionH>
                <wp:positionV relativeFrom="paragraph">
                  <wp:posOffset>4415510</wp:posOffset>
                </wp:positionV>
                <wp:extent cx="1828800" cy="6350"/>
                <wp:effectExtent l="0" t="0" r="0" b="0"/>
                <wp:wrapTopAndBottom/>
                <wp:docPr id="28" name="Graphic 28"/>
                <wp:cNvGraphicFramePr>
                  <a:graphicFrameLocks/>
                </wp:cNvGraphicFramePr>
                <a:graphic>
                  <a:graphicData uri="http://schemas.microsoft.com/office/word/2010/wordprocessingShape">
                    <wps:wsp>
                      <wps:cNvPr id="28" name="Graphic 28"/>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347.677979pt;width:144pt;height:.48pt;mso-position-horizontal-relative:page;mso-position-vertical-relative:paragraph;z-index:-15715840;mso-wrap-distance-left:0;mso-wrap-distance-right:0" id="docshape28" filled="true" fillcolor="#000000" stroked="false">
                <v:fill type="solid"/>
                <w10:wrap type="topAndBottom"/>
              </v:rect>
            </w:pict>
          </mc:Fallback>
        </mc:AlternateContent>
      </w:r>
      <w:r>
        <w:rPr>
          <w:sz w:val="25"/>
        </w:rPr>
        <w:t>Comande in his published article, “Towards a Global Model for Adjudicating Personal Injury Damages: Bridging Europe and the United States”</w:t>
      </w:r>
      <w:r>
        <w:rPr>
          <w:sz w:val="25"/>
          <w:vertAlign w:val="superscript"/>
        </w:rPr>
        <w:t>35</w:t>
      </w:r>
      <w:r>
        <w:rPr>
          <w:sz w:val="25"/>
          <w:vertAlign w:val="baseline"/>
        </w:rPr>
        <w:t> tried to discuss the common techniques for adjudicating personal</w:t>
      </w:r>
      <w:r>
        <w:rPr>
          <w:spacing w:val="-2"/>
          <w:sz w:val="25"/>
          <w:vertAlign w:val="baseline"/>
        </w:rPr>
        <w:t> </w:t>
      </w:r>
      <w:r>
        <w:rPr>
          <w:sz w:val="25"/>
          <w:vertAlign w:val="baseline"/>
        </w:rPr>
        <w:t>injury</w:t>
      </w:r>
      <w:r>
        <w:rPr>
          <w:spacing w:val="-2"/>
          <w:sz w:val="25"/>
          <w:vertAlign w:val="baseline"/>
        </w:rPr>
        <w:t> </w:t>
      </w:r>
      <w:r>
        <w:rPr>
          <w:sz w:val="25"/>
          <w:vertAlign w:val="baseline"/>
        </w:rPr>
        <w:t>damages</w:t>
      </w:r>
      <w:r>
        <w:rPr>
          <w:spacing w:val="-3"/>
          <w:sz w:val="25"/>
          <w:vertAlign w:val="baseline"/>
        </w:rPr>
        <w:t> </w:t>
      </w:r>
      <w:r>
        <w:rPr>
          <w:sz w:val="25"/>
          <w:vertAlign w:val="baseline"/>
        </w:rPr>
        <w:t>in</w:t>
      </w:r>
      <w:r>
        <w:rPr>
          <w:spacing w:val="-2"/>
          <w:sz w:val="25"/>
          <w:vertAlign w:val="baseline"/>
        </w:rPr>
        <w:t> </w:t>
      </w:r>
      <w:r>
        <w:rPr>
          <w:sz w:val="25"/>
          <w:vertAlign w:val="baseline"/>
        </w:rPr>
        <w:t>Europe</w:t>
      </w:r>
      <w:r>
        <w:rPr>
          <w:spacing w:val="-3"/>
          <w:sz w:val="25"/>
          <w:vertAlign w:val="baseline"/>
        </w:rPr>
        <w:t> </w:t>
      </w:r>
      <w:r>
        <w:rPr>
          <w:sz w:val="25"/>
          <w:vertAlign w:val="baseline"/>
        </w:rPr>
        <w:t>and</w:t>
      </w:r>
      <w:r>
        <w:rPr>
          <w:spacing w:val="-1"/>
          <w:sz w:val="25"/>
          <w:vertAlign w:val="baseline"/>
        </w:rPr>
        <w:t> </w:t>
      </w:r>
      <w:r>
        <w:rPr>
          <w:sz w:val="25"/>
          <w:vertAlign w:val="baseline"/>
        </w:rPr>
        <w:t>America.</w:t>
      </w:r>
      <w:r>
        <w:rPr>
          <w:spacing w:val="-1"/>
          <w:sz w:val="25"/>
          <w:vertAlign w:val="baseline"/>
        </w:rPr>
        <w:t> </w:t>
      </w:r>
      <w:r>
        <w:rPr>
          <w:sz w:val="25"/>
          <w:vertAlign w:val="baseline"/>
        </w:rPr>
        <w:t>The</w:t>
      </w:r>
      <w:r>
        <w:rPr>
          <w:spacing w:val="-3"/>
          <w:sz w:val="25"/>
          <w:vertAlign w:val="baseline"/>
        </w:rPr>
        <w:t> </w:t>
      </w:r>
      <w:r>
        <w:rPr>
          <w:sz w:val="25"/>
          <w:vertAlign w:val="baseline"/>
        </w:rPr>
        <w:t>author</w:t>
      </w:r>
      <w:r>
        <w:rPr>
          <w:spacing w:val="-1"/>
          <w:sz w:val="25"/>
          <w:vertAlign w:val="baseline"/>
        </w:rPr>
        <w:t> </w:t>
      </w:r>
      <w:r>
        <w:rPr>
          <w:sz w:val="25"/>
          <w:vertAlign w:val="baseline"/>
        </w:rPr>
        <w:t>posited</w:t>
      </w:r>
      <w:r>
        <w:rPr>
          <w:spacing w:val="-1"/>
          <w:sz w:val="25"/>
          <w:vertAlign w:val="baseline"/>
        </w:rPr>
        <w:t> </w:t>
      </w:r>
      <w:r>
        <w:rPr>
          <w:sz w:val="25"/>
          <w:vertAlign w:val="baseline"/>
        </w:rPr>
        <w:t>that non-pecuniary damages for personal injury lie at the very centre of contemporary legal debates primarily because of the alleged constant increase in award but also because of the difficulties that stem from the inherent subjectivity of their assessment.</w:t>
      </w:r>
      <w:r>
        <w:rPr>
          <w:spacing w:val="80"/>
          <w:sz w:val="25"/>
          <w:vertAlign w:val="baseline"/>
        </w:rPr>
        <w:t> </w:t>
      </w:r>
      <w:r>
        <w:rPr>
          <w:sz w:val="25"/>
          <w:vertAlign w:val="baseline"/>
        </w:rPr>
        <w:t>The author said specifically,</w:t>
      </w:r>
      <w:r>
        <w:rPr>
          <w:spacing w:val="40"/>
          <w:sz w:val="25"/>
          <w:vertAlign w:val="baseline"/>
        </w:rPr>
        <w:t> </w:t>
      </w:r>
      <w:r>
        <w:rPr>
          <w:sz w:val="25"/>
          <w:vertAlign w:val="baseline"/>
        </w:rPr>
        <w:t>an alleged constant increase in awards and the difficulties linked to the subjectivity of their assessment and the selection of the institution that</w:t>
      </w:r>
      <w:r>
        <w:rPr>
          <w:spacing w:val="40"/>
          <w:sz w:val="25"/>
          <w:vertAlign w:val="baseline"/>
        </w:rPr>
        <w:t> </w:t>
      </w:r>
      <w:r>
        <w:rPr>
          <w:sz w:val="25"/>
          <w:vertAlign w:val="baseline"/>
        </w:rPr>
        <w:t>is</w:t>
      </w:r>
      <w:r>
        <w:rPr>
          <w:spacing w:val="7"/>
          <w:sz w:val="25"/>
          <w:vertAlign w:val="baseline"/>
        </w:rPr>
        <w:t> </w:t>
      </w:r>
      <w:r>
        <w:rPr>
          <w:sz w:val="25"/>
          <w:vertAlign w:val="baseline"/>
        </w:rPr>
        <w:t>best</w:t>
      </w:r>
      <w:r>
        <w:rPr>
          <w:spacing w:val="12"/>
          <w:sz w:val="25"/>
          <w:vertAlign w:val="baseline"/>
        </w:rPr>
        <w:t> </w:t>
      </w:r>
      <w:r>
        <w:rPr>
          <w:sz w:val="25"/>
          <w:vertAlign w:val="baseline"/>
        </w:rPr>
        <w:t>suited</w:t>
      </w:r>
      <w:r>
        <w:rPr>
          <w:spacing w:val="9"/>
          <w:sz w:val="25"/>
          <w:vertAlign w:val="baseline"/>
        </w:rPr>
        <w:t> </w:t>
      </w:r>
      <w:r>
        <w:rPr>
          <w:sz w:val="25"/>
          <w:vertAlign w:val="baseline"/>
        </w:rPr>
        <w:t>to</w:t>
      </w:r>
      <w:r>
        <w:rPr>
          <w:spacing w:val="13"/>
          <w:sz w:val="25"/>
          <w:vertAlign w:val="baseline"/>
        </w:rPr>
        <w:t> </w:t>
      </w:r>
      <w:r>
        <w:rPr>
          <w:sz w:val="25"/>
          <w:vertAlign w:val="baseline"/>
        </w:rPr>
        <w:t>award</w:t>
      </w:r>
      <w:r>
        <w:rPr>
          <w:spacing w:val="9"/>
          <w:sz w:val="25"/>
          <w:vertAlign w:val="baseline"/>
        </w:rPr>
        <w:t> </w:t>
      </w:r>
      <w:r>
        <w:rPr>
          <w:sz w:val="25"/>
          <w:vertAlign w:val="baseline"/>
        </w:rPr>
        <w:t>damages</w:t>
      </w:r>
      <w:r>
        <w:rPr>
          <w:spacing w:val="13"/>
          <w:sz w:val="25"/>
          <w:vertAlign w:val="baseline"/>
        </w:rPr>
        <w:t> </w:t>
      </w:r>
      <w:r>
        <w:rPr>
          <w:sz w:val="25"/>
          <w:vertAlign w:val="baseline"/>
        </w:rPr>
        <w:t>and</w:t>
      </w:r>
      <w:r>
        <w:rPr>
          <w:spacing w:val="9"/>
          <w:sz w:val="25"/>
          <w:vertAlign w:val="baseline"/>
        </w:rPr>
        <w:t> </w:t>
      </w:r>
      <w:r>
        <w:rPr>
          <w:sz w:val="25"/>
          <w:vertAlign w:val="baseline"/>
        </w:rPr>
        <w:t>how</w:t>
      </w:r>
      <w:r>
        <w:rPr>
          <w:spacing w:val="11"/>
          <w:sz w:val="25"/>
          <w:vertAlign w:val="baseline"/>
        </w:rPr>
        <w:t> </w:t>
      </w:r>
      <w:r>
        <w:rPr>
          <w:sz w:val="25"/>
          <w:vertAlign w:val="baseline"/>
        </w:rPr>
        <w:t>it</w:t>
      </w:r>
      <w:r>
        <w:rPr>
          <w:spacing w:val="6"/>
          <w:sz w:val="25"/>
          <w:vertAlign w:val="baseline"/>
        </w:rPr>
        <w:t> </w:t>
      </w:r>
      <w:r>
        <w:rPr>
          <w:sz w:val="25"/>
          <w:vertAlign w:val="baseline"/>
        </w:rPr>
        <w:t>should</w:t>
      </w:r>
      <w:r>
        <w:rPr>
          <w:spacing w:val="10"/>
          <w:sz w:val="25"/>
          <w:vertAlign w:val="baseline"/>
        </w:rPr>
        <w:t> </w:t>
      </w:r>
      <w:r>
        <w:rPr>
          <w:sz w:val="25"/>
          <w:vertAlign w:val="baseline"/>
        </w:rPr>
        <w:t>do</w:t>
      </w:r>
      <w:r>
        <w:rPr>
          <w:spacing w:val="11"/>
          <w:sz w:val="25"/>
          <w:vertAlign w:val="baseline"/>
        </w:rPr>
        <w:t> </w:t>
      </w:r>
      <w:r>
        <w:rPr>
          <w:sz w:val="25"/>
          <w:vertAlign w:val="baseline"/>
        </w:rPr>
        <w:t>so</w:t>
      </w:r>
      <w:r>
        <w:rPr>
          <w:spacing w:val="13"/>
          <w:sz w:val="25"/>
          <w:vertAlign w:val="baseline"/>
        </w:rPr>
        <w:t> </w:t>
      </w:r>
      <w:r>
        <w:rPr>
          <w:sz w:val="25"/>
          <w:vertAlign w:val="baseline"/>
        </w:rPr>
        <w:t>are</w:t>
      </w:r>
      <w:r>
        <w:rPr>
          <w:spacing w:val="7"/>
          <w:sz w:val="25"/>
          <w:vertAlign w:val="baseline"/>
        </w:rPr>
        <w:t> </w:t>
      </w:r>
      <w:r>
        <w:rPr>
          <w:sz w:val="25"/>
          <w:vertAlign w:val="baseline"/>
        </w:rPr>
        <w:t>but</w:t>
      </w:r>
      <w:r>
        <w:rPr>
          <w:spacing w:val="10"/>
          <w:sz w:val="25"/>
          <w:vertAlign w:val="baseline"/>
        </w:rPr>
        <w:t> </w:t>
      </w:r>
      <w:r>
        <w:rPr>
          <w:sz w:val="25"/>
          <w:vertAlign w:val="baseline"/>
        </w:rPr>
        <w:t>a</w:t>
      </w:r>
      <w:r>
        <w:rPr>
          <w:spacing w:val="8"/>
          <w:sz w:val="25"/>
          <w:vertAlign w:val="baseline"/>
        </w:rPr>
        <w:t> </w:t>
      </w:r>
      <w:r>
        <w:rPr>
          <w:spacing w:val="-5"/>
          <w:sz w:val="25"/>
          <w:vertAlign w:val="baseline"/>
        </w:rPr>
        <w:t>few</w:t>
      </w:r>
    </w:p>
    <w:p>
      <w:pPr>
        <w:spacing w:before="101"/>
        <w:ind w:left="335" w:right="123" w:firstLine="0"/>
        <w:jc w:val="left"/>
        <w:rPr>
          <w:rFonts w:ascii="Times New Roman" w:hAnsi="Times New Roman"/>
          <w:sz w:val="20"/>
        </w:rPr>
      </w:pPr>
      <w:r>
        <w:rPr>
          <w:rFonts w:ascii="Times New Roman" w:hAnsi="Times New Roman"/>
          <w:sz w:val="20"/>
          <w:vertAlign w:val="superscript"/>
        </w:rPr>
        <w:t>35</w:t>
      </w:r>
      <w:r>
        <w:rPr>
          <w:rFonts w:ascii="Times New Roman" w:hAnsi="Times New Roman"/>
          <w:sz w:val="20"/>
          <w:vertAlign w:val="baseline"/>
        </w:rPr>
        <w:t> Comande, G. “Towards</w:t>
      </w:r>
      <w:r>
        <w:rPr>
          <w:rFonts w:ascii="Times New Roman" w:hAnsi="Times New Roman"/>
          <w:spacing w:val="-7"/>
          <w:sz w:val="20"/>
          <w:vertAlign w:val="baseline"/>
        </w:rPr>
        <w:t> </w:t>
      </w:r>
      <w:r>
        <w:rPr>
          <w:rFonts w:ascii="Times New Roman" w:hAnsi="Times New Roman"/>
          <w:sz w:val="20"/>
          <w:vertAlign w:val="baseline"/>
        </w:rPr>
        <w:t>a</w:t>
      </w:r>
      <w:r>
        <w:rPr>
          <w:rFonts w:ascii="Times New Roman" w:hAnsi="Times New Roman"/>
          <w:spacing w:val="-4"/>
          <w:sz w:val="20"/>
          <w:vertAlign w:val="baseline"/>
        </w:rPr>
        <w:t> </w:t>
      </w:r>
      <w:r>
        <w:rPr>
          <w:rFonts w:ascii="Times New Roman" w:hAnsi="Times New Roman"/>
          <w:sz w:val="20"/>
          <w:vertAlign w:val="baseline"/>
        </w:rPr>
        <w:t>Global Model for Adjudicating</w:t>
      </w:r>
      <w:r>
        <w:rPr>
          <w:rFonts w:ascii="Times New Roman" w:hAnsi="Times New Roman"/>
          <w:spacing w:val="-5"/>
          <w:sz w:val="20"/>
          <w:vertAlign w:val="baseline"/>
        </w:rPr>
        <w:t> </w:t>
      </w:r>
      <w:r>
        <w:rPr>
          <w:rFonts w:ascii="Times New Roman" w:hAnsi="Times New Roman"/>
          <w:sz w:val="20"/>
          <w:vertAlign w:val="baseline"/>
        </w:rPr>
        <w:t>Personal</w:t>
      </w:r>
      <w:r>
        <w:rPr>
          <w:rFonts w:ascii="Times New Roman" w:hAnsi="Times New Roman"/>
          <w:spacing w:val="-4"/>
          <w:sz w:val="20"/>
          <w:vertAlign w:val="baseline"/>
        </w:rPr>
        <w:t> </w:t>
      </w:r>
      <w:r>
        <w:rPr>
          <w:rFonts w:ascii="Times New Roman" w:hAnsi="Times New Roman"/>
          <w:sz w:val="20"/>
          <w:vertAlign w:val="baseline"/>
        </w:rPr>
        <w:t>Injury</w:t>
      </w:r>
      <w:r>
        <w:rPr>
          <w:rFonts w:ascii="Times New Roman" w:hAnsi="Times New Roman"/>
          <w:spacing w:val="-10"/>
          <w:sz w:val="20"/>
          <w:vertAlign w:val="baseline"/>
        </w:rPr>
        <w:t> </w:t>
      </w:r>
      <w:r>
        <w:rPr>
          <w:rFonts w:ascii="Times New Roman" w:hAnsi="Times New Roman"/>
          <w:sz w:val="20"/>
          <w:vertAlign w:val="baseline"/>
        </w:rPr>
        <w:t>Damages:</w:t>
      </w:r>
      <w:r>
        <w:rPr>
          <w:rFonts w:ascii="Times New Roman" w:hAnsi="Times New Roman"/>
          <w:spacing w:val="-4"/>
          <w:sz w:val="20"/>
          <w:vertAlign w:val="baseline"/>
        </w:rPr>
        <w:t> </w:t>
      </w:r>
      <w:r>
        <w:rPr>
          <w:rFonts w:ascii="Times New Roman" w:hAnsi="Times New Roman"/>
          <w:sz w:val="20"/>
          <w:vertAlign w:val="baseline"/>
        </w:rPr>
        <w:t>Bridging</w:t>
      </w:r>
      <w:r>
        <w:rPr>
          <w:rFonts w:ascii="Times New Roman" w:hAnsi="Times New Roman"/>
          <w:spacing w:val="-10"/>
          <w:sz w:val="20"/>
          <w:vertAlign w:val="baseline"/>
        </w:rPr>
        <w:t> </w:t>
      </w:r>
      <w:r>
        <w:rPr>
          <w:rFonts w:ascii="Times New Roman" w:hAnsi="Times New Roman"/>
          <w:sz w:val="20"/>
          <w:vertAlign w:val="baseline"/>
        </w:rPr>
        <w:t>Europe</w:t>
      </w:r>
      <w:r>
        <w:rPr>
          <w:rFonts w:ascii="Times New Roman" w:hAnsi="Times New Roman"/>
          <w:spacing w:val="-4"/>
          <w:sz w:val="20"/>
          <w:vertAlign w:val="baseline"/>
        </w:rPr>
        <w:t> </w:t>
      </w:r>
      <w:r>
        <w:rPr>
          <w:rFonts w:ascii="Times New Roman" w:hAnsi="Times New Roman"/>
          <w:sz w:val="20"/>
          <w:vertAlign w:val="baseline"/>
        </w:rPr>
        <w:t>and the United States,” </w:t>
      </w:r>
      <w:r>
        <w:rPr>
          <w:rFonts w:ascii="Times New Roman" w:hAnsi="Times New Roman"/>
          <w:i/>
          <w:sz w:val="20"/>
          <w:vertAlign w:val="baseline"/>
        </w:rPr>
        <w:t>Temp. Intl &amp; Comp. L.J. (</w:t>
      </w:r>
      <w:r>
        <w:rPr>
          <w:rFonts w:ascii="Times New Roman" w:hAnsi="Times New Roman"/>
          <w:sz w:val="20"/>
          <w:vertAlign w:val="baseline"/>
        </w:rPr>
        <w:t>2005) 19 pp. 241 – 349</w:t>
      </w:r>
    </w:p>
    <w:p>
      <w:pPr>
        <w:spacing w:after="0"/>
        <w:jc w:val="left"/>
        <w:rPr>
          <w:rFonts w:ascii="Times New Roman" w:hAnsi="Times New Roman"/>
          <w:sz w:val="20"/>
        </w:rPr>
        <w:sectPr>
          <w:pgSz w:w="12240" w:h="15840"/>
          <w:pgMar w:header="0" w:footer="1070" w:top="1360" w:bottom="1260" w:left="1680" w:right="1320"/>
        </w:sectPr>
      </w:pPr>
    </w:p>
    <w:p>
      <w:pPr>
        <w:spacing w:line="480" w:lineRule="auto" w:before="74"/>
        <w:ind w:left="1056" w:right="124" w:firstLine="0"/>
        <w:jc w:val="both"/>
        <w:rPr>
          <w:sz w:val="25"/>
        </w:rPr>
      </w:pPr>
      <w:r>
        <w:rPr>
          <w:sz w:val="25"/>
        </w:rPr>
        <w:t>problems that are addressed by contemporary scholarship. The author however, stationed his own discourse on litigation which is only an aspect of the research at hand that is, on employees’ compensation under Nigerian law. Also, while Comande dwelt on America and Europe, this research dwells on Nigeria as a country.</w:t>
      </w:r>
    </w:p>
    <w:p>
      <w:pPr>
        <w:pStyle w:val="BodyText"/>
        <w:spacing w:before="2"/>
        <w:rPr>
          <w:sz w:val="25"/>
        </w:rPr>
      </w:pPr>
    </w:p>
    <w:p>
      <w:pPr>
        <w:spacing w:line="480" w:lineRule="auto" w:before="1"/>
        <w:ind w:left="1056" w:right="118" w:firstLine="0"/>
        <w:jc w:val="both"/>
        <w:rPr>
          <w:sz w:val="25"/>
        </w:rPr>
      </w:pPr>
      <w:r>
        <w:rPr>
          <w:sz w:val="25"/>
        </w:rPr>
        <w:t>Koskoff in his published article “The Nature of Pain and Suffering”</w:t>
      </w:r>
      <w:r>
        <w:rPr>
          <w:sz w:val="25"/>
          <w:vertAlign w:val="superscript"/>
        </w:rPr>
        <w:t>36</w:t>
      </w:r>
      <w:r>
        <w:rPr>
          <w:sz w:val="25"/>
          <w:vertAlign w:val="baseline"/>
        </w:rPr>
        <w:t> devoted his energy to discussing “pain and suffering” and attempted to distinguish “pain” from “suffering” by saying that ‘pain’ remains inherently a physical sensation due to a corporal harm (bodily experience) while ‘suffering’ is mainly an emotional experience reacting to the physical pain. Pain and suffering as discussed by the author is similar to the ground of compensation known as ‘mental stress’ in Employees Compensation Act, although there is a significant difference when it comes to application under the Act. The author gave only the medical explanations of ‘pain and suffering’ while this research deals on its sister phrase “mental stress” and its legal application under the employees’ compensation in Nigeria.</w:t>
      </w:r>
    </w:p>
    <w:p>
      <w:pPr>
        <w:spacing w:line="480" w:lineRule="auto" w:before="298"/>
        <w:ind w:left="1056" w:right="125" w:firstLine="0"/>
        <w:jc w:val="both"/>
        <w:rPr>
          <w:sz w:val="25"/>
        </w:rPr>
      </w:pPr>
      <w:r>
        <w:rPr>
          <w:sz w:val="25"/>
        </w:rPr>
        <w:t>Closely connected to Koskoff’s article on ‘pain and suffering’, is that of Cramer</w:t>
      </w:r>
      <w:r>
        <w:rPr>
          <w:spacing w:val="22"/>
          <w:sz w:val="25"/>
        </w:rPr>
        <w:t>  </w:t>
      </w:r>
      <w:r>
        <w:rPr>
          <w:sz w:val="25"/>
        </w:rPr>
        <w:t>on</w:t>
      </w:r>
      <w:r>
        <w:rPr>
          <w:spacing w:val="23"/>
          <w:sz w:val="25"/>
        </w:rPr>
        <w:t>  </w:t>
      </w:r>
      <w:r>
        <w:rPr>
          <w:sz w:val="25"/>
        </w:rPr>
        <w:t>“Loss</w:t>
      </w:r>
      <w:r>
        <w:rPr>
          <w:spacing w:val="22"/>
          <w:sz w:val="25"/>
        </w:rPr>
        <w:t>  </w:t>
      </w:r>
      <w:r>
        <w:rPr>
          <w:sz w:val="25"/>
        </w:rPr>
        <w:t>of</w:t>
      </w:r>
      <w:r>
        <w:rPr>
          <w:spacing w:val="23"/>
          <w:sz w:val="25"/>
        </w:rPr>
        <w:t>  </w:t>
      </w:r>
      <w:r>
        <w:rPr>
          <w:sz w:val="25"/>
        </w:rPr>
        <w:t>Enjoyment</w:t>
      </w:r>
      <w:r>
        <w:rPr>
          <w:spacing w:val="22"/>
          <w:sz w:val="25"/>
        </w:rPr>
        <w:t>  </w:t>
      </w:r>
      <w:r>
        <w:rPr>
          <w:sz w:val="25"/>
        </w:rPr>
        <w:t>of</w:t>
      </w:r>
      <w:r>
        <w:rPr>
          <w:spacing w:val="23"/>
          <w:sz w:val="25"/>
        </w:rPr>
        <w:t>  </w:t>
      </w:r>
      <w:r>
        <w:rPr>
          <w:sz w:val="25"/>
        </w:rPr>
        <w:t>Life</w:t>
      </w:r>
      <w:r>
        <w:rPr>
          <w:spacing w:val="24"/>
          <w:sz w:val="25"/>
        </w:rPr>
        <w:t>  </w:t>
      </w:r>
      <w:r>
        <w:rPr>
          <w:sz w:val="25"/>
        </w:rPr>
        <w:t>as</w:t>
      </w:r>
      <w:r>
        <w:rPr>
          <w:spacing w:val="22"/>
          <w:sz w:val="25"/>
        </w:rPr>
        <w:t>  </w:t>
      </w:r>
      <w:r>
        <w:rPr>
          <w:sz w:val="25"/>
        </w:rPr>
        <w:t>Separate</w:t>
      </w:r>
      <w:r>
        <w:rPr>
          <w:spacing w:val="21"/>
          <w:sz w:val="25"/>
        </w:rPr>
        <w:t>  </w:t>
      </w:r>
      <w:r>
        <w:rPr>
          <w:sz w:val="25"/>
        </w:rPr>
        <w:t>Element</w:t>
      </w:r>
      <w:r>
        <w:rPr>
          <w:spacing w:val="22"/>
          <w:sz w:val="25"/>
        </w:rPr>
        <w:t>  </w:t>
      </w:r>
      <w:r>
        <w:rPr>
          <w:spacing w:val="-5"/>
          <w:sz w:val="25"/>
        </w:rPr>
        <w:t>of</w:t>
      </w:r>
    </w:p>
    <w:p>
      <w:pPr>
        <w:pStyle w:val="BodyText"/>
        <w:rPr>
          <w:sz w:val="20"/>
        </w:rPr>
      </w:pPr>
    </w:p>
    <w:p>
      <w:pPr>
        <w:pStyle w:val="BodyText"/>
        <w:spacing w:before="39"/>
        <w:rPr>
          <w:sz w:val="20"/>
        </w:rPr>
      </w:pPr>
      <w:r>
        <w:rPr/>
        <mc:AlternateContent>
          <mc:Choice Requires="wps">
            <w:drawing>
              <wp:anchor distT="0" distB="0" distL="0" distR="0" allowOverlap="1" layoutInCell="1" locked="0" behindDoc="1" simplePos="0" relativeHeight="487601152">
                <wp:simplePos x="0" y="0"/>
                <wp:positionH relativeFrom="page">
                  <wp:posOffset>1280160</wp:posOffset>
                </wp:positionH>
                <wp:positionV relativeFrom="paragraph">
                  <wp:posOffset>193445</wp:posOffset>
                </wp:positionV>
                <wp:extent cx="1828800" cy="6350"/>
                <wp:effectExtent l="0" t="0" r="0" b="0"/>
                <wp:wrapTopAndBottom/>
                <wp:docPr id="29" name="Graphic 29"/>
                <wp:cNvGraphicFramePr>
                  <a:graphicFrameLocks/>
                </wp:cNvGraphicFramePr>
                <a:graphic>
                  <a:graphicData uri="http://schemas.microsoft.com/office/word/2010/wordprocessingShape">
                    <wps:wsp>
                      <wps:cNvPr id="29" name="Graphic 29"/>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15.231953pt;width:144pt;height:.48pt;mso-position-horizontal-relative:page;mso-position-vertical-relative:paragraph;z-index:-15715328;mso-wrap-distance-left:0;mso-wrap-distance-right:0" id="docshape29" filled="true" fillcolor="#000000" stroked="false">
                <v:fill type="solid"/>
                <w10:wrap type="topAndBottom"/>
              </v:rect>
            </w:pict>
          </mc:Fallback>
        </mc:AlternateContent>
      </w:r>
    </w:p>
    <w:p>
      <w:pPr>
        <w:spacing w:before="101"/>
        <w:ind w:left="335" w:right="0" w:firstLine="0"/>
        <w:jc w:val="left"/>
        <w:rPr>
          <w:rFonts w:ascii="Times New Roman" w:hAnsi="Times New Roman"/>
          <w:sz w:val="20"/>
        </w:rPr>
      </w:pPr>
      <w:r>
        <w:rPr>
          <w:rFonts w:ascii="Times New Roman" w:hAnsi="Times New Roman"/>
          <w:sz w:val="20"/>
          <w:vertAlign w:val="superscript"/>
        </w:rPr>
        <w:t>36</w:t>
      </w:r>
      <w:r>
        <w:rPr>
          <w:rFonts w:ascii="Times New Roman" w:hAnsi="Times New Roman"/>
          <w:sz w:val="20"/>
          <w:vertAlign w:val="baseline"/>
        </w:rPr>
        <w:t> Koskoff,</w:t>
      </w:r>
      <w:r>
        <w:rPr>
          <w:rFonts w:ascii="Times New Roman" w:hAnsi="Times New Roman"/>
          <w:spacing w:val="1"/>
          <w:sz w:val="20"/>
          <w:vertAlign w:val="baseline"/>
        </w:rPr>
        <w:t> </w:t>
      </w:r>
      <w:r>
        <w:rPr>
          <w:rFonts w:ascii="Times New Roman" w:hAnsi="Times New Roman"/>
          <w:sz w:val="20"/>
          <w:vertAlign w:val="baseline"/>
        </w:rPr>
        <w:t>Y.D.</w:t>
      </w:r>
      <w:r>
        <w:rPr>
          <w:rFonts w:ascii="Times New Roman" w:hAnsi="Times New Roman"/>
          <w:spacing w:val="-5"/>
          <w:sz w:val="20"/>
          <w:vertAlign w:val="baseline"/>
        </w:rPr>
        <w:t> </w:t>
      </w:r>
      <w:r>
        <w:rPr>
          <w:rFonts w:ascii="Times New Roman" w:hAnsi="Times New Roman"/>
          <w:sz w:val="20"/>
          <w:vertAlign w:val="baseline"/>
        </w:rPr>
        <w:t>“The</w:t>
      </w:r>
      <w:r>
        <w:rPr>
          <w:rFonts w:ascii="Times New Roman" w:hAnsi="Times New Roman"/>
          <w:spacing w:val="-5"/>
          <w:sz w:val="20"/>
          <w:vertAlign w:val="baseline"/>
        </w:rPr>
        <w:t> </w:t>
      </w:r>
      <w:r>
        <w:rPr>
          <w:rFonts w:ascii="Times New Roman" w:hAnsi="Times New Roman"/>
          <w:sz w:val="20"/>
          <w:vertAlign w:val="baseline"/>
        </w:rPr>
        <w:t>Nature</w:t>
      </w:r>
      <w:r>
        <w:rPr>
          <w:rFonts w:ascii="Times New Roman" w:hAnsi="Times New Roman"/>
          <w:spacing w:val="-5"/>
          <w:sz w:val="20"/>
          <w:vertAlign w:val="baseline"/>
        </w:rPr>
        <w:t> </w:t>
      </w:r>
      <w:r>
        <w:rPr>
          <w:rFonts w:ascii="Times New Roman" w:hAnsi="Times New Roman"/>
          <w:sz w:val="20"/>
          <w:vertAlign w:val="baseline"/>
        </w:rPr>
        <w:t>of</w:t>
      </w:r>
      <w:r>
        <w:rPr>
          <w:rFonts w:ascii="Times New Roman" w:hAnsi="Times New Roman"/>
          <w:spacing w:val="-5"/>
          <w:sz w:val="20"/>
          <w:vertAlign w:val="baseline"/>
        </w:rPr>
        <w:t> </w:t>
      </w:r>
      <w:r>
        <w:rPr>
          <w:rFonts w:ascii="Times New Roman" w:hAnsi="Times New Roman"/>
          <w:sz w:val="20"/>
          <w:vertAlign w:val="baseline"/>
        </w:rPr>
        <w:t>Pain</w:t>
      </w:r>
      <w:r>
        <w:rPr>
          <w:rFonts w:ascii="Times New Roman" w:hAnsi="Times New Roman"/>
          <w:spacing w:val="-3"/>
          <w:sz w:val="20"/>
          <w:vertAlign w:val="baseline"/>
        </w:rPr>
        <w:t> </w:t>
      </w:r>
      <w:r>
        <w:rPr>
          <w:rFonts w:ascii="Times New Roman" w:hAnsi="Times New Roman"/>
          <w:sz w:val="20"/>
          <w:vertAlign w:val="baseline"/>
        </w:rPr>
        <w:t>and</w:t>
      </w:r>
      <w:r>
        <w:rPr>
          <w:rFonts w:ascii="Times New Roman" w:hAnsi="Times New Roman"/>
          <w:spacing w:val="-2"/>
          <w:sz w:val="20"/>
          <w:vertAlign w:val="baseline"/>
        </w:rPr>
        <w:t> </w:t>
      </w:r>
      <w:r>
        <w:rPr>
          <w:rFonts w:ascii="Times New Roman" w:hAnsi="Times New Roman"/>
          <w:sz w:val="20"/>
          <w:vertAlign w:val="baseline"/>
        </w:rPr>
        <w:t>Suffering”</w:t>
      </w:r>
      <w:r>
        <w:rPr>
          <w:rFonts w:ascii="Times New Roman" w:hAnsi="Times New Roman"/>
          <w:spacing w:val="-9"/>
          <w:sz w:val="20"/>
          <w:vertAlign w:val="baseline"/>
        </w:rPr>
        <w:t> </w:t>
      </w:r>
      <w:r>
        <w:rPr>
          <w:rFonts w:ascii="Times New Roman" w:hAnsi="Times New Roman"/>
          <w:sz w:val="20"/>
          <w:vertAlign w:val="baseline"/>
        </w:rPr>
        <w:t>TRIAL</w:t>
      </w:r>
      <w:r>
        <w:rPr>
          <w:rFonts w:ascii="Times New Roman" w:hAnsi="Times New Roman"/>
          <w:spacing w:val="-5"/>
          <w:sz w:val="20"/>
          <w:vertAlign w:val="baseline"/>
        </w:rPr>
        <w:t> </w:t>
      </w:r>
      <w:r>
        <w:rPr>
          <w:rFonts w:ascii="Times New Roman" w:hAnsi="Times New Roman"/>
          <w:sz w:val="20"/>
          <w:vertAlign w:val="baseline"/>
        </w:rPr>
        <w:t>(1977)</w:t>
      </w:r>
      <w:r>
        <w:rPr>
          <w:rFonts w:ascii="Times New Roman" w:hAnsi="Times New Roman"/>
          <w:spacing w:val="-6"/>
          <w:sz w:val="20"/>
          <w:vertAlign w:val="baseline"/>
        </w:rPr>
        <w:t> </w:t>
      </w:r>
      <w:r>
        <w:rPr>
          <w:rFonts w:ascii="Times New Roman" w:hAnsi="Times New Roman"/>
          <w:sz w:val="20"/>
          <w:vertAlign w:val="baseline"/>
        </w:rPr>
        <w:t>13,</w:t>
      </w:r>
      <w:r>
        <w:rPr>
          <w:rFonts w:ascii="Times New Roman" w:hAnsi="Times New Roman"/>
          <w:spacing w:val="-4"/>
          <w:sz w:val="20"/>
          <w:vertAlign w:val="baseline"/>
        </w:rPr>
        <w:t> </w:t>
      </w:r>
      <w:r>
        <w:rPr>
          <w:rFonts w:ascii="Times New Roman" w:hAnsi="Times New Roman"/>
          <w:sz w:val="20"/>
          <w:vertAlign w:val="baseline"/>
        </w:rPr>
        <w:t>pp.</w:t>
      </w:r>
      <w:r>
        <w:rPr>
          <w:rFonts w:ascii="Times New Roman" w:hAnsi="Times New Roman"/>
          <w:spacing w:val="-4"/>
          <w:sz w:val="20"/>
          <w:vertAlign w:val="baseline"/>
        </w:rPr>
        <w:t> </w:t>
      </w:r>
      <w:r>
        <w:rPr>
          <w:rFonts w:ascii="Times New Roman" w:hAnsi="Times New Roman"/>
          <w:sz w:val="20"/>
          <w:vertAlign w:val="baseline"/>
        </w:rPr>
        <w:t>21,</w:t>
      </w:r>
      <w:r>
        <w:rPr>
          <w:rFonts w:ascii="Times New Roman" w:hAnsi="Times New Roman"/>
          <w:spacing w:val="-4"/>
          <w:sz w:val="20"/>
          <w:vertAlign w:val="baseline"/>
        </w:rPr>
        <w:t> </w:t>
      </w:r>
      <w:r>
        <w:rPr>
          <w:rFonts w:ascii="Times New Roman" w:hAnsi="Times New Roman"/>
          <w:spacing w:val="-5"/>
          <w:sz w:val="20"/>
          <w:vertAlign w:val="baseline"/>
        </w:rPr>
        <w:t>22</w:t>
      </w:r>
    </w:p>
    <w:p>
      <w:pPr>
        <w:spacing w:after="0"/>
        <w:jc w:val="left"/>
        <w:rPr>
          <w:rFonts w:ascii="Times New Roman" w:hAnsi="Times New Roman"/>
          <w:sz w:val="20"/>
        </w:rPr>
        <w:sectPr>
          <w:pgSz w:w="12240" w:h="15840"/>
          <w:pgMar w:header="0" w:footer="1070" w:top="1360" w:bottom="1260" w:left="1680" w:right="1320"/>
        </w:sectPr>
      </w:pPr>
    </w:p>
    <w:p>
      <w:pPr>
        <w:spacing w:line="480" w:lineRule="auto" w:before="94"/>
        <w:ind w:left="1056" w:right="120" w:firstLine="0"/>
        <w:jc w:val="both"/>
        <w:rPr>
          <w:sz w:val="25"/>
        </w:rPr>
      </w:pPr>
      <w:r>
        <w:rPr>
          <w:sz w:val="25"/>
        </w:rPr>
        <w:t>Damages.”</w:t>
      </w:r>
      <w:r>
        <w:rPr>
          <w:sz w:val="25"/>
          <w:vertAlign w:val="superscript"/>
        </w:rPr>
        <w:t>37</w:t>
      </w:r>
      <w:r>
        <w:rPr>
          <w:spacing w:val="40"/>
          <w:sz w:val="25"/>
          <w:vertAlign w:val="baseline"/>
        </w:rPr>
        <w:t> </w:t>
      </w:r>
      <w:r>
        <w:rPr>
          <w:sz w:val="25"/>
          <w:vertAlign w:val="baseline"/>
        </w:rPr>
        <w:t>Cramer dwelt on the danger of common law, awarded through litigation. Cramer’s work is however different from the research at hand because this research deals with statutory remedies under Employees Compensation Act 2010, in Nigeria. Secondly, “loss of enjoyment of life” is not a ground of compensation under the Act being studied. It may at best be an element under some of the grounds under the Act.</w:t>
      </w:r>
    </w:p>
    <w:p>
      <w:pPr>
        <w:pStyle w:val="BodyText"/>
        <w:rPr>
          <w:sz w:val="25"/>
        </w:rPr>
      </w:pPr>
    </w:p>
    <w:p>
      <w:pPr>
        <w:spacing w:line="480" w:lineRule="auto" w:before="0"/>
        <w:ind w:left="1056" w:right="118" w:firstLine="0"/>
        <w:jc w:val="both"/>
        <w:rPr>
          <w:sz w:val="25"/>
        </w:rPr>
      </w:pPr>
      <w:r>
        <w:rPr/>
        <mc:AlternateContent>
          <mc:Choice Requires="wps">
            <w:drawing>
              <wp:anchor distT="0" distB="0" distL="0" distR="0" allowOverlap="1" layoutInCell="1" locked="0" behindDoc="1" simplePos="0" relativeHeight="487601664">
                <wp:simplePos x="0" y="0"/>
                <wp:positionH relativeFrom="page">
                  <wp:posOffset>1280160</wp:posOffset>
                </wp:positionH>
                <wp:positionV relativeFrom="paragraph">
                  <wp:posOffset>4990358</wp:posOffset>
                </wp:positionV>
                <wp:extent cx="1828800" cy="6350"/>
                <wp:effectExtent l="0" t="0" r="0" b="0"/>
                <wp:wrapTopAndBottom/>
                <wp:docPr id="30" name="Graphic 30"/>
                <wp:cNvGraphicFramePr>
                  <a:graphicFrameLocks/>
                </wp:cNvGraphicFramePr>
                <a:graphic>
                  <a:graphicData uri="http://schemas.microsoft.com/office/word/2010/wordprocessingShape">
                    <wps:wsp>
                      <wps:cNvPr id="30" name="Graphic 30"/>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00.800003pt;margin-top:392.94165pt;width:144pt;height:.48pt;mso-position-horizontal-relative:page;mso-position-vertical-relative:paragraph;z-index:-15714816;mso-wrap-distance-left:0;mso-wrap-distance-right:0" id="docshape30" filled="true" fillcolor="#000000" stroked="false">
                <v:fill type="solid"/>
                <w10:wrap type="topAndBottom"/>
              </v:rect>
            </w:pict>
          </mc:Fallback>
        </mc:AlternateContent>
      </w:r>
      <w:r>
        <w:rPr>
          <w:sz w:val="25"/>
        </w:rPr>
        <w:t>Guyton, in his published article “A Brief History of Workers Compensation”</w:t>
      </w:r>
      <w:r>
        <w:rPr>
          <w:sz w:val="25"/>
          <w:vertAlign w:val="superscript"/>
        </w:rPr>
        <w:t>38</w:t>
      </w:r>
      <w:r>
        <w:rPr>
          <w:sz w:val="25"/>
          <w:vertAlign w:val="baseline"/>
        </w:rPr>
        <w:t> traced the history of compensation for bodily injury to period shortly after the advent of written history. The author gave a</w:t>
      </w:r>
      <w:r>
        <w:rPr>
          <w:spacing w:val="40"/>
          <w:sz w:val="25"/>
          <w:vertAlign w:val="baseline"/>
        </w:rPr>
        <w:t> </w:t>
      </w:r>
      <w:r>
        <w:rPr>
          <w:sz w:val="25"/>
          <w:vertAlign w:val="baseline"/>
        </w:rPr>
        <w:t>lucid account of compensation in antiquity to modern times and posited that the law on compensation for bodily injury has evolved over time. The author discussed some modern features of American modern scheme of compensation similar to the present day Employees’ Compensation Act in Nigeria. He said workers’ compensation law</w:t>
      </w:r>
      <w:r>
        <w:rPr>
          <w:spacing w:val="40"/>
          <w:sz w:val="25"/>
          <w:vertAlign w:val="baseline"/>
        </w:rPr>
        <w:t> </w:t>
      </w:r>
      <w:r>
        <w:rPr>
          <w:sz w:val="25"/>
          <w:vertAlign w:val="baseline"/>
        </w:rPr>
        <w:t>remains one of the relative success stories of American legislation. According to the author, its three critical benefits remain. “First, the employer gets tort relief. Second, the employee gets a relatively quick, equitable and predicable no-fault compensation scheme. Finally, the system</w:t>
      </w:r>
      <w:r>
        <w:rPr>
          <w:spacing w:val="18"/>
          <w:sz w:val="25"/>
          <w:vertAlign w:val="baseline"/>
        </w:rPr>
        <w:t> </w:t>
      </w:r>
      <w:r>
        <w:rPr>
          <w:sz w:val="25"/>
          <w:vertAlign w:val="baseline"/>
        </w:rPr>
        <w:t>carries</w:t>
      </w:r>
      <w:r>
        <w:rPr>
          <w:spacing w:val="16"/>
          <w:sz w:val="25"/>
          <w:vertAlign w:val="baseline"/>
        </w:rPr>
        <w:t> </w:t>
      </w:r>
      <w:r>
        <w:rPr>
          <w:sz w:val="25"/>
          <w:vertAlign w:val="baseline"/>
        </w:rPr>
        <w:t>an</w:t>
      </w:r>
      <w:r>
        <w:rPr>
          <w:spacing w:val="16"/>
          <w:sz w:val="25"/>
          <w:vertAlign w:val="baseline"/>
        </w:rPr>
        <w:t> </w:t>
      </w:r>
      <w:r>
        <w:rPr>
          <w:sz w:val="25"/>
          <w:vertAlign w:val="baseline"/>
        </w:rPr>
        <w:t>intrinsic</w:t>
      </w:r>
      <w:r>
        <w:rPr>
          <w:spacing w:val="17"/>
          <w:sz w:val="25"/>
          <w:vertAlign w:val="baseline"/>
        </w:rPr>
        <w:t> </w:t>
      </w:r>
      <w:r>
        <w:rPr>
          <w:sz w:val="25"/>
          <w:vertAlign w:val="baseline"/>
        </w:rPr>
        <w:t>incentive</w:t>
      </w:r>
      <w:r>
        <w:rPr>
          <w:spacing w:val="15"/>
          <w:sz w:val="25"/>
          <w:vertAlign w:val="baseline"/>
        </w:rPr>
        <w:t> </w:t>
      </w:r>
      <w:r>
        <w:rPr>
          <w:sz w:val="25"/>
          <w:vertAlign w:val="baseline"/>
        </w:rPr>
        <w:t>toward</w:t>
      </w:r>
      <w:r>
        <w:rPr>
          <w:spacing w:val="22"/>
          <w:sz w:val="25"/>
          <w:vertAlign w:val="baseline"/>
        </w:rPr>
        <w:t> </w:t>
      </w:r>
      <w:r>
        <w:rPr>
          <w:sz w:val="25"/>
          <w:vertAlign w:val="baseline"/>
        </w:rPr>
        <w:t>rehabilitation</w:t>
      </w:r>
      <w:r>
        <w:rPr>
          <w:spacing w:val="17"/>
          <w:sz w:val="25"/>
          <w:vertAlign w:val="baseline"/>
        </w:rPr>
        <w:t> </w:t>
      </w:r>
      <w:r>
        <w:rPr>
          <w:sz w:val="25"/>
          <w:vertAlign w:val="baseline"/>
        </w:rPr>
        <w:t>of</w:t>
      </w:r>
      <w:r>
        <w:rPr>
          <w:spacing w:val="18"/>
          <w:sz w:val="25"/>
          <w:vertAlign w:val="baseline"/>
        </w:rPr>
        <w:t> </w:t>
      </w:r>
      <w:r>
        <w:rPr>
          <w:sz w:val="25"/>
          <w:vertAlign w:val="baseline"/>
        </w:rPr>
        <w:t>the</w:t>
      </w:r>
      <w:r>
        <w:rPr>
          <w:spacing w:val="15"/>
          <w:sz w:val="25"/>
          <w:vertAlign w:val="baseline"/>
        </w:rPr>
        <w:t> </w:t>
      </w:r>
      <w:r>
        <w:rPr>
          <w:spacing w:val="-2"/>
          <w:sz w:val="25"/>
          <w:vertAlign w:val="baseline"/>
        </w:rPr>
        <w:t>injured</w:t>
      </w:r>
    </w:p>
    <w:p>
      <w:pPr>
        <w:spacing w:before="101"/>
        <w:ind w:left="335" w:right="0" w:firstLine="0"/>
        <w:jc w:val="left"/>
        <w:rPr>
          <w:rFonts w:ascii="Times New Roman" w:hAnsi="Times New Roman"/>
          <w:sz w:val="20"/>
        </w:rPr>
      </w:pPr>
      <w:r>
        <w:rPr>
          <w:rFonts w:ascii="Times New Roman" w:hAnsi="Times New Roman"/>
          <w:sz w:val="20"/>
          <w:vertAlign w:val="superscript"/>
        </w:rPr>
        <w:t>37</w:t>
      </w:r>
      <w:r>
        <w:rPr>
          <w:rFonts w:ascii="Times New Roman" w:hAnsi="Times New Roman"/>
          <w:sz w:val="20"/>
          <w:vertAlign w:val="baseline"/>
        </w:rPr>
        <w:t> Cramer,</w:t>
      </w:r>
      <w:r>
        <w:rPr>
          <w:rFonts w:ascii="Times New Roman" w:hAnsi="Times New Roman"/>
          <w:spacing w:val="-4"/>
          <w:sz w:val="20"/>
          <w:vertAlign w:val="baseline"/>
        </w:rPr>
        <w:t> </w:t>
      </w:r>
      <w:r>
        <w:rPr>
          <w:rFonts w:ascii="Times New Roman" w:hAnsi="Times New Roman"/>
          <w:sz w:val="20"/>
          <w:vertAlign w:val="baseline"/>
        </w:rPr>
        <w:t>C.R.</w:t>
      </w:r>
      <w:r>
        <w:rPr>
          <w:rFonts w:ascii="Times New Roman" w:hAnsi="Times New Roman"/>
          <w:spacing w:val="1"/>
          <w:sz w:val="20"/>
          <w:vertAlign w:val="baseline"/>
        </w:rPr>
        <w:t> </w:t>
      </w:r>
      <w:r>
        <w:rPr>
          <w:rFonts w:ascii="Times New Roman" w:hAnsi="Times New Roman"/>
          <w:sz w:val="20"/>
          <w:vertAlign w:val="baseline"/>
        </w:rPr>
        <w:t>“Loss</w:t>
      </w:r>
      <w:r>
        <w:rPr>
          <w:rFonts w:ascii="Times New Roman" w:hAnsi="Times New Roman"/>
          <w:spacing w:val="-4"/>
          <w:sz w:val="20"/>
          <w:vertAlign w:val="baseline"/>
        </w:rPr>
        <w:t> </w:t>
      </w:r>
      <w:r>
        <w:rPr>
          <w:rFonts w:ascii="Times New Roman" w:hAnsi="Times New Roman"/>
          <w:sz w:val="20"/>
          <w:vertAlign w:val="baseline"/>
        </w:rPr>
        <w:t>of</w:t>
      </w:r>
      <w:r>
        <w:rPr>
          <w:rFonts w:ascii="Times New Roman" w:hAnsi="Times New Roman"/>
          <w:spacing w:val="-6"/>
          <w:sz w:val="20"/>
          <w:vertAlign w:val="baseline"/>
        </w:rPr>
        <w:t> </w:t>
      </w:r>
      <w:r>
        <w:rPr>
          <w:rFonts w:ascii="Times New Roman" w:hAnsi="Times New Roman"/>
          <w:sz w:val="20"/>
          <w:vertAlign w:val="baseline"/>
        </w:rPr>
        <w:t>Enjoyment</w:t>
      </w:r>
      <w:r>
        <w:rPr>
          <w:rFonts w:ascii="Times New Roman" w:hAnsi="Times New Roman"/>
          <w:spacing w:val="-4"/>
          <w:sz w:val="20"/>
          <w:vertAlign w:val="baseline"/>
        </w:rPr>
        <w:t> </w:t>
      </w:r>
      <w:r>
        <w:rPr>
          <w:rFonts w:ascii="Times New Roman" w:hAnsi="Times New Roman"/>
          <w:sz w:val="20"/>
          <w:vertAlign w:val="baseline"/>
        </w:rPr>
        <w:t>as</w:t>
      </w:r>
      <w:r>
        <w:rPr>
          <w:rFonts w:ascii="Times New Roman" w:hAnsi="Times New Roman"/>
          <w:spacing w:val="-4"/>
          <w:sz w:val="20"/>
          <w:vertAlign w:val="baseline"/>
        </w:rPr>
        <w:t> </w:t>
      </w:r>
      <w:r>
        <w:rPr>
          <w:rFonts w:ascii="Times New Roman" w:hAnsi="Times New Roman"/>
          <w:sz w:val="20"/>
          <w:vertAlign w:val="baseline"/>
        </w:rPr>
        <w:t>a</w:t>
      </w:r>
      <w:r>
        <w:rPr>
          <w:rFonts w:ascii="Times New Roman" w:hAnsi="Times New Roman"/>
          <w:spacing w:val="-5"/>
          <w:sz w:val="20"/>
          <w:vertAlign w:val="baseline"/>
        </w:rPr>
        <w:t> </w:t>
      </w:r>
      <w:r>
        <w:rPr>
          <w:rFonts w:ascii="Times New Roman" w:hAnsi="Times New Roman"/>
          <w:sz w:val="20"/>
          <w:vertAlign w:val="baseline"/>
        </w:rPr>
        <w:t>Separate</w:t>
      </w:r>
      <w:r>
        <w:rPr>
          <w:rFonts w:ascii="Times New Roman" w:hAnsi="Times New Roman"/>
          <w:spacing w:val="-8"/>
          <w:sz w:val="20"/>
          <w:vertAlign w:val="baseline"/>
        </w:rPr>
        <w:t> </w:t>
      </w:r>
      <w:r>
        <w:rPr>
          <w:rFonts w:ascii="Times New Roman" w:hAnsi="Times New Roman"/>
          <w:sz w:val="20"/>
          <w:vertAlign w:val="baseline"/>
        </w:rPr>
        <w:t>Element</w:t>
      </w:r>
      <w:r>
        <w:rPr>
          <w:rFonts w:ascii="Times New Roman" w:hAnsi="Times New Roman"/>
          <w:spacing w:val="-5"/>
          <w:sz w:val="20"/>
          <w:vertAlign w:val="baseline"/>
        </w:rPr>
        <w:t> </w:t>
      </w:r>
      <w:r>
        <w:rPr>
          <w:rFonts w:ascii="Times New Roman" w:hAnsi="Times New Roman"/>
          <w:sz w:val="20"/>
          <w:vertAlign w:val="baseline"/>
        </w:rPr>
        <w:t>of</w:t>
      </w:r>
      <w:r>
        <w:rPr>
          <w:rFonts w:ascii="Times New Roman" w:hAnsi="Times New Roman"/>
          <w:spacing w:val="-6"/>
          <w:sz w:val="20"/>
          <w:vertAlign w:val="baseline"/>
        </w:rPr>
        <w:t> </w:t>
      </w:r>
      <w:r>
        <w:rPr>
          <w:rFonts w:ascii="Times New Roman" w:hAnsi="Times New Roman"/>
          <w:sz w:val="20"/>
          <w:vertAlign w:val="baseline"/>
        </w:rPr>
        <w:t>Damages”</w:t>
      </w:r>
      <w:r>
        <w:rPr>
          <w:rFonts w:ascii="Times New Roman" w:hAnsi="Times New Roman"/>
          <w:spacing w:val="-1"/>
          <w:sz w:val="20"/>
          <w:vertAlign w:val="baseline"/>
        </w:rPr>
        <w:t> </w:t>
      </w:r>
      <w:r>
        <w:rPr>
          <w:rFonts w:ascii="Times New Roman" w:hAnsi="Times New Roman"/>
          <w:sz w:val="20"/>
          <w:vertAlign w:val="baseline"/>
        </w:rPr>
        <w:t>PAC</w:t>
      </w:r>
      <w:r>
        <w:rPr>
          <w:rFonts w:ascii="Times New Roman" w:hAnsi="Times New Roman"/>
          <w:spacing w:val="-5"/>
          <w:sz w:val="20"/>
          <w:vertAlign w:val="baseline"/>
        </w:rPr>
        <w:t> </w:t>
      </w:r>
      <w:r>
        <w:rPr>
          <w:rFonts w:ascii="Times New Roman" w:hAnsi="Times New Roman"/>
          <w:sz w:val="20"/>
          <w:vertAlign w:val="baseline"/>
        </w:rPr>
        <w:t>L.J.</w:t>
      </w:r>
      <w:r>
        <w:rPr>
          <w:rFonts w:ascii="Times New Roman" w:hAnsi="Times New Roman"/>
          <w:spacing w:val="-4"/>
          <w:sz w:val="20"/>
          <w:vertAlign w:val="baseline"/>
        </w:rPr>
        <w:t> </w:t>
      </w:r>
      <w:r>
        <w:rPr>
          <w:rFonts w:ascii="Times New Roman" w:hAnsi="Times New Roman"/>
          <w:sz w:val="20"/>
          <w:vertAlign w:val="baseline"/>
        </w:rPr>
        <w:t>(1981)</w:t>
      </w:r>
      <w:r>
        <w:rPr>
          <w:rFonts w:ascii="Times New Roman" w:hAnsi="Times New Roman"/>
          <w:spacing w:val="-3"/>
          <w:sz w:val="20"/>
          <w:vertAlign w:val="baseline"/>
        </w:rPr>
        <w:t> </w:t>
      </w:r>
      <w:r>
        <w:rPr>
          <w:rFonts w:ascii="Times New Roman" w:hAnsi="Times New Roman"/>
          <w:sz w:val="20"/>
          <w:vertAlign w:val="baseline"/>
        </w:rPr>
        <w:t>12</w:t>
      </w:r>
      <w:r>
        <w:rPr>
          <w:rFonts w:ascii="Times New Roman" w:hAnsi="Times New Roman"/>
          <w:spacing w:val="-2"/>
          <w:sz w:val="20"/>
          <w:vertAlign w:val="baseline"/>
        </w:rPr>
        <w:t> </w:t>
      </w:r>
      <w:r>
        <w:rPr>
          <w:rFonts w:ascii="Times New Roman" w:hAnsi="Times New Roman"/>
          <w:sz w:val="20"/>
          <w:vertAlign w:val="baseline"/>
        </w:rPr>
        <w:t>pp.</w:t>
      </w:r>
      <w:r>
        <w:rPr>
          <w:rFonts w:ascii="Times New Roman" w:hAnsi="Times New Roman"/>
          <w:spacing w:val="-4"/>
          <w:sz w:val="20"/>
          <w:vertAlign w:val="baseline"/>
        </w:rPr>
        <w:t> </w:t>
      </w:r>
      <w:r>
        <w:rPr>
          <w:rFonts w:ascii="Times New Roman" w:hAnsi="Times New Roman"/>
          <w:sz w:val="20"/>
          <w:vertAlign w:val="baseline"/>
        </w:rPr>
        <w:t>965</w:t>
      </w:r>
      <w:r>
        <w:rPr>
          <w:rFonts w:ascii="Times New Roman" w:hAnsi="Times New Roman"/>
          <w:spacing w:val="-6"/>
          <w:sz w:val="20"/>
          <w:vertAlign w:val="baseline"/>
        </w:rPr>
        <w:t> </w:t>
      </w:r>
      <w:r>
        <w:rPr>
          <w:rFonts w:ascii="Times New Roman" w:hAnsi="Times New Roman"/>
          <w:sz w:val="20"/>
          <w:vertAlign w:val="baseline"/>
        </w:rPr>
        <w:t>–</w:t>
      </w:r>
      <w:r>
        <w:rPr>
          <w:rFonts w:ascii="Times New Roman" w:hAnsi="Times New Roman"/>
          <w:spacing w:val="-6"/>
          <w:sz w:val="20"/>
          <w:vertAlign w:val="baseline"/>
        </w:rPr>
        <w:t> </w:t>
      </w:r>
      <w:r>
        <w:rPr>
          <w:rFonts w:ascii="Times New Roman" w:hAnsi="Times New Roman"/>
          <w:spacing w:val="-5"/>
          <w:sz w:val="20"/>
          <w:vertAlign w:val="baseline"/>
        </w:rPr>
        <w:t>972</w:t>
      </w:r>
    </w:p>
    <w:p>
      <w:pPr>
        <w:spacing w:before="0"/>
        <w:ind w:left="335" w:right="0" w:firstLine="0"/>
        <w:jc w:val="left"/>
        <w:rPr>
          <w:rFonts w:ascii="Times New Roman"/>
          <w:i/>
          <w:sz w:val="20"/>
        </w:rPr>
      </w:pPr>
      <w:r>
        <w:rPr>
          <w:rFonts w:ascii="Times New Roman"/>
          <w:sz w:val="20"/>
          <w:vertAlign w:val="superscript"/>
        </w:rPr>
        <w:t>38</w:t>
      </w:r>
      <w:r>
        <w:rPr>
          <w:rFonts w:ascii="Times New Roman"/>
          <w:spacing w:val="50"/>
          <w:sz w:val="20"/>
          <w:vertAlign w:val="baseline"/>
        </w:rPr>
        <w:t> </w:t>
      </w:r>
      <w:r>
        <w:rPr>
          <w:rFonts w:ascii="Times New Roman"/>
          <w:sz w:val="20"/>
          <w:vertAlign w:val="baseline"/>
        </w:rPr>
        <w:t>Guyton</w:t>
      </w:r>
      <w:r>
        <w:rPr>
          <w:rFonts w:ascii="Times New Roman"/>
          <w:spacing w:val="3"/>
          <w:sz w:val="20"/>
          <w:vertAlign w:val="baseline"/>
        </w:rPr>
        <w:t> </w:t>
      </w:r>
      <w:r>
        <w:rPr>
          <w:rFonts w:ascii="Times New Roman"/>
          <w:sz w:val="20"/>
          <w:vertAlign w:val="baseline"/>
        </w:rPr>
        <w:t>,</w:t>
      </w:r>
      <w:r>
        <w:rPr>
          <w:rFonts w:ascii="Times New Roman"/>
          <w:spacing w:val="-4"/>
          <w:sz w:val="20"/>
          <w:vertAlign w:val="baseline"/>
        </w:rPr>
        <w:t> </w:t>
      </w:r>
      <w:r>
        <w:rPr>
          <w:rFonts w:ascii="Times New Roman"/>
          <w:sz w:val="20"/>
          <w:vertAlign w:val="baseline"/>
        </w:rPr>
        <w:t>G.P.</w:t>
      </w:r>
      <w:r>
        <w:rPr>
          <w:rFonts w:ascii="Times New Roman"/>
          <w:spacing w:val="-3"/>
          <w:sz w:val="20"/>
          <w:vertAlign w:val="baseline"/>
        </w:rPr>
        <w:t> </w:t>
      </w:r>
      <w:r>
        <w:rPr>
          <w:rFonts w:ascii="Times New Roman"/>
          <w:i/>
          <w:sz w:val="20"/>
          <w:vertAlign w:val="baseline"/>
        </w:rPr>
        <w:t>op</w:t>
      </w:r>
      <w:r>
        <w:rPr>
          <w:rFonts w:ascii="Times New Roman"/>
          <w:i/>
          <w:spacing w:val="-6"/>
          <w:sz w:val="20"/>
          <w:vertAlign w:val="baseline"/>
        </w:rPr>
        <w:t> </w:t>
      </w:r>
      <w:r>
        <w:rPr>
          <w:rFonts w:ascii="Times New Roman"/>
          <w:i/>
          <w:spacing w:val="-5"/>
          <w:sz w:val="20"/>
          <w:vertAlign w:val="baseline"/>
        </w:rPr>
        <w:t>cit</w:t>
      </w:r>
    </w:p>
    <w:p>
      <w:pPr>
        <w:spacing w:after="0"/>
        <w:jc w:val="left"/>
        <w:rPr>
          <w:rFonts w:ascii="Times New Roman"/>
          <w:sz w:val="20"/>
        </w:rPr>
        <w:sectPr>
          <w:pgSz w:w="12240" w:h="15840"/>
          <w:pgMar w:header="0" w:footer="1070" w:top="1340" w:bottom="1260" w:left="1680" w:right="1320"/>
        </w:sectPr>
      </w:pPr>
    </w:p>
    <w:p>
      <w:pPr>
        <w:spacing w:line="480" w:lineRule="auto" w:before="74"/>
        <w:ind w:left="1056" w:right="124" w:firstLine="0"/>
        <w:jc w:val="both"/>
        <w:rPr>
          <w:sz w:val="25"/>
        </w:rPr>
      </w:pPr>
      <w:r>
        <w:rPr>
          <w:sz w:val="25"/>
        </w:rPr>
        <w:t>worker.” Guyton’s discourse was not on the Nigerian scheme hence the need to appraise the employees’ compensation under the present legislation on compensation for work related injuries and death in </w:t>
      </w:r>
      <w:r>
        <w:rPr>
          <w:spacing w:val="-2"/>
          <w:sz w:val="25"/>
        </w:rPr>
        <w:t>Nigeria.</w:t>
      </w:r>
    </w:p>
    <w:p>
      <w:pPr>
        <w:pStyle w:val="Heading1"/>
        <w:numPr>
          <w:ilvl w:val="1"/>
          <w:numId w:val="8"/>
        </w:numPr>
        <w:tabs>
          <w:tab w:pos="1053" w:val="left" w:leader="none"/>
        </w:tabs>
        <w:spacing w:line="240" w:lineRule="auto" w:before="1" w:after="0"/>
        <w:ind w:left="1053" w:right="0" w:hanging="718"/>
        <w:jc w:val="both"/>
      </w:pPr>
      <w:bookmarkStart w:name="_TOC_250021" w:id="9"/>
      <w:r>
        <w:rPr/>
        <w:t>Organisational</w:t>
      </w:r>
      <w:r>
        <w:rPr>
          <w:spacing w:val="-11"/>
        </w:rPr>
        <w:t> </w:t>
      </w:r>
      <w:r>
        <w:rPr/>
        <w:t>Structure</w:t>
      </w:r>
      <w:r>
        <w:rPr>
          <w:spacing w:val="-10"/>
        </w:rPr>
        <w:t> </w:t>
      </w:r>
      <w:r>
        <w:rPr/>
        <w:t>of</w:t>
      </w:r>
      <w:r>
        <w:rPr>
          <w:spacing w:val="-11"/>
        </w:rPr>
        <w:t> </w:t>
      </w:r>
      <w:r>
        <w:rPr/>
        <w:t>the</w:t>
      </w:r>
      <w:r>
        <w:rPr>
          <w:spacing w:val="-11"/>
        </w:rPr>
        <w:t> </w:t>
      </w:r>
      <w:bookmarkEnd w:id="9"/>
      <w:r>
        <w:rPr>
          <w:spacing w:val="-2"/>
        </w:rPr>
        <w:t>Research</w:t>
      </w:r>
    </w:p>
    <w:p>
      <w:pPr>
        <w:pStyle w:val="BodyText"/>
        <w:spacing w:before="1"/>
        <w:rPr>
          <w:b/>
          <w:sz w:val="25"/>
        </w:rPr>
      </w:pPr>
    </w:p>
    <w:p>
      <w:pPr>
        <w:spacing w:line="477" w:lineRule="auto" w:before="0"/>
        <w:ind w:left="1056" w:right="125" w:firstLine="0"/>
        <w:jc w:val="both"/>
        <w:rPr>
          <w:sz w:val="25"/>
        </w:rPr>
      </w:pPr>
      <w:r>
        <w:rPr>
          <w:sz w:val="25"/>
        </w:rPr>
        <w:t>This research titled “An Appraisal of Employees’ Compensation under Nigerian Law” is divided into five chapters.</w:t>
      </w:r>
    </w:p>
    <w:p>
      <w:pPr>
        <w:pStyle w:val="BodyText"/>
        <w:spacing w:before="4"/>
        <w:rPr>
          <w:sz w:val="25"/>
        </w:rPr>
      </w:pPr>
    </w:p>
    <w:p>
      <w:pPr>
        <w:spacing w:line="480" w:lineRule="auto" w:before="0"/>
        <w:ind w:left="1056" w:right="123" w:firstLine="0"/>
        <w:jc w:val="both"/>
        <w:rPr>
          <w:sz w:val="25"/>
        </w:rPr>
      </w:pPr>
      <w:r>
        <w:rPr>
          <w:sz w:val="25"/>
        </w:rPr>
        <w:t>Chapter one introduces the work segmented into background of the study, problem of the research, aims and objectives of the research, the scope of the research, literature review in the area of the research and justification for the research.</w:t>
      </w:r>
    </w:p>
    <w:p>
      <w:pPr>
        <w:pStyle w:val="BodyText"/>
        <w:spacing w:before="1"/>
        <w:rPr>
          <w:sz w:val="25"/>
        </w:rPr>
      </w:pPr>
    </w:p>
    <w:p>
      <w:pPr>
        <w:spacing w:line="480" w:lineRule="auto" w:before="0"/>
        <w:ind w:left="1056" w:right="121" w:firstLine="0"/>
        <w:jc w:val="both"/>
        <w:rPr>
          <w:sz w:val="25"/>
        </w:rPr>
      </w:pPr>
      <w:r>
        <w:rPr>
          <w:sz w:val="25"/>
        </w:rPr>
        <w:t>The second chapter deals with the analysis of the history, nature and scope of the employees’ compensation in Nigeria. The items considered here are the overview of the evolution of employees’ compensation, the meaning and nature of employees’ compensation under the Nigerian</w:t>
      </w:r>
      <w:r>
        <w:rPr>
          <w:spacing w:val="40"/>
          <w:sz w:val="25"/>
        </w:rPr>
        <w:t> </w:t>
      </w:r>
      <w:r>
        <w:rPr>
          <w:sz w:val="25"/>
        </w:rPr>
        <w:t>law, the scope and application of the Act.</w:t>
      </w:r>
    </w:p>
    <w:p>
      <w:pPr>
        <w:spacing w:before="300"/>
        <w:ind w:left="1056" w:right="117" w:firstLine="0"/>
        <w:jc w:val="both"/>
        <w:rPr>
          <w:sz w:val="25"/>
        </w:rPr>
      </w:pPr>
      <w:r>
        <w:rPr>
          <w:sz w:val="25"/>
        </w:rPr>
        <w:t>Chapter three, deals with the analysis of the legal framework for employees’ compensation in Nigeria. The items considered are the grounds and scales of compensation and also the concept of vocational rehabilitation. The grounds here are mental stress, injury, hearing impairment, occupational disease and death. The scales for compensation are the scale of compensation for temporary partial disability,</w:t>
      </w:r>
      <w:r>
        <w:rPr>
          <w:spacing w:val="32"/>
          <w:sz w:val="25"/>
        </w:rPr>
        <w:t> </w:t>
      </w:r>
      <w:r>
        <w:rPr>
          <w:sz w:val="25"/>
        </w:rPr>
        <w:t>the</w:t>
      </w:r>
      <w:r>
        <w:rPr>
          <w:spacing w:val="32"/>
          <w:sz w:val="25"/>
        </w:rPr>
        <w:t> </w:t>
      </w:r>
      <w:r>
        <w:rPr>
          <w:sz w:val="25"/>
        </w:rPr>
        <w:t>scale</w:t>
      </w:r>
      <w:r>
        <w:rPr>
          <w:spacing w:val="31"/>
          <w:sz w:val="25"/>
        </w:rPr>
        <w:t> </w:t>
      </w:r>
      <w:r>
        <w:rPr>
          <w:sz w:val="25"/>
        </w:rPr>
        <w:t>of</w:t>
      </w:r>
      <w:r>
        <w:rPr>
          <w:spacing w:val="33"/>
          <w:sz w:val="25"/>
        </w:rPr>
        <w:t> </w:t>
      </w:r>
      <w:r>
        <w:rPr>
          <w:sz w:val="25"/>
        </w:rPr>
        <w:t>compensation</w:t>
      </w:r>
      <w:r>
        <w:rPr>
          <w:spacing w:val="32"/>
          <w:sz w:val="25"/>
        </w:rPr>
        <w:t> </w:t>
      </w:r>
      <w:r>
        <w:rPr>
          <w:sz w:val="25"/>
        </w:rPr>
        <w:t>for</w:t>
      </w:r>
      <w:r>
        <w:rPr>
          <w:spacing w:val="33"/>
          <w:sz w:val="25"/>
        </w:rPr>
        <w:t> </w:t>
      </w:r>
      <w:r>
        <w:rPr>
          <w:sz w:val="25"/>
        </w:rPr>
        <w:t>temporary</w:t>
      </w:r>
      <w:r>
        <w:rPr>
          <w:spacing w:val="33"/>
          <w:sz w:val="25"/>
        </w:rPr>
        <w:t> </w:t>
      </w:r>
      <w:r>
        <w:rPr>
          <w:sz w:val="25"/>
        </w:rPr>
        <w:t>total</w:t>
      </w:r>
      <w:r>
        <w:rPr>
          <w:spacing w:val="33"/>
          <w:sz w:val="25"/>
        </w:rPr>
        <w:t> </w:t>
      </w:r>
      <w:r>
        <w:rPr>
          <w:sz w:val="25"/>
        </w:rPr>
        <w:t>disability,</w:t>
      </w:r>
      <w:r>
        <w:rPr>
          <w:spacing w:val="33"/>
          <w:sz w:val="25"/>
        </w:rPr>
        <w:t> </w:t>
      </w:r>
      <w:r>
        <w:rPr>
          <w:spacing w:val="-5"/>
          <w:sz w:val="25"/>
        </w:rPr>
        <w:t>the</w:t>
      </w:r>
    </w:p>
    <w:p>
      <w:pPr>
        <w:spacing w:after="0"/>
        <w:jc w:val="both"/>
        <w:rPr>
          <w:sz w:val="25"/>
        </w:rPr>
        <w:sectPr>
          <w:pgSz w:w="12240" w:h="15840"/>
          <w:pgMar w:header="0" w:footer="1070" w:top="1360" w:bottom="1260" w:left="1680" w:right="1320"/>
        </w:sectPr>
      </w:pPr>
    </w:p>
    <w:p>
      <w:pPr>
        <w:spacing w:line="240" w:lineRule="auto" w:before="74"/>
        <w:ind w:left="1056" w:right="123" w:firstLine="0"/>
        <w:jc w:val="both"/>
        <w:rPr>
          <w:sz w:val="25"/>
        </w:rPr>
      </w:pPr>
      <w:r>
        <w:rPr>
          <w:sz w:val="25"/>
        </w:rPr>
        <w:t>scale of compensation for permanent partial disability or disfigurement, scale of compensation for permanent total disability, scale of compensation relating to enemy warlike actions and scale of compensation in fatal cases. The procedures for claim of employees’ compensation are also considered here.</w:t>
      </w:r>
    </w:p>
    <w:p>
      <w:pPr>
        <w:spacing w:line="480" w:lineRule="auto" w:before="301"/>
        <w:ind w:left="1056" w:right="119" w:firstLine="0"/>
        <w:jc w:val="both"/>
        <w:rPr>
          <w:sz w:val="25"/>
        </w:rPr>
      </w:pPr>
      <w:r>
        <w:rPr>
          <w:sz w:val="25"/>
        </w:rPr>
        <w:t>The processes are employees’ notification of injury, employers’</w:t>
      </w:r>
      <w:r>
        <w:rPr>
          <w:spacing w:val="40"/>
          <w:sz w:val="25"/>
        </w:rPr>
        <w:t> </w:t>
      </w:r>
      <w:r>
        <w:rPr>
          <w:sz w:val="25"/>
        </w:rPr>
        <w:t>obligation to report death, injury or disease, application for compensation, limitation of action, subrogation, indemnity, and right of </w:t>
      </w:r>
      <w:r>
        <w:rPr>
          <w:spacing w:val="-2"/>
          <w:sz w:val="25"/>
        </w:rPr>
        <w:t>appeal.</w:t>
      </w:r>
    </w:p>
    <w:p>
      <w:pPr>
        <w:pStyle w:val="BodyText"/>
        <w:spacing w:before="1"/>
        <w:rPr>
          <w:sz w:val="25"/>
        </w:rPr>
      </w:pPr>
    </w:p>
    <w:p>
      <w:pPr>
        <w:spacing w:line="480" w:lineRule="auto" w:before="0"/>
        <w:ind w:left="1056" w:right="124" w:firstLine="0"/>
        <w:jc w:val="both"/>
        <w:rPr>
          <w:sz w:val="25"/>
        </w:rPr>
      </w:pPr>
      <w:r>
        <w:rPr>
          <w:sz w:val="25"/>
        </w:rPr>
        <w:t>The fourth chapter is on the challenges of employees’ compensation in Nigeria. The data gotten by way of interview from the Board are presented and</w:t>
      </w:r>
      <w:r>
        <w:rPr>
          <w:spacing w:val="-2"/>
          <w:sz w:val="25"/>
        </w:rPr>
        <w:t> </w:t>
      </w:r>
      <w:r>
        <w:rPr>
          <w:sz w:val="25"/>
        </w:rPr>
        <w:t>analysed</w:t>
      </w:r>
      <w:r>
        <w:rPr>
          <w:spacing w:val="-2"/>
          <w:sz w:val="25"/>
        </w:rPr>
        <w:t> </w:t>
      </w:r>
      <w:r>
        <w:rPr>
          <w:sz w:val="25"/>
        </w:rPr>
        <w:t>with</w:t>
      </w:r>
      <w:r>
        <w:rPr>
          <w:spacing w:val="-3"/>
          <w:sz w:val="25"/>
        </w:rPr>
        <w:t> </w:t>
      </w:r>
      <w:r>
        <w:rPr>
          <w:sz w:val="25"/>
        </w:rPr>
        <w:t>a</w:t>
      </w:r>
      <w:r>
        <w:rPr>
          <w:spacing w:val="-4"/>
          <w:sz w:val="25"/>
        </w:rPr>
        <w:t> </w:t>
      </w:r>
      <w:r>
        <w:rPr>
          <w:sz w:val="25"/>
        </w:rPr>
        <w:t>view to</w:t>
      </w:r>
      <w:r>
        <w:rPr>
          <w:spacing w:val="-4"/>
          <w:sz w:val="25"/>
        </w:rPr>
        <w:t> </w:t>
      </w:r>
      <w:r>
        <w:rPr>
          <w:sz w:val="25"/>
        </w:rPr>
        <w:t>drawing</w:t>
      </w:r>
      <w:r>
        <w:rPr>
          <w:spacing w:val="-2"/>
          <w:sz w:val="25"/>
        </w:rPr>
        <w:t> </w:t>
      </w:r>
      <w:r>
        <w:rPr>
          <w:sz w:val="25"/>
        </w:rPr>
        <w:t>conclusions.</w:t>
      </w:r>
      <w:r>
        <w:rPr>
          <w:spacing w:val="-2"/>
          <w:sz w:val="25"/>
        </w:rPr>
        <w:t> </w:t>
      </w:r>
      <w:r>
        <w:rPr>
          <w:sz w:val="25"/>
        </w:rPr>
        <w:t>The chapter also discusses some practical challenges relating to awareness and implementation in the Nigeria.</w:t>
      </w:r>
    </w:p>
    <w:p>
      <w:pPr>
        <w:pStyle w:val="BodyText"/>
        <w:spacing w:before="2"/>
        <w:rPr>
          <w:sz w:val="25"/>
        </w:rPr>
      </w:pPr>
    </w:p>
    <w:p>
      <w:pPr>
        <w:spacing w:line="480" w:lineRule="auto" w:before="0"/>
        <w:ind w:left="1056" w:right="122" w:firstLine="0"/>
        <w:jc w:val="both"/>
        <w:rPr>
          <w:sz w:val="25"/>
        </w:rPr>
      </w:pPr>
      <w:r>
        <w:rPr>
          <w:sz w:val="25"/>
        </w:rPr>
        <w:t>The fifth chapter concludes the research with summary, findings and recommendations. The elements here are drawn from the general appreciation of the employees’ compensation scheme in Nigeria.</w:t>
      </w:r>
    </w:p>
    <w:p>
      <w:pPr>
        <w:spacing w:after="0" w:line="480" w:lineRule="auto"/>
        <w:jc w:val="both"/>
        <w:rPr>
          <w:sz w:val="25"/>
        </w:rPr>
        <w:sectPr>
          <w:pgSz w:w="12240" w:h="15840"/>
          <w:pgMar w:header="0" w:footer="1070" w:top="1360" w:bottom="1260" w:left="1680" w:right="1320"/>
        </w:sectPr>
      </w:pPr>
    </w:p>
    <w:p>
      <w:pPr>
        <w:pStyle w:val="Heading2"/>
        <w:spacing w:before="94"/>
        <w:ind w:left="0" w:right="379"/>
        <w:jc w:val="center"/>
      </w:pPr>
      <w:r>
        <w:rPr/>
        <w:t>CHAPTER</w:t>
      </w:r>
      <w:r>
        <w:rPr>
          <w:spacing w:val="12"/>
        </w:rPr>
        <w:t> </w:t>
      </w:r>
      <w:r>
        <w:rPr>
          <w:spacing w:val="-5"/>
        </w:rPr>
        <w:t>TWO</w:t>
      </w:r>
    </w:p>
    <w:p>
      <w:pPr>
        <w:pStyle w:val="BodyText"/>
        <w:spacing w:before="11"/>
        <w:rPr>
          <w:b/>
        </w:rPr>
      </w:pPr>
    </w:p>
    <w:p>
      <w:pPr>
        <w:pStyle w:val="Heading3"/>
        <w:spacing w:line="249" w:lineRule="auto"/>
        <w:ind w:left="307" w:right="688" w:firstLine="0"/>
        <w:jc w:val="center"/>
      </w:pPr>
      <w:r>
        <w:rPr/>
        <w:t>Conceptual clarifications, the History, Nature and Scope Employees’ Compensation in Nigeria</w:t>
      </w:r>
    </w:p>
    <w:p>
      <w:pPr>
        <w:pStyle w:val="BodyText"/>
        <w:rPr>
          <w:b/>
        </w:rPr>
      </w:pPr>
    </w:p>
    <w:p>
      <w:pPr>
        <w:pStyle w:val="BodyText"/>
        <w:rPr>
          <w:b/>
        </w:rPr>
      </w:pPr>
    </w:p>
    <w:p>
      <w:pPr>
        <w:pStyle w:val="ListParagraph"/>
        <w:numPr>
          <w:ilvl w:val="1"/>
          <w:numId w:val="9"/>
        </w:numPr>
        <w:tabs>
          <w:tab w:pos="863" w:val="left" w:leader="none"/>
        </w:tabs>
        <w:spacing w:line="240" w:lineRule="auto" w:before="0" w:after="0"/>
        <w:ind w:left="863" w:right="0" w:hanging="676"/>
        <w:jc w:val="left"/>
        <w:rPr>
          <w:b/>
          <w:sz w:val="23"/>
        </w:rPr>
      </w:pPr>
      <w:r>
        <w:rPr>
          <w:b/>
          <w:spacing w:val="-2"/>
          <w:sz w:val="23"/>
        </w:rPr>
        <w:t>Introduction</w:t>
      </w:r>
    </w:p>
    <w:p>
      <w:pPr>
        <w:pStyle w:val="BodyText"/>
        <w:spacing w:before="16"/>
        <w:rPr>
          <w:b/>
        </w:rPr>
      </w:pPr>
    </w:p>
    <w:p>
      <w:pPr>
        <w:pStyle w:val="BodyText"/>
        <w:spacing w:line="489" w:lineRule="auto"/>
        <w:ind w:left="864" w:right="569"/>
        <w:jc w:val="both"/>
      </w:pPr>
      <w:r>
        <w:rPr/>
        <w:t>This chapter explains the history, nature and scope of employees’ compensation</w:t>
      </w:r>
      <w:r>
        <w:rPr>
          <w:spacing w:val="40"/>
        </w:rPr>
        <w:t> </w:t>
      </w:r>
      <w:r>
        <w:rPr/>
        <w:t>in</w:t>
      </w:r>
      <w:r>
        <w:rPr>
          <w:spacing w:val="40"/>
        </w:rPr>
        <w:t> </w:t>
      </w:r>
      <w:r>
        <w:rPr/>
        <w:t>Nigeria.</w:t>
      </w:r>
      <w:r>
        <w:rPr>
          <w:spacing w:val="40"/>
        </w:rPr>
        <w:t> </w:t>
      </w:r>
      <w:r>
        <w:rPr/>
        <w:t>The</w:t>
      </w:r>
      <w:r>
        <w:rPr>
          <w:spacing w:val="40"/>
        </w:rPr>
        <w:t> </w:t>
      </w:r>
      <w:r>
        <w:rPr/>
        <w:t>items</w:t>
      </w:r>
      <w:r>
        <w:rPr>
          <w:spacing w:val="40"/>
        </w:rPr>
        <w:t> </w:t>
      </w:r>
      <w:r>
        <w:rPr/>
        <w:t>considered</w:t>
      </w:r>
      <w:r>
        <w:rPr>
          <w:spacing w:val="40"/>
        </w:rPr>
        <w:t> </w:t>
      </w:r>
      <w:r>
        <w:rPr/>
        <w:t>here</w:t>
      </w:r>
      <w:r>
        <w:rPr>
          <w:spacing w:val="40"/>
        </w:rPr>
        <w:t> </w:t>
      </w:r>
      <w:r>
        <w:rPr/>
        <w:t>are</w:t>
      </w:r>
      <w:r>
        <w:rPr>
          <w:spacing w:val="40"/>
        </w:rPr>
        <w:t> </w:t>
      </w:r>
      <w:r>
        <w:rPr/>
        <w:t>the</w:t>
      </w:r>
      <w:r>
        <w:rPr>
          <w:spacing w:val="40"/>
        </w:rPr>
        <w:t> </w:t>
      </w:r>
      <w:r>
        <w:rPr/>
        <w:t>overview</w:t>
      </w:r>
      <w:r>
        <w:rPr>
          <w:spacing w:val="40"/>
        </w:rPr>
        <w:t> </w:t>
      </w:r>
      <w:r>
        <w:rPr/>
        <w:t>of the evolution of employees’ compensation scheme, the objectives, scope</w:t>
      </w:r>
      <w:r>
        <w:rPr>
          <w:spacing w:val="40"/>
        </w:rPr>
        <w:t> </w:t>
      </w:r>
      <w:r>
        <w:rPr/>
        <w:t>and application of</w:t>
      </w:r>
      <w:r>
        <w:rPr>
          <w:spacing w:val="40"/>
        </w:rPr>
        <w:t> </w:t>
      </w:r>
      <w:r>
        <w:rPr/>
        <w:t>employees’ compensation in Nigeria including the meanings of some concepts/terms namely, compensation, employer and employee under the Act.</w:t>
      </w:r>
    </w:p>
    <w:p>
      <w:pPr>
        <w:pStyle w:val="BodyText"/>
        <w:spacing w:before="10"/>
      </w:pPr>
    </w:p>
    <w:p>
      <w:pPr>
        <w:pStyle w:val="Heading3"/>
        <w:numPr>
          <w:ilvl w:val="1"/>
          <w:numId w:val="9"/>
        </w:numPr>
        <w:tabs>
          <w:tab w:pos="621" w:val="left" w:leader="none"/>
        </w:tabs>
        <w:spacing w:line="240" w:lineRule="auto" w:before="1" w:after="0"/>
        <w:ind w:left="621" w:right="0" w:hanging="434"/>
        <w:jc w:val="left"/>
      </w:pPr>
      <w:r>
        <w:rPr/>
        <w:t>The</w:t>
      </w:r>
      <w:r>
        <w:rPr>
          <w:spacing w:val="10"/>
        </w:rPr>
        <w:t> </w:t>
      </w:r>
      <w:r>
        <w:rPr/>
        <w:t>Overview</w:t>
      </w:r>
      <w:r>
        <w:rPr>
          <w:spacing w:val="9"/>
        </w:rPr>
        <w:t> </w:t>
      </w:r>
      <w:r>
        <w:rPr/>
        <w:t>of</w:t>
      </w:r>
      <w:r>
        <w:rPr>
          <w:spacing w:val="13"/>
        </w:rPr>
        <w:t> </w:t>
      </w:r>
      <w:r>
        <w:rPr/>
        <w:t>the</w:t>
      </w:r>
      <w:r>
        <w:rPr>
          <w:spacing w:val="11"/>
        </w:rPr>
        <w:t> </w:t>
      </w:r>
      <w:r>
        <w:rPr/>
        <w:t>Evolution</w:t>
      </w:r>
      <w:r>
        <w:rPr>
          <w:spacing w:val="5"/>
        </w:rPr>
        <w:t> </w:t>
      </w:r>
      <w:r>
        <w:rPr/>
        <w:t>of</w:t>
      </w:r>
      <w:r>
        <w:rPr>
          <w:spacing w:val="13"/>
        </w:rPr>
        <w:t> </w:t>
      </w:r>
      <w:r>
        <w:rPr/>
        <w:t>Employees’</w:t>
      </w:r>
      <w:r>
        <w:rPr>
          <w:spacing w:val="3"/>
        </w:rPr>
        <w:t> </w:t>
      </w:r>
      <w:r>
        <w:rPr>
          <w:spacing w:val="-2"/>
        </w:rPr>
        <w:t>Compensation</w:t>
      </w:r>
    </w:p>
    <w:p>
      <w:pPr>
        <w:pStyle w:val="BodyText"/>
        <w:spacing w:before="11"/>
        <w:rPr>
          <w:b/>
        </w:rPr>
      </w:pPr>
    </w:p>
    <w:p>
      <w:pPr>
        <w:pStyle w:val="BodyText"/>
        <w:spacing w:line="475" w:lineRule="auto"/>
        <w:ind w:left="863" w:right="561"/>
        <w:jc w:val="both"/>
      </w:pPr>
      <w:r>
        <w:rPr/>
        <w:t>The history of compensation for injury is in phases. The first phase dates back to antiquity.</w:t>
      </w:r>
      <w:r>
        <w:rPr>
          <w:vertAlign w:val="superscript"/>
        </w:rPr>
        <w:t>1</w:t>
      </w:r>
      <w:r>
        <w:rPr>
          <w:vertAlign w:val="baseline"/>
        </w:rPr>
        <w:t> The history of compensation for bodily injury began shortly after the advent of written history itself.</w:t>
      </w:r>
      <w:r>
        <w:rPr>
          <w:vertAlign w:val="superscript"/>
        </w:rPr>
        <w:t>2</w:t>
      </w:r>
      <w:r>
        <w:rPr>
          <w:vertAlign w:val="baseline"/>
        </w:rPr>
        <w:t> The </w:t>
      </w:r>
      <w:r>
        <w:rPr>
          <w:rFonts w:ascii="Verdana" w:hAnsi="Verdana"/>
          <w:i/>
          <w:sz w:val="24"/>
          <w:vertAlign w:val="baseline"/>
        </w:rPr>
        <w:t>Nappur </w:t>
      </w:r>
      <w:r>
        <w:rPr>
          <w:vertAlign w:val="baseline"/>
        </w:rPr>
        <w:t>Tablet No. 3191 from ancient| </w:t>
      </w:r>
      <w:r>
        <w:rPr>
          <w:rFonts w:ascii="Verdana" w:hAnsi="Verdana"/>
          <w:i/>
          <w:sz w:val="24"/>
          <w:vertAlign w:val="baseline"/>
        </w:rPr>
        <w:t>Sumeria </w:t>
      </w:r>
      <w:r>
        <w:rPr>
          <w:vertAlign w:val="baseline"/>
        </w:rPr>
        <w:t>in the fertile crescent, outlines the law of Ur- </w:t>
      </w:r>
      <w:r>
        <w:rPr>
          <w:rFonts w:ascii="Verdana" w:hAnsi="Verdana"/>
          <w:i/>
          <w:sz w:val="24"/>
          <w:vertAlign w:val="baseline"/>
        </w:rPr>
        <w:t>Nammu</w:t>
      </w:r>
      <w:r>
        <w:rPr>
          <w:vertAlign w:val="baseline"/>
        </w:rPr>
        <w:t>, king of the city state of </w:t>
      </w:r>
      <w:r>
        <w:rPr>
          <w:rFonts w:ascii="Verdana" w:hAnsi="Verdana"/>
          <w:i/>
          <w:sz w:val="24"/>
          <w:vertAlign w:val="baseline"/>
        </w:rPr>
        <w:t>Ur</w:t>
      </w:r>
      <w:r>
        <w:rPr>
          <w:vertAlign w:val="baseline"/>
        </w:rPr>
        <w:t>.</w:t>
      </w:r>
      <w:r>
        <w:rPr>
          <w:vertAlign w:val="superscript"/>
        </w:rPr>
        <w:t>3</w:t>
      </w:r>
      <w:r>
        <w:rPr>
          <w:vertAlign w:val="baseline"/>
        </w:rPr>
        <w:t> It dates to approximately 2050 BC.</w:t>
      </w:r>
      <w:r>
        <w:rPr>
          <w:vertAlign w:val="superscript"/>
        </w:rPr>
        <w:t>4</w:t>
      </w:r>
      <w:r>
        <w:rPr>
          <w:vertAlign w:val="baseline"/>
        </w:rPr>
        <w:t> The law of </w:t>
      </w:r>
      <w:r>
        <w:rPr>
          <w:rFonts w:ascii="Verdana" w:hAnsi="Verdana"/>
          <w:i/>
          <w:sz w:val="24"/>
          <w:vertAlign w:val="baseline"/>
        </w:rPr>
        <w:t>Ur </w:t>
      </w:r>
      <w:r>
        <w:rPr>
          <w:vertAlign w:val="baseline"/>
        </w:rPr>
        <w:t>provided compensation for specific injury to workers’ body parts,</w:t>
      </w:r>
      <w:r>
        <w:rPr>
          <w:spacing w:val="-6"/>
          <w:vertAlign w:val="baseline"/>
        </w:rPr>
        <w:t> </w:t>
      </w:r>
      <w:r>
        <w:rPr>
          <w:vertAlign w:val="baseline"/>
        </w:rPr>
        <w:t>including</w:t>
      </w:r>
      <w:r>
        <w:rPr>
          <w:spacing w:val="-7"/>
          <w:vertAlign w:val="baseline"/>
        </w:rPr>
        <w:t> </w:t>
      </w:r>
      <w:r>
        <w:rPr>
          <w:vertAlign w:val="baseline"/>
        </w:rPr>
        <w:t>fracture.</w:t>
      </w:r>
      <w:r>
        <w:rPr>
          <w:spacing w:val="-6"/>
          <w:vertAlign w:val="baseline"/>
        </w:rPr>
        <w:t> </w:t>
      </w:r>
      <w:r>
        <w:rPr>
          <w:vertAlign w:val="baseline"/>
        </w:rPr>
        <w:t>The</w:t>
      </w:r>
      <w:r>
        <w:rPr>
          <w:spacing w:val="-10"/>
          <w:vertAlign w:val="baseline"/>
        </w:rPr>
        <w:t> </w:t>
      </w:r>
      <w:r>
        <w:rPr>
          <w:vertAlign w:val="baseline"/>
        </w:rPr>
        <w:t>code</w:t>
      </w:r>
      <w:r>
        <w:rPr>
          <w:spacing w:val="-10"/>
          <w:vertAlign w:val="baseline"/>
        </w:rPr>
        <w:t> </w:t>
      </w:r>
      <w:r>
        <w:rPr>
          <w:vertAlign w:val="baseline"/>
        </w:rPr>
        <w:t>of</w:t>
      </w:r>
      <w:r>
        <w:rPr>
          <w:spacing w:val="-2"/>
          <w:vertAlign w:val="baseline"/>
        </w:rPr>
        <w:t> </w:t>
      </w:r>
      <w:r>
        <w:rPr>
          <w:rFonts w:ascii="Verdana" w:hAnsi="Verdana"/>
          <w:i/>
          <w:sz w:val="24"/>
          <w:vertAlign w:val="baseline"/>
        </w:rPr>
        <w:t>Hammurabi</w:t>
      </w:r>
      <w:r>
        <w:rPr>
          <w:rFonts w:ascii="Verdana" w:hAnsi="Verdana"/>
          <w:i/>
          <w:spacing w:val="-19"/>
          <w:sz w:val="24"/>
          <w:vertAlign w:val="baseline"/>
        </w:rPr>
        <w:t> </w:t>
      </w:r>
      <w:r>
        <w:rPr>
          <w:vertAlign w:val="baseline"/>
        </w:rPr>
        <w:t>from</w:t>
      </w:r>
      <w:r>
        <w:rPr>
          <w:spacing w:val="-7"/>
          <w:vertAlign w:val="baseline"/>
        </w:rPr>
        <w:t> </w:t>
      </w:r>
      <w:r>
        <w:rPr>
          <w:vertAlign w:val="baseline"/>
        </w:rPr>
        <w:t>1750</w:t>
      </w:r>
      <w:r>
        <w:rPr>
          <w:spacing w:val="-10"/>
          <w:vertAlign w:val="baseline"/>
        </w:rPr>
        <w:t> </w:t>
      </w:r>
      <w:r>
        <w:rPr>
          <w:vertAlign w:val="baseline"/>
        </w:rPr>
        <w:t>BC</w:t>
      </w:r>
      <w:r>
        <w:rPr>
          <w:spacing w:val="-8"/>
          <w:vertAlign w:val="baseline"/>
        </w:rPr>
        <w:t> </w:t>
      </w:r>
      <w:r>
        <w:rPr>
          <w:vertAlign w:val="baseline"/>
        </w:rPr>
        <w:t>provided</w:t>
      </w:r>
      <w:r>
        <w:rPr>
          <w:spacing w:val="-7"/>
          <w:vertAlign w:val="baseline"/>
        </w:rPr>
        <w:t> </w:t>
      </w:r>
      <w:r>
        <w:rPr>
          <w:vertAlign w:val="baseline"/>
        </w:rPr>
        <w:t>a similar set of rewards for specific injuries and their implied permanent impairments.</w:t>
      </w:r>
      <w:r>
        <w:rPr>
          <w:vertAlign w:val="superscript"/>
        </w:rPr>
        <w:t>5</w:t>
      </w:r>
      <w:r>
        <w:rPr>
          <w:spacing w:val="75"/>
          <w:w w:val="150"/>
          <w:vertAlign w:val="baseline"/>
        </w:rPr>
        <w:t> </w:t>
      </w:r>
      <w:r>
        <w:rPr>
          <w:vertAlign w:val="baseline"/>
        </w:rPr>
        <w:t>Workers’</w:t>
      </w:r>
      <w:r>
        <w:rPr>
          <w:spacing w:val="79"/>
          <w:w w:val="150"/>
          <w:vertAlign w:val="baseline"/>
        </w:rPr>
        <w:t> </w:t>
      </w:r>
      <w:r>
        <w:rPr>
          <w:vertAlign w:val="baseline"/>
        </w:rPr>
        <w:t>compensation</w:t>
      </w:r>
      <w:r>
        <w:rPr>
          <w:spacing w:val="74"/>
          <w:w w:val="150"/>
          <w:vertAlign w:val="baseline"/>
        </w:rPr>
        <w:t> </w:t>
      </w:r>
      <w:r>
        <w:rPr>
          <w:vertAlign w:val="baseline"/>
        </w:rPr>
        <w:t>laws</w:t>
      </w:r>
      <w:r>
        <w:rPr>
          <w:spacing w:val="80"/>
          <w:vertAlign w:val="baseline"/>
        </w:rPr>
        <w:t> </w:t>
      </w:r>
      <w:r>
        <w:rPr>
          <w:vertAlign w:val="baseline"/>
        </w:rPr>
        <w:t>have</w:t>
      </w:r>
      <w:r>
        <w:rPr>
          <w:spacing w:val="80"/>
          <w:vertAlign w:val="baseline"/>
        </w:rPr>
        <w:t> </w:t>
      </w:r>
      <w:r>
        <w:rPr>
          <w:vertAlign w:val="baseline"/>
        </w:rPr>
        <w:t>been</w:t>
      </w:r>
      <w:r>
        <w:rPr>
          <w:spacing w:val="74"/>
          <w:w w:val="150"/>
          <w:vertAlign w:val="baseline"/>
        </w:rPr>
        <w:t> </w:t>
      </w:r>
      <w:r>
        <w:rPr>
          <w:vertAlign w:val="baseline"/>
        </w:rPr>
        <w:t>recognised</w:t>
      </w:r>
      <w:r>
        <w:rPr>
          <w:spacing w:val="75"/>
          <w:w w:val="150"/>
          <w:vertAlign w:val="baseline"/>
        </w:rPr>
        <w:t> </w:t>
      </w:r>
      <w:r>
        <w:rPr>
          <w:vertAlign w:val="baseline"/>
        </w:rPr>
        <w:t>for</w:t>
      </w:r>
    </w:p>
    <w:p>
      <w:pPr>
        <w:pStyle w:val="BodyText"/>
        <w:spacing w:before="43"/>
        <w:rPr>
          <w:sz w:val="20"/>
        </w:rPr>
      </w:pPr>
      <w:r>
        <w:rPr/>
        <mc:AlternateContent>
          <mc:Choice Requires="wps">
            <w:drawing>
              <wp:anchor distT="0" distB="0" distL="0" distR="0" allowOverlap="1" layoutInCell="1" locked="0" behindDoc="1" simplePos="0" relativeHeight="487602176">
                <wp:simplePos x="0" y="0"/>
                <wp:positionH relativeFrom="page">
                  <wp:posOffset>1185672</wp:posOffset>
                </wp:positionH>
                <wp:positionV relativeFrom="paragraph">
                  <wp:posOffset>195967</wp:posOffset>
                </wp:positionV>
                <wp:extent cx="1719580" cy="6350"/>
                <wp:effectExtent l="0" t="0" r="0" b="0"/>
                <wp:wrapTopAndBottom/>
                <wp:docPr id="32" name="Graphic 32"/>
                <wp:cNvGraphicFramePr>
                  <a:graphicFrameLocks/>
                </wp:cNvGraphicFramePr>
                <a:graphic>
                  <a:graphicData uri="http://schemas.microsoft.com/office/word/2010/wordprocessingShape">
                    <wps:wsp>
                      <wps:cNvPr id="32" name="Graphic 32"/>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5.430508pt;width:135.360pt;height:.48pt;mso-position-horizontal-relative:page;mso-position-vertical-relative:paragraph;z-index:-15714304;mso-wrap-distance-left:0;mso-wrap-distance-right:0" id="docshape32" filled="true" fillcolor="#000000" stroked="false">
                <v:fill type="solid"/>
                <w10:wrap type="topAndBottom"/>
              </v:rect>
            </w:pict>
          </mc:Fallback>
        </mc:AlternateContent>
      </w:r>
    </w:p>
    <w:p>
      <w:pPr>
        <w:spacing w:line="215" w:lineRule="exact" w:before="101"/>
        <w:ind w:left="187" w:right="0" w:firstLine="0"/>
        <w:jc w:val="left"/>
        <w:rPr>
          <w:rFonts w:ascii="Times New Roman"/>
          <w:sz w:val="19"/>
        </w:rPr>
      </w:pPr>
      <w:r>
        <w:rPr>
          <w:rFonts w:ascii="Times New Roman"/>
          <w:sz w:val="19"/>
          <w:vertAlign w:val="superscript"/>
        </w:rPr>
        <w:t>1</w:t>
      </w:r>
      <w:r>
        <w:rPr>
          <w:rFonts w:ascii="Times New Roman"/>
          <w:spacing w:val="-10"/>
          <w:sz w:val="19"/>
          <w:vertAlign w:val="baseline"/>
        </w:rPr>
        <w:t> </w:t>
      </w:r>
      <w:r>
        <w:rPr>
          <w:rFonts w:ascii="Times New Roman"/>
          <w:sz w:val="19"/>
          <w:vertAlign w:val="baseline"/>
        </w:rPr>
        <w:t>Kramer,</w:t>
      </w:r>
      <w:r>
        <w:rPr>
          <w:rFonts w:ascii="Times New Roman"/>
          <w:spacing w:val="-7"/>
          <w:sz w:val="19"/>
          <w:vertAlign w:val="baseline"/>
        </w:rPr>
        <w:t> </w:t>
      </w:r>
      <w:r>
        <w:rPr>
          <w:rFonts w:ascii="Times New Roman"/>
          <w:sz w:val="19"/>
          <w:vertAlign w:val="baseline"/>
        </w:rPr>
        <w:t>S.N.</w:t>
      </w:r>
      <w:r>
        <w:rPr>
          <w:rFonts w:ascii="Times New Roman"/>
          <w:spacing w:val="-9"/>
          <w:sz w:val="19"/>
          <w:vertAlign w:val="baseline"/>
        </w:rPr>
        <w:t> </w:t>
      </w:r>
      <w:r>
        <w:rPr>
          <w:rFonts w:ascii="Times New Roman"/>
          <w:sz w:val="19"/>
          <w:u w:val="single"/>
          <w:vertAlign w:val="baseline"/>
        </w:rPr>
        <w:t>History</w:t>
      </w:r>
      <w:r>
        <w:rPr>
          <w:rFonts w:ascii="Times New Roman"/>
          <w:spacing w:val="-12"/>
          <w:sz w:val="19"/>
          <w:u w:val="single"/>
          <w:vertAlign w:val="baseline"/>
        </w:rPr>
        <w:t> </w:t>
      </w:r>
      <w:r>
        <w:rPr>
          <w:rFonts w:ascii="Times New Roman"/>
          <w:sz w:val="19"/>
          <w:u w:val="single"/>
          <w:vertAlign w:val="baseline"/>
        </w:rPr>
        <w:t>Begins</w:t>
      </w:r>
      <w:r>
        <w:rPr>
          <w:rFonts w:ascii="Times New Roman"/>
          <w:spacing w:val="-10"/>
          <w:sz w:val="19"/>
          <w:u w:val="single"/>
          <w:vertAlign w:val="baseline"/>
        </w:rPr>
        <w:t> </w:t>
      </w:r>
      <w:r>
        <w:rPr>
          <w:rFonts w:ascii="Times New Roman"/>
          <w:sz w:val="19"/>
          <w:u w:val="single"/>
          <w:vertAlign w:val="baseline"/>
        </w:rPr>
        <w:t>at</w:t>
      </w:r>
      <w:r>
        <w:rPr>
          <w:rFonts w:ascii="Times New Roman"/>
          <w:spacing w:val="-12"/>
          <w:sz w:val="19"/>
          <w:u w:val="single"/>
          <w:vertAlign w:val="baseline"/>
        </w:rPr>
        <w:t> </w:t>
      </w:r>
      <w:r>
        <w:rPr>
          <w:rFonts w:ascii="Times New Roman"/>
          <w:sz w:val="19"/>
          <w:u w:val="single"/>
          <w:vertAlign w:val="baseline"/>
        </w:rPr>
        <w:t>Sumer,</w:t>
      </w:r>
      <w:r>
        <w:rPr>
          <w:rFonts w:ascii="Times New Roman"/>
          <w:spacing w:val="-7"/>
          <w:sz w:val="19"/>
          <w:vertAlign w:val="baseline"/>
        </w:rPr>
        <w:t> </w:t>
      </w:r>
      <w:r>
        <w:rPr>
          <w:rFonts w:ascii="Times New Roman"/>
          <w:sz w:val="19"/>
          <w:vertAlign w:val="baseline"/>
        </w:rPr>
        <w:t>Thames</w:t>
      </w:r>
      <w:r>
        <w:rPr>
          <w:rFonts w:ascii="Times New Roman"/>
          <w:spacing w:val="-12"/>
          <w:sz w:val="19"/>
          <w:vertAlign w:val="baseline"/>
        </w:rPr>
        <w:t> </w:t>
      </w:r>
      <w:r>
        <w:rPr>
          <w:rFonts w:ascii="Times New Roman"/>
          <w:sz w:val="19"/>
          <w:vertAlign w:val="baseline"/>
        </w:rPr>
        <w:t>and</w:t>
      </w:r>
      <w:r>
        <w:rPr>
          <w:rFonts w:ascii="Times New Roman"/>
          <w:spacing w:val="-11"/>
          <w:sz w:val="19"/>
          <w:vertAlign w:val="baseline"/>
        </w:rPr>
        <w:t> </w:t>
      </w:r>
      <w:r>
        <w:rPr>
          <w:rFonts w:ascii="Times New Roman"/>
          <w:sz w:val="19"/>
          <w:vertAlign w:val="baseline"/>
        </w:rPr>
        <w:t>Hudson,</w:t>
      </w:r>
      <w:r>
        <w:rPr>
          <w:rFonts w:ascii="Times New Roman"/>
          <w:spacing w:val="-4"/>
          <w:sz w:val="19"/>
          <w:vertAlign w:val="baseline"/>
        </w:rPr>
        <w:t> </w:t>
      </w:r>
      <w:r>
        <w:rPr>
          <w:rFonts w:ascii="Times New Roman"/>
          <w:sz w:val="19"/>
          <w:vertAlign w:val="baseline"/>
        </w:rPr>
        <w:t>London</w:t>
      </w:r>
      <w:r>
        <w:rPr>
          <w:rFonts w:ascii="Times New Roman"/>
          <w:spacing w:val="-4"/>
          <w:sz w:val="19"/>
          <w:vertAlign w:val="baseline"/>
        </w:rPr>
        <w:t> </w:t>
      </w:r>
      <w:r>
        <w:rPr>
          <w:rFonts w:ascii="Times New Roman"/>
          <w:sz w:val="19"/>
          <w:vertAlign w:val="baseline"/>
        </w:rPr>
        <w:t>(1958)</w:t>
      </w:r>
      <w:r>
        <w:rPr>
          <w:rFonts w:ascii="Times New Roman"/>
          <w:spacing w:val="-12"/>
          <w:sz w:val="19"/>
          <w:vertAlign w:val="baseline"/>
        </w:rPr>
        <w:t> </w:t>
      </w:r>
      <w:r>
        <w:rPr>
          <w:rFonts w:ascii="Times New Roman"/>
          <w:sz w:val="19"/>
          <w:vertAlign w:val="baseline"/>
        </w:rPr>
        <w:t>p.</w:t>
      </w:r>
      <w:r>
        <w:rPr>
          <w:rFonts w:ascii="Times New Roman"/>
          <w:spacing w:val="-7"/>
          <w:sz w:val="19"/>
          <w:vertAlign w:val="baseline"/>
        </w:rPr>
        <w:t> </w:t>
      </w:r>
      <w:r>
        <w:rPr>
          <w:rFonts w:ascii="Times New Roman"/>
          <w:spacing w:val="-5"/>
          <w:sz w:val="19"/>
          <w:vertAlign w:val="baseline"/>
        </w:rPr>
        <w:t>93</w:t>
      </w:r>
    </w:p>
    <w:p>
      <w:pPr>
        <w:spacing w:line="214" w:lineRule="exact" w:before="0"/>
        <w:ind w:left="187" w:right="0" w:firstLine="0"/>
        <w:jc w:val="left"/>
        <w:rPr>
          <w:rFonts w:ascii="Times New Roman"/>
          <w:i/>
          <w:sz w:val="19"/>
        </w:rPr>
      </w:pPr>
      <w:r>
        <w:rPr>
          <w:rFonts w:ascii="Times New Roman"/>
          <w:sz w:val="19"/>
          <w:vertAlign w:val="superscript"/>
        </w:rPr>
        <w:t>2</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4</w:t>
      </w:r>
      <w:r>
        <w:rPr>
          <w:rFonts w:ascii="Times New Roman"/>
          <w:spacing w:val="7"/>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5</w:t>
      </w:r>
      <w:r>
        <w:rPr>
          <w:rFonts w:ascii="Times New Roman"/>
          <w:spacing w:val="-4"/>
          <w:sz w:val="19"/>
          <w:vertAlign w:val="baseline"/>
        </w:rPr>
        <w:t> </w:t>
      </w:r>
      <w:r>
        <w:rPr>
          <w:rFonts w:ascii="Times New Roman"/>
          <w:sz w:val="19"/>
          <w:vertAlign w:val="baseline"/>
        </w:rPr>
        <w:t>Guyton,</w:t>
      </w:r>
      <w:r>
        <w:rPr>
          <w:rFonts w:ascii="Times New Roman"/>
          <w:spacing w:val="-8"/>
          <w:sz w:val="19"/>
          <w:vertAlign w:val="baseline"/>
        </w:rPr>
        <w:t> </w:t>
      </w:r>
      <w:r>
        <w:rPr>
          <w:rFonts w:ascii="Times New Roman"/>
          <w:sz w:val="19"/>
          <w:vertAlign w:val="baseline"/>
        </w:rPr>
        <w:t>G.P,</w:t>
      </w:r>
      <w:r>
        <w:rPr>
          <w:rFonts w:ascii="Times New Roman"/>
          <w:spacing w:val="-5"/>
          <w:sz w:val="19"/>
          <w:vertAlign w:val="baseline"/>
        </w:rPr>
        <w:t> </w:t>
      </w:r>
      <w:r>
        <w:rPr>
          <w:rFonts w:ascii="Times New Roman"/>
          <w:i/>
          <w:sz w:val="19"/>
          <w:vertAlign w:val="baseline"/>
        </w:rPr>
        <w:t>op</w:t>
      </w:r>
      <w:r>
        <w:rPr>
          <w:rFonts w:ascii="Times New Roman"/>
          <w:i/>
          <w:spacing w:val="-8"/>
          <w:sz w:val="19"/>
          <w:vertAlign w:val="baseline"/>
        </w:rPr>
        <w:t> </w:t>
      </w:r>
      <w:r>
        <w:rPr>
          <w:rFonts w:ascii="Times New Roman"/>
          <w:i/>
          <w:spacing w:val="-5"/>
          <w:sz w:val="19"/>
          <w:vertAlign w:val="baseline"/>
        </w:rPr>
        <w:t>cit</w:t>
      </w:r>
    </w:p>
    <w:p>
      <w:pPr>
        <w:spacing w:after="0" w:line="217" w:lineRule="exact"/>
        <w:jc w:val="left"/>
        <w:rPr>
          <w:rFonts w:ascii="Times New Roman"/>
          <w:sz w:val="19"/>
        </w:rPr>
        <w:sectPr>
          <w:footerReference w:type="default" r:id="rId7"/>
          <w:pgSz w:w="12240" w:h="15840"/>
          <w:pgMar w:header="0" w:footer="1009" w:top="1260" w:bottom="1200" w:left="1680" w:right="1320"/>
        </w:sectPr>
      </w:pPr>
    </w:p>
    <w:p>
      <w:pPr>
        <w:pStyle w:val="BodyText"/>
        <w:spacing w:line="487" w:lineRule="auto" w:before="114"/>
        <w:ind w:left="864" w:right="566"/>
        <w:jc w:val="both"/>
      </w:pPr>
      <w:r>
        <w:rPr/>
        <w:t>thousands</w:t>
      </w:r>
      <w:r>
        <w:rPr>
          <w:spacing w:val="40"/>
        </w:rPr>
        <w:t> </w:t>
      </w:r>
      <w:r>
        <w:rPr/>
        <w:t>of</w:t>
      </w:r>
      <w:r>
        <w:rPr>
          <w:spacing w:val="40"/>
        </w:rPr>
        <w:t> </w:t>
      </w:r>
      <w:r>
        <w:rPr/>
        <w:t>years.</w:t>
      </w:r>
      <w:r>
        <w:rPr>
          <w:vertAlign w:val="superscript"/>
        </w:rPr>
        <w:t>6</w:t>
      </w:r>
      <w:r>
        <w:rPr>
          <w:spacing w:val="40"/>
          <w:vertAlign w:val="baseline"/>
        </w:rPr>
        <w:t> </w:t>
      </w:r>
      <w:r>
        <w:rPr>
          <w:vertAlign w:val="baseline"/>
        </w:rPr>
        <w:t>For</w:t>
      </w:r>
      <w:r>
        <w:rPr>
          <w:spacing w:val="40"/>
          <w:vertAlign w:val="baseline"/>
        </w:rPr>
        <w:t> </w:t>
      </w:r>
      <w:r>
        <w:rPr>
          <w:vertAlign w:val="baseline"/>
        </w:rPr>
        <w:t>example,</w:t>
      </w:r>
      <w:r>
        <w:rPr>
          <w:spacing w:val="40"/>
          <w:vertAlign w:val="baseline"/>
        </w:rPr>
        <w:t> </w:t>
      </w:r>
      <w:r>
        <w:rPr>
          <w:vertAlign w:val="baseline"/>
        </w:rPr>
        <w:t>ancient</w:t>
      </w:r>
      <w:r>
        <w:rPr>
          <w:spacing w:val="40"/>
          <w:vertAlign w:val="baseline"/>
        </w:rPr>
        <w:t> </w:t>
      </w:r>
      <w:r>
        <w:rPr>
          <w:vertAlign w:val="baseline"/>
        </w:rPr>
        <w:t>Greek,</w:t>
      </w:r>
      <w:r>
        <w:rPr>
          <w:spacing w:val="40"/>
          <w:vertAlign w:val="baseline"/>
        </w:rPr>
        <w:t> </w:t>
      </w:r>
      <w:r>
        <w:rPr>
          <w:vertAlign w:val="baseline"/>
        </w:rPr>
        <w:t>Roman,</w:t>
      </w:r>
      <w:r>
        <w:rPr>
          <w:spacing w:val="40"/>
          <w:vertAlign w:val="baseline"/>
        </w:rPr>
        <w:t> </w:t>
      </w:r>
      <w:r>
        <w:rPr>
          <w:vertAlign w:val="baseline"/>
        </w:rPr>
        <w:t>Arab</w:t>
      </w:r>
      <w:r>
        <w:rPr>
          <w:spacing w:val="40"/>
          <w:vertAlign w:val="baseline"/>
        </w:rPr>
        <w:t> </w:t>
      </w:r>
      <w:r>
        <w:rPr>
          <w:vertAlign w:val="baseline"/>
        </w:rPr>
        <w:t>and Chinese laws provided sets of compensation schedules, with precise payments for loss of specific body part. For example, under ancient Arab law, loss of a joint of the thumb was worth (one-half the value of a finger, the loss of penis was compensated by the amount of length lost, and the value</w:t>
      </w:r>
      <w:r>
        <w:rPr>
          <w:spacing w:val="40"/>
          <w:vertAlign w:val="baseline"/>
        </w:rPr>
        <w:t> </w:t>
      </w:r>
      <w:r>
        <w:rPr>
          <w:vertAlign w:val="baseline"/>
        </w:rPr>
        <w:t>of</w:t>
      </w:r>
      <w:r>
        <w:rPr>
          <w:spacing w:val="40"/>
          <w:vertAlign w:val="baseline"/>
        </w:rPr>
        <w:t> </w:t>
      </w:r>
      <w:r>
        <w:rPr>
          <w:vertAlign w:val="baseline"/>
        </w:rPr>
        <w:t>an</w:t>
      </w:r>
      <w:r>
        <w:rPr>
          <w:spacing w:val="40"/>
          <w:vertAlign w:val="baseline"/>
        </w:rPr>
        <w:t> </w:t>
      </w:r>
      <w:r>
        <w:rPr>
          <w:vertAlign w:val="baseline"/>
        </w:rPr>
        <w:t>ear</w:t>
      </w:r>
      <w:r>
        <w:rPr>
          <w:spacing w:val="40"/>
          <w:vertAlign w:val="baseline"/>
        </w:rPr>
        <w:t> </w:t>
      </w:r>
      <w:r>
        <w:rPr>
          <w:vertAlign w:val="baseline"/>
        </w:rPr>
        <w:t>was based</w:t>
      </w:r>
      <w:r>
        <w:rPr>
          <w:spacing w:val="40"/>
          <w:vertAlign w:val="baseline"/>
        </w:rPr>
        <w:t> </w:t>
      </w:r>
      <w:r>
        <w:rPr>
          <w:vertAlign w:val="baseline"/>
        </w:rPr>
        <w:t>on</w:t>
      </w:r>
      <w:r>
        <w:rPr>
          <w:spacing w:val="40"/>
          <w:vertAlign w:val="baseline"/>
        </w:rPr>
        <w:t> </w:t>
      </w:r>
      <w:r>
        <w:rPr>
          <w:vertAlign w:val="baseline"/>
        </w:rPr>
        <w:t>its surface area.</w:t>
      </w:r>
      <w:r>
        <w:rPr>
          <w:vertAlign w:val="superscript"/>
        </w:rPr>
        <w:t>7</w:t>
      </w:r>
      <w:r>
        <w:rPr>
          <w:spacing w:val="40"/>
          <w:vertAlign w:val="baseline"/>
        </w:rPr>
        <w:t> </w:t>
      </w:r>
      <w:r>
        <w:rPr>
          <w:vertAlign w:val="baseline"/>
        </w:rPr>
        <w:t>The compensation schedules of antiquity were gradually replaced as feudalism of the Middle Ages gradually became the primary structure of government. The often arbitrary benevolence of the feudal lord determined, what, if any, injuries garnered recompense</w:t>
      </w:r>
      <w:r>
        <w:rPr>
          <w:vertAlign w:val="superscript"/>
        </w:rPr>
        <w:t>8</w:t>
      </w:r>
      <w:r>
        <w:rPr>
          <w:vertAlign w:val="baseline"/>
        </w:rPr>
        <w:t>. The concept of compensation for the worker was bound up in the doctrine of </w:t>
      </w:r>
      <w:r>
        <w:rPr>
          <w:rFonts w:ascii="Verdana"/>
          <w:i/>
          <w:sz w:val="24"/>
          <w:vertAlign w:val="baseline"/>
        </w:rPr>
        <w:t>noblesse</w:t>
      </w:r>
      <w:r>
        <w:rPr>
          <w:rFonts w:ascii="Verdana"/>
          <w:i/>
          <w:spacing w:val="-6"/>
          <w:sz w:val="24"/>
          <w:vertAlign w:val="baseline"/>
        </w:rPr>
        <w:t> </w:t>
      </w:r>
      <w:r>
        <w:rPr>
          <w:rFonts w:ascii="Verdana"/>
          <w:i/>
          <w:sz w:val="24"/>
          <w:vertAlign w:val="baseline"/>
        </w:rPr>
        <w:t>oblige</w:t>
      </w:r>
      <w:r>
        <w:rPr>
          <w:vertAlign w:val="baseline"/>
        </w:rPr>
        <w:t>, meaning that an honourable lord</w:t>
      </w:r>
      <w:r>
        <w:rPr>
          <w:spacing w:val="40"/>
          <w:vertAlign w:val="baseline"/>
        </w:rPr>
        <w:t> </w:t>
      </w:r>
      <w:r>
        <w:rPr>
          <w:vertAlign w:val="baseline"/>
        </w:rPr>
        <w:t>will</w:t>
      </w:r>
      <w:r>
        <w:rPr>
          <w:spacing w:val="40"/>
          <w:vertAlign w:val="baseline"/>
        </w:rPr>
        <w:t> </w:t>
      </w:r>
      <w:r>
        <w:rPr>
          <w:vertAlign w:val="baseline"/>
        </w:rPr>
        <w:t>care</w:t>
      </w:r>
      <w:r>
        <w:rPr>
          <w:spacing w:val="40"/>
          <w:vertAlign w:val="baseline"/>
        </w:rPr>
        <w:t> </w:t>
      </w:r>
      <w:r>
        <w:rPr>
          <w:vertAlign w:val="baseline"/>
        </w:rPr>
        <w:t>for</w:t>
      </w:r>
      <w:r>
        <w:rPr>
          <w:spacing w:val="40"/>
          <w:vertAlign w:val="baseline"/>
        </w:rPr>
        <w:t> </w:t>
      </w:r>
      <w:r>
        <w:rPr>
          <w:vertAlign w:val="baseline"/>
        </w:rPr>
        <w:t>his</w:t>
      </w:r>
      <w:r>
        <w:rPr>
          <w:spacing w:val="40"/>
          <w:vertAlign w:val="baseline"/>
        </w:rPr>
        <w:t> </w:t>
      </w:r>
      <w:r>
        <w:rPr>
          <w:vertAlign w:val="baseline"/>
        </w:rPr>
        <w:t>injured</w:t>
      </w:r>
      <w:r>
        <w:rPr>
          <w:spacing w:val="40"/>
          <w:vertAlign w:val="baseline"/>
        </w:rPr>
        <w:t> </w:t>
      </w:r>
      <w:r>
        <w:rPr>
          <w:vertAlign w:val="baseline"/>
        </w:rPr>
        <w:t>serf.</w:t>
      </w:r>
      <w:r>
        <w:rPr>
          <w:vertAlign w:val="superscript"/>
        </w:rPr>
        <w:t>9</w:t>
      </w:r>
      <w:r>
        <w:rPr>
          <w:spacing w:val="40"/>
          <w:vertAlign w:val="baseline"/>
        </w:rPr>
        <w:t> </w:t>
      </w:r>
      <w:r>
        <w:rPr>
          <w:vertAlign w:val="baseline"/>
        </w:rPr>
        <w:t>Under</w:t>
      </w:r>
      <w:r>
        <w:rPr>
          <w:spacing w:val="40"/>
          <w:vertAlign w:val="baseline"/>
        </w:rPr>
        <w:t> </w:t>
      </w:r>
      <w:r>
        <w:rPr>
          <w:vertAlign w:val="baseline"/>
        </w:rPr>
        <w:t>feudalism,</w:t>
      </w:r>
      <w:r>
        <w:rPr>
          <w:spacing w:val="40"/>
          <w:vertAlign w:val="baseline"/>
        </w:rPr>
        <w:t> </w:t>
      </w:r>
      <w:r>
        <w:rPr>
          <w:vertAlign w:val="baseline"/>
        </w:rPr>
        <w:t>compensation</w:t>
      </w:r>
      <w:r>
        <w:rPr>
          <w:spacing w:val="40"/>
          <w:vertAlign w:val="baseline"/>
        </w:rPr>
        <w:t> </w:t>
      </w:r>
      <w:r>
        <w:rPr>
          <w:vertAlign w:val="baseline"/>
        </w:rPr>
        <w:t>for work-related injuries was at the discretion of the feudal lord.</w:t>
      </w:r>
      <w:r>
        <w:rPr>
          <w:vertAlign w:val="superscript"/>
        </w:rPr>
        <w:t>10</w:t>
      </w:r>
    </w:p>
    <w:p>
      <w:pPr>
        <w:pStyle w:val="BodyText"/>
        <w:spacing w:before="23"/>
      </w:pPr>
    </w:p>
    <w:p>
      <w:pPr>
        <w:pStyle w:val="BodyText"/>
        <w:spacing w:line="489" w:lineRule="auto"/>
        <w:ind w:left="864" w:right="562"/>
        <w:jc w:val="both"/>
      </w:pPr>
      <w:r>
        <w:rPr/>
        <w:t>The next phase of the evolution of the law on compensation for injuries at work place was the period of the development of the English Common Law and the early Industrial Revolution.</w:t>
      </w:r>
      <w:r>
        <w:rPr>
          <w:vertAlign w:val="superscript"/>
        </w:rPr>
        <w:t>11</w:t>
      </w:r>
      <w:r>
        <w:rPr>
          <w:spacing w:val="40"/>
          <w:vertAlign w:val="baseline"/>
        </w:rPr>
        <w:t> </w:t>
      </w:r>
      <w:r>
        <w:rPr>
          <w:vertAlign w:val="baseline"/>
        </w:rPr>
        <w:t>This period</w:t>
      </w:r>
      <w:r>
        <w:rPr>
          <w:spacing w:val="40"/>
          <w:vertAlign w:val="baseline"/>
        </w:rPr>
        <w:t> </w:t>
      </w:r>
      <w:r>
        <w:rPr>
          <w:vertAlign w:val="baseline"/>
        </w:rPr>
        <w:t>was in the late middle ages</w:t>
      </w:r>
      <w:r>
        <w:rPr>
          <w:spacing w:val="34"/>
          <w:vertAlign w:val="baseline"/>
        </w:rPr>
        <w:t> </w:t>
      </w:r>
      <w:r>
        <w:rPr>
          <w:vertAlign w:val="baseline"/>
        </w:rPr>
        <w:t>and</w:t>
      </w:r>
      <w:r>
        <w:rPr>
          <w:spacing w:val="33"/>
          <w:vertAlign w:val="baseline"/>
        </w:rPr>
        <w:t> </w:t>
      </w:r>
      <w:r>
        <w:rPr>
          <w:vertAlign w:val="baseline"/>
        </w:rPr>
        <w:t>renaissance</w:t>
      </w:r>
      <w:r>
        <w:rPr>
          <w:spacing w:val="36"/>
          <w:vertAlign w:val="baseline"/>
        </w:rPr>
        <w:t> </w:t>
      </w:r>
      <w:r>
        <w:rPr>
          <w:vertAlign w:val="baseline"/>
        </w:rPr>
        <w:t>and</w:t>
      </w:r>
      <w:r>
        <w:rPr>
          <w:spacing w:val="39"/>
          <w:vertAlign w:val="baseline"/>
        </w:rPr>
        <w:t> </w:t>
      </w:r>
      <w:r>
        <w:rPr>
          <w:vertAlign w:val="baseline"/>
        </w:rPr>
        <w:t>it</w:t>
      </w:r>
      <w:r>
        <w:rPr>
          <w:spacing w:val="32"/>
          <w:vertAlign w:val="baseline"/>
        </w:rPr>
        <w:t> </w:t>
      </w:r>
      <w:r>
        <w:rPr>
          <w:vertAlign w:val="baseline"/>
        </w:rPr>
        <w:t>provided</w:t>
      </w:r>
      <w:r>
        <w:rPr>
          <w:spacing w:val="39"/>
          <w:vertAlign w:val="baseline"/>
        </w:rPr>
        <w:t> </w:t>
      </w:r>
      <w:r>
        <w:rPr>
          <w:vertAlign w:val="baseline"/>
        </w:rPr>
        <w:t>the</w:t>
      </w:r>
      <w:r>
        <w:rPr>
          <w:spacing w:val="36"/>
          <w:vertAlign w:val="baseline"/>
        </w:rPr>
        <w:t> </w:t>
      </w:r>
      <w:r>
        <w:rPr>
          <w:vertAlign w:val="baseline"/>
        </w:rPr>
        <w:t>legal</w:t>
      </w:r>
      <w:r>
        <w:rPr>
          <w:spacing w:val="33"/>
          <w:vertAlign w:val="baseline"/>
        </w:rPr>
        <w:t> </w:t>
      </w:r>
      <w:r>
        <w:rPr>
          <w:vertAlign w:val="baseline"/>
        </w:rPr>
        <w:t>framework</w:t>
      </w:r>
      <w:r>
        <w:rPr>
          <w:spacing w:val="38"/>
          <w:vertAlign w:val="baseline"/>
        </w:rPr>
        <w:t> </w:t>
      </w:r>
      <w:r>
        <w:rPr>
          <w:vertAlign w:val="baseline"/>
        </w:rPr>
        <w:t>that</w:t>
      </w:r>
      <w:r>
        <w:rPr>
          <w:spacing w:val="32"/>
          <w:vertAlign w:val="baseline"/>
        </w:rPr>
        <w:t> </w:t>
      </w:r>
      <w:r>
        <w:rPr>
          <w:vertAlign w:val="baseline"/>
        </w:rPr>
        <w:t>continued up to the early industrial revolution across Europe and America.</w:t>
      </w:r>
      <w:r>
        <w:rPr>
          <w:vertAlign w:val="superscript"/>
        </w:rPr>
        <w:t>12</w:t>
      </w:r>
      <w:r>
        <w:rPr>
          <w:vertAlign w:val="baseline"/>
        </w:rPr>
        <w:t> Injured employees</w:t>
      </w:r>
      <w:r>
        <w:rPr>
          <w:spacing w:val="40"/>
          <w:vertAlign w:val="baseline"/>
        </w:rPr>
        <w:t> </w:t>
      </w:r>
      <w:r>
        <w:rPr>
          <w:vertAlign w:val="baseline"/>
        </w:rPr>
        <w:t>at</w:t>
      </w:r>
      <w:r>
        <w:rPr>
          <w:spacing w:val="40"/>
          <w:vertAlign w:val="baseline"/>
        </w:rPr>
        <w:t> </w:t>
      </w:r>
      <w:r>
        <w:rPr>
          <w:vertAlign w:val="baseline"/>
        </w:rPr>
        <w:t>work</w:t>
      </w:r>
      <w:r>
        <w:rPr>
          <w:spacing w:val="40"/>
          <w:vertAlign w:val="baseline"/>
        </w:rPr>
        <w:t> </w:t>
      </w:r>
      <w:r>
        <w:rPr>
          <w:vertAlign w:val="baseline"/>
        </w:rPr>
        <w:t>only</w:t>
      </w:r>
      <w:r>
        <w:rPr>
          <w:spacing w:val="40"/>
          <w:vertAlign w:val="baseline"/>
        </w:rPr>
        <w:t> </w:t>
      </w:r>
      <w:r>
        <w:rPr>
          <w:vertAlign w:val="baseline"/>
        </w:rPr>
        <w:t>had</w:t>
      </w:r>
      <w:r>
        <w:rPr>
          <w:spacing w:val="40"/>
          <w:vertAlign w:val="baseline"/>
        </w:rPr>
        <w:t> </w:t>
      </w:r>
      <w:r>
        <w:rPr>
          <w:vertAlign w:val="baseline"/>
        </w:rPr>
        <w:t>the</w:t>
      </w:r>
      <w:r>
        <w:rPr>
          <w:spacing w:val="40"/>
          <w:vertAlign w:val="baseline"/>
        </w:rPr>
        <w:t> </w:t>
      </w:r>
      <w:r>
        <w:rPr>
          <w:vertAlign w:val="baseline"/>
        </w:rPr>
        <w:t>option</w:t>
      </w:r>
      <w:r>
        <w:rPr>
          <w:spacing w:val="40"/>
          <w:vertAlign w:val="baseline"/>
        </w:rPr>
        <w:t> </w:t>
      </w:r>
      <w:r>
        <w:rPr>
          <w:vertAlign w:val="baseline"/>
        </w:rPr>
        <w:t>of</w:t>
      </w:r>
      <w:r>
        <w:rPr>
          <w:spacing w:val="40"/>
          <w:vertAlign w:val="baseline"/>
        </w:rPr>
        <w:t> </w:t>
      </w:r>
      <w:r>
        <w:rPr>
          <w:vertAlign w:val="baseline"/>
        </w:rPr>
        <w:t>seeking</w:t>
      </w:r>
      <w:r>
        <w:rPr>
          <w:spacing w:val="40"/>
          <w:vertAlign w:val="baseline"/>
        </w:rPr>
        <w:t> </w:t>
      </w:r>
      <w:r>
        <w:rPr>
          <w:vertAlign w:val="baseline"/>
        </w:rPr>
        <w:t>for</w:t>
      </w:r>
      <w:r>
        <w:rPr>
          <w:spacing w:val="40"/>
          <w:vertAlign w:val="baseline"/>
        </w:rPr>
        <w:t> </w:t>
      </w:r>
      <w:r>
        <w:rPr>
          <w:vertAlign w:val="baseline"/>
        </w:rPr>
        <w:t>remedy</w:t>
      </w:r>
      <w:r>
        <w:rPr>
          <w:spacing w:val="40"/>
          <w:vertAlign w:val="baseline"/>
        </w:rPr>
        <w:t> </w:t>
      </w:r>
      <w:r>
        <w:rPr>
          <w:vertAlign w:val="baseline"/>
        </w:rPr>
        <w:t>by</w:t>
      </w:r>
      <w:r>
        <w:rPr>
          <w:spacing w:val="40"/>
          <w:vertAlign w:val="baseline"/>
        </w:rPr>
        <w:t> </w:t>
      </w:r>
      <w:r>
        <w:rPr>
          <w:vertAlign w:val="baseline"/>
        </w:rPr>
        <w:t>suing</w:t>
      </w:r>
    </w:p>
    <w:p>
      <w:pPr>
        <w:pStyle w:val="BodyText"/>
        <w:spacing w:before="11"/>
        <w:rPr>
          <w:sz w:val="15"/>
        </w:rPr>
      </w:pPr>
      <w:r>
        <w:rPr/>
        <mc:AlternateContent>
          <mc:Choice Requires="wps">
            <w:drawing>
              <wp:anchor distT="0" distB="0" distL="0" distR="0" allowOverlap="1" layoutInCell="1" locked="0" behindDoc="1" simplePos="0" relativeHeight="487602688">
                <wp:simplePos x="0" y="0"/>
                <wp:positionH relativeFrom="page">
                  <wp:posOffset>1185672</wp:posOffset>
                </wp:positionH>
                <wp:positionV relativeFrom="paragraph">
                  <wp:posOffset>137467</wp:posOffset>
                </wp:positionV>
                <wp:extent cx="1719580" cy="6350"/>
                <wp:effectExtent l="0" t="0" r="0" b="0"/>
                <wp:wrapTopAndBottom/>
                <wp:docPr id="33" name="Graphic 33"/>
                <wp:cNvGraphicFramePr>
                  <a:graphicFrameLocks/>
                </wp:cNvGraphicFramePr>
                <a:graphic>
                  <a:graphicData uri="http://schemas.microsoft.com/office/word/2010/wordprocessingShape">
                    <wps:wsp>
                      <wps:cNvPr id="33" name="Graphic 3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0.8242pt;width:135.360pt;height:.48pt;mso-position-horizontal-relative:page;mso-position-vertical-relative:paragraph;z-index:-15713792;mso-wrap-distance-left:0;mso-wrap-distance-right:0" id="docshape33" filled="true" fillcolor="#000000" stroked="false">
                <v:fill type="solid"/>
                <w10:wrap type="topAndBottom"/>
              </v:rect>
            </w:pict>
          </mc:Fallback>
        </mc:AlternateContent>
      </w:r>
    </w:p>
    <w:p>
      <w:pPr>
        <w:spacing w:line="237" w:lineRule="auto" w:before="98"/>
        <w:ind w:left="187" w:right="563" w:firstLine="0"/>
        <w:jc w:val="left"/>
        <w:rPr>
          <w:rFonts w:ascii="Times New Roman" w:hAnsi="Times New Roman"/>
          <w:sz w:val="19"/>
        </w:rPr>
      </w:pPr>
      <w:r>
        <w:rPr>
          <w:rFonts w:ascii="Times New Roman" w:hAnsi="Times New Roman"/>
          <w:sz w:val="19"/>
          <w:vertAlign w:val="superscript"/>
        </w:rPr>
        <w:t>6</w:t>
      </w:r>
      <w:r>
        <w:rPr>
          <w:rFonts w:ascii="Times New Roman" w:hAnsi="Times New Roman"/>
          <w:spacing w:val="-12"/>
          <w:sz w:val="19"/>
          <w:vertAlign w:val="baseline"/>
        </w:rPr>
        <w:t> </w:t>
      </w:r>
      <w:r>
        <w:rPr>
          <w:rFonts w:ascii="Times New Roman" w:hAnsi="Times New Roman"/>
          <w:sz w:val="19"/>
          <w:vertAlign w:val="baseline"/>
        </w:rPr>
        <w:t>Jie,</w:t>
      </w:r>
      <w:r>
        <w:rPr>
          <w:rFonts w:ascii="Times New Roman" w:hAnsi="Times New Roman"/>
          <w:spacing w:val="-12"/>
          <w:sz w:val="19"/>
          <w:vertAlign w:val="baseline"/>
        </w:rPr>
        <w:t> </w:t>
      </w:r>
      <w:r>
        <w:rPr>
          <w:rFonts w:ascii="Times New Roman" w:hAnsi="Times New Roman"/>
          <w:sz w:val="19"/>
          <w:vertAlign w:val="baseline"/>
        </w:rPr>
        <w:t>W.</w:t>
      </w:r>
      <w:r>
        <w:rPr>
          <w:rFonts w:ascii="Times New Roman" w:hAnsi="Times New Roman"/>
          <w:spacing w:val="-12"/>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History</w:t>
      </w:r>
      <w:r>
        <w:rPr>
          <w:rFonts w:ascii="Times New Roman" w:hAnsi="Times New Roman"/>
          <w:spacing w:val="-12"/>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Workers’</w:t>
      </w:r>
      <w:r>
        <w:rPr>
          <w:rFonts w:ascii="Times New Roman" w:hAnsi="Times New Roman"/>
          <w:spacing w:val="-12"/>
          <w:sz w:val="19"/>
          <w:vertAlign w:val="baseline"/>
        </w:rPr>
        <w:t> </w:t>
      </w:r>
      <w:r>
        <w:rPr>
          <w:rFonts w:ascii="Times New Roman" w:hAnsi="Times New Roman"/>
          <w:sz w:val="19"/>
          <w:vertAlign w:val="baseline"/>
        </w:rPr>
        <w:t>Compensation</w:t>
      </w:r>
      <w:r>
        <w:rPr>
          <w:rFonts w:ascii="Times New Roman" w:hAnsi="Times New Roman"/>
          <w:spacing w:val="-11"/>
          <w:sz w:val="19"/>
          <w:vertAlign w:val="baseline"/>
        </w:rPr>
        <w:t> </w:t>
      </w:r>
      <w:r>
        <w:rPr>
          <w:rFonts w:ascii="Times New Roman" w:hAnsi="Times New Roman"/>
          <w:sz w:val="19"/>
          <w:vertAlign w:val="baseline"/>
        </w:rPr>
        <w:t>Laws’</w:t>
      </w:r>
      <w:r>
        <w:rPr>
          <w:rFonts w:ascii="Times New Roman" w:hAnsi="Times New Roman"/>
          <w:spacing w:val="-10"/>
          <w:sz w:val="19"/>
          <w:vertAlign w:val="baseline"/>
        </w:rPr>
        <w:t> </w:t>
      </w:r>
      <w:r>
        <w:rPr>
          <w:rFonts w:ascii="Times New Roman" w:hAnsi="Times New Roman"/>
          <w:sz w:val="19"/>
          <w:vertAlign w:val="baseline"/>
        </w:rPr>
        <w:t>_</w:t>
      </w:r>
      <w:hyperlink r:id="rId8">
        <w:r>
          <w:rPr>
            <w:rFonts w:ascii="Times New Roman" w:hAnsi="Times New Roman"/>
            <w:sz w:val="19"/>
            <w:vertAlign w:val="baseline"/>
          </w:rPr>
          <w:t>http://www.echow.com/about_5zg6716_</w:t>
        </w:r>
      </w:hyperlink>
      <w:r>
        <w:rPr>
          <w:rFonts w:ascii="Times New Roman" w:hAnsi="Times New Roman"/>
          <w:spacing w:val="-12"/>
          <w:sz w:val="19"/>
          <w:vertAlign w:val="baseline"/>
        </w:rPr>
        <w:t> </w:t>
      </w:r>
      <w:r>
        <w:rPr>
          <w:rFonts w:ascii="Times New Roman" w:hAnsi="Times New Roman"/>
          <w:sz w:val="19"/>
          <w:vertAlign w:val="baseline"/>
        </w:rPr>
        <w:t>March</w:t>
      </w:r>
      <w:r>
        <w:rPr>
          <w:rFonts w:ascii="Times New Roman" w:hAnsi="Times New Roman"/>
          <w:spacing w:val="-9"/>
          <w:sz w:val="19"/>
          <w:vertAlign w:val="baseline"/>
        </w:rPr>
        <w:t> </w:t>
      </w:r>
      <w:r>
        <w:rPr>
          <w:rFonts w:ascii="Times New Roman" w:hAnsi="Times New Roman"/>
          <w:sz w:val="19"/>
          <w:vertAlign w:val="baseline"/>
        </w:rPr>
        <w:t>24, </w:t>
      </w:r>
      <w:r>
        <w:rPr>
          <w:rFonts w:ascii="Times New Roman" w:hAnsi="Times New Roman"/>
          <w:spacing w:val="-2"/>
          <w:sz w:val="19"/>
          <w:vertAlign w:val="baseline"/>
        </w:rPr>
        <w:t>2012_</w:t>
      </w:r>
    </w:p>
    <w:p>
      <w:pPr>
        <w:spacing w:line="217" w:lineRule="exact" w:before="2"/>
        <w:ind w:left="187" w:right="0" w:firstLine="0"/>
        <w:jc w:val="left"/>
        <w:rPr>
          <w:rFonts w:ascii="Times New Roman" w:hAnsi="Times New Roman"/>
          <w:sz w:val="19"/>
        </w:rPr>
      </w:pPr>
      <w:r>
        <w:rPr>
          <w:rFonts w:ascii="Times New Roman" w:hAnsi="Times New Roman"/>
          <w:sz w:val="19"/>
          <w:vertAlign w:val="superscript"/>
        </w:rPr>
        <w:t>7</w:t>
      </w:r>
      <w:r>
        <w:rPr>
          <w:rFonts w:ascii="Times New Roman" w:hAnsi="Times New Roman"/>
          <w:spacing w:val="-6"/>
          <w:sz w:val="19"/>
          <w:vertAlign w:val="baseline"/>
        </w:rPr>
        <w:t> </w:t>
      </w:r>
      <w:r>
        <w:rPr>
          <w:rFonts w:ascii="Times New Roman" w:hAnsi="Times New Roman"/>
          <w:sz w:val="19"/>
          <w:vertAlign w:val="baseline"/>
        </w:rPr>
        <w:t>Geerts,</w:t>
      </w:r>
      <w:r>
        <w:rPr>
          <w:rFonts w:ascii="Times New Roman" w:hAnsi="Times New Roman"/>
          <w:spacing w:val="-8"/>
          <w:sz w:val="19"/>
          <w:vertAlign w:val="baseline"/>
        </w:rPr>
        <w:t> </w:t>
      </w:r>
      <w:r>
        <w:rPr>
          <w:rFonts w:ascii="Times New Roman" w:hAnsi="Times New Roman"/>
          <w:sz w:val="19"/>
          <w:vertAlign w:val="baseline"/>
        </w:rPr>
        <w:t>A.</w:t>
      </w:r>
      <w:r>
        <w:rPr>
          <w:rFonts w:ascii="Times New Roman" w:hAnsi="Times New Roman"/>
          <w:spacing w:val="-9"/>
          <w:sz w:val="19"/>
          <w:vertAlign w:val="baseline"/>
        </w:rPr>
        <w:t> </w:t>
      </w:r>
      <w:r>
        <w:rPr>
          <w:rFonts w:ascii="Times New Roman" w:hAnsi="Times New Roman"/>
          <w:i/>
          <w:sz w:val="19"/>
          <w:vertAlign w:val="baseline"/>
        </w:rPr>
        <w:t>et</w:t>
      </w:r>
      <w:r>
        <w:rPr>
          <w:rFonts w:ascii="Times New Roman" w:hAnsi="Times New Roman"/>
          <w:i/>
          <w:spacing w:val="-12"/>
          <w:sz w:val="19"/>
          <w:vertAlign w:val="baseline"/>
        </w:rPr>
        <w:t> </w:t>
      </w:r>
      <w:r>
        <w:rPr>
          <w:rFonts w:ascii="Times New Roman" w:hAnsi="Times New Roman"/>
          <w:i/>
          <w:sz w:val="19"/>
          <w:vertAlign w:val="baseline"/>
        </w:rPr>
        <w:t>al</w:t>
      </w:r>
      <w:r>
        <w:rPr>
          <w:rFonts w:ascii="Times New Roman" w:hAnsi="Times New Roman"/>
          <w:sz w:val="19"/>
          <w:vertAlign w:val="baseline"/>
        </w:rPr>
        <w:t>,</w:t>
      </w:r>
      <w:r>
        <w:rPr>
          <w:rFonts w:ascii="Times New Roman" w:hAnsi="Times New Roman"/>
          <w:spacing w:val="-8"/>
          <w:sz w:val="19"/>
          <w:vertAlign w:val="baseline"/>
        </w:rPr>
        <w:t> </w:t>
      </w:r>
      <w:r>
        <w:rPr>
          <w:rFonts w:ascii="Times New Roman" w:hAnsi="Times New Roman"/>
          <w:sz w:val="19"/>
          <w:u w:val="single"/>
          <w:vertAlign w:val="baseline"/>
        </w:rPr>
        <w:t>Compensation</w:t>
      </w:r>
      <w:r>
        <w:rPr>
          <w:rFonts w:ascii="Times New Roman" w:hAnsi="Times New Roman"/>
          <w:spacing w:val="-4"/>
          <w:sz w:val="19"/>
          <w:u w:val="single"/>
          <w:vertAlign w:val="baseline"/>
        </w:rPr>
        <w:t> </w:t>
      </w:r>
      <w:r>
        <w:rPr>
          <w:rFonts w:ascii="Times New Roman" w:hAnsi="Times New Roman"/>
          <w:sz w:val="19"/>
          <w:u w:val="single"/>
          <w:vertAlign w:val="baseline"/>
        </w:rPr>
        <w:t>for</w:t>
      </w:r>
      <w:r>
        <w:rPr>
          <w:rFonts w:ascii="Times New Roman" w:hAnsi="Times New Roman"/>
          <w:spacing w:val="-6"/>
          <w:sz w:val="19"/>
          <w:u w:val="single"/>
          <w:vertAlign w:val="baseline"/>
        </w:rPr>
        <w:t> </w:t>
      </w:r>
      <w:r>
        <w:rPr>
          <w:rFonts w:ascii="Times New Roman" w:hAnsi="Times New Roman"/>
          <w:sz w:val="19"/>
          <w:u w:val="single"/>
          <w:vertAlign w:val="baseline"/>
        </w:rPr>
        <w:t>Bodily</w:t>
      </w:r>
      <w:r>
        <w:rPr>
          <w:rFonts w:ascii="Times New Roman" w:hAnsi="Times New Roman"/>
          <w:spacing w:val="-12"/>
          <w:sz w:val="19"/>
          <w:u w:val="single"/>
          <w:vertAlign w:val="baseline"/>
        </w:rPr>
        <w:t> </w:t>
      </w:r>
      <w:r>
        <w:rPr>
          <w:rFonts w:ascii="Times New Roman" w:hAnsi="Times New Roman"/>
          <w:sz w:val="19"/>
          <w:u w:val="single"/>
          <w:vertAlign w:val="baseline"/>
        </w:rPr>
        <w:t>Harm</w:t>
      </w:r>
      <w:r>
        <w:rPr>
          <w:rFonts w:ascii="Times New Roman" w:hAnsi="Times New Roman"/>
          <w:i/>
          <w:sz w:val="19"/>
          <w:vertAlign w:val="baseline"/>
        </w:rPr>
        <w:t>,</w:t>
      </w:r>
      <w:r>
        <w:rPr>
          <w:rFonts w:ascii="Times New Roman" w:hAnsi="Times New Roman"/>
          <w:i/>
          <w:spacing w:val="-8"/>
          <w:sz w:val="19"/>
          <w:vertAlign w:val="baseline"/>
        </w:rPr>
        <w:t> </w:t>
      </w:r>
      <w:r>
        <w:rPr>
          <w:rFonts w:ascii="Times New Roman" w:hAnsi="Times New Roman"/>
          <w:sz w:val="19"/>
          <w:vertAlign w:val="baseline"/>
        </w:rPr>
        <w:t>Fernand</w:t>
      </w:r>
      <w:r>
        <w:rPr>
          <w:rFonts w:ascii="Times New Roman" w:hAnsi="Times New Roman"/>
          <w:spacing w:val="-11"/>
          <w:sz w:val="19"/>
          <w:vertAlign w:val="baseline"/>
        </w:rPr>
        <w:t> </w:t>
      </w:r>
      <w:r>
        <w:rPr>
          <w:rFonts w:ascii="Times New Roman" w:hAnsi="Times New Roman"/>
          <w:sz w:val="19"/>
          <w:vertAlign w:val="baseline"/>
        </w:rPr>
        <w:t>Nathan,</w:t>
      </w:r>
      <w:r>
        <w:rPr>
          <w:rFonts w:ascii="Times New Roman" w:hAnsi="Times New Roman"/>
          <w:spacing w:val="-9"/>
          <w:sz w:val="19"/>
          <w:vertAlign w:val="baseline"/>
        </w:rPr>
        <w:t> </w:t>
      </w:r>
      <w:r>
        <w:rPr>
          <w:rFonts w:ascii="Times New Roman" w:hAnsi="Times New Roman"/>
          <w:sz w:val="19"/>
          <w:vertAlign w:val="baseline"/>
        </w:rPr>
        <w:t>Brussels,</w:t>
      </w:r>
      <w:r>
        <w:rPr>
          <w:rFonts w:ascii="Times New Roman" w:hAnsi="Times New Roman"/>
          <w:spacing w:val="-9"/>
          <w:sz w:val="19"/>
          <w:vertAlign w:val="baseline"/>
        </w:rPr>
        <w:t> </w:t>
      </w:r>
      <w:r>
        <w:rPr>
          <w:rFonts w:ascii="Times New Roman" w:hAnsi="Times New Roman"/>
          <w:sz w:val="19"/>
          <w:vertAlign w:val="baseline"/>
        </w:rPr>
        <w:t>(1977)</w:t>
      </w:r>
      <w:r>
        <w:rPr>
          <w:rFonts w:ascii="Times New Roman" w:hAnsi="Times New Roman"/>
          <w:spacing w:val="-10"/>
          <w:sz w:val="19"/>
          <w:vertAlign w:val="baseline"/>
        </w:rPr>
        <w:t> </w:t>
      </w:r>
      <w:r>
        <w:rPr>
          <w:rFonts w:ascii="Times New Roman" w:hAnsi="Times New Roman"/>
          <w:sz w:val="19"/>
          <w:vertAlign w:val="baseline"/>
        </w:rPr>
        <w:t>pp.</w:t>
      </w:r>
      <w:r>
        <w:rPr>
          <w:rFonts w:ascii="Times New Roman" w:hAnsi="Times New Roman"/>
          <w:spacing w:val="-9"/>
          <w:sz w:val="19"/>
          <w:vertAlign w:val="baseline"/>
        </w:rPr>
        <w:t> </w:t>
      </w:r>
      <w:r>
        <w:rPr>
          <w:rFonts w:ascii="Times New Roman" w:hAnsi="Times New Roman"/>
          <w:sz w:val="19"/>
          <w:vertAlign w:val="baseline"/>
        </w:rPr>
        <w:t>7</w:t>
      </w:r>
      <w:r>
        <w:rPr>
          <w:rFonts w:ascii="Times New Roman" w:hAnsi="Times New Roman"/>
          <w:spacing w:val="-11"/>
          <w:sz w:val="19"/>
          <w:vertAlign w:val="baseline"/>
        </w:rPr>
        <w:t> </w:t>
      </w:r>
      <w:r>
        <w:rPr>
          <w:rFonts w:ascii="Times New Roman" w:hAnsi="Times New Roman"/>
          <w:sz w:val="19"/>
          <w:vertAlign w:val="baseline"/>
        </w:rPr>
        <w:t>–</w:t>
      </w:r>
      <w:r>
        <w:rPr>
          <w:rFonts w:ascii="Times New Roman" w:hAnsi="Times New Roman"/>
          <w:spacing w:val="-12"/>
          <w:sz w:val="19"/>
          <w:vertAlign w:val="baseline"/>
        </w:rPr>
        <w:t> </w:t>
      </w:r>
      <w:r>
        <w:rPr>
          <w:rFonts w:ascii="Times New Roman" w:hAnsi="Times New Roman"/>
          <w:spacing w:val="-5"/>
          <w:sz w:val="19"/>
          <w:vertAlign w:val="baseline"/>
        </w:rPr>
        <w:t>211</w:t>
      </w:r>
    </w:p>
    <w:p>
      <w:pPr>
        <w:spacing w:line="214" w:lineRule="exact" w:before="0"/>
        <w:ind w:left="187" w:right="0" w:firstLine="0"/>
        <w:jc w:val="left"/>
        <w:rPr>
          <w:rFonts w:ascii="Times New Roman"/>
          <w:i/>
          <w:sz w:val="19"/>
        </w:rPr>
      </w:pPr>
      <w:r>
        <w:rPr>
          <w:rFonts w:ascii="Times New Roman"/>
          <w:sz w:val="19"/>
          <w:vertAlign w:val="superscript"/>
        </w:rPr>
        <w:t>8</w:t>
      </w:r>
      <w:r>
        <w:rPr>
          <w:rFonts w:ascii="Times New Roman"/>
          <w:spacing w:val="-2"/>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Guyton,</w:t>
      </w:r>
      <w:r>
        <w:rPr>
          <w:rFonts w:ascii="Times New Roman"/>
          <w:spacing w:val="-3"/>
          <w:sz w:val="19"/>
          <w:vertAlign w:val="baseline"/>
        </w:rPr>
        <w:t> </w:t>
      </w:r>
      <w:r>
        <w:rPr>
          <w:rFonts w:ascii="Times New Roman"/>
          <w:sz w:val="19"/>
          <w:vertAlign w:val="baseline"/>
        </w:rPr>
        <w:t>G.P</w:t>
      </w:r>
      <w:r>
        <w:rPr>
          <w:rFonts w:ascii="Times New Roman"/>
          <w:i/>
          <w:sz w:val="19"/>
          <w:vertAlign w:val="baseline"/>
        </w:rPr>
        <w:t>.</w:t>
      </w:r>
      <w:r>
        <w:rPr>
          <w:rFonts w:ascii="Times New Roman"/>
          <w:i/>
          <w:spacing w:val="-10"/>
          <w:sz w:val="19"/>
          <w:vertAlign w:val="baseline"/>
        </w:rPr>
        <w:t> </w:t>
      </w:r>
      <w:r>
        <w:rPr>
          <w:rFonts w:ascii="Times New Roman"/>
          <w:i/>
          <w:sz w:val="19"/>
          <w:vertAlign w:val="baseline"/>
        </w:rPr>
        <w:t>op.</w:t>
      </w:r>
      <w:r>
        <w:rPr>
          <w:rFonts w:ascii="Times New Roman"/>
          <w:i/>
          <w:spacing w:val="-7"/>
          <w:sz w:val="19"/>
          <w:vertAlign w:val="baseline"/>
        </w:rPr>
        <w:t> </w:t>
      </w:r>
      <w:r>
        <w:rPr>
          <w:rFonts w:ascii="Times New Roman"/>
          <w:i/>
          <w:spacing w:val="-5"/>
          <w:sz w:val="19"/>
          <w:vertAlign w:val="baseline"/>
        </w:rPr>
        <w:t>cit</w:t>
      </w:r>
    </w:p>
    <w:p>
      <w:pPr>
        <w:spacing w:line="214" w:lineRule="exact" w:before="0"/>
        <w:ind w:left="187" w:right="0" w:firstLine="0"/>
        <w:jc w:val="left"/>
        <w:rPr>
          <w:rFonts w:ascii="Times New Roman"/>
          <w:i/>
          <w:sz w:val="19"/>
        </w:rPr>
      </w:pPr>
      <w:r>
        <w:rPr>
          <w:rFonts w:ascii="Times New Roman"/>
          <w:sz w:val="19"/>
          <w:vertAlign w:val="superscript"/>
        </w:rPr>
        <w:t>9</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10</w:t>
      </w:r>
      <w:r>
        <w:rPr>
          <w:rFonts w:ascii="Times New Roman"/>
          <w:spacing w:val="2"/>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Jie,</w:t>
      </w:r>
      <w:r>
        <w:rPr>
          <w:rFonts w:ascii="Times New Roman"/>
          <w:spacing w:val="-3"/>
          <w:sz w:val="19"/>
          <w:vertAlign w:val="baseline"/>
        </w:rPr>
        <w:t> </w:t>
      </w:r>
      <w:r>
        <w:rPr>
          <w:rFonts w:ascii="Times New Roman"/>
          <w:sz w:val="19"/>
          <w:vertAlign w:val="baseline"/>
        </w:rPr>
        <w:t>W.</w:t>
      </w:r>
      <w:r>
        <w:rPr>
          <w:rFonts w:ascii="Times New Roman"/>
          <w:spacing w:val="-2"/>
          <w:sz w:val="19"/>
          <w:vertAlign w:val="baseline"/>
        </w:rPr>
        <w:t> </w:t>
      </w:r>
      <w:r>
        <w:rPr>
          <w:rFonts w:ascii="Times New Roman"/>
          <w:i/>
          <w:sz w:val="19"/>
          <w:vertAlign w:val="baseline"/>
        </w:rPr>
        <w:t>op</w:t>
      </w:r>
      <w:r>
        <w:rPr>
          <w:rFonts w:ascii="Times New Roman"/>
          <w:i/>
          <w:spacing w:val="-6"/>
          <w:sz w:val="19"/>
          <w:vertAlign w:val="baseline"/>
        </w:rPr>
        <w:t> </w:t>
      </w:r>
      <w:r>
        <w:rPr>
          <w:rFonts w:ascii="Times New Roman"/>
          <w:i/>
          <w:spacing w:val="-5"/>
          <w:sz w:val="19"/>
          <w:vertAlign w:val="baseline"/>
        </w:rPr>
        <w:t>cit</w:t>
      </w:r>
    </w:p>
    <w:p>
      <w:pPr>
        <w:spacing w:line="216" w:lineRule="exact" w:before="0"/>
        <w:ind w:left="187" w:right="0" w:firstLine="0"/>
        <w:jc w:val="left"/>
        <w:rPr>
          <w:rFonts w:ascii="Times New Roman"/>
          <w:i/>
          <w:sz w:val="19"/>
        </w:rPr>
      </w:pPr>
      <w:r>
        <w:rPr>
          <w:rFonts w:ascii="Times New Roman"/>
          <w:sz w:val="19"/>
          <w:vertAlign w:val="superscript"/>
        </w:rPr>
        <w:t>11</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12</w:t>
      </w:r>
      <w:r>
        <w:rPr>
          <w:rFonts w:ascii="Times New Roman"/>
          <w:spacing w:val="-2"/>
          <w:sz w:val="19"/>
          <w:vertAlign w:val="baseline"/>
        </w:rPr>
        <w:t> </w:t>
      </w:r>
      <w:r>
        <w:rPr>
          <w:rFonts w:ascii="Times New Roman"/>
          <w:sz w:val="19"/>
          <w:vertAlign w:val="baseline"/>
        </w:rPr>
        <w:t>Guyton,</w:t>
      </w:r>
      <w:r>
        <w:rPr>
          <w:rFonts w:ascii="Times New Roman"/>
          <w:spacing w:val="-7"/>
          <w:sz w:val="19"/>
          <w:vertAlign w:val="baseline"/>
        </w:rPr>
        <w:t> </w:t>
      </w:r>
      <w:r>
        <w:rPr>
          <w:rFonts w:ascii="Times New Roman"/>
          <w:sz w:val="19"/>
          <w:vertAlign w:val="baseline"/>
        </w:rPr>
        <w:t>G.P</w:t>
      </w:r>
      <w:r>
        <w:rPr>
          <w:rFonts w:ascii="Times New Roman"/>
          <w:i/>
          <w:sz w:val="19"/>
          <w:vertAlign w:val="baseline"/>
        </w:rPr>
        <w:t>.</w:t>
      </w:r>
      <w:r>
        <w:rPr>
          <w:rFonts w:ascii="Times New Roman"/>
          <w:i/>
          <w:spacing w:val="-3"/>
          <w:sz w:val="19"/>
          <w:vertAlign w:val="baseline"/>
        </w:rPr>
        <w:t> </w:t>
      </w:r>
      <w:r>
        <w:rPr>
          <w:rFonts w:ascii="Times New Roman"/>
          <w:i/>
          <w:sz w:val="19"/>
          <w:vertAlign w:val="baseline"/>
        </w:rPr>
        <w:t>op</w:t>
      </w:r>
      <w:r>
        <w:rPr>
          <w:rFonts w:ascii="Times New Roman"/>
          <w:i/>
          <w:spacing w:val="-10"/>
          <w:sz w:val="19"/>
          <w:vertAlign w:val="baseline"/>
        </w:rPr>
        <w:t> </w:t>
      </w:r>
      <w:r>
        <w:rPr>
          <w:rFonts w:ascii="Times New Roman"/>
          <w:i/>
          <w:spacing w:val="-5"/>
          <w:sz w:val="19"/>
          <w:vertAlign w:val="baseline"/>
        </w:rPr>
        <w:t>cit</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7" w:lineRule="auto" w:before="94"/>
        <w:ind w:left="863" w:right="562"/>
        <w:jc w:val="both"/>
      </w:pPr>
      <w:r>
        <w:rPr/>
        <w:t>their</w:t>
      </w:r>
      <w:r>
        <w:rPr>
          <w:spacing w:val="26"/>
        </w:rPr>
        <w:t> </w:t>
      </w:r>
      <w:r>
        <w:rPr/>
        <w:t>employers</w:t>
      </w:r>
      <w:r>
        <w:rPr>
          <w:spacing w:val="25"/>
        </w:rPr>
        <w:t> </w:t>
      </w:r>
      <w:r>
        <w:rPr/>
        <w:t>and</w:t>
      </w:r>
      <w:r>
        <w:rPr>
          <w:spacing w:val="24"/>
        </w:rPr>
        <w:t> </w:t>
      </w:r>
      <w:r>
        <w:rPr/>
        <w:t>to succeed,</w:t>
      </w:r>
      <w:r>
        <w:rPr>
          <w:spacing w:val="25"/>
        </w:rPr>
        <w:t> </w:t>
      </w:r>
      <w:r>
        <w:rPr/>
        <w:t>they had</w:t>
      </w:r>
      <w:r>
        <w:rPr>
          <w:spacing w:val="29"/>
        </w:rPr>
        <w:t> </w:t>
      </w:r>
      <w:r>
        <w:rPr/>
        <w:t>to prove negligence on</w:t>
      </w:r>
      <w:r>
        <w:rPr>
          <w:spacing w:val="27"/>
        </w:rPr>
        <w:t> </w:t>
      </w:r>
      <w:r>
        <w:rPr/>
        <w:t>the</w:t>
      </w:r>
      <w:r>
        <w:rPr>
          <w:spacing w:val="25"/>
        </w:rPr>
        <w:t> </w:t>
      </w:r>
      <w:r>
        <w:rPr/>
        <w:t>part of their employers.</w:t>
      </w:r>
      <w:r>
        <w:rPr>
          <w:vertAlign w:val="superscript"/>
        </w:rPr>
        <w:t>13</w:t>
      </w:r>
      <w:r>
        <w:rPr>
          <w:vertAlign w:val="baseline"/>
        </w:rPr>
        <w:t> The employers in turn, had the defences of ‘common employment,’</w:t>
      </w:r>
      <w:r>
        <w:rPr>
          <w:spacing w:val="40"/>
          <w:vertAlign w:val="baseline"/>
        </w:rPr>
        <w:t> </w:t>
      </w:r>
      <w:r>
        <w:rPr>
          <w:vertAlign w:val="baseline"/>
        </w:rPr>
        <w:t>‘contributory</w:t>
      </w:r>
      <w:r>
        <w:rPr>
          <w:spacing w:val="40"/>
          <w:vertAlign w:val="baseline"/>
        </w:rPr>
        <w:t> </w:t>
      </w:r>
      <w:r>
        <w:rPr>
          <w:vertAlign w:val="baseline"/>
        </w:rPr>
        <w:t>negligence,’</w:t>
      </w:r>
      <w:r>
        <w:rPr>
          <w:spacing w:val="40"/>
          <w:vertAlign w:val="baseline"/>
        </w:rPr>
        <w:t> </w:t>
      </w:r>
      <w:r>
        <w:rPr>
          <w:vertAlign w:val="baseline"/>
        </w:rPr>
        <w:t>and</w:t>
      </w:r>
      <w:r>
        <w:rPr>
          <w:spacing w:val="40"/>
          <w:vertAlign w:val="baseline"/>
        </w:rPr>
        <w:t> </w:t>
      </w:r>
      <w:r>
        <w:rPr>
          <w:vertAlign w:val="baseline"/>
        </w:rPr>
        <w:t>‘voluntary</w:t>
      </w:r>
      <w:r>
        <w:rPr>
          <w:spacing w:val="40"/>
          <w:vertAlign w:val="baseline"/>
        </w:rPr>
        <w:t> </w:t>
      </w:r>
      <w:r>
        <w:rPr>
          <w:vertAlign w:val="baseline"/>
        </w:rPr>
        <w:t>assumption</w:t>
      </w:r>
      <w:r>
        <w:rPr>
          <w:spacing w:val="40"/>
          <w:vertAlign w:val="baseline"/>
        </w:rPr>
        <w:t> </w:t>
      </w:r>
      <w:r>
        <w:rPr>
          <w:vertAlign w:val="baseline"/>
        </w:rPr>
        <w:t>of risk.’</w:t>
      </w:r>
      <w:r>
        <w:rPr>
          <w:vertAlign w:val="superscript"/>
        </w:rPr>
        <w:t>14</w:t>
      </w:r>
      <w:r>
        <w:rPr>
          <w:vertAlign w:val="baseline"/>
        </w:rPr>
        <w:t> These defences rendered the result of any such action, extremely uncertain.</w:t>
      </w:r>
      <w:r>
        <w:rPr>
          <w:vertAlign w:val="superscript"/>
        </w:rPr>
        <w:t>15</w:t>
      </w:r>
      <w:r>
        <w:rPr>
          <w:spacing w:val="40"/>
          <w:vertAlign w:val="baseline"/>
        </w:rPr>
        <w:t> </w:t>
      </w:r>
      <w:r>
        <w:rPr>
          <w:vertAlign w:val="baseline"/>
        </w:rPr>
        <w:t>These</w:t>
      </w:r>
      <w:r>
        <w:rPr>
          <w:spacing w:val="40"/>
          <w:vertAlign w:val="baseline"/>
        </w:rPr>
        <w:t> </w:t>
      </w:r>
      <w:r>
        <w:rPr>
          <w:vertAlign w:val="baseline"/>
        </w:rPr>
        <w:t>principles</w:t>
      </w:r>
      <w:r>
        <w:rPr>
          <w:spacing w:val="39"/>
          <w:vertAlign w:val="baseline"/>
        </w:rPr>
        <w:t> </w:t>
      </w:r>
      <w:r>
        <w:rPr>
          <w:vertAlign w:val="baseline"/>
        </w:rPr>
        <w:t>were</w:t>
      </w:r>
      <w:r>
        <w:rPr>
          <w:spacing w:val="40"/>
          <w:vertAlign w:val="baseline"/>
        </w:rPr>
        <w:t> </w:t>
      </w:r>
      <w:r>
        <w:rPr>
          <w:vertAlign w:val="baseline"/>
        </w:rPr>
        <w:t>so</w:t>
      </w:r>
      <w:r>
        <w:rPr>
          <w:spacing w:val="40"/>
          <w:vertAlign w:val="baseline"/>
        </w:rPr>
        <w:t> </w:t>
      </w:r>
      <w:r>
        <w:rPr>
          <w:vertAlign w:val="baseline"/>
        </w:rPr>
        <w:t>restrictive</w:t>
      </w:r>
      <w:r>
        <w:rPr>
          <w:spacing w:val="40"/>
          <w:vertAlign w:val="baseline"/>
        </w:rPr>
        <w:t> </w:t>
      </w:r>
      <w:r>
        <w:rPr>
          <w:vertAlign w:val="baseline"/>
        </w:rPr>
        <w:t>that</w:t>
      </w:r>
      <w:r>
        <w:rPr>
          <w:spacing w:val="40"/>
          <w:vertAlign w:val="baseline"/>
        </w:rPr>
        <w:t> </w:t>
      </w:r>
      <w:r>
        <w:rPr>
          <w:vertAlign w:val="baseline"/>
        </w:rPr>
        <w:t>they</w:t>
      </w:r>
      <w:r>
        <w:rPr>
          <w:spacing w:val="40"/>
          <w:vertAlign w:val="baseline"/>
        </w:rPr>
        <w:t> </w:t>
      </w:r>
      <w:r>
        <w:rPr>
          <w:vertAlign w:val="baseline"/>
        </w:rPr>
        <w:t>became</w:t>
      </w:r>
      <w:r>
        <w:rPr>
          <w:spacing w:val="40"/>
          <w:vertAlign w:val="baseline"/>
        </w:rPr>
        <w:t> </w:t>
      </w:r>
      <w:r>
        <w:rPr>
          <w:vertAlign w:val="baseline"/>
        </w:rPr>
        <w:t>known as “unholy trinity of defences.”</w:t>
      </w:r>
      <w:r>
        <w:rPr>
          <w:vertAlign w:val="superscript"/>
        </w:rPr>
        <w:t>16</w:t>
      </w:r>
      <w:r>
        <w:rPr>
          <w:vertAlign w:val="baseline"/>
        </w:rPr>
        <w:t> The doctrine of “assumption of risk” was exceptionally far-reaching. It held simply that employees know of the hazards of any particular job when they signed their contracts and that to which man consents cannot be considered to be an injury (</w:t>
      </w:r>
      <w:r>
        <w:rPr>
          <w:rFonts w:ascii="Verdana" w:hAnsi="Verdana"/>
          <w:i/>
          <w:sz w:val="24"/>
          <w:vertAlign w:val="baseline"/>
        </w:rPr>
        <w:t>volenti</w:t>
      </w:r>
      <w:r>
        <w:rPr>
          <w:rFonts w:ascii="Verdana" w:hAnsi="Verdana"/>
          <w:i/>
          <w:spacing w:val="-5"/>
          <w:sz w:val="24"/>
          <w:vertAlign w:val="baseline"/>
        </w:rPr>
        <w:t> </w:t>
      </w:r>
      <w:r>
        <w:rPr>
          <w:rFonts w:ascii="Verdana" w:hAnsi="Verdana"/>
          <w:i/>
          <w:sz w:val="24"/>
          <w:vertAlign w:val="baseline"/>
        </w:rPr>
        <w:t>non</w:t>
      </w:r>
      <w:r>
        <w:rPr>
          <w:rFonts w:ascii="Verdana" w:hAnsi="Verdana"/>
          <w:i/>
          <w:spacing w:val="-5"/>
          <w:sz w:val="24"/>
          <w:vertAlign w:val="baseline"/>
        </w:rPr>
        <w:t> </w:t>
      </w:r>
      <w:r>
        <w:rPr>
          <w:rFonts w:ascii="Verdana" w:hAnsi="Verdana"/>
          <w:i/>
          <w:sz w:val="24"/>
          <w:vertAlign w:val="baseline"/>
        </w:rPr>
        <w:t>fit injuria</w:t>
      </w:r>
      <w:r>
        <w:rPr>
          <w:vertAlign w:val="baseline"/>
        </w:rPr>
        <w:t>). Therefore, by agreeing in a position, they assume any inherent</w:t>
      </w:r>
      <w:r>
        <w:rPr>
          <w:spacing w:val="40"/>
          <w:vertAlign w:val="baseline"/>
        </w:rPr>
        <w:t> </w:t>
      </w:r>
      <w:r>
        <w:rPr>
          <w:vertAlign w:val="baseline"/>
        </w:rPr>
        <w:t>risk it carries. Assumption of risk was often formalised at the beginning of the</w:t>
      </w:r>
      <w:r>
        <w:rPr>
          <w:spacing w:val="40"/>
          <w:vertAlign w:val="baseline"/>
        </w:rPr>
        <w:t> </w:t>
      </w:r>
      <w:r>
        <w:rPr>
          <w:vertAlign w:val="baseline"/>
        </w:rPr>
        <w:t>employee’s</w:t>
      </w:r>
      <w:r>
        <w:rPr>
          <w:spacing w:val="40"/>
          <w:vertAlign w:val="baseline"/>
        </w:rPr>
        <w:t> </w:t>
      </w:r>
      <w:r>
        <w:rPr>
          <w:vertAlign w:val="baseline"/>
        </w:rPr>
        <w:t>tenure;</w:t>
      </w:r>
      <w:r>
        <w:rPr>
          <w:spacing w:val="40"/>
          <w:vertAlign w:val="baseline"/>
        </w:rPr>
        <w:t> </w:t>
      </w:r>
      <w:r>
        <w:rPr>
          <w:vertAlign w:val="baseline"/>
        </w:rPr>
        <w:t>many</w:t>
      </w:r>
      <w:r>
        <w:rPr>
          <w:spacing w:val="40"/>
          <w:vertAlign w:val="baseline"/>
        </w:rPr>
        <w:t> </w:t>
      </w:r>
      <w:r>
        <w:rPr>
          <w:vertAlign w:val="baseline"/>
        </w:rPr>
        <w:t>industries</w:t>
      </w:r>
      <w:r>
        <w:rPr>
          <w:spacing w:val="40"/>
          <w:vertAlign w:val="baseline"/>
        </w:rPr>
        <w:t> </w:t>
      </w:r>
      <w:r>
        <w:rPr>
          <w:vertAlign w:val="baseline"/>
        </w:rPr>
        <w:t>required</w:t>
      </w:r>
      <w:r>
        <w:rPr>
          <w:spacing w:val="40"/>
          <w:vertAlign w:val="baseline"/>
        </w:rPr>
        <w:t> </w:t>
      </w:r>
      <w:r>
        <w:rPr>
          <w:vertAlign w:val="baseline"/>
        </w:rPr>
        <w:t>contracts</w:t>
      </w:r>
      <w:r>
        <w:rPr>
          <w:spacing w:val="40"/>
          <w:vertAlign w:val="baseline"/>
        </w:rPr>
        <w:t> </w:t>
      </w:r>
      <w:r>
        <w:rPr>
          <w:vertAlign w:val="baseline"/>
        </w:rPr>
        <w:t>in</w:t>
      </w:r>
      <w:r>
        <w:rPr>
          <w:spacing w:val="40"/>
          <w:vertAlign w:val="baseline"/>
        </w:rPr>
        <w:t> </w:t>
      </w:r>
      <w:r>
        <w:rPr>
          <w:vertAlign w:val="baseline"/>
        </w:rPr>
        <w:t>which workers</w:t>
      </w:r>
      <w:r>
        <w:rPr>
          <w:spacing w:val="40"/>
          <w:vertAlign w:val="baseline"/>
        </w:rPr>
        <w:t> </w:t>
      </w:r>
      <w:r>
        <w:rPr>
          <w:vertAlign w:val="baseline"/>
        </w:rPr>
        <w:t>abdicated</w:t>
      </w:r>
      <w:r>
        <w:rPr>
          <w:spacing w:val="40"/>
          <w:vertAlign w:val="baseline"/>
        </w:rPr>
        <w:t> </w:t>
      </w:r>
      <w:r>
        <w:rPr>
          <w:vertAlign w:val="baseline"/>
        </w:rPr>
        <w:t>their</w:t>
      </w:r>
      <w:r>
        <w:rPr>
          <w:spacing w:val="40"/>
          <w:vertAlign w:val="baseline"/>
        </w:rPr>
        <w:t> </w:t>
      </w:r>
      <w:r>
        <w:rPr>
          <w:vertAlign w:val="baseline"/>
        </w:rPr>
        <w:t>right</w:t>
      </w:r>
      <w:r>
        <w:rPr>
          <w:spacing w:val="40"/>
          <w:vertAlign w:val="baseline"/>
        </w:rPr>
        <w:t> </w:t>
      </w:r>
      <w:r>
        <w:rPr>
          <w:vertAlign w:val="baseline"/>
        </w:rPr>
        <w:t>to</w:t>
      </w:r>
      <w:r>
        <w:rPr>
          <w:spacing w:val="40"/>
          <w:vertAlign w:val="baseline"/>
        </w:rPr>
        <w:t> </w:t>
      </w:r>
      <w:r>
        <w:rPr>
          <w:vertAlign w:val="baseline"/>
        </w:rPr>
        <w:t>sue</w:t>
      </w:r>
      <w:r>
        <w:rPr>
          <w:spacing w:val="40"/>
          <w:vertAlign w:val="baseline"/>
        </w:rPr>
        <w:t> </w:t>
      </w:r>
      <w:r>
        <w:rPr>
          <w:vertAlign w:val="baseline"/>
        </w:rPr>
        <w:t>for</w:t>
      </w:r>
      <w:r>
        <w:rPr>
          <w:spacing w:val="40"/>
          <w:vertAlign w:val="baseline"/>
        </w:rPr>
        <w:t> </w:t>
      </w:r>
      <w:r>
        <w:rPr>
          <w:vertAlign w:val="baseline"/>
        </w:rPr>
        <w:t>injury.</w:t>
      </w:r>
      <w:r>
        <w:rPr>
          <w:spacing w:val="40"/>
          <w:vertAlign w:val="baseline"/>
        </w:rPr>
        <w:t> </w:t>
      </w:r>
      <w:r>
        <w:rPr>
          <w:vertAlign w:val="baseline"/>
        </w:rPr>
        <w:t>These</w:t>
      </w:r>
      <w:r>
        <w:rPr>
          <w:spacing w:val="40"/>
          <w:vertAlign w:val="baseline"/>
        </w:rPr>
        <w:t> </w:t>
      </w:r>
      <w:r>
        <w:rPr>
          <w:vertAlign w:val="baseline"/>
        </w:rPr>
        <w:t>became</w:t>
      </w:r>
      <w:r>
        <w:rPr>
          <w:spacing w:val="40"/>
          <w:vertAlign w:val="baseline"/>
        </w:rPr>
        <w:t> </w:t>
      </w:r>
      <w:r>
        <w:rPr>
          <w:vertAlign w:val="baseline"/>
        </w:rPr>
        <w:t>known</w:t>
      </w:r>
      <w:r>
        <w:rPr>
          <w:spacing w:val="40"/>
          <w:vertAlign w:val="baseline"/>
        </w:rPr>
        <w:t> </w:t>
      </w:r>
      <w:r>
        <w:rPr>
          <w:vertAlign w:val="baseline"/>
        </w:rPr>
        <w:t>as the “worker’s right to die” or “death contracts.”</w:t>
      </w:r>
      <w:r>
        <w:rPr>
          <w:vertAlign w:val="superscript"/>
        </w:rPr>
        <w:t>17</w:t>
      </w:r>
      <w:r>
        <w:rPr>
          <w:vertAlign w:val="baseline"/>
        </w:rPr>
        <w:t> The doctrine of “common employment”</w:t>
      </w:r>
      <w:r>
        <w:rPr>
          <w:spacing w:val="40"/>
          <w:vertAlign w:val="baseline"/>
        </w:rPr>
        <w:t> </w:t>
      </w:r>
      <w:r>
        <w:rPr>
          <w:vertAlign w:val="baseline"/>
        </w:rPr>
        <w:t>on</w:t>
      </w:r>
      <w:r>
        <w:rPr>
          <w:spacing w:val="40"/>
          <w:vertAlign w:val="baseline"/>
        </w:rPr>
        <w:t> </w:t>
      </w:r>
      <w:r>
        <w:rPr>
          <w:vertAlign w:val="baseline"/>
        </w:rPr>
        <w:t>the</w:t>
      </w:r>
      <w:r>
        <w:rPr>
          <w:spacing w:val="40"/>
          <w:vertAlign w:val="baseline"/>
        </w:rPr>
        <w:t> </w:t>
      </w:r>
      <w:r>
        <w:rPr>
          <w:vertAlign w:val="baseline"/>
        </w:rPr>
        <w:t>other</w:t>
      </w:r>
      <w:r>
        <w:rPr>
          <w:spacing w:val="40"/>
          <w:vertAlign w:val="baseline"/>
        </w:rPr>
        <w:t> </w:t>
      </w:r>
      <w:r>
        <w:rPr>
          <w:vertAlign w:val="baseline"/>
        </w:rPr>
        <w:t>hand</w:t>
      </w:r>
      <w:r>
        <w:rPr>
          <w:spacing w:val="40"/>
          <w:vertAlign w:val="baseline"/>
        </w:rPr>
        <w:t> </w:t>
      </w:r>
      <w:r>
        <w:rPr>
          <w:vertAlign w:val="baseline"/>
        </w:rPr>
        <w:t>is</w:t>
      </w:r>
      <w:r>
        <w:rPr>
          <w:spacing w:val="39"/>
          <w:vertAlign w:val="baseline"/>
        </w:rPr>
        <w:t> </w:t>
      </w:r>
      <w:r>
        <w:rPr>
          <w:vertAlign w:val="baseline"/>
        </w:rPr>
        <w:t>known</w:t>
      </w:r>
      <w:r>
        <w:rPr>
          <w:spacing w:val="40"/>
          <w:vertAlign w:val="baseline"/>
        </w:rPr>
        <w:t> </w:t>
      </w:r>
      <w:r>
        <w:rPr>
          <w:vertAlign w:val="baseline"/>
        </w:rPr>
        <w:t>as</w:t>
      </w:r>
      <w:r>
        <w:rPr>
          <w:spacing w:val="39"/>
          <w:vertAlign w:val="baseline"/>
        </w:rPr>
        <w:t> </w:t>
      </w:r>
      <w:r>
        <w:rPr>
          <w:vertAlign w:val="baseline"/>
        </w:rPr>
        <w:t>‘fellow</w:t>
      </w:r>
      <w:r>
        <w:rPr>
          <w:spacing w:val="40"/>
          <w:vertAlign w:val="baseline"/>
        </w:rPr>
        <w:t> </w:t>
      </w:r>
      <w:r>
        <w:rPr>
          <w:vertAlign w:val="baseline"/>
        </w:rPr>
        <w:t>servant</w:t>
      </w:r>
      <w:r>
        <w:rPr>
          <w:spacing w:val="40"/>
          <w:vertAlign w:val="baseline"/>
        </w:rPr>
        <w:t> </w:t>
      </w:r>
      <w:r>
        <w:rPr>
          <w:vertAlign w:val="baseline"/>
        </w:rPr>
        <w:t>rule.’</w:t>
      </w:r>
      <w:r>
        <w:rPr>
          <w:spacing w:val="40"/>
          <w:vertAlign w:val="baseline"/>
        </w:rPr>
        <w:t> </w:t>
      </w:r>
      <w:r>
        <w:rPr>
          <w:vertAlign w:val="baseline"/>
        </w:rPr>
        <w:t>Under the</w:t>
      </w:r>
      <w:r>
        <w:rPr>
          <w:spacing w:val="24"/>
          <w:vertAlign w:val="baseline"/>
        </w:rPr>
        <w:t> </w:t>
      </w:r>
      <w:r>
        <w:rPr>
          <w:vertAlign w:val="baseline"/>
        </w:rPr>
        <w:t>rule,</w:t>
      </w:r>
      <w:r>
        <w:rPr>
          <w:spacing w:val="34"/>
          <w:vertAlign w:val="baseline"/>
        </w:rPr>
        <w:t> </w:t>
      </w:r>
      <w:r>
        <w:rPr>
          <w:vertAlign w:val="baseline"/>
        </w:rPr>
        <w:t>employers</w:t>
      </w:r>
      <w:r>
        <w:rPr>
          <w:spacing w:val="30"/>
          <w:vertAlign w:val="baseline"/>
        </w:rPr>
        <w:t> </w:t>
      </w:r>
      <w:r>
        <w:rPr>
          <w:vertAlign w:val="baseline"/>
        </w:rPr>
        <w:t>were</w:t>
      </w:r>
      <w:r>
        <w:rPr>
          <w:spacing w:val="25"/>
          <w:vertAlign w:val="baseline"/>
        </w:rPr>
        <w:t> </w:t>
      </w:r>
      <w:r>
        <w:rPr>
          <w:vertAlign w:val="baseline"/>
        </w:rPr>
        <w:t>not</w:t>
      </w:r>
      <w:r>
        <w:rPr>
          <w:spacing w:val="27"/>
          <w:vertAlign w:val="baseline"/>
        </w:rPr>
        <w:t> </w:t>
      </w:r>
      <w:r>
        <w:rPr>
          <w:vertAlign w:val="baseline"/>
        </w:rPr>
        <w:t>held</w:t>
      </w:r>
      <w:r>
        <w:rPr>
          <w:spacing w:val="29"/>
          <w:vertAlign w:val="baseline"/>
        </w:rPr>
        <w:t> </w:t>
      </w:r>
      <w:r>
        <w:rPr>
          <w:vertAlign w:val="baseline"/>
        </w:rPr>
        <w:t>liable</w:t>
      </w:r>
      <w:r>
        <w:rPr>
          <w:spacing w:val="30"/>
          <w:vertAlign w:val="baseline"/>
        </w:rPr>
        <w:t> </w:t>
      </w:r>
      <w:r>
        <w:rPr>
          <w:vertAlign w:val="baseline"/>
        </w:rPr>
        <w:t>for</w:t>
      </w:r>
      <w:r>
        <w:rPr>
          <w:spacing w:val="35"/>
          <w:vertAlign w:val="baseline"/>
        </w:rPr>
        <w:t> </w:t>
      </w:r>
      <w:r>
        <w:rPr>
          <w:vertAlign w:val="baseline"/>
        </w:rPr>
        <w:t>the</w:t>
      </w:r>
      <w:r>
        <w:rPr>
          <w:spacing w:val="25"/>
          <w:vertAlign w:val="baseline"/>
        </w:rPr>
        <w:t> </w:t>
      </w:r>
      <w:r>
        <w:rPr>
          <w:vertAlign w:val="baseline"/>
        </w:rPr>
        <w:t>workers’</w:t>
      </w:r>
      <w:r>
        <w:rPr>
          <w:spacing w:val="32"/>
          <w:vertAlign w:val="baseline"/>
        </w:rPr>
        <w:t> </w:t>
      </w:r>
      <w:r>
        <w:rPr>
          <w:vertAlign w:val="baseline"/>
        </w:rPr>
        <w:t>injuries</w:t>
      </w:r>
      <w:r>
        <w:rPr>
          <w:spacing w:val="24"/>
          <w:vertAlign w:val="baseline"/>
        </w:rPr>
        <w:t> </w:t>
      </w:r>
      <w:r>
        <w:rPr>
          <w:vertAlign w:val="baseline"/>
        </w:rPr>
        <w:t>resulting in any part from the action or negligence of a fellow employee.</w:t>
      </w:r>
      <w:r>
        <w:rPr>
          <w:vertAlign w:val="superscript"/>
        </w:rPr>
        <w:t>18</w:t>
      </w:r>
      <w:r>
        <w:rPr>
          <w:vertAlign w:val="baseline"/>
        </w:rPr>
        <w:t> As to the doctrine of contributory negligence, if the worker was in any way</w:t>
      </w:r>
      <w:r>
        <w:rPr>
          <w:spacing w:val="40"/>
          <w:vertAlign w:val="baseline"/>
        </w:rPr>
        <w:t> </w:t>
      </w:r>
      <w:r>
        <w:rPr>
          <w:vertAlign w:val="baseline"/>
        </w:rPr>
        <w:t>responsible for his injury, the employer was not at fault.</w:t>
      </w:r>
      <w:r>
        <w:rPr>
          <w:vertAlign w:val="superscript"/>
        </w:rPr>
        <w:t>19</w:t>
      </w:r>
    </w:p>
    <w:p>
      <w:pPr>
        <w:pStyle w:val="BodyText"/>
        <w:spacing w:before="239"/>
        <w:rPr>
          <w:sz w:val="20"/>
        </w:rPr>
      </w:pPr>
      <w:r>
        <w:rPr/>
        <mc:AlternateContent>
          <mc:Choice Requires="wps">
            <w:drawing>
              <wp:anchor distT="0" distB="0" distL="0" distR="0" allowOverlap="1" layoutInCell="1" locked="0" behindDoc="1" simplePos="0" relativeHeight="487603200">
                <wp:simplePos x="0" y="0"/>
                <wp:positionH relativeFrom="page">
                  <wp:posOffset>1185672</wp:posOffset>
                </wp:positionH>
                <wp:positionV relativeFrom="paragraph">
                  <wp:posOffset>320809</wp:posOffset>
                </wp:positionV>
                <wp:extent cx="1719580" cy="6350"/>
                <wp:effectExtent l="0" t="0" r="0" b="0"/>
                <wp:wrapTopAndBottom/>
                <wp:docPr id="34" name="Graphic 34"/>
                <wp:cNvGraphicFramePr>
                  <a:graphicFrameLocks/>
                </wp:cNvGraphicFramePr>
                <a:graphic>
                  <a:graphicData uri="http://schemas.microsoft.com/office/word/2010/wordprocessingShape">
                    <wps:wsp>
                      <wps:cNvPr id="34" name="Graphic 34"/>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5.260567pt;width:135.360pt;height:.48pt;mso-position-horizontal-relative:page;mso-position-vertical-relative:paragraph;z-index:-15713280;mso-wrap-distance-left:0;mso-wrap-distance-right:0" id="docshape34" filled="true" fillcolor="#000000" stroked="false">
                <v:fill type="solid"/>
                <w10:wrap type="topAndBottom"/>
              </v:rect>
            </w:pict>
          </mc:Fallback>
        </mc:AlternateContent>
      </w:r>
    </w:p>
    <w:p>
      <w:pPr>
        <w:spacing w:line="217" w:lineRule="exact" w:before="96"/>
        <w:ind w:left="187" w:right="0" w:firstLine="0"/>
        <w:jc w:val="left"/>
        <w:rPr>
          <w:rFonts w:ascii="Times New Roman"/>
          <w:sz w:val="19"/>
        </w:rPr>
      </w:pPr>
      <w:r>
        <w:rPr>
          <w:rFonts w:ascii="Times New Roman"/>
          <w:sz w:val="19"/>
          <w:vertAlign w:val="superscript"/>
        </w:rPr>
        <w:t>13</w:t>
      </w:r>
      <w:r>
        <w:rPr>
          <w:rFonts w:ascii="Times New Roman"/>
          <w:spacing w:val="-12"/>
          <w:sz w:val="19"/>
          <w:vertAlign w:val="baseline"/>
        </w:rPr>
        <w:t> </w:t>
      </w:r>
      <w:r>
        <w:rPr>
          <w:rFonts w:ascii="Times New Roman"/>
          <w:sz w:val="19"/>
          <w:vertAlign w:val="baseline"/>
        </w:rPr>
        <w:t>Uvieghara,</w:t>
      </w:r>
      <w:r>
        <w:rPr>
          <w:rFonts w:ascii="Times New Roman"/>
          <w:spacing w:val="-11"/>
          <w:sz w:val="19"/>
          <w:vertAlign w:val="baseline"/>
        </w:rPr>
        <w:t> </w:t>
      </w:r>
      <w:r>
        <w:rPr>
          <w:rFonts w:ascii="Times New Roman"/>
          <w:sz w:val="19"/>
          <w:vertAlign w:val="baseline"/>
        </w:rPr>
        <w:t>E.E.</w:t>
      </w:r>
      <w:r>
        <w:rPr>
          <w:rFonts w:ascii="Times New Roman"/>
          <w:spacing w:val="-7"/>
          <w:sz w:val="19"/>
          <w:vertAlign w:val="baseline"/>
        </w:rPr>
        <w:t> </w:t>
      </w:r>
      <w:r>
        <w:rPr>
          <w:rFonts w:ascii="Times New Roman"/>
          <w:sz w:val="19"/>
          <w:u w:val="single"/>
          <w:vertAlign w:val="baseline"/>
        </w:rPr>
        <w:t>Labour</w:t>
      </w:r>
      <w:r>
        <w:rPr>
          <w:rFonts w:ascii="Times New Roman"/>
          <w:spacing w:val="-8"/>
          <w:sz w:val="19"/>
          <w:u w:val="single"/>
          <w:vertAlign w:val="baseline"/>
        </w:rPr>
        <w:t> </w:t>
      </w:r>
      <w:r>
        <w:rPr>
          <w:rFonts w:ascii="Times New Roman"/>
          <w:sz w:val="19"/>
          <w:u w:val="single"/>
          <w:vertAlign w:val="baseline"/>
        </w:rPr>
        <w:t>Law</w:t>
      </w:r>
      <w:r>
        <w:rPr>
          <w:rFonts w:ascii="Times New Roman"/>
          <w:spacing w:val="-12"/>
          <w:sz w:val="19"/>
          <w:u w:val="single"/>
          <w:vertAlign w:val="baseline"/>
        </w:rPr>
        <w:t> </w:t>
      </w:r>
      <w:r>
        <w:rPr>
          <w:rFonts w:ascii="Times New Roman"/>
          <w:sz w:val="19"/>
          <w:u w:val="single"/>
          <w:vertAlign w:val="baseline"/>
        </w:rPr>
        <w:t>in</w:t>
      </w:r>
      <w:r>
        <w:rPr>
          <w:rFonts w:ascii="Times New Roman"/>
          <w:spacing w:val="-9"/>
          <w:sz w:val="19"/>
          <w:u w:val="single"/>
          <w:vertAlign w:val="baseline"/>
        </w:rPr>
        <w:t> </w:t>
      </w:r>
      <w:r>
        <w:rPr>
          <w:rFonts w:ascii="Times New Roman"/>
          <w:sz w:val="19"/>
          <w:u w:val="single"/>
          <w:vertAlign w:val="baseline"/>
        </w:rPr>
        <w:t>Nigeria,</w:t>
      </w:r>
      <w:r>
        <w:rPr>
          <w:rFonts w:ascii="Times New Roman"/>
          <w:spacing w:val="-7"/>
          <w:sz w:val="19"/>
          <w:vertAlign w:val="baseline"/>
        </w:rPr>
        <w:t> </w:t>
      </w:r>
      <w:r>
        <w:rPr>
          <w:rFonts w:ascii="Times New Roman"/>
          <w:sz w:val="19"/>
          <w:vertAlign w:val="baseline"/>
        </w:rPr>
        <w:t>Malthouse</w:t>
      </w:r>
      <w:r>
        <w:rPr>
          <w:rFonts w:ascii="Times New Roman"/>
          <w:spacing w:val="-8"/>
          <w:sz w:val="19"/>
          <w:vertAlign w:val="baseline"/>
        </w:rPr>
        <w:t> </w:t>
      </w:r>
      <w:r>
        <w:rPr>
          <w:rFonts w:ascii="Times New Roman"/>
          <w:sz w:val="19"/>
          <w:vertAlign w:val="baseline"/>
        </w:rPr>
        <w:t>Press</w:t>
      </w:r>
      <w:r>
        <w:rPr>
          <w:rFonts w:ascii="Times New Roman"/>
          <w:spacing w:val="-9"/>
          <w:sz w:val="19"/>
          <w:vertAlign w:val="baseline"/>
        </w:rPr>
        <w:t> </w:t>
      </w:r>
      <w:r>
        <w:rPr>
          <w:rFonts w:ascii="Times New Roman"/>
          <w:sz w:val="19"/>
          <w:vertAlign w:val="baseline"/>
        </w:rPr>
        <w:t>Ltd,</w:t>
      </w:r>
      <w:r>
        <w:rPr>
          <w:rFonts w:ascii="Times New Roman"/>
          <w:spacing w:val="-7"/>
          <w:sz w:val="19"/>
          <w:vertAlign w:val="baseline"/>
        </w:rPr>
        <w:t> </w:t>
      </w:r>
      <w:r>
        <w:rPr>
          <w:rFonts w:ascii="Times New Roman"/>
          <w:sz w:val="19"/>
          <w:vertAlign w:val="baseline"/>
        </w:rPr>
        <w:t>Ikeja,</w:t>
      </w:r>
      <w:r>
        <w:rPr>
          <w:rFonts w:ascii="Times New Roman"/>
          <w:spacing w:val="-7"/>
          <w:sz w:val="19"/>
          <w:vertAlign w:val="baseline"/>
        </w:rPr>
        <w:t> </w:t>
      </w:r>
      <w:r>
        <w:rPr>
          <w:rFonts w:ascii="Times New Roman"/>
          <w:sz w:val="19"/>
          <w:vertAlign w:val="baseline"/>
        </w:rPr>
        <w:t>Lagos</w:t>
      </w:r>
      <w:r>
        <w:rPr>
          <w:rFonts w:ascii="Times New Roman"/>
          <w:spacing w:val="-11"/>
          <w:sz w:val="19"/>
          <w:vertAlign w:val="baseline"/>
        </w:rPr>
        <w:t> </w:t>
      </w:r>
      <w:r>
        <w:rPr>
          <w:rFonts w:ascii="Times New Roman"/>
          <w:sz w:val="19"/>
          <w:vertAlign w:val="baseline"/>
        </w:rPr>
        <w:t>(2001)</w:t>
      </w:r>
      <w:r>
        <w:rPr>
          <w:rFonts w:ascii="Times New Roman"/>
          <w:spacing w:val="-12"/>
          <w:sz w:val="19"/>
          <w:vertAlign w:val="baseline"/>
        </w:rPr>
        <w:t> </w:t>
      </w:r>
      <w:r>
        <w:rPr>
          <w:rFonts w:ascii="Times New Roman"/>
          <w:sz w:val="19"/>
          <w:vertAlign w:val="baseline"/>
        </w:rPr>
        <w:t>p.</w:t>
      </w:r>
      <w:r>
        <w:rPr>
          <w:rFonts w:ascii="Times New Roman"/>
          <w:spacing w:val="-12"/>
          <w:sz w:val="19"/>
          <w:vertAlign w:val="baseline"/>
        </w:rPr>
        <w:t> </w:t>
      </w:r>
      <w:r>
        <w:rPr>
          <w:rFonts w:ascii="Times New Roman"/>
          <w:spacing w:val="-5"/>
          <w:sz w:val="19"/>
          <w:vertAlign w:val="baseline"/>
        </w:rPr>
        <w:t>250</w:t>
      </w:r>
    </w:p>
    <w:p>
      <w:pPr>
        <w:spacing w:line="217" w:lineRule="exact" w:before="0"/>
        <w:ind w:left="187" w:right="0" w:firstLine="0"/>
        <w:jc w:val="left"/>
        <w:rPr>
          <w:rFonts w:ascii="Times New Roman"/>
          <w:i/>
          <w:sz w:val="19"/>
        </w:rPr>
      </w:pPr>
      <w:r>
        <w:rPr>
          <w:rFonts w:ascii="Times New Roman"/>
          <w:sz w:val="19"/>
          <w:vertAlign w:val="superscript"/>
        </w:rPr>
        <w:t>14</w:t>
      </w:r>
      <w:r>
        <w:rPr>
          <w:rFonts w:ascii="Times New Roman"/>
          <w:spacing w:val="9"/>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15</w:t>
      </w:r>
      <w:r>
        <w:rPr>
          <w:rFonts w:ascii="Times New Roman"/>
          <w:spacing w:val="9"/>
          <w:sz w:val="19"/>
          <w:vertAlign w:val="baseline"/>
        </w:rPr>
        <w:t> </w:t>
      </w:r>
      <w:r>
        <w:rPr>
          <w:rFonts w:ascii="Times New Roman"/>
          <w:i/>
          <w:spacing w:val="-4"/>
          <w:sz w:val="19"/>
          <w:vertAlign w:val="baseline"/>
        </w:rPr>
        <w:t>Ibid</w:t>
      </w:r>
    </w:p>
    <w:p>
      <w:pPr>
        <w:pStyle w:val="ListParagraph"/>
        <w:numPr>
          <w:ilvl w:val="0"/>
          <w:numId w:val="10"/>
        </w:numPr>
        <w:tabs>
          <w:tab w:pos="382" w:val="left" w:leader="none"/>
        </w:tabs>
        <w:spacing w:line="232" w:lineRule="auto" w:before="4" w:after="0"/>
        <w:ind w:left="187" w:right="1021" w:firstLine="0"/>
        <w:jc w:val="left"/>
        <w:rPr>
          <w:rFonts w:ascii="Times New Roman" w:hAnsi="Times New Roman"/>
          <w:i/>
          <w:sz w:val="19"/>
        </w:rPr>
      </w:pPr>
      <w:r>
        <w:rPr>
          <w:rFonts w:ascii="Times New Roman" w:hAnsi="Times New Roman"/>
          <w:i/>
          <w:sz w:val="19"/>
        </w:rPr>
        <w:t>Haller,</w:t>
      </w:r>
      <w:r>
        <w:rPr>
          <w:rFonts w:ascii="Times New Roman" w:hAnsi="Times New Roman"/>
          <w:i/>
          <w:spacing w:val="-12"/>
          <w:sz w:val="19"/>
        </w:rPr>
        <w:t> </w:t>
      </w:r>
      <w:r>
        <w:rPr>
          <w:rFonts w:ascii="Times New Roman" w:hAnsi="Times New Roman"/>
          <w:i/>
          <w:sz w:val="19"/>
        </w:rPr>
        <w:t>J.S.</w:t>
      </w:r>
      <w:r>
        <w:rPr>
          <w:rFonts w:ascii="Times New Roman" w:hAnsi="Times New Roman"/>
          <w:i/>
          <w:spacing w:val="-12"/>
          <w:sz w:val="19"/>
        </w:rPr>
        <w:t> </w:t>
      </w:r>
      <w:r>
        <w:rPr>
          <w:rFonts w:ascii="Times New Roman" w:hAnsi="Times New Roman"/>
          <w:i/>
          <w:sz w:val="19"/>
        </w:rPr>
        <w:t>“Industrial</w:t>
      </w:r>
      <w:r>
        <w:rPr>
          <w:rFonts w:ascii="Times New Roman" w:hAnsi="Times New Roman"/>
          <w:i/>
          <w:spacing w:val="-10"/>
          <w:sz w:val="19"/>
        </w:rPr>
        <w:t> </w:t>
      </w:r>
      <w:r>
        <w:rPr>
          <w:rFonts w:ascii="Times New Roman" w:hAnsi="Times New Roman"/>
          <w:i/>
          <w:sz w:val="19"/>
        </w:rPr>
        <w:t>Accidents</w:t>
      </w:r>
      <w:r>
        <w:rPr>
          <w:rFonts w:ascii="Times New Roman" w:hAnsi="Times New Roman"/>
          <w:i/>
          <w:spacing w:val="-12"/>
          <w:sz w:val="19"/>
        </w:rPr>
        <w:t> </w:t>
      </w:r>
      <w:r>
        <w:rPr>
          <w:rFonts w:ascii="Times New Roman" w:hAnsi="Times New Roman"/>
          <w:i/>
          <w:sz w:val="19"/>
        </w:rPr>
        <w:t>–</w:t>
      </w:r>
      <w:r>
        <w:rPr>
          <w:rFonts w:ascii="Times New Roman" w:hAnsi="Times New Roman"/>
          <w:i/>
          <w:spacing w:val="-9"/>
          <w:sz w:val="19"/>
        </w:rPr>
        <w:t> </w:t>
      </w:r>
      <w:r>
        <w:rPr>
          <w:rFonts w:ascii="Times New Roman" w:hAnsi="Times New Roman"/>
          <w:i/>
          <w:sz w:val="19"/>
        </w:rPr>
        <w:t>Workers’</w:t>
      </w:r>
      <w:r>
        <w:rPr>
          <w:rFonts w:ascii="Times New Roman" w:hAnsi="Times New Roman"/>
          <w:i/>
          <w:spacing w:val="-10"/>
          <w:sz w:val="19"/>
        </w:rPr>
        <w:t> </w:t>
      </w:r>
      <w:r>
        <w:rPr>
          <w:rFonts w:ascii="Times New Roman" w:hAnsi="Times New Roman"/>
          <w:i/>
          <w:sz w:val="19"/>
        </w:rPr>
        <w:t>Compensation</w:t>
      </w:r>
      <w:r>
        <w:rPr>
          <w:rFonts w:ascii="Times New Roman" w:hAnsi="Times New Roman"/>
          <w:i/>
          <w:spacing w:val="-9"/>
          <w:sz w:val="19"/>
        </w:rPr>
        <w:t> </w:t>
      </w:r>
      <w:r>
        <w:rPr>
          <w:rFonts w:ascii="Times New Roman" w:hAnsi="Times New Roman"/>
          <w:i/>
          <w:sz w:val="19"/>
        </w:rPr>
        <w:t>Laws</w:t>
      </w:r>
      <w:r>
        <w:rPr>
          <w:rFonts w:ascii="Times New Roman" w:hAnsi="Times New Roman"/>
          <w:i/>
          <w:spacing w:val="-7"/>
          <w:sz w:val="19"/>
        </w:rPr>
        <w:t> </w:t>
      </w:r>
      <w:r>
        <w:rPr>
          <w:rFonts w:ascii="Times New Roman" w:hAnsi="Times New Roman"/>
          <w:i/>
          <w:sz w:val="19"/>
        </w:rPr>
        <w:t>and</w:t>
      </w:r>
      <w:r>
        <w:rPr>
          <w:rFonts w:ascii="Times New Roman" w:hAnsi="Times New Roman"/>
          <w:i/>
          <w:spacing w:val="-9"/>
          <w:sz w:val="19"/>
        </w:rPr>
        <w:t> </w:t>
      </w:r>
      <w:r>
        <w:rPr>
          <w:rFonts w:ascii="Times New Roman" w:hAnsi="Times New Roman"/>
          <w:i/>
          <w:sz w:val="19"/>
        </w:rPr>
        <w:t>the</w:t>
      </w:r>
      <w:r>
        <w:rPr>
          <w:rFonts w:ascii="Times New Roman" w:hAnsi="Times New Roman"/>
          <w:i/>
          <w:spacing w:val="-11"/>
          <w:sz w:val="19"/>
        </w:rPr>
        <w:t> </w:t>
      </w:r>
      <w:r>
        <w:rPr>
          <w:rFonts w:ascii="Times New Roman" w:hAnsi="Times New Roman"/>
          <w:i/>
          <w:sz w:val="19"/>
        </w:rPr>
        <w:t>Medical</w:t>
      </w:r>
      <w:r>
        <w:rPr>
          <w:rFonts w:ascii="Times New Roman" w:hAnsi="Times New Roman"/>
          <w:i/>
          <w:spacing w:val="-10"/>
          <w:sz w:val="19"/>
        </w:rPr>
        <w:t> </w:t>
      </w:r>
      <w:r>
        <w:rPr>
          <w:rFonts w:ascii="Times New Roman" w:hAnsi="Times New Roman"/>
          <w:i/>
          <w:sz w:val="19"/>
        </w:rPr>
        <w:t>Response,”</w:t>
      </w:r>
      <w:r>
        <w:rPr>
          <w:rFonts w:ascii="Times New Roman" w:hAnsi="Times New Roman"/>
          <w:i/>
          <w:spacing w:val="-12"/>
          <w:sz w:val="19"/>
        </w:rPr>
        <w:t> </w:t>
      </w:r>
      <w:r>
        <w:rPr>
          <w:rFonts w:ascii="Times New Roman" w:hAnsi="Times New Roman"/>
          <w:i/>
          <w:sz w:val="19"/>
        </w:rPr>
        <w:t>Western Journal of Medicine (1988) Vol. 148, pp. 341 – 348.</w:t>
      </w:r>
    </w:p>
    <w:p>
      <w:pPr>
        <w:pStyle w:val="ListParagraph"/>
        <w:numPr>
          <w:ilvl w:val="0"/>
          <w:numId w:val="10"/>
        </w:numPr>
        <w:tabs>
          <w:tab w:pos="382" w:val="left" w:leader="none"/>
        </w:tabs>
        <w:spacing w:line="215" w:lineRule="exact" w:before="0" w:after="0"/>
        <w:ind w:left="382" w:right="0" w:hanging="195"/>
        <w:jc w:val="left"/>
        <w:rPr>
          <w:rFonts w:ascii="Times New Roman" w:hAnsi="Times New Roman"/>
          <w:i/>
          <w:sz w:val="19"/>
        </w:rPr>
      </w:pPr>
      <w:r>
        <w:rPr>
          <w:rFonts w:ascii="Times New Roman" w:hAnsi="Times New Roman"/>
          <w:i/>
          <w:sz w:val="19"/>
        </w:rPr>
        <w:t>Guyton,</w:t>
      </w:r>
      <w:r>
        <w:rPr>
          <w:rFonts w:ascii="Times New Roman" w:hAnsi="Times New Roman"/>
          <w:i/>
          <w:spacing w:val="-9"/>
          <w:sz w:val="19"/>
        </w:rPr>
        <w:t> </w:t>
      </w:r>
      <w:r>
        <w:rPr>
          <w:rFonts w:ascii="Times New Roman" w:hAnsi="Times New Roman"/>
          <w:i/>
          <w:sz w:val="19"/>
        </w:rPr>
        <w:t>G.P.</w:t>
      </w:r>
      <w:r>
        <w:rPr>
          <w:rFonts w:ascii="Times New Roman" w:hAnsi="Times New Roman"/>
          <w:i/>
          <w:spacing w:val="-9"/>
          <w:sz w:val="19"/>
        </w:rPr>
        <w:t> </w:t>
      </w:r>
      <w:r>
        <w:rPr>
          <w:rFonts w:ascii="Times New Roman" w:hAnsi="Times New Roman"/>
          <w:i/>
          <w:sz w:val="19"/>
        </w:rPr>
        <w:t>op</w:t>
      </w:r>
      <w:r>
        <w:rPr>
          <w:rFonts w:ascii="Times New Roman" w:hAnsi="Times New Roman"/>
          <w:i/>
          <w:spacing w:val="-12"/>
          <w:sz w:val="19"/>
        </w:rPr>
        <w:t> </w:t>
      </w:r>
      <w:r>
        <w:rPr>
          <w:rFonts w:ascii="Times New Roman" w:hAnsi="Times New Roman"/>
          <w:i/>
          <w:spacing w:val="-5"/>
          <w:sz w:val="19"/>
        </w:rPr>
        <w:t>cit</w:t>
      </w:r>
    </w:p>
    <w:p>
      <w:pPr>
        <w:pStyle w:val="ListParagraph"/>
        <w:numPr>
          <w:ilvl w:val="0"/>
          <w:numId w:val="10"/>
        </w:numPr>
        <w:tabs>
          <w:tab w:pos="382" w:val="left" w:leader="none"/>
        </w:tabs>
        <w:spacing w:line="216" w:lineRule="exact" w:before="0" w:after="0"/>
        <w:ind w:left="382" w:right="0" w:hanging="195"/>
        <w:jc w:val="left"/>
        <w:rPr>
          <w:rFonts w:ascii="Times New Roman" w:hAnsi="Times New Roman"/>
          <w:i/>
          <w:sz w:val="19"/>
        </w:rPr>
      </w:pPr>
      <w:r>
        <w:rPr>
          <w:rFonts w:ascii="Times New Roman" w:hAnsi="Times New Roman"/>
          <w:i/>
          <w:spacing w:val="-4"/>
          <w:sz w:val="19"/>
        </w:rPr>
        <w:t>Ibid</w:t>
      </w:r>
    </w:p>
    <w:p>
      <w:pPr>
        <w:pStyle w:val="ListParagraph"/>
        <w:numPr>
          <w:ilvl w:val="0"/>
          <w:numId w:val="10"/>
        </w:numPr>
        <w:tabs>
          <w:tab w:pos="382" w:val="left" w:leader="none"/>
        </w:tabs>
        <w:spacing w:line="217" w:lineRule="exact" w:before="0" w:after="0"/>
        <w:ind w:left="382" w:right="0" w:hanging="195"/>
        <w:jc w:val="left"/>
        <w:rPr>
          <w:rFonts w:ascii="Times New Roman" w:hAnsi="Times New Roman"/>
          <w:i/>
          <w:sz w:val="19"/>
        </w:rPr>
      </w:pPr>
      <w:r>
        <w:rPr>
          <w:rFonts w:ascii="Times New Roman" w:hAnsi="Times New Roman"/>
          <w:i/>
          <w:spacing w:val="-4"/>
          <w:sz w:val="19"/>
        </w:rPr>
        <w:t>Ibid</w:t>
      </w:r>
    </w:p>
    <w:p>
      <w:pPr>
        <w:spacing w:after="0" w:line="217"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94"/>
        <w:ind w:left="864" w:right="564"/>
        <w:jc w:val="both"/>
      </w:pPr>
      <w:r>
        <w:rPr/>
        <w:t>The</w:t>
      </w:r>
      <w:r>
        <w:rPr>
          <w:spacing w:val="40"/>
        </w:rPr>
        <w:t> </w:t>
      </w:r>
      <w:r>
        <w:rPr/>
        <w:t>dissatisfaction</w:t>
      </w:r>
      <w:r>
        <w:rPr>
          <w:spacing w:val="40"/>
        </w:rPr>
        <w:t> </w:t>
      </w:r>
      <w:r>
        <w:rPr/>
        <w:t>of</w:t>
      </w:r>
      <w:r>
        <w:rPr>
          <w:spacing w:val="40"/>
        </w:rPr>
        <w:t> </w:t>
      </w:r>
      <w:r>
        <w:rPr/>
        <w:t>employees</w:t>
      </w:r>
      <w:r>
        <w:rPr>
          <w:spacing w:val="40"/>
        </w:rPr>
        <w:t> </w:t>
      </w:r>
      <w:r>
        <w:rPr/>
        <w:t>and</w:t>
      </w:r>
      <w:r>
        <w:rPr>
          <w:spacing w:val="40"/>
        </w:rPr>
        <w:t> </w:t>
      </w:r>
      <w:r>
        <w:rPr/>
        <w:t>even</w:t>
      </w:r>
      <w:r>
        <w:rPr>
          <w:spacing w:val="40"/>
        </w:rPr>
        <w:t> </w:t>
      </w:r>
      <w:r>
        <w:rPr/>
        <w:t>employers</w:t>
      </w:r>
      <w:r>
        <w:rPr>
          <w:spacing w:val="40"/>
        </w:rPr>
        <w:t> </w:t>
      </w:r>
      <w:r>
        <w:rPr/>
        <w:t>with</w:t>
      </w:r>
      <w:r>
        <w:rPr>
          <w:spacing w:val="40"/>
        </w:rPr>
        <w:t> </w:t>
      </w:r>
      <w:r>
        <w:rPr/>
        <w:t>the</w:t>
      </w:r>
      <w:r>
        <w:rPr>
          <w:spacing w:val="40"/>
        </w:rPr>
        <w:t> </w:t>
      </w:r>
      <w:r>
        <w:rPr/>
        <w:t>common law on worker’s compensation for injury at work ushered in another era known</w:t>
      </w:r>
      <w:r>
        <w:rPr>
          <w:spacing w:val="40"/>
        </w:rPr>
        <w:t> </w:t>
      </w:r>
      <w:r>
        <w:rPr/>
        <w:t>as</w:t>
      </w:r>
      <w:r>
        <w:rPr>
          <w:spacing w:val="40"/>
        </w:rPr>
        <w:t> </w:t>
      </w:r>
      <w:r>
        <w:rPr/>
        <w:t>the</w:t>
      </w:r>
      <w:r>
        <w:rPr>
          <w:spacing w:val="40"/>
        </w:rPr>
        <w:t> </w:t>
      </w:r>
      <w:r>
        <w:rPr/>
        <w:t>era</w:t>
      </w:r>
      <w:r>
        <w:rPr>
          <w:spacing w:val="40"/>
        </w:rPr>
        <w:t> </w:t>
      </w:r>
      <w:r>
        <w:rPr/>
        <w:t>of</w:t>
      </w:r>
      <w:r>
        <w:rPr>
          <w:spacing w:val="40"/>
        </w:rPr>
        <w:t> </w:t>
      </w:r>
      <w:r>
        <w:rPr/>
        <w:t>the</w:t>
      </w:r>
      <w:r>
        <w:rPr>
          <w:spacing w:val="40"/>
        </w:rPr>
        <w:t> </w:t>
      </w:r>
      <w:r>
        <w:rPr/>
        <w:t>then</w:t>
      </w:r>
      <w:r>
        <w:rPr>
          <w:spacing w:val="40"/>
        </w:rPr>
        <w:t> </w:t>
      </w:r>
      <w:r>
        <w:rPr/>
        <w:t>modern</w:t>
      </w:r>
      <w:r>
        <w:rPr>
          <w:spacing w:val="40"/>
        </w:rPr>
        <w:t> </w:t>
      </w:r>
      <w:r>
        <w:rPr/>
        <w:t>workers’</w:t>
      </w:r>
      <w:r>
        <w:rPr>
          <w:spacing w:val="40"/>
        </w:rPr>
        <w:t> </w:t>
      </w:r>
      <w:r>
        <w:rPr/>
        <w:t>compensation</w:t>
      </w:r>
      <w:r>
        <w:rPr>
          <w:spacing w:val="40"/>
        </w:rPr>
        <w:t> </w:t>
      </w:r>
      <w:r>
        <w:rPr/>
        <w:t>law</w:t>
      </w:r>
      <w:r>
        <w:rPr>
          <w:spacing w:val="40"/>
        </w:rPr>
        <w:t> </w:t>
      </w:r>
      <w:r>
        <w:rPr/>
        <w:t>which was on humanitarian ground and this is believed to have occurred on the setting of Prussia under the leadership of its Chancellor Otto Von Bismarck who</w:t>
      </w:r>
      <w:r>
        <w:rPr>
          <w:spacing w:val="-3"/>
        </w:rPr>
        <w:t> </w:t>
      </w:r>
      <w:r>
        <w:rPr/>
        <w:t>was the</w:t>
      </w:r>
      <w:r>
        <w:rPr>
          <w:spacing w:val="-3"/>
        </w:rPr>
        <w:t> </w:t>
      </w:r>
      <w:r>
        <w:rPr/>
        <w:t>force</w:t>
      </w:r>
      <w:r>
        <w:rPr>
          <w:spacing w:val="-3"/>
        </w:rPr>
        <w:t> </w:t>
      </w:r>
      <w:r>
        <w:rPr/>
        <w:t>behind </w:t>
      </w:r>
      <w:r>
        <w:rPr>
          <w:rFonts w:ascii="Verdana" w:hAnsi="Verdana"/>
          <w:i/>
          <w:sz w:val="24"/>
        </w:rPr>
        <w:t>Realpolitik;</w:t>
      </w:r>
      <w:r>
        <w:rPr>
          <w:rFonts w:ascii="Verdana" w:hAnsi="Verdana"/>
          <w:i/>
          <w:spacing w:val="-13"/>
          <w:sz w:val="24"/>
        </w:rPr>
        <w:t> </w:t>
      </w:r>
      <w:r>
        <w:rPr/>
        <w:t>the</w:t>
      </w:r>
      <w:r>
        <w:rPr>
          <w:spacing w:val="-3"/>
        </w:rPr>
        <w:t> </w:t>
      </w:r>
      <w:r>
        <w:rPr/>
        <w:t>school</w:t>
      </w:r>
      <w:r>
        <w:rPr>
          <w:spacing w:val="-1"/>
        </w:rPr>
        <w:t> </w:t>
      </w:r>
      <w:r>
        <w:rPr/>
        <w:t>of political pragmatism.</w:t>
      </w:r>
      <w:r>
        <w:rPr>
          <w:vertAlign w:val="superscript"/>
        </w:rPr>
        <w:t>20</w:t>
      </w:r>
      <w:r>
        <w:rPr>
          <w:vertAlign w:val="baseline"/>
        </w:rPr>
        <w:t> Germany at that time had a very active Marxist and socialist movement, when social protection for workers was at the top of their agenda.</w:t>
      </w:r>
      <w:r>
        <w:rPr>
          <w:vertAlign w:val="superscript"/>
        </w:rPr>
        <w:t>21</w:t>
      </w:r>
      <w:r>
        <w:rPr>
          <w:vertAlign w:val="baseline"/>
        </w:rPr>
        <w:t> Bismarck also pushed through workers accident insurance in 1884 creating the first modern system of workers compensation.</w:t>
      </w:r>
      <w:r>
        <w:rPr>
          <w:vertAlign w:val="superscript"/>
        </w:rPr>
        <w:t>22</w:t>
      </w:r>
      <w:r>
        <w:rPr>
          <w:vertAlign w:val="baseline"/>
        </w:rPr>
        <w:t> It started with Employers’ Liability Law of 1971 providing limited social protection to workers</w:t>
      </w:r>
      <w:r>
        <w:rPr>
          <w:spacing w:val="40"/>
          <w:vertAlign w:val="baseline"/>
        </w:rPr>
        <w:t> </w:t>
      </w:r>
      <w:r>
        <w:rPr>
          <w:vertAlign w:val="baseline"/>
        </w:rPr>
        <w:t>in</w:t>
      </w:r>
      <w:r>
        <w:rPr>
          <w:spacing w:val="40"/>
          <w:vertAlign w:val="baseline"/>
        </w:rPr>
        <w:t> </w:t>
      </w:r>
      <w:r>
        <w:rPr>
          <w:vertAlign w:val="baseline"/>
        </w:rPr>
        <w:t>certain</w:t>
      </w:r>
      <w:r>
        <w:rPr>
          <w:spacing w:val="40"/>
          <w:vertAlign w:val="baseline"/>
        </w:rPr>
        <w:t> </w:t>
      </w:r>
      <w:r>
        <w:rPr>
          <w:vertAlign w:val="baseline"/>
        </w:rPr>
        <w:t>factories,</w:t>
      </w:r>
      <w:r>
        <w:rPr>
          <w:spacing w:val="40"/>
          <w:vertAlign w:val="baseline"/>
        </w:rPr>
        <w:t> </w:t>
      </w:r>
      <w:r>
        <w:rPr>
          <w:vertAlign w:val="baseline"/>
        </w:rPr>
        <w:t>mines,</w:t>
      </w:r>
      <w:r>
        <w:rPr>
          <w:spacing w:val="40"/>
          <w:vertAlign w:val="baseline"/>
        </w:rPr>
        <w:t> </w:t>
      </w:r>
      <w:r>
        <w:rPr>
          <w:vertAlign w:val="baseline"/>
        </w:rPr>
        <w:t>quarries</w:t>
      </w:r>
      <w:r>
        <w:rPr>
          <w:spacing w:val="40"/>
          <w:vertAlign w:val="baseline"/>
        </w:rPr>
        <w:t> </w:t>
      </w:r>
      <w:r>
        <w:rPr>
          <w:vertAlign w:val="baseline"/>
        </w:rPr>
        <w:t>and</w:t>
      </w:r>
      <w:r>
        <w:rPr>
          <w:spacing w:val="40"/>
          <w:vertAlign w:val="baseline"/>
        </w:rPr>
        <w:t> </w:t>
      </w:r>
      <w:r>
        <w:rPr>
          <w:vertAlign w:val="baseline"/>
        </w:rPr>
        <w:t>railroads.</w:t>
      </w:r>
      <w:r>
        <w:rPr>
          <w:vertAlign w:val="superscript"/>
        </w:rPr>
        <w:t>23</w:t>
      </w:r>
      <w:r>
        <w:rPr>
          <w:spacing w:val="40"/>
          <w:vertAlign w:val="baseline"/>
        </w:rPr>
        <w:t> </w:t>
      </w:r>
      <w:r>
        <w:rPr>
          <w:vertAlign w:val="baseline"/>
        </w:rPr>
        <w:t>There</w:t>
      </w:r>
      <w:r>
        <w:rPr>
          <w:spacing w:val="40"/>
          <w:vertAlign w:val="baseline"/>
        </w:rPr>
        <w:t> </w:t>
      </w:r>
      <w:r>
        <w:rPr>
          <w:vertAlign w:val="baseline"/>
        </w:rPr>
        <w:t>was also</w:t>
      </w:r>
      <w:r>
        <w:rPr>
          <w:spacing w:val="40"/>
          <w:vertAlign w:val="baseline"/>
        </w:rPr>
        <w:t> </w:t>
      </w:r>
      <w:r>
        <w:rPr>
          <w:vertAlign w:val="baseline"/>
        </w:rPr>
        <w:t>public</w:t>
      </w:r>
      <w:r>
        <w:rPr>
          <w:spacing w:val="40"/>
          <w:vertAlign w:val="baseline"/>
        </w:rPr>
        <w:t> </w:t>
      </w:r>
      <w:r>
        <w:rPr>
          <w:vertAlign w:val="baseline"/>
        </w:rPr>
        <w:t>pension</w:t>
      </w:r>
      <w:r>
        <w:rPr>
          <w:spacing w:val="40"/>
          <w:vertAlign w:val="baseline"/>
        </w:rPr>
        <w:t> </w:t>
      </w:r>
      <w:r>
        <w:rPr>
          <w:vertAlign w:val="baseline"/>
        </w:rPr>
        <w:t>insurance</w:t>
      </w:r>
      <w:r>
        <w:rPr>
          <w:spacing w:val="40"/>
          <w:vertAlign w:val="baseline"/>
        </w:rPr>
        <w:t> </w:t>
      </w:r>
      <w:r>
        <w:rPr>
          <w:vertAlign w:val="baseline"/>
        </w:rPr>
        <w:t>providing</w:t>
      </w:r>
      <w:r>
        <w:rPr>
          <w:spacing w:val="40"/>
          <w:vertAlign w:val="baseline"/>
        </w:rPr>
        <w:t> </w:t>
      </w:r>
      <w:r>
        <w:rPr>
          <w:vertAlign w:val="baseline"/>
        </w:rPr>
        <w:t>some</w:t>
      </w:r>
      <w:r>
        <w:rPr>
          <w:spacing w:val="40"/>
          <w:vertAlign w:val="baseline"/>
        </w:rPr>
        <w:t> </w:t>
      </w:r>
      <w:r>
        <w:rPr>
          <w:vertAlign w:val="baseline"/>
        </w:rPr>
        <w:t>amount</w:t>
      </w:r>
      <w:r>
        <w:rPr>
          <w:spacing w:val="40"/>
          <w:vertAlign w:val="baseline"/>
        </w:rPr>
        <w:t> </w:t>
      </w:r>
      <w:r>
        <w:rPr>
          <w:vertAlign w:val="baseline"/>
        </w:rPr>
        <w:t>of</w:t>
      </w:r>
      <w:r>
        <w:rPr>
          <w:spacing w:val="40"/>
          <w:vertAlign w:val="baseline"/>
        </w:rPr>
        <w:t> </w:t>
      </w:r>
      <w:r>
        <w:rPr>
          <w:vertAlign w:val="baseline"/>
        </w:rPr>
        <w:t>money</w:t>
      </w:r>
      <w:r>
        <w:rPr>
          <w:spacing w:val="40"/>
          <w:vertAlign w:val="baseline"/>
        </w:rPr>
        <w:t> </w:t>
      </w:r>
      <w:r>
        <w:rPr>
          <w:vertAlign w:val="baseline"/>
        </w:rPr>
        <w:t>for workers</w:t>
      </w:r>
      <w:r>
        <w:rPr>
          <w:spacing w:val="34"/>
          <w:vertAlign w:val="baseline"/>
        </w:rPr>
        <w:t> </w:t>
      </w:r>
      <w:r>
        <w:rPr>
          <w:vertAlign w:val="baseline"/>
        </w:rPr>
        <w:t>who</w:t>
      </w:r>
      <w:r>
        <w:rPr>
          <w:spacing w:val="35"/>
          <w:vertAlign w:val="baseline"/>
        </w:rPr>
        <w:t> </w:t>
      </w:r>
      <w:r>
        <w:rPr>
          <w:vertAlign w:val="baseline"/>
        </w:rPr>
        <w:t>were</w:t>
      </w:r>
      <w:r>
        <w:rPr>
          <w:spacing w:val="34"/>
          <w:vertAlign w:val="baseline"/>
        </w:rPr>
        <w:t> </w:t>
      </w:r>
      <w:r>
        <w:rPr>
          <w:vertAlign w:val="baseline"/>
        </w:rPr>
        <w:t>incapacitated</w:t>
      </w:r>
      <w:r>
        <w:rPr>
          <w:spacing w:val="37"/>
          <w:vertAlign w:val="baseline"/>
        </w:rPr>
        <w:t> </w:t>
      </w:r>
      <w:r>
        <w:rPr>
          <w:vertAlign w:val="baseline"/>
        </w:rPr>
        <w:t>as</w:t>
      </w:r>
      <w:r>
        <w:rPr>
          <w:spacing w:val="34"/>
          <w:vertAlign w:val="baseline"/>
        </w:rPr>
        <w:t> </w:t>
      </w:r>
      <w:r>
        <w:rPr>
          <w:vertAlign w:val="baseline"/>
        </w:rPr>
        <w:t>a</w:t>
      </w:r>
      <w:r>
        <w:rPr>
          <w:spacing w:val="35"/>
          <w:vertAlign w:val="baseline"/>
        </w:rPr>
        <w:t> </w:t>
      </w:r>
      <w:r>
        <w:rPr>
          <w:vertAlign w:val="baseline"/>
        </w:rPr>
        <w:t>result</w:t>
      </w:r>
      <w:r>
        <w:rPr>
          <w:spacing w:val="36"/>
          <w:vertAlign w:val="baseline"/>
        </w:rPr>
        <w:t> </w:t>
      </w:r>
      <w:r>
        <w:rPr>
          <w:vertAlign w:val="baseline"/>
        </w:rPr>
        <w:t>of</w:t>
      </w:r>
      <w:r>
        <w:rPr>
          <w:spacing w:val="39"/>
          <w:vertAlign w:val="baseline"/>
        </w:rPr>
        <w:t> </w:t>
      </w:r>
      <w:r>
        <w:rPr>
          <w:vertAlign w:val="baseline"/>
        </w:rPr>
        <w:t>some</w:t>
      </w:r>
      <w:r>
        <w:rPr>
          <w:spacing w:val="34"/>
          <w:vertAlign w:val="baseline"/>
        </w:rPr>
        <w:t> </w:t>
      </w:r>
      <w:r>
        <w:rPr>
          <w:vertAlign w:val="baseline"/>
        </w:rPr>
        <w:t>diseases</w:t>
      </w:r>
      <w:r>
        <w:rPr>
          <w:spacing w:val="38"/>
          <w:vertAlign w:val="baseline"/>
        </w:rPr>
        <w:t> </w:t>
      </w:r>
      <w:r>
        <w:rPr>
          <w:vertAlign w:val="baseline"/>
        </w:rPr>
        <w:t>not</w:t>
      </w:r>
      <w:r>
        <w:rPr>
          <w:spacing w:val="36"/>
          <w:vertAlign w:val="baseline"/>
        </w:rPr>
        <w:t> </w:t>
      </w:r>
      <w:r>
        <w:rPr>
          <w:vertAlign w:val="baseline"/>
        </w:rPr>
        <w:t>related to their jobs.</w:t>
      </w:r>
      <w:r>
        <w:rPr>
          <w:vertAlign w:val="superscript"/>
        </w:rPr>
        <w:t>24</w:t>
      </w:r>
      <w:r>
        <w:rPr>
          <w:vertAlign w:val="baseline"/>
        </w:rPr>
        <w:t> For those who were not able to work due to disability, there was Public Aid</w:t>
      </w:r>
      <w:r>
        <w:rPr>
          <w:spacing w:val="40"/>
          <w:vertAlign w:val="baseline"/>
        </w:rPr>
        <w:t> </w:t>
      </w:r>
      <w:r>
        <w:rPr>
          <w:vertAlign w:val="baseline"/>
        </w:rPr>
        <w:t>for them.</w:t>
      </w:r>
      <w:r>
        <w:rPr>
          <w:spacing w:val="40"/>
          <w:vertAlign w:val="baseline"/>
        </w:rPr>
        <w:t> </w:t>
      </w:r>
      <w:r>
        <w:rPr>
          <w:vertAlign w:val="baseline"/>
        </w:rPr>
        <w:t>Greater benefits</w:t>
      </w:r>
      <w:r>
        <w:rPr>
          <w:spacing w:val="40"/>
          <w:vertAlign w:val="baseline"/>
        </w:rPr>
        <w:t> </w:t>
      </w:r>
      <w:r>
        <w:rPr>
          <w:vertAlign w:val="baseline"/>
        </w:rPr>
        <w:t>went to</w:t>
      </w:r>
      <w:r>
        <w:rPr>
          <w:spacing w:val="40"/>
          <w:vertAlign w:val="baseline"/>
        </w:rPr>
        <w:t> </w:t>
      </w:r>
      <w:r>
        <w:rPr>
          <w:vertAlign w:val="baseline"/>
        </w:rPr>
        <w:t>employees injured</w:t>
      </w:r>
      <w:r>
        <w:rPr>
          <w:spacing w:val="40"/>
          <w:vertAlign w:val="baseline"/>
        </w:rPr>
        <w:t> </w:t>
      </w:r>
      <w:r>
        <w:rPr>
          <w:vertAlign w:val="baseline"/>
        </w:rPr>
        <w:t>at work and medical care and rehabilitation were covered.</w:t>
      </w:r>
      <w:r>
        <w:rPr>
          <w:vertAlign w:val="superscript"/>
        </w:rPr>
        <w:t>25</w:t>
      </w:r>
      <w:r>
        <w:rPr>
          <w:vertAlign w:val="baseline"/>
        </w:rPr>
        <w:t> This served as a model</w:t>
      </w:r>
      <w:r>
        <w:rPr>
          <w:spacing w:val="40"/>
          <w:vertAlign w:val="baseline"/>
        </w:rPr>
        <w:t> </w:t>
      </w:r>
      <w:r>
        <w:rPr>
          <w:vertAlign w:val="baseline"/>
        </w:rPr>
        <w:t>for</w:t>
      </w:r>
      <w:r>
        <w:rPr>
          <w:spacing w:val="40"/>
          <w:vertAlign w:val="baseline"/>
        </w:rPr>
        <w:t> </w:t>
      </w:r>
      <w:r>
        <w:rPr>
          <w:vertAlign w:val="baseline"/>
        </w:rPr>
        <w:t>social</w:t>
      </w:r>
      <w:r>
        <w:rPr>
          <w:spacing w:val="40"/>
          <w:vertAlign w:val="baseline"/>
        </w:rPr>
        <w:t> </w:t>
      </w:r>
      <w:r>
        <w:rPr>
          <w:vertAlign w:val="baseline"/>
        </w:rPr>
        <w:t>insurance</w:t>
      </w:r>
      <w:r>
        <w:rPr>
          <w:spacing w:val="40"/>
          <w:vertAlign w:val="baseline"/>
        </w:rPr>
        <w:t> </w:t>
      </w:r>
      <w:r>
        <w:rPr>
          <w:vertAlign w:val="baseline"/>
        </w:rPr>
        <w:t>programme</w:t>
      </w:r>
      <w:r>
        <w:rPr>
          <w:spacing w:val="40"/>
          <w:vertAlign w:val="baseline"/>
        </w:rPr>
        <w:t> </w:t>
      </w:r>
      <w:r>
        <w:rPr>
          <w:vertAlign w:val="baseline"/>
        </w:rPr>
        <w:t>of</w:t>
      </w:r>
      <w:r>
        <w:rPr>
          <w:spacing w:val="40"/>
          <w:vertAlign w:val="baseline"/>
        </w:rPr>
        <w:t> </w:t>
      </w:r>
      <w:r>
        <w:rPr>
          <w:vertAlign w:val="baseline"/>
        </w:rPr>
        <w:t>many</w:t>
      </w:r>
      <w:r>
        <w:rPr>
          <w:spacing w:val="40"/>
          <w:vertAlign w:val="baseline"/>
        </w:rPr>
        <w:t> </w:t>
      </w:r>
      <w:r>
        <w:rPr>
          <w:vertAlign w:val="baseline"/>
        </w:rPr>
        <w:t>countries</w:t>
      </w:r>
      <w:r>
        <w:rPr>
          <w:spacing w:val="40"/>
          <w:vertAlign w:val="baseline"/>
        </w:rPr>
        <w:t> </w:t>
      </w:r>
      <w:r>
        <w:rPr>
          <w:vertAlign w:val="baseline"/>
        </w:rPr>
        <w:t>including </w:t>
      </w:r>
      <w:r>
        <w:rPr>
          <w:spacing w:val="-2"/>
          <w:vertAlign w:val="baseline"/>
        </w:rPr>
        <w:t>states.</w:t>
      </w:r>
      <w:r>
        <w:rPr>
          <w:spacing w:val="-2"/>
          <w:vertAlign w:val="superscript"/>
        </w:rPr>
        <w:t>26</w:t>
      </w:r>
    </w:p>
    <w:p>
      <w:pPr>
        <w:pStyle w:val="BodyText"/>
        <w:rPr>
          <w:sz w:val="20"/>
        </w:rPr>
      </w:pPr>
    </w:p>
    <w:p>
      <w:pPr>
        <w:pStyle w:val="BodyText"/>
        <w:spacing w:before="190"/>
        <w:rPr>
          <w:sz w:val="20"/>
        </w:rPr>
      </w:pPr>
      <w:r>
        <w:rPr/>
        <mc:AlternateContent>
          <mc:Choice Requires="wps">
            <w:drawing>
              <wp:anchor distT="0" distB="0" distL="0" distR="0" allowOverlap="1" layoutInCell="1" locked="0" behindDoc="1" simplePos="0" relativeHeight="487603712">
                <wp:simplePos x="0" y="0"/>
                <wp:positionH relativeFrom="page">
                  <wp:posOffset>1185672</wp:posOffset>
                </wp:positionH>
                <wp:positionV relativeFrom="paragraph">
                  <wp:posOffset>289219</wp:posOffset>
                </wp:positionV>
                <wp:extent cx="1719580" cy="6350"/>
                <wp:effectExtent l="0" t="0" r="0" b="0"/>
                <wp:wrapTopAndBottom/>
                <wp:docPr id="35" name="Graphic 35"/>
                <wp:cNvGraphicFramePr>
                  <a:graphicFrameLocks/>
                </wp:cNvGraphicFramePr>
                <a:graphic>
                  <a:graphicData uri="http://schemas.microsoft.com/office/word/2010/wordprocessingShape">
                    <wps:wsp>
                      <wps:cNvPr id="35" name="Graphic 3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2.773203pt;width:135.360pt;height:.48pt;mso-position-horizontal-relative:page;mso-position-vertical-relative:paragraph;z-index:-15712768;mso-wrap-distance-left:0;mso-wrap-distance-right:0" id="docshape35" filled="true" fillcolor="#000000" stroked="false">
                <v:fill type="solid"/>
                <w10:wrap type="topAndBottom"/>
              </v:rect>
            </w:pict>
          </mc:Fallback>
        </mc:AlternateContent>
      </w:r>
    </w:p>
    <w:p>
      <w:pPr>
        <w:pStyle w:val="ListParagraph"/>
        <w:numPr>
          <w:ilvl w:val="0"/>
          <w:numId w:val="10"/>
        </w:numPr>
        <w:tabs>
          <w:tab w:pos="382" w:val="left" w:leader="none"/>
        </w:tabs>
        <w:spacing w:line="240" w:lineRule="auto" w:before="96" w:after="0"/>
        <w:ind w:left="382" w:right="0" w:hanging="195"/>
        <w:jc w:val="left"/>
        <w:rPr>
          <w:rFonts w:ascii="Times New Roman" w:hAnsi="Times New Roman"/>
          <w:i/>
          <w:sz w:val="19"/>
        </w:rPr>
      </w:pPr>
      <w:r>
        <w:rPr>
          <w:rFonts w:ascii="Times New Roman" w:hAnsi="Times New Roman"/>
          <w:i/>
          <w:spacing w:val="-4"/>
          <w:sz w:val="19"/>
        </w:rPr>
        <w:t>Ibid</w:t>
      </w:r>
    </w:p>
    <w:p>
      <w:pPr>
        <w:spacing w:line="217" w:lineRule="exact" w:before="2"/>
        <w:ind w:left="187" w:right="0" w:firstLine="0"/>
        <w:jc w:val="left"/>
        <w:rPr>
          <w:rFonts w:ascii="Times New Roman"/>
          <w:i/>
          <w:sz w:val="19"/>
        </w:rPr>
      </w:pPr>
      <w:r>
        <w:rPr>
          <w:rFonts w:ascii="Times New Roman"/>
          <w:sz w:val="19"/>
          <w:vertAlign w:val="superscript"/>
        </w:rPr>
        <w:t>21</w:t>
      </w:r>
      <w:r>
        <w:rPr>
          <w:rFonts w:ascii="Times New Roman"/>
          <w:spacing w:val="9"/>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22</w:t>
      </w:r>
      <w:r>
        <w:rPr>
          <w:rFonts w:ascii="Times New Roman"/>
          <w:spacing w:val="9"/>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23</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24</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25</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26</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7" w:lineRule="auto" w:before="94"/>
        <w:ind w:left="863" w:right="561"/>
        <w:jc w:val="both"/>
      </w:pPr>
      <w:r>
        <w:rPr/>
        <w:t>In 1880, Employee’s Liability Act was passed in England through a</w:t>
      </w:r>
      <w:r>
        <w:rPr>
          <w:spacing w:val="40"/>
        </w:rPr>
        <w:t> </w:t>
      </w:r>
      <w:r>
        <w:rPr/>
        <w:t>significant effort of</w:t>
      </w:r>
      <w:r>
        <w:rPr>
          <w:spacing w:val="40"/>
        </w:rPr>
        <w:t> </w:t>
      </w:r>
      <w:r>
        <w:rPr/>
        <w:t>William Gladson the</w:t>
      </w:r>
      <w:r>
        <w:rPr>
          <w:spacing w:val="40"/>
        </w:rPr>
        <w:t> </w:t>
      </w:r>
      <w:r>
        <w:rPr/>
        <w:t>then Prime Minister. However, it had little effect because the defence of negligence was still there and also the “right to die” contact was still legal.</w:t>
      </w:r>
      <w:r>
        <w:rPr>
          <w:vertAlign w:val="superscript"/>
        </w:rPr>
        <w:t>27</w:t>
      </w:r>
      <w:r>
        <w:rPr>
          <w:vertAlign w:val="baseline"/>
        </w:rPr>
        <w:t> Also in 1897 Workers’ Compensation Act was passed in England which established a “no fault” doctrine of compensation similar to the 1884 Prussian law. The difference however, was that for England, it was not administered by the state but by “friendly societies which had organised various forms of private disability insurance for workers.</w:t>
      </w:r>
      <w:r>
        <w:rPr>
          <w:vertAlign w:val="superscript"/>
        </w:rPr>
        <w:t>28</w:t>
      </w:r>
      <w:r>
        <w:rPr>
          <w:vertAlign w:val="baseline"/>
        </w:rPr>
        <w:t> So many authors then championed the course of social insurance for workers through their persuasive literature. For</w:t>
      </w:r>
      <w:r>
        <w:rPr>
          <w:spacing w:val="40"/>
          <w:vertAlign w:val="baseline"/>
        </w:rPr>
        <w:t> </w:t>
      </w:r>
      <w:r>
        <w:rPr>
          <w:vertAlign w:val="baseline"/>
        </w:rPr>
        <w:t>example, Ut|□n Sinclair, a socialist authored a literary work titled </w:t>
      </w:r>
      <w:r>
        <w:rPr>
          <w:rFonts w:ascii="Verdana" w:hAnsi="Verdana"/>
          <w:i/>
          <w:sz w:val="24"/>
          <w:vertAlign w:val="baseline"/>
        </w:rPr>
        <w:t>The Jungle, </w:t>
      </w:r>
      <w:r>
        <w:rPr>
          <w:vertAlign w:val="baseline"/>
        </w:rPr>
        <w:t>detailing the horrors experienced by immigrants working in the Chicago</w:t>
      </w:r>
      <w:r>
        <w:rPr>
          <w:spacing w:val="40"/>
          <w:vertAlign w:val="baseline"/>
        </w:rPr>
        <w:t> </w:t>
      </w:r>
      <w:r>
        <w:rPr>
          <w:vertAlign w:val="baseline"/>
        </w:rPr>
        <w:t>slaughterhouses.</w:t>
      </w:r>
      <w:r>
        <w:rPr>
          <w:vertAlign w:val="superscript"/>
        </w:rPr>
        <w:t>29</w:t>
      </w:r>
      <w:r>
        <w:rPr>
          <w:spacing w:val="40"/>
          <w:vertAlign w:val="baseline"/>
        </w:rPr>
        <w:t> </w:t>
      </w:r>
      <w:r>
        <w:rPr>
          <w:vertAlign w:val="baseline"/>
        </w:rPr>
        <w:t>More</w:t>
      </w:r>
      <w:r>
        <w:rPr>
          <w:spacing w:val="40"/>
          <w:vertAlign w:val="baseline"/>
        </w:rPr>
        <w:t> </w:t>
      </w:r>
      <w:r>
        <w:rPr>
          <w:vertAlign w:val="baseline"/>
        </w:rPr>
        <w:t>laws</w:t>
      </w:r>
      <w:r>
        <w:rPr>
          <w:spacing w:val="40"/>
          <w:vertAlign w:val="baseline"/>
        </w:rPr>
        <w:t> </w:t>
      </w:r>
      <w:r>
        <w:rPr>
          <w:vertAlign w:val="baseline"/>
        </w:rPr>
        <w:t>were</w:t>
      </w:r>
      <w:r>
        <w:rPr>
          <w:spacing w:val="40"/>
          <w:vertAlign w:val="baseline"/>
        </w:rPr>
        <w:t> </w:t>
      </w:r>
      <w:r>
        <w:rPr>
          <w:vertAlign w:val="baseline"/>
        </w:rPr>
        <w:t>passed</w:t>
      </w:r>
      <w:r>
        <w:rPr>
          <w:spacing w:val="40"/>
          <w:vertAlign w:val="baseline"/>
        </w:rPr>
        <w:t> </w:t>
      </w:r>
      <w:r>
        <w:rPr>
          <w:vertAlign w:val="baseline"/>
        </w:rPr>
        <w:t>in</w:t>
      </w:r>
      <w:r>
        <w:rPr>
          <w:spacing w:val="40"/>
          <w:vertAlign w:val="baseline"/>
        </w:rPr>
        <w:t> </w:t>
      </w:r>
      <w:r>
        <w:rPr>
          <w:vertAlign w:val="baseline"/>
        </w:rPr>
        <w:t>Germany</w:t>
      </w:r>
      <w:r>
        <w:rPr>
          <w:spacing w:val="40"/>
          <w:vertAlign w:val="baseline"/>
        </w:rPr>
        <w:t> </w:t>
      </w:r>
      <w:r>
        <w:rPr>
          <w:vertAlign w:val="baseline"/>
        </w:rPr>
        <w:t>to</w:t>
      </w:r>
      <w:r>
        <w:rPr>
          <w:spacing w:val="40"/>
          <w:vertAlign w:val="baseline"/>
        </w:rPr>
        <w:t> </w:t>
      </w:r>
      <w:r>
        <w:rPr>
          <w:vertAlign w:val="baseline"/>
        </w:rPr>
        <w:t>take care</w:t>
      </w:r>
      <w:r>
        <w:rPr>
          <w:spacing w:val="33"/>
          <w:vertAlign w:val="baseline"/>
        </w:rPr>
        <w:t> </w:t>
      </w:r>
      <w:r>
        <w:rPr>
          <w:vertAlign w:val="baseline"/>
        </w:rPr>
        <w:t>of</w:t>
      </w:r>
      <w:r>
        <w:rPr>
          <w:spacing w:val="39"/>
          <w:vertAlign w:val="baseline"/>
        </w:rPr>
        <w:t> </w:t>
      </w:r>
      <w:r>
        <w:rPr>
          <w:vertAlign w:val="baseline"/>
        </w:rPr>
        <w:t>injured</w:t>
      </w:r>
      <w:r>
        <w:rPr>
          <w:spacing w:val="37"/>
          <w:vertAlign w:val="baseline"/>
        </w:rPr>
        <w:t> </w:t>
      </w:r>
      <w:r>
        <w:rPr>
          <w:vertAlign w:val="baseline"/>
        </w:rPr>
        <w:t>workers</w:t>
      </w:r>
      <w:r>
        <w:rPr>
          <w:spacing w:val="38"/>
          <w:vertAlign w:val="baseline"/>
        </w:rPr>
        <w:t> </w:t>
      </w:r>
      <w:r>
        <w:rPr>
          <w:vertAlign w:val="baseline"/>
        </w:rPr>
        <w:t>and</w:t>
      </w:r>
      <w:r>
        <w:rPr>
          <w:spacing w:val="41"/>
          <w:vertAlign w:val="baseline"/>
        </w:rPr>
        <w:t> </w:t>
      </w:r>
      <w:r>
        <w:rPr>
          <w:vertAlign w:val="baseline"/>
        </w:rPr>
        <w:t>to</w:t>
      </w:r>
      <w:r>
        <w:rPr>
          <w:spacing w:val="39"/>
          <w:vertAlign w:val="baseline"/>
        </w:rPr>
        <w:t> </w:t>
      </w:r>
      <w:r>
        <w:rPr>
          <w:vertAlign w:val="baseline"/>
        </w:rPr>
        <w:t>soften</w:t>
      </w:r>
      <w:r>
        <w:rPr>
          <w:spacing w:val="40"/>
          <w:vertAlign w:val="baseline"/>
        </w:rPr>
        <w:t> </w:t>
      </w:r>
      <w:r>
        <w:rPr>
          <w:vertAlign w:val="baseline"/>
        </w:rPr>
        <w:t>the</w:t>
      </w:r>
      <w:r>
        <w:rPr>
          <w:spacing w:val="42"/>
          <w:vertAlign w:val="baseline"/>
        </w:rPr>
        <w:t> </w:t>
      </w:r>
      <w:r>
        <w:rPr>
          <w:vertAlign w:val="baseline"/>
        </w:rPr>
        <w:t>hardship</w:t>
      </w:r>
      <w:r>
        <w:rPr>
          <w:spacing w:val="37"/>
          <w:vertAlign w:val="baseline"/>
        </w:rPr>
        <w:t> </w:t>
      </w:r>
      <w:r>
        <w:rPr>
          <w:vertAlign w:val="baseline"/>
        </w:rPr>
        <w:t>of</w:t>
      </w:r>
      <w:r>
        <w:rPr>
          <w:spacing w:val="39"/>
          <w:vertAlign w:val="baseline"/>
        </w:rPr>
        <w:t> </w:t>
      </w:r>
      <w:r>
        <w:rPr>
          <w:vertAlign w:val="baseline"/>
        </w:rPr>
        <w:t>common</w:t>
      </w:r>
      <w:r>
        <w:rPr>
          <w:spacing w:val="31"/>
          <w:vertAlign w:val="baseline"/>
        </w:rPr>
        <w:t> </w:t>
      </w:r>
      <w:r>
        <w:rPr>
          <w:vertAlign w:val="baseline"/>
        </w:rPr>
        <w:t>law.</w:t>
      </w:r>
      <w:r>
        <w:rPr>
          <w:spacing w:val="38"/>
          <w:vertAlign w:val="baseline"/>
        </w:rPr>
        <w:t> </w:t>
      </w:r>
      <w:r>
        <w:rPr>
          <w:spacing w:val="-5"/>
          <w:vertAlign w:val="baseline"/>
        </w:rPr>
        <w:t>The</w:t>
      </w:r>
    </w:p>
    <w:p>
      <w:pPr>
        <w:pStyle w:val="BodyText"/>
        <w:spacing w:line="491" w:lineRule="auto"/>
        <w:ind w:left="864" w:right="564"/>
        <w:jc w:val="both"/>
      </w:pPr>
      <w:r>
        <w:rPr/>
        <w:t>U.S.</w:t>
      </w:r>
      <w:r>
        <w:rPr>
          <w:spacing w:val="40"/>
        </w:rPr>
        <w:t> </w:t>
      </w:r>
      <w:r>
        <w:rPr/>
        <w:t>seeing</w:t>
      </w:r>
      <w:r>
        <w:rPr>
          <w:spacing w:val="40"/>
        </w:rPr>
        <w:t> </w:t>
      </w:r>
      <w:r>
        <w:rPr/>
        <w:t>the</w:t>
      </w:r>
      <w:r>
        <w:rPr>
          <w:spacing w:val="40"/>
        </w:rPr>
        <w:t> </w:t>
      </w:r>
      <w:r>
        <w:rPr/>
        <w:t>benefit</w:t>
      </w:r>
      <w:r>
        <w:rPr>
          <w:spacing w:val="40"/>
        </w:rPr>
        <w:t> </w:t>
      </w:r>
      <w:r>
        <w:rPr/>
        <w:t>of</w:t>
      </w:r>
      <w:r>
        <w:rPr>
          <w:spacing w:val="40"/>
        </w:rPr>
        <w:t> </w:t>
      </w:r>
      <w:r>
        <w:rPr/>
        <w:t>these</w:t>
      </w:r>
      <w:r>
        <w:rPr>
          <w:spacing w:val="40"/>
        </w:rPr>
        <w:t> </w:t>
      </w:r>
      <w:r>
        <w:rPr/>
        <w:t>laws</w:t>
      </w:r>
      <w:r>
        <w:rPr>
          <w:spacing w:val="40"/>
        </w:rPr>
        <w:t> </w:t>
      </w:r>
      <w:r>
        <w:rPr/>
        <w:t>passed</w:t>
      </w:r>
      <w:r>
        <w:rPr>
          <w:spacing w:val="40"/>
        </w:rPr>
        <w:t> </w:t>
      </w:r>
      <w:r>
        <w:rPr/>
        <w:t>its</w:t>
      </w:r>
      <w:r>
        <w:rPr>
          <w:spacing w:val="40"/>
        </w:rPr>
        <w:t> </w:t>
      </w:r>
      <w:r>
        <w:rPr/>
        <w:t>first</w:t>
      </w:r>
      <w:r>
        <w:rPr>
          <w:spacing w:val="40"/>
        </w:rPr>
        <w:t> </w:t>
      </w:r>
      <w:r>
        <w:rPr/>
        <w:t>Workers’ Compensation Law in 1908.</w:t>
      </w:r>
      <w:r>
        <w:rPr>
          <w:vertAlign w:val="superscript"/>
        </w:rPr>
        <w:t>30</w:t>
      </w:r>
      <w:r>
        <w:rPr>
          <w:vertAlign w:val="baseline"/>
        </w:rPr>
        <w:t> It was the Employer’s Liability Act of 1908 which was meant to cover only workers’ injuries and death at the federal level.</w:t>
      </w:r>
      <w:r>
        <w:rPr>
          <w:spacing w:val="37"/>
          <w:vertAlign w:val="baseline"/>
        </w:rPr>
        <w:t> </w:t>
      </w:r>
      <w:r>
        <w:rPr>
          <w:vertAlign w:val="baseline"/>
        </w:rPr>
        <w:t>This</w:t>
      </w:r>
      <w:r>
        <w:rPr>
          <w:spacing w:val="37"/>
          <w:vertAlign w:val="baseline"/>
        </w:rPr>
        <w:t> </w:t>
      </w:r>
      <w:r>
        <w:rPr>
          <w:vertAlign w:val="baseline"/>
        </w:rPr>
        <w:t>was</w:t>
      </w:r>
      <w:r>
        <w:rPr>
          <w:spacing w:val="37"/>
          <w:vertAlign w:val="baseline"/>
        </w:rPr>
        <w:t> </w:t>
      </w:r>
      <w:r>
        <w:rPr>
          <w:vertAlign w:val="baseline"/>
        </w:rPr>
        <w:t>objected</w:t>
      </w:r>
      <w:r>
        <w:rPr>
          <w:spacing w:val="40"/>
          <w:vertAlign w:val="baseline"/>
        </w:rPr>
        <w:t> </w:t>
      </w:r>
      <w:r>
        <w:rPr>
          <w:vertAlign w:val="baseline"/>
        </w:rPr>
        <w:t>to</w:t>
      </w:r>
      <w:r>
        <w:rPr>
          <w:spacing w:val="34"/>
          <w:vertAlign w:val="baseline"/>
        </w:rPr>
        <w:t> </w:t>
      </w:r>
      <w:r>
        <w:rPr>
          <w:vertAlign w:val="baseline"/>
        </w:rPr>
        <w:t>as</w:t>
      </w:r>
      <w:r>
        <w:rPr>
          <w:spacing w:val="31"/>
          <w:vertAlign w:val="baseline"/>
        </w:rPr>
        <w:t> </w:t>
      </w:r>
      <w:r>
        <w:rPr>
          <w:vertAlign w:val="baseline"/>
        </w:rPr>
        <w:t>people</w:t>
      </w:r>
      <w:r>
        <w:rPr>
          <w:spacing w:val="33"/>
          <w:vertAlign w:val="baseline"/>
        </w:rPr>
        <w:t> </w:t>
      </w:r>
      <w:r>
        <w:rPr>
          <w:vertAlign w:val="baseline"/>
        </w:rPr>
        <w:t>needed</w:t>
      </w:r>
      <w:r>
        <w:rPr>
          <w:spacing w:val="36"/>
          <w:vertAlign w:val="baseline"/>
        </w:rPr>
        <w:t> </w:t>
      </w:r>
      <w:r>
        <w:rPr>
          <w:vertAlign w:val="baseline"/>
        </w:rPr>
        <w:t>a</w:t>
      </w:r>
      <w:r>
        <w:rPr>
          <w:spacing w:val="33"/>
          <w:vertAlign w:val="baseline"/>
        </w:rPr>
        <w:t> </w:t>
      </w:r>
      <w:r>
        <w:rPr>
          <w:vertAlign w:val="baseline"/>
        </w:rPr>
        <w:t>uniform</w:t>
      </w:r>
      <w:r>
        <w:rPr>
          <w:spacing w:val="36"/>
          <w:vertAlign w:val="baseline"/>
        </w:rPr>
        <w:t> </w:t>
      </w:r>
      <w:r>
        <w:rPr>
          <w:vertAlign w:val="baseline"/>
        </w:rPr>
        <w:t>set</w:t>
      </w:r>
      <w:r>
        <w:rPr>
          <w:spacing w:val="39"/>
          <w:vertAlign w:val="baseline"/>
        </w:rPr>
        <w:t> </w:t>
      </w:r>
      <w:r>
        <w:rPr>
          <w:vertAlign w:val="baseline"/>
        </w:rPr>
        <w:t>of</w:t>
      </w:r>
      <w:r>
        <w:rPr>
          <w:spacing w:val="38"/>
          <w:vertAlign w:val="baseline"/>
        </w:rPr>
        <w:t> </w:t>
      </w:r>
      <w:r>
        <w:rPr>
          <w:vertAlign w:val="baseline"/>
        </w:rPr>
        <w:t>guidelines for compensation in all the states. The first comprehensive workers compensation</w:t>
      </w:r>
      <w:r>
        <w:rPr>
          <w:spacing w:val="59"/>
          <w:vertAlign w:val="baseline"/>
        </w:rPr>
        <w:t> </w:t>
      </w:r>
      <w:r>
        <w:rPr>
          <w:vertAlign w:val="baseline"/>
        </w:rPr>
        <w:t>law</w:t>
      </w:r>
      <w:r>
        <w:rPr>
          <w:spacing w:val="65"/>
          <w:vertAlign w:val="baseline"/>
        </w:rPr>
        <w:t> </w:t>
      </w:r>
      <w:r>
        <w:rPr>
          <w:vertAlign w:val="baseline"/>
        </w:rPr>
        <w:t>was</w:t>
      </w:r>
      <w:r>
        <w:rPr>
          <w:spacing w:val="62"/>
          <w:vertAlign w:val="baseline"/>
        </w:rPr>
        <w:t> </w:t>
      </w:r>
      <w:r>
        <w:rPr>
          <w:vertAlign w:val="baseline"/>
        </w:rPr>
        <w:t>finally</w:t>
      </w:r>
      <w:r>
        <w:rPr>
          <w:spacing w:val="65"/>
          <w:vertAlign w:val="baseline"/>
        </w:rPr>
        <w:t> </w:t>
      </w:r>
      <w:r>
        <w:rPr>
          <w:vertAlign w:val="baseline"/>
        </w:rPr>
        <w:t>passed</w:t>
      </w:r>
      <w:r>
        <w:rPr>
          <w:spacing w:val="66"/>
          <w:vertAlign w:val="baseline"/>
        </w:rPr>
        <w:t> </w:t>
      </w:r>
      <w:r>
        <w:rPr>
          <w:vertAlign w:val="baseline"/>
        </w:rPr>
        <w:t>shortly</w:t>
      </w:r>
      <w:r>
        <w:rPr>
          <w:spacing w:val="65"/>
          <w:vertAlign w:val="baseline"/>
        </w:rPr>
        <w:t> </w:t>
      </w:r>
      <w:r>
        <w:rPr>
          <w:vertAlign w:val="baseline"/>
        </w:rPr>
        <w:t>thereafter</w:t>
      </w:r>
      <w:r>
        <w:rPr>
          <w:spacing w:val="63"/>
          <w:vertAlign w:val="baseline"/>
        </w:rPr>
        <w:t> </w:t>
      </w:r>
      <w:r>
        <w:rPr>
          <w:vertAlign w:val="baseline"/>
        </w:rPr>
        <w:t>in</w:t>
      </w:r>
      <w:r>
        <w:rPr>
          <w:spacing w:val="60"/>
          <w:vertAlign w:val="baseline"/>
        </w:rPr>
        <w:t> </w:t>
      </w:r>
      <w:r>
        <w:rPr>
          <w:vertAlign w:val="baseline"/>
        </w:rPr>
        <w:t>Wisconsin</w:t>
      </w:r>
      <w:r>
        <w:rPr>
          <w:spacing w:val="65"/>
          <w:vertAlign w:val="baseline"/>
        </w:rPr>
        <w:t> </w:t>
      </w:r>
      <w:r>
        <w:rPr>
          <w:spacing w:val="-5"/>
          <w:vertAlign w:val="baseline"/>
        </w:rPr>
        <w:t>in</w:t>
      </w:r>
    </w:p>
    <w:p>
      <w:pPr>
        <w:pStyle w:val="BodyText"/>
        <w:rPr>
          <w:sz w:val="20"/>
        </w:rPr>
      </w:pPr>
    </w:p>
    <w:p>
      <w:pPr>
        <w:pStyle w:val="BodyText"/>
        <w:rPr>
          <w:sz w:val="20"/>
        </w:rPr>
      </w:pPr>
    </w:p>
    <w:p>
      <w:pPr>
        <w:pStyle w:val="BodyText"/>
        <w:spacing w:before="28"/>
        <w:rPr>
          <w:sz w:val="20"/>
        </w:rPr>
      </w:pPr>
      <w:r>
        <w:rPr/>
        <mc:AlternateContent>
          <mc:Choice Requires="wps">
            <w:drawing>
              <wp:anchor distT="0" distB="0" distL="0" distR="0" allowOverlap="1" layoutInCell="1" locked="0" behindDoc="1" simplePos="0" relativeHeight="487604224">
                <wp:simplePos x="0" y="0"/>
                <wp:positionH relativeFrom="page">
                  <wp:posOffset>1185672</wp:posOffset>
                </wp:positionH>
                <wp:positionV relativeFrom="paragraph">
                  <wp:posOffset>186894</wp:posOffset>
                </wp:positionV>
                <wp:extent cx="1719580" cy="3175"/>
                <wp:effectExtent l="0" t="0" r="0" b="0"/>
                <wp:wrapTopAndBottom/>
                <wp:docPr id="36" name="Graphic 36"/>
                <wp:cNvGraphicFramePr>
                  <a:graphicFrameLocks/>
                </wp:cNvGraphicFramePr>
                <a:graphic>
                  <a:graphicData uri="http://schemas.microsoft.com/office/word/2010/wordprocessingShape">
                    <wps:wsp>
                      <wps:cNvPr id="36" name="Graphic 36"/>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716094pt;width:135.360pt;height:.24pt;mso-position-horizontal-relative:page;mso-position-vertical-relative:paragraph;z-index:-15712256;mso-wrap-distance-left:0;mso-wrap-distance-right:0" id="docshape36"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27</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28</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29</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30</w:t>
      </w:r>
      <w:r>
        <w:rPr>
          <w:rFonts w:ascii="Times New Roman"/>
          <w:spacing w:val="-1"/>
          <w:sz w:val="19"/>
          <w:vertAlign w:val="baseline"/>
        </w:rPr>
        <w:t> </w:t>
      </w:r>
      <w:r>
        <w:rPr>
          <w:rFonts w:ascii="Times New Roman"/>
          <w:sz w:val="19"/>
          <w:vertAlign w:val="baseline"/>
        </w:rPr>
        <w:t>Jie,</w:t>
      </w:r>
      <w:r>
        <w:rPr>
          <w:rFonts w:ascii="Times New Roman"/>
          <w:spacing w:val="-1"/>
          <w:sz w:val="19"/>
          <w:vertAlign w:val="baseline"/>
        </w:rPr>
        <w:t> </w:t>
      </w:r>
      <w:r>
        <w:rPr>
          <w:rFonts w:ascii="Times New Roman"/>
          <w:sz w:val="19"/>
          <w:vertAlign w:val="baseline"/>
        </w:rPr>
        <w:t>W.</w:t>
      </w:r>
      <w:r>
        <w:rPr>
          <w:rFonts w:ascii="Times New Roman"/>
          <w:spacing w:val="-1"/>
          <w:sz w:val="19"/>
          <w:vertAlign w:val="baseline"/>
        </w:rPr>
        <w:t> </w:t>
      </w:r>
      <w:r>
        <w:rPr>
          <w:rFonts w:ascii="Times New Roman"/>
          <w:i/>
          <w:sz w:val="19"/>
          <w:vertAlign w:val="baseline"/>
        </w:rPr>
        <w:t>op</w:t>
      </w:r>
      <w:r>
        <w:rPr>
          <w:rFonts w:ascii="Times New Roman"/>
          <w:i/>
          <w:spacing w:val="-8"/>
          <w:sz w:val="19"/>
          <w:vertAlign w:val="baseline"/>
        </w:rPr>
        <w:t> </w:t>
      </w:r>
      <w:r>
        <w:rPr>
          <w:rFonts w:ascii="Times New Roman"/>
          <w:i/>
          <w:spacing w:val="-5"/>
          <w:sz w:val="19"/>
          <w:vertAlign w:val="baseline"/>
        </w:rPr>
        <w:t>cit</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70"/>
        <w:jc w:val="both"/>
      </w:pPr>
      <w:r>
        <w:rPr/>
        <w:t>1911.</w:t>
      </w:r>
      <w:r>
        <w:rPr>
          <w:vertAlign w:val="superscript"/>
        </w:rPr>
        <w:t>31</w:t>
      </w:r>
      <w:r>
        <w:rPr>
          <w:vertAlign w:val="baseline"/>
        </w:rPr>
        <w:t> Nine other states passed regulations that year, followed by thirty-</w:t>
      </w:r>
      <w:r>
        <w:rPr>
          <w:spacing w:val="40"/>
          <w:vertAlign w:val="baseline"/>
        </w:rPr>
        <w:t> </w:t>
      </w:r>
      <w:r>
        <w:rPr>
          <w:vertAlign w:val="baseline"/>
        </w:rPr>
        <w:t>six others before the decade was out. The final state to Pass Workers’ Compensation legislation in the U.S was Mississippi in 1948.</w:t>
      </w:r>
      <w:r>
        <w:rPr>
          <w:vertAlign w:val="superscript"/>
        </w:rPr>
        <w:t>32</w:t>
      </w:r>
    </w:p>
    <w:p>
      <w:pPr>
        <w:pStyle w:val="BodyText"/>
        <w:spacing w:before="10"/>
      </w:pPr>
    </w:p>
    <w:p>
      <w:pPr>
        <w:pStyle w:val="BodyText"/>
        <w:spacing w:line="489" w:lineRule="auto"/>
        <w:ind w:left="864" w:right="568"/>
        <w:jc w:val="both"/>
      </w:pPr>
      <w:r>
        <w:rPr/>
        <w:t>The wind of this evolution concerning the law governing compensation for injury</w:t>
      </w:r>
      <w:r>
        <w:rPr>
          <w:spacing w:val="25"/>
        </w:rPr>
        <w:t> </w:t>
      </w:r>
      <w:r>
        <w:rPr/>
        <w:t>at</w:t>
      </w:r>
      <w:r>
        <w:rPr>
          <w:spacing w:val="25"/>
        </w:rPr>
        <w:t> </w:t>
      </w:r>
      <w:r>
        <w:rPr/>
        <w:t>work</w:t>
      </w:r>
      <w:r>
        <w:rPr>
          <w:spacing w:val="25"/>
        </w:rPr>
        <w:t> </w:t>
      </w:r>
      <w:r>
        <w:rPr/>
        <w:t>also</w:t>
      </w:r>
      <w:r>
        <w:rPr>
          <w:spacing w:val="24"/>
        </w:rPr>
        <w:t> </w:t>
      </w:r>
      <w:r>
        <w:rPr/>
        <w:t>blew</w:t>
      </w:r>
      <w:r>
        <w:rPr>
          <w:spacing w:val="26"/>
        </w:rPr>
        <w:t> </w:t>
      </w:r>
      <w:r>
        <w:rPr/>
        <w:t>across</w:t>
      </w:r>
      <w:r>
        <w:rPr>
          <w:spacing w:val="28"/>
        </w:rPr>
        <w:t> </w:t>
      </w:r>
      <w:r>
        <w:rPr/>
        <w:t>the</w:t>
      </w:r>
      <w:r>
        <w:rPr>
          <w:spacing w:val="28"/>
        </w:rPr>
        <w:t> </w:t>
      </w:r>
      <w:r>
        <w:rPr/>
        <w:t>world</w:t>
      </w:r>
      <w:r>
        <w:rPr>
          <w:spacing w:val="27"/>
        </w:rPr>
        <w:t> </w:t>
      </w:r>
      <w:r>
        <w:rPr/>
        <w:t>and</w:t>
      </w:r>
      <w:r>
        <w:rPr>
          <w:spacing w:val="27"/>
        </w:rPr>
        <w:t> </w:t>
      </w:r>
      <w:r>
        <w:rPr/>
        <w:t>to</w:t>
      </w:r>
      <w:r>
        <w:rPr>
          <w:spacing w:val="24"/>
        </w:rPr>
        <w:t> </w:t>
      </w:r>
      <w:r>
        <w:rPr/>
        <w:t>Nigeria.</w:t>
      </w:r>
      <w:r>
        <w:rPr>
          <w:spacing w:val="28"/>
        </w:rPr>
        <w:t> </w:t>
      </w:r>
      <w:r>
        <w:rPr/>
        <w:t>The</w:t>
      </w:r>
      <w:r>
        <w:rPr>
          <w:spacing w:val="23"/>
        </w:rPr>
        <w:t> </w:t>
      </w:r>
      <w:r>
        <w:rPr/>
        <w:t>first</w:t>
      </w:r>
      <w:r>
        <w:rPr>
          <w:spacing w:val="25"/>
        </w:rPr>
        <w:t> </w:t>
      </w:r>
      <w:r>
        <w:rPr/>
        <w:t>statute in Nigeria on workmen’s compensation was enacted in 1942 following the English statute of 1925.</w:t>
      </w:r>
      <w:r>
        <w:rPr>
          <w:vertAlign w:val="superscript"/>
        </w:rPr>
        <w:t>33</w:t>
      </w:r>
      <w:r>
        <w:rPr>
          <w:vertAlign w:val="baseline"/>
        </w:rPr>
        <w:t> This first Act in Nigeria was repealed by Workmen’s Compensation Act 1987.</w:t>
      </w:r>
      <w:r>
        <w:rPr>
          <w:vertAlign w:val="superscript"/>
        </w:rPr>
        <w:t>34</w:t>
      </w:r>
      <w:r>
        <w:rPr>
          <w:vertAlign w:val="baseline"/>
        </w:rPr>
        <w:t> This was because the first Act in Nigeria suffered many criticisms. One of the major criticisms of the first Act was that</w:t>
      </w:r>
      <w:r>
        <w:rPr>
          <w:spacing w:val="30"/>
          <w:vertAlign w:val="baseline"/>
        </w:rPr>
        <w:t> </w:t>
      </w:r>
      <w:r>
        <w:rPr>
          <w:vertAlign w:val="baseline"/>
        </w:rPr>
        <w:t>it</w:t>
      </w:r>
      <w:r>
        <w:rPr>
          <w:spacing w:val="30"/>
          <w:vertAlign w:val="baseline"/>
        </w:rPr>
        <w:t> </w:t>
      </w:r>
      <w:r>
        <w:rPr>
          <w:vertAlign w:val="baseline"/>
        </w:rPr>
        <w:t>restricted</w:t>
      </w:r>
      <w:r>
        <w:rPr>
          <w:spacing w:val="32"/>
          <w:vertAlign w:val="baseline"/>
        </w:rPr>
        <w:t> </w:t>
      </w:r>
      <w:r>
        <w:rPr>
          <w:vertAlign w:val="baseline"/>
        </w:rPr>
        <w:t>the categories</w:t>
      </w:r>
      <w:r>
        <w:rPr>
          <w:spacing w:val="33"/>
          <w:vertAlign w:val="baseline"/>
        </w:rPr>
        <w:t> </w:t>
      </w:r>
      <w:r>
        <w:rPr>
          <w:vertAlign w:val="baseline"/>
        </w:rPr>
        <w:t>of</w:t>
      </w:r>
      <w:r>
        <w:rPr>
          <w:spacing w:val="34"/>
          <w:vertAlign w:val="baseline"/>
        </w:rPr>
        <w:t> </w:t>
      </w:r>
      <w:r>
        <w:rPr>
          <w:vertAlign w:val="baseline"/>
        </w:rPr>
        <w:t>workmen</w:t>
      </w:r>
      <w:r>
        <w:rPr>
          <w:spacing w:val="32"/>
          <w:vertAlign w:val="baseline"/>
        </w:rPr>
        <w:t> </w:t>
      </w:r>
      <w:r>
        <w:rPr>
          <w:vertAlign w:val="baseline"/>
        </w:rPr>
        <w:t>to</w:t>
      </w:r>
      <w:r>
        <w:rPr>
          <w:spacing w:val="29"/>
          <w:vertAlign w:val="baseline"/>
        </w:rPr>
        <w:t> </w:t>
      </w:r>
      <w:r>
        <w:rPr>
          <w:vertAlign w:val="baseline"/>
        </w:rPr>
        <w:t>those whose earnings do not exceed N1,600 per annum.</w:t>
      </w:r>
      <w:r>
        <w:rPr>
          <w:vertAlign w:val="superscript"/>
        </w:rPr>
        <w:t>35</w:t>
      </w:r>
      <w:r>
        <w:rPr>
          <w:vertAlign w:val="baseline"/>
        </w:rPr>
        <w:t> Therefore, a non-manual worker</w:t>
      </w:r>
      <w:r>
        <w:rPr>
          <w:spacing w:val="40"/>
          <w:vertAlign w:val="baseline"/>
        </w:rPr>
        <w:t> </w:t>
      </w:r>
      <w:r>
        <w:rPr>
          <w:vertAlign w:val="baseline"/>
        </w:rPr>
        <w:t>earning more than N1,600 per annum was unable to claim compensation under the first Act.</w:t>
      </w:r>
      <w:r>
        <w:rPr>
          <w:vertAlign w:val="superscript"/>
        </w:rPr>
        <w:t>36</w:t>
      </w:r>
      <w:r>
        <w:rPr>
          <w:vertAlign w:val="baseline"/>
        </w:rPr>
        <w:t> The Act was under severe criticisms on account that it was outdated and irrelevant to modern industrial needs.</w:t>
      </w:r>
      <w:r>
        <w:rPr>
          <w:vertAlign w:val="superscript"/>
        </w:rPr>
        <w:t>37</w:t>
      </w:r>
      <w:r>
        <w:rPr>
          <w:vertAlign w:val="baseline"/>
        </w:rPr>
        <w:t> The 1987 Act which</w:t>
      </w:r>
      <w:r>
        <w:rPr>
          <w:spacing w:val="40"/>
          <w:vertAlign w:val="baseline"/>
        </w:rPr>
        <w:t> </w:t>
      </w:r>
      <w:r>
        <w:rPr>
          <w:vertAlign w:val="baseline"/>
        </w:rPr>
        <w:t>came</w:t>
      </w:r>
      <w:r>
        <w:rPr>
          <w:spacing w:val="40"/>
          <w:vertAlign w:val="baseline"/>
        </w:rPr>
        <w:t> </w:t>
      </w:r>
      <w:r>
        <w:rPr>
          <w:vertAlign w:val="baseline"/>
        </w:rPr>
        <w:t>to</w:t>
      </w:r>
      <w:r>
        <w:rPr>
          <w:spacing w:val="40"/>
          <w:vertAlign w:val="baseline"/>
        </w:rPr>
        <w:t> </w:t>
      </w:r>
      <w:r>
        <w:rPr>
          <w:vertAlign w:val="baseline"/>
        </w:rPr>
        <w:t>correct</w:t>
      </w:r>
      <w:r>
        <w:rPr>
          <w:spacing w:val="40"/>
          <w:vertAlign w:val="baseline"/>
        </w:rPr>
        <w:t> </w:t>
      </w:r>
      <w:r>
        <w:rPr>
          <w:vertAlign w:val="baseline"/>
        </w:rPr>
        <w:t>some</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deficiencies</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old</w:t>
      </w:r>
      <w:r>
        <w:rPr>
          <w:spacing w:val="40"/>
          <w:vertAlign w:val="baseline"/>
        </w:rPr>
        <w:t> </w:t>
      </w:r>
      <w:r>
        <w:rPr>
          <w:vertAlign w:val="baseline"/>
        </w:rPr>
        <w:t>law,</w:t>
      </w:r>
      <w:r>
        <w:rPr>
          <w:spacing w:val="40"/>
          <w:vertAlign w:val="baseline"/>
        </w:rPr>
        <w:t> </w:t>
      </w:r>
      <w:r>
        <w:rPr>
          <w:vertAlign w:val="baseline"/>
        </w:rPr>
        <w:t>also suffered so many criticisms on account of inadequacies. The 1987 was</w:t>
      </w:r>
      <w:r>
        <w:rPr>
          <w:spacing w:val="80"/>
          <w:vertAlign w:val="baseline"/>
        </w:rPr>
        <w:t> </w:t>
      </w:r>
      <w:r>
        <w:rPr>
          <w:vertAlign w:val="baseline"/>
        </w:rPr>
        <w:t>faulty in several</w:t>
      </w:r>
      <w:r>
        <w:rPr>
          <w:spacing w:val="18"/>
          <w:vertAlign w:val="baseline"/>
        </w:rPr>
        <w:t> </w:t>
      </w:r>
      <w:r>
        <w:rPr>
          <w:vertAlign w:val="baseline"/>
        </w:rPr>
        <w:t>respects.</w:t>
      </w:r>
      <w:r>
        <w:rPr>
          <w:vertAlign w:val="superscript"/>
        </w:rPr>
        <w:t>38</w:t>
      </w:r>
      <w:r>
        <w:rPr>
          <w:vertAlign w:val="baseline"/>
        </w:rPr>
        <w:t> For</w:t>
      </w:r>
      <w:r>
        <w:rPr>
          <w:spacing w:val="21"/>
          <w:vertAlign w:val="baseline"/>
        </w:rPr>
        <w:t> </w:t>
      </w:r>
      <w:r>
        <w:rPr>
          <w:vertAlign w:val="baseline"/>
        </w:rPr>
        <w:t>example it was</w:t>
      </w:r>
      <w:r>
        <w:rPr>
          <w:spacing w:val="19"/>
          <w:vertAlign w:val="baseline"/>
        </w:rPr>
        <w:t> </w:t>
      </w:r>
      <w:r>
        <w:rPr>
          <w:vertAlign w:val="baseline"/>
        </w:rPr>
        <w:t>considered</w:t>
      </w:r>
      <w:r>
        <w:rPr>
          <w:spacing w:val="24"/>
          <w:vertAlign w:val="baseline"/>
        </w:rPr>
        <w:t> </w:t>
      </w:r>
      <w:r>
        <w:rPr>
          <w:vertAlign w:val="baseline"/>
        </w:rPr>
        <w:t>too</w:t>
      </w:r>
      <w:r>
        <w:rPr>
          <w:spacing w:val="21"/>
          <w:vertAlign w:val="baseline"/>
        </w:rPr>
        <w:t> </w:t>
      </w:r>
      <w:r>
        <w:rPr>
          <w:vertAlign w:val="baseline"/>
        </w:rPr>
        <w:t>narrow</w:t>
      </w:r>
      <w:r>
        <w:rPr>
          <w:spacing w:val="23"/>
          <w:vertAlign w:val="baseline"/>
        </w:rPr>
        <w:t> </w:t>
      </w:r>
      <w:r>
        <w:rPr>
          <w:vertAlign w:val="baseline"/>
        </w:rPr>
        <w:t>that it</w:t>
      </w:r>
      <w:r>
        <w:rPr>
          <w:spacing w:val="41"/>
          <w:vertAlign w:val="baseline"/>
        </w:rPr>
        <w:t> </w:t>
      </w:r>
      <w:r>
        <w:rPr>
          <w:vertAlign w:val="baseline"/>
        </w:rPr>
        <w:t>covered</w:t>
      </w:r>
      <w:r>
        <w:rPr>
          <w:spacing w:val="48"/>
          <w:vertAlign w:val="baseline"/>
        </w:rPr>
        <w:t> </w:t>
      </w:r>
      <w:r>
        <w:rPr>
          <w:vertAlign w:val="baseline"/>
        </w:rPr>
        <w:t>only</w:t>
      </w:r>
      <w:r>
        <w:rPr>
          <w:spacing w:val="40"/>
          <w:vertAlign w:val="baseline"/>
        </w:rPr>
        <w:t> </w:t>
      </w:r>
      <w:r>
        <w:rPr>
          <w:vertAlign w:val="baseline"/>
        </w:rPr>
        <w:t>employees</w:t>
      </w:r>
      <w:r>
        <w:rPr>
          <w:spacing w:val="44"/>
          <w:vertAlign w:val="baseline"/>
        </w:rPr>
        <w:t> </w:t>
      </w:r>
      <w:r>
        <w:rPr>
          <w:vertAlign w:val="baseline"/>
        </w:rPr>
        <w:t>engaged</w:t>
      </w:r>
      <w:r>
        <w:rPr>
          <w:spacing w:val="42"/>
          <w:vertAlign w:val="baseline"/>
        </w:rPr>
        <w:t> </w:t>
      </w:r>
      <w:r>
        <w:rPr>
          <w:vertAlign w:val="baseline"/>
        </w:rPr>
        <w:t>in</w:t>
      </w:r>
      <w:r>
        <w:rPr>
          <w:spacing w:val="47"/>
          <w:vertAlign w:val="baseline"/>
        </w:rPr>
        <w:t> </w:t>
      </w:r>
      <w:r>
        <w:rPr>
          <w:vertAlign w:val="baseline"/>
        </w:rPr>
        <w:t>manual</w:t>
      </w:r>
      <w:r>
        <w:rPr>
          <w:spacing w:val="37"/>
          <w:vertAlign w:val="baseline"/>
        </w:rPr>
        <w:t> </w:t>
      </w:r>
      <w:r>
        <w:rPr>
          <w:vertAlign w:val="baseline"/>
        </w:rPr>
        <w:t>labour</w:t>
      </w:r>
      <w:r>
        <w:rPr>
          <w:spacing w:val="41"/>
          <w:vertAlign w:val="baseline"/>
        </w:rPr>
        <w:t> </w:t>
      </w:r>
      <w:r>
        <w:rPr>
          <w:vertAlign w:val="baseline"/>
        </w:rPr>
        <w:t>or</w:t>
      </w:r>
      <w:r>
        <w:rPr>
          <w:spacing w:val="40"/>
          <w:vertAlign w:val="baseline"/>
        </w:rPr>
        <w:t> </w:t>
      </w:r>
      <w:r>
        <w:rPr>
          <w:vertAlign w:val="baseline"/>
        </w:rPr>
        <w:t>clerical</w:t>
      </w:r>
      <w:r>
        <w:rPr>
          <w:spacing w:val="42"/>
          <w:vertAlign w:val="baseline"/>
        </w:rPr>
        <w:t> </w:t>
      </w:r>
      <w:r>
        <w:rPr>
          <w:vertAlign w:val="baseline"/>
        </w:rPr>
        <w:t>work</w:t>
      </w:r>
      <w:r>
        <w:rPr>
          <w:spacing w:val="40"/>
          <w:vertAlign w:val="baseline"/>
        </w:rPr>
        <w:t> </w:t>
      </w:r>
      <w:r>
        <w:rPr>
          <w:spacing w:val="-5"/>
          <w:vertAlign w:val="baseline"/>
        </w:rPr>
        <w:t>or</w:t>
      </w:r>
    </w:p>
    <w:p>
      <w:pPr>
        <w:pStyle w:val="BodyText"/>
        <w:rPr>
          <w:sz w:val="20"/>
        </w:rPr>
      </w:pPr>
    </w:p>
    <w:p>
      <w:pPr>
        <w:pStyle w:val="BodyText"/>
        <w:spacing w:before="65"/>
        <w:rPr>
          <w:sz w:val="20"/>
        </w:rPr>
      </w:pPr>
      <w:r>
        <w:rPr/>
        <mc:AlternateContent>
          <mc:Choice Requires="wps">
            <w:drawing>
              <wp:anchor distT="0" distB="0" distL="0" distR="0" allowOverlap="1" layoutInCell="1" locked="0" behindDoc="1" simplePos="0" relativeHeight="487604736">
                <wp:simplePos x="0" y="0"/>
                <wp:positionH relativeFrom="page">
                  <wp:posOffset>1185672</wp:posOffset>
                </wp:positionH>
                <wp:positionV relativeFrom="paragraph">
                  <wp:posOffset>210104</wp:posOffset>
                </wp:positionV>
                <wp:extent cx="1719580" cy="6350"/>
                <wp:effectExtent l="0" t="0" r="0" b="0"/>
                <wp:wrapTopAndBottom/>
                <wp:docPr id="37" name="Graphic 37"/>
                <wp:cNvGraphicFramePr>
                  <a:graphicFrameLocks/>
                </wp:cNvGraphicFramePr>
                <a:graphic>
                  <a:graphicData uri="http://schemas.microsoft.com/office/word/2010/wordprocessingShape">
                    <wps:wsp>
                      <wps:cNvPr id="37" name="Graphic 37"/>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6.543673pt;width:135.360pt;height:.48pt;mso-position-horizontal-relative:page;mso-position-vertical-relative:paragraph;z-index:-15711744;mso-wrap-distance-left:0;mso-wrap-distance-right:0" id="docshape37"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31</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w:t>
      </w:r>
      <w:r>
        <w:rPr>
          <w:rFonts w:ascii="Times New Roman"/>
          <w:spacing w:val="-3"/>
          <w:sz w:val="19"/>
          <w:vertAlign w:val="baseline"/>
        </w:rPr>
        <w:t> </w:t>
      </w:r>
      <w:r>
        <w:rPr>
          <w:rFonts w:ascii="Times New Roman"/>
          <w:sz w:val="19"/>
          <w:vertAlign w:val="baseline"/>
        </w:rPr>
        <w:t>Guyton,</w:t>
      </w:r>
      <w:r>
        <w:rPr>
          <w:rFonts w:ascii="Times New Roman"/>
          <w:spacing w:val="-7"/>
          <w:sz w:val="19"/>
          <w:vertAlign w:val="baseline"/>
        </w:rPr>
        <w:t> </w:t>
      </w:r>
      <w:r>
        <w:rPr>
          <w:rFonts w:ascii="Times New Roman"/>
          <w:sz w:val="19"/>
          <w:vertAlign w:val="baseline"/>
        </w:rPr>
        <w:t>G.P.</w:t>
      </w:r>
      <w:r>
        <w:rPr>
          <w:rFonts w:ascii="Times New Roman"/>
          <w:spacing w:val="-2"/>
          <w:sz w:val="19"/>
          <w:vertAlign w:val="baseline"/>
        </w:rPr>
        <w:t> </w:t>
      </w:r>
      <w:r>
        <w:rPr>
          <w:rFonts w:ascii="Times New Roman"/>
          <w:i/>
          <w:sz w:val="19"/>
          <w:vertAlign w:val="baseline"/>
        </w:rPr>
        <w:t>op</w:t>
      </w:r>
      <w:r>
        <w:rPr>
          <w:rFonts w:ascii="Times New Roman"/>
          <w:i/>
          <w:spacing w:val="-10"/>
          <w:sz w:val="19"/>
          <w:vertAlign w:val="baseline"/>
        </w:rPr>
        <w:t> </w:t>
      </w:r>
      <w:r>
        <w:rPr>
          <w:rFonts w:ascii="Times New Roman"/>
          <w:i/>
          <w:spacing w:val="-5"/>
          <w:sz w:val="19"/>
          <w:vertAlign w:val="baseline"/>
        </w:rPr>
        <w:t>cit</w:t>
      </w:r>
    </w:p>
    <w:p>
      <w:pPr>
        <w:spacing w:line="217" w:lineRule="exact" w:before="0"/>
        <w:ind w:left="187" w:right="0" w:firstLine="0"/>
        <w:jc w:val="left"/>
        <w:rPr>
          <w:rFonts w:ascii="Times New Roman"/>
          <w:sz w:val="19"/>
        </w:rPr>
      </w:pPr>
      <w:r>
        <w:rPr>
          <w:rFonts w:ascii="Times New Roman"/>
          <w:sz w:val="19"/>
          <w:vertAlign w:val="superscript"/>
        </w:rPr>
        <w:t>33</w:t>
      </w:r>
      <w:r>
        <w:rPr>
          <w:rFonts w:ascii="Times New Roman"/>
          <w:spacing w:val="-12"/>
          <w:sz w:val="19"/>
          <w:vertAlign w:val="baseline"/>
        </w:rPr>
        <w:t> </w:t>
      </w:r>
      <w:r>
        <w:rPr>
          <w:rFonts w:ascii="Times New Roman"/>
          <w:sz w:val="19"/>
          <w:vertAlign w:val="baseline"/>
        </w:rPr>
        <w:t>Emiola,</w:t>
      </w:r>
      <w:r>
        <w:rPr>
          <w:rFonts w:ascii="Times New Roman"/>
          <w:spacing w:val="-12"/>
          <w:sz w:val="19"/>
          <w:vertAlign w:val="baseline"/>
        </w:rPr>
        <w:t> </w:t>
      </w:r>
      <w:r>
        <w:rPr>
          <w:rFonts w:ascii="Times New Roman"/>
          <w:sz w:val="19"/>
          <w:vertAlign w:val="baseline"/>
        </w:rPr>
        <w:t>A.</w:t>
      </w:r>
      <w:r>
        <w:rPr>
          <w:rFonts w:ascii="Times New Roman"/>
          <w:spacing w:val="-12"/>
          <w:sz w:val="19"/>
          <w:vertAlign w:val="baseline"/>
        </w:rPr>
        <w:t> </w:t>
      </w:r>
      <w:r>
        <w:rPr>
          <w:rFonts w:ascii="Times New Roman"/>
          <w:sz w:val="19"/>
          <w:u w:val="single"/>
          <w:vertAlign w:val="baseline"/>
        </w:rPr>
        <w:t>Nigerian</w:t>
      </w:r>
      <w:r>
        <w:rPr>
          <w:rFonts w:ascii="Times New Roman"/>
          <w:spacing w:val="-11"/>
          <w:sz w:val="19"/>
          <w:u w:val="single"/>
          <w:vertAlign w:val="baseline"/>
        </w:rPr>
        <w:t> </w:t>
      </w:r>
      <w:r>
        <w:rPr>
          <w:rFonts w:ascii="Times New Roman"/>
          <w:sz w:val="19"/>
          <w:u w:val="single"/>
          <w:vertAlign w:val="baseline"/>
        </w:rPr>
        <w:t>Labour</w:t>
      </w:r>
      <w:r>
        <w:rPr>
          <w:rFonts w:ascii="Times New Roman"/>
          <w:spacing w:val="-9"/>
          <w:sz w:val="19"/>
          <w:u w:val="single"/>
          <w:vertAlign w:val="baseline"/>
        </w:rPr>
        <w:t> </w:t>
      </w:r>
      <w:r>
        <w:rPr>
          <w:rFonts w:ascii="Times New Roman"/>
          <w:sz w:val="19"/>
          <w:u w:val="single"/>
          <w:vertAlign w:val="baseline"/>
        </w:rPr>
        <w:t>Law,</w:t>
      </w:r>
      <w:r>
        <w:rPr>
          <w:rFonts w:ascii="Times New Roman"/>
          <w:spacing w:val="-12"/>
          <w:sz w:val="19"/>
          <w:vertAlign w:val="baseline"/>
        </w:rPr>
        <w:t> </w:t>
      </w:r>
      <w:r>
        <w:rPr>
          <w:rFonts w:ascii="Times New Roman"/>
          <w:sz w:val="19"/>
          <w:vertAlign w:val="baseline"/>
        </w:rPr>
        <w:t>4</w:t>
      </w:r>
      <w:r>
        <w:rPr>
          <w:rFonts w:ascii="Times New Roman"/>
          <w:sz w:val="19"/>
          <w:vertAlign w:val="superscript"/>
        </w:rPr>
        <w:t>th</w:t>
      </w:r>
      <w:r>
        <w:rPr>
          <w:rFonts w:ascii="Times New Roman"/>
          <w:spacing w:val="-12"/>
          <w:sz w:val="19"/>
          <w:vertAlign w:val="baseline"/>
        </w:rPr>
        <w:t> </w:t>
      </w:r>
      <w:r>
        <w:rPr>
          <w:rFonts w:ascii="Times New Roman"/>
          <w:sz w:val="19"/>
          <w:vertAlign w:val="baseline"/>
        </w:rPr>
        <w:t>Edition,</w:t>
      </w:r>
      <w:r>
        <w:rPr>
          <w:rFonts w:ascii="Times New Roman"/>
          <w:spacing w:val="-12"/>
          <w:sz w:val="19"/>
          <w:vertAlign w:val="baseline"/>
        </w:rPr>
        <w:t> </w:t>
      </w:r>
      <w:r>
        <w:rPr>
          <w:rFonts w:ascii="Times New Roman"/>
          <w:sz w:val="19"/>
          <w:vertAlign w:val="baseline"/>
        </w:rPr>
        <w:t>Emiola</w:t>
      </w:r>
      <w:r>
        <w:rPr>
          <w:rFonts w:ascii="Times New Roman"/>
          <w:spacing w:val="-6"/>
          <w:sz w:val="19"/>
          <w:vertAlign w:val="baseline"/>
        </w:rPr>
        <w:t> </w:t>
      </w:r>
      <w:r>
        <w:rPr>
          <w:rFonts w:ascii="Times New Roman"/>
          <w:sz w:val="19"/>
          <w:vertAlign w:val="baseline"/>
        </w:rPr>
        <w:t>(Publishers)</w:t>
      </w:r>
      <w:r>
        <w:rPr>
          <w:rFonts w:ascii="Times New Roman"/>
          <w:spacing w:val="-9"/>
          <w:sz w:val="19"/>
          <w:vertAlign w:val="baseline"/>
        </w:rPr>
        <w:t> </w:t>
      </w:r>
      <w:r>
        <w:rPr>
          <w:rFonts w:ascii="Times New Roman"/>
          <w:sz w:val="19"/>
          <w:vertAlign w:val="baseline"/>
        </w:rPr>
        <w:t>Ltd,</w:t>
      </w:r>
      <w:r>
        <w:rPr>
          <w:rFonts w:ascii="Times New Roman"/>
          <w:spacing w:val="-8"/>
          <w:sz w:val="19"/>
          <w:vertAlign w:val="baseline"/>
        </w:rPr>
        <w:t> </w:t>
      </w:r>
      <w:r>
        <w:rPr>
          <w:rFonts w:ascii="Times New Roman"/>
          <w:sz w:val="19"/>
          <w:vertAlign w:val="baseline"/>
        </w:rPr>
        <w:t>Ogbomosho,</w:t>
      </w:r>
      <w:r>
        <w:rPr>
          <w:rFonts w:ascii="Times New Roman"/>
          <w:spacing w:val="-8"/>
          <w:sz w:val="19"/>
          <w:vertAlign w:val="baseline"/>
        </w:rPr>
        <w:t> </w:t>
      </w:r>
      <w:r>
        <w:rPr>
          <w:rFonts w:ascii="Times New Roman"/>
          <w:sz w:val="19"/>
          <w:vertAlign w:val="baseline"/>
        </w:rPr>
        <w:t>Nigeria</w:t>
      </w:r>
      <w:r>
        <w:rPr>
          <w:rFonts w:ascii="Times New Roman"/>
          <w:spacing w:val="-10"/>
          <w:sz w:val="19"/>
          <w:vertAlign w:val="baseline"/>
        </w:rPr>
        <w:t> </w:t>
      </w:r>
      <w:r>
        <w:rPr>
          <w:rFonts w:ascii="Times New Roman"/>
          <w:sz w:val="19"/>
          <w:vertAlign w:val="baseline"/>
        </w:rPr>
        <w:t>(2008)</w:t>
      </w:r>
      <w:r>
        <w:rPr>
          <w:rFonts w:ascii="Times New Roman"/>
          <w:spacing w:val="-12"/>
          <w:sz w:val="19"/>
          <w:vertAlign w:val="baseline"/>
        </w:rPr>
        <w:t> </w:t>
      </w:r>
      <w:r>
        <w:rPr>
          <w:rFonts w:ascii="Times New Roman"/>
          <w:sz w:val="19"/>
          <w:vertAlign w:val="baseline"/>
        </w:rPr>
        <w:t>p.</w:t>
      </w:r>
      <w:r>
        <w:rPr>
          <w:rFonts w:ascii="Times New Roman"/>
          <w:spacing w:val="-12"/>
          <w:sz w:val="19"/>
          <w:vertAlign w:val="baseline"/>
        </w:rPr>
        <w:t> </w:t>
      </w:r>
      <w:r>
        <w:rPr>
          <w:rFonts w:ascii="Times New Roman"/>
          <w:spacing w:val="-5"/>
          <w:sz w:val="19"/>
          <w:vertAlign w:val="baseline"/>
        </w:rPr>
        <w:t>302</w:t>
      </w:r>
    </w:p>
    <w:p>
      <w:pPr>
        <w:spacing w:line="217" w:lineRule="exact" w:before="2"/>
        <w:ind w:left="187" w:right="0" w:firstLine="0"/>
        <w:jc w:val="left"/>
        <w:rPr>
          <w:rFonts w:ascii="Times New Roman"/>
          <w:sz w:val="19"/>
        </w:rPr>
      </w:pPr>
      <w:r>
        <w:rPr>
          <w:rFonts w:ascii="Times New Roman"/>
          <w:sz w:val="19"/>
          <w:vertAlign w:val="superscript"/>
        </w:rPr>
        <w:t>34</w:t>
      </w:r>
      <w:r>
        <w:rPr>
          <w:rFonts w:ascii="Times New Roman"/>
          <w:spacing w:val="-1"/>
          <w:sz w:val="19"/>
          <w:vertAlign w:val="baseline"/>
        </w:rPr>
        <w:t> </w:t>
      </w:r>
      <w:r>
        <w:rPr>
          <w:rFonts w:ascii="Times New Roman"/>
          <w:sz w:val="19"/>
          <w:vertAlign w:val="baseline"/>
        </w:rPr>
        <w:t>Cap</w:t>
      </w:r>
      <w:r>
        <w:rPr>
          <w:rFonts w:ascii="Times New Roman"/>
          <w:spacing w:val="-9"/>
          <w:sz w:val="19"/>
          <w:vertAlign w:val="baseline"/>
        </w:rPr>
        <w:t> </w:t>
      </w:r>
      <w:r>
        <w:rPr>
          <w:rFonts w:ascii="Times New Roman"/>
          <w:sz w:val="19"/>
          <w:vertAlign w:val="baseline"/>
        </w:rPr>
        <w:t>W6</w:t>
      </w:r>
      <w:r>
        <w:rPr>
          <w:rFonts w:ascii="Times New Roman"/>
          <w:spacing w:val="-9"/>
          <w:sz w:val="19"/>
          <w:vertAlign w:val="baseline"/>
        </w:rPr>
        <w:t> </w:t>
      </w:r>
      <w:r>
        <w:rPr>
          <w:rFonts w:ascii="Times New Roman"/>
          <w:sz w:val="19"/>
          <w:vertAlign w:val="baseline"/>
        </w:rPr>
        <w:t>laws</w:t>
      </w:r>
      <w:r>
        <w:rPr>
          <w:rFonts w:ascii="Times New Roman"/>
          <w:spacing w:val="-3"/>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Federation</w:t>
      </w:r>
      <w:r>
        <w:rPr>
          <w:rFonts w:ascii="Times New Roman"/>
          <w:spacing w:val="-5"/>
          <w:sz w:val="19"/>
          <w:vertAlign w:val="baseline"/>
        </w:rPr>
        <w:t> </w:t>
      </w:r>
      <w:r>
        <w:rPr>
          <w:rFonts w:ascii="Times New Roman"/>
          <w:sz w:val="19"/>
          <w:vertAlign w:val="baseline"/>
        </w:rPr>
        <w:t>of</w:t>
      </w:r>
      <w:r>
        <w:rPr>
          <w:rFonts w:ascii="Times New Roman"/>
          <w:spacing w:val="-10"/>
          <w:sz w:val="19"/>
          <w:vertAlign w:val="baseline"/>
        </w:rPr>
        <w:t> </w:t>
      </w:r>
      <w:r>
        <w:rPr>
          <w:rFonts w:ascii="Times New Roman"/>
          <w:sz w:val="19"/>
          <w:vertAlign w:val="baseline"/>
        </w:rPr>
        <w:t>Nigeria</w:t>
      </w:r>
      <w:r>
        <w:rPr>
          <w:rFonts w:ascii="Times New Roman"/>
          <w:spacing w:val="-5"/>
          <w:sz w:val="19"/>
          <w:vertAlign w:val="baseline"/>
        </w:rPr>
        <w:t> </w:t>
      </w:r>
      <w:r>
        <w:rPr>
          <w:rFonts w:ascii="Times New Roman"/>
          <w:spacing w:val="-4"/>
          <w:sz w:val="19"/>
          <w:vertAlign w:val="baseline"/>
        </w:rPr>
        <w:t>2004</w:t>
      </w:r>
    </w:p>
    <w:p>
      <w:pPr>
        <w:spacing w:line="214" w:lineRule="exact" w:before="0"/>
        <w:ind w:left="187" w:right="0" w:firstLine="0"/>
        <w:jc w:val="left"/>
        <w:rPr>
          <w:rFonts w:ascii="Times New Roman"/>
          <w:sz w:val="19"/>
        </w:rPr>
      </w:pPr>
      <w:r>
        <w:rPr>
          <w:rFonts w:ascii="Times New Roman"/>
          <w:sz w:val="19"/>
          <w:vertAlign w:val="superscript"/>
        </w:rPr>
        <w:t>35</w:t>
      </w:r>
      <w:r>
        <w:rPr>
          <w:rFonts w:ascii="Times New Roman"/>
          <w:spacing w:val="-12"/>
          <w:sz w:val="19"/>
          <w:vertAlign w:val="baseline"/>
        </w:rPr>
        <w:t> </w:t>
      </w:r>
      <w:r>
        <w:rPr>
          <w:rFonts w:ascii="Times New Roman"/>
          <w:sz w:val="19"/>
          <w:vertAlign w:val="baseline"/>
        </w:rPr>
        <w:t>Oguniyi,</w:t>
      </w:r>
      <w:r>
        <w:rPr>
          <w:rFonts w:ascii="Times New Roman"/>
          <w:spacing w:val="-12"/>
          <w:sz w:val="19"/>
          <w:vertAlign w:val="baseline"/>
        </w:rPr>
        <w:t> </w:t>
      </w:r>
      <w:r>
        <w:rPr>
          <w:rFonts w:ascii="Times New Roman"/>
          <w:sz w:val="19"/>
          <w:vertAlign w:val="baseline"/>
        </w:rPr>
        <w:t>O.</w:t>
      </w:r>
      <w:r>
        <w:rPr>
          <w:rFonts w:ascii="Times New Roman"/>
          <w:spacing w:val="-9"/>
          <w:sz w:val="19"/>
          <w:vertAlign w:val="baseline"/>
        </w:rPr>
        <w:t> </w:t>
      </w:r>
      <w:r>
        <w:rPr>
          <w:rFonts w:ascii="Times New Roman"/>
          <w:sz w:val="19"/>
          <w:u w:val="single"/>
          <w:vertAlign w:val="baseline"/>
        </w:rPr>
        <w:t>Labour</w:t>
      </w:r>
      <w:r>
        <w:rPr>
          <w:rFonts w:ascii="Times New Roman"/>
          <w:spacing w:val="-11"/>
          <w:sz w:val="19"/>
          <w:u w:val="single"/>
          <w:vertAlign w:val="baseline"/>
        </w:rPr>
        <w:t> </w:t>
      </w:r>
      <w:r>
        <w:rPr>
          <w:rFonts w:ascii="Times New Roman"/>
          <w:sz w:val="19"/>
          <w:u w:val="single"/>
          <w:vertAlign w:val="baseline"/>
        </w:rPr>
        <w:t>and</w:t>
      </w:r>
      <w:r>
        <w:rPr>
          <w:rFonts w:ascii="Times New Roman"/>
          <w:spacing w:val="-12"/>
          <w:sz w:val="19"/>
          <w:u w:val="single"/>
          <w:vertAlign w:val="baseline"/>
        </w:rPr>
        <w:t> </w:t>
      </w:r>
      <w:r>
        <w:rPr>
          <w:rFonts w:ascii="Times New Roman"/>
          <w:sz w:val="19"/>
          <w:u w:val="single"/>
          <w:vertAlign w:val="baseline"/>
        </w:rPr>
        <w:t>Employment</w:t>
      </w:r>
      <w:r>
        <w:rPr>
          <w:rFonts w:ascii="Times New Roman"/>
          <w:spacing w:val="-7"/>
          <w:sz w:val="19"/>
          <w:u w:val="single"/>
          <w:vertAlign w:val="baseline"/>
        </w:rPr>
        <w:t> </w:t>
      </w:r>
      <w:r>
        <w:rPr>
          <w:rFonts w:ascii="Times New Roman"/>
          <w:sz w:val="19"/>
          <w:u w:val="single"/>
          <w:vertAlign w:val="baseline"/>
        </w:rPr>
        <w:t>Law</w:t>
      </w:r>
      <w:r>
        <w:rPr>
          <w:rFonts w:ascii="Times New Roman"/>
          <w:spacing w:val="-11"/>
          <w:sz w:val="19"/>
          <w:u w:val="single"/>
          <w:vertAlign w:val="baseline"/>
        </w:rPr>
        <w:t> </w:t>
      </w:r>
      <w:r>
        <w:rPr>
          <w:rFonts w:ascii="Times New Roman"/>
          <w:sz w:val="19"/>
          <w:u w:val="single"/>
          <w:vertAlign w:val="baseline"/>
        </w:rPr>
        <w:t>in</w:t>
      </w:r>
      <w:r>
        <w:rPr>
          <w:rFonts w:ascii="Times New Roman"/>
          <w:spacing w:val="-10"/>
          <w:sz w:val="19"/>
          <w:u w:val="single"/>
          <w:vertAlign w:val="baseline"/>
        </w:rPr>
        <w:t> </w:t>
      </w:r>
      <w:r>
        <w:rPr>
          <w:rFonts w:ascii="Times New Roman"/>
          <w:sz w:val="19"/>
          <w:u w:val="single"/>
          <w:vertAlign w:val="baseline"/>
        </w:rPr>
        <w:t>Perspective,</w:t>
      </w:r>
      <w:r>
        <w:rPr>
          <w:rFonts w:ascii="Times New Roman"/>
          <w:spacing w:val="-10"/>
          <w:sz w:val="19"/>
          <w:vertAlign w:val="baseline"/>
        </w:rPr>
        <w:t> </w:t>
      </w:r>
      <w:r>
        <w:rPr>
          <w:rFonts w:ascii="Times New Roman"/>
          <w:sz w:val="19"/>
          <w:vertAlign w:val="baseline"/>
        </w:rPr>
        <w:t>Folio,</w:t>
      </w:r>
      <w:r>
        <w:rPr>
          <w:rFonts w:ascii="Times New Roman"/>
          <w:spacing w:val="-7"/>
          <w:sz w:val="19"/>
          <w:vertAlign w:val="baseline"/>
        </w:rPr>
        <w:t> </w:t>
      </w:r>
      <w:r>
        <w:rPr>
          <w:rFonts w:ascii="Times New Roman"/>
          <w:sz w:val="19"/>
          <w:vertAlign w:val="baseline"/>
        </w:rPr>
        <w:t>Publishers</w:t>
      </w:r>
      <w:r>
        <w:rPr>
          <w:rFonts w:ascii="Times New Roman"/>
          <w:spacing w:val="-8"/>
          <w:sz w:val="19"/>
          <w:vertAlign w:val="baseline"/>
        </w:rPr>
        <w:t> </w:t>
      </w:r>
      <w:r>
        <w:rPr>
          <w:rFonts w:ascii="Times New Roman"/>
          <w:sz w:val="19"/>
          <w:vertAlign w:val="baseline"/>
        </w:rPr>
        <w:t>Ltd,</w:t>
      </w:r>
      <w:r>
        <w:rPr>
          <w:rFonts w:ascii="Times New Roman"/>
          <w:spacing w:val="-11"/>
          <w:sz w:val="19"/>
          <w:vertAlign w:val="baseline"/>
        </w:rPr>
        <w:t> </w:t>
      </w:r>
      <w:r>
        <w:rPr>
          <w:rFonts w:ascii="Times New Roman"/>
          <w:sz w:val="19"/>
          <w:vertAlign w:val="baseline"/>
        </w:rPr>
        <w:t>Ikeja,</w:t>
      </w:r>
      <w:r>
        <w:rPr>
          <w:rFonts w:ascii="Times New Roman"/>
          <w:spacing w:val="-10"/>
          <w:sz w:val="19"/>
          <w:vertAlign w:val="baseline"/>
        </w:rPr>
        <w:t> </w:t>
      </w:r>
      <w:r>
        <w:rPr>
          <w:rFonts w:ascii="Times New Roman"/>
          <w:sz w:val="19"/>
          <w:vertAlign w:val="baseline"/>
        </w:rPr>
        <w:t>Lagos</w:t>
      </w:r>
      <w:r>
        <w:rPr>
          <w:rFonts w:ascii="Times New Roman"/>
          <w:spacing w:val="-12"/>
          <w:sz w:val="19"/>
          <w:vertAlign w:val="baseline"/>
        </w:rPr>
        <w:t> </w:t>
      </w:r>
      <w:r>
        <w:rPr>
          <w:rFonts w:ascii="Times New Roman"/>
          <w:sz w:val="19"/>
          <w:vertAlign w:val="baseline"/>
        </w:rPr>
        <w:t>(1991)</w:t>
      </w:r>
      <w:r>
        <w:rPr>
          <w:rFonts w:ascii="Times New Roman"/>
          <w:spacing w:val="-11"/>
          <w:sz w:val="19"/>
          <w:vertAlign w:val="baseline"/>
        </w:rPr>
        <w:t> </w:t>
      </w:r>
      <w:r>
        <w:rPr>
          <w:rFonts w:ascii="Times New Roman"/>
          <w:sz w:val="19"/>
          <w:vertAlign w:val="baseline"/>
        </w:rPr>
        <w:t>p.</w:t>
      </w:r>
      <w:r>
        <w:rPr>
          <w:rFonts w:ascii="Times New Roman"/>
          <w:spacing w:val="-7"/>
          <w:sz w:val="19"/>
          <w:vertAlign w:val="baseline"/>
        </w:rPr>
        <w:t> </w:t>
      </w:r>
      <w:r>
        <w:rPr>
          <w:rFonts w:ascii="Times New Roman"/>
          <w:spacing w:val="-5"/>
          <w:sz w:val="19"/>
          <w:vertAlign w:val="baseline"/>
        </w:rPr>
        <w:t>126</w:t>
      </w:r>
    </w:p>
    <w:p>
      <w:pPr>
        <w:spacing w:line="214" w:lineRule="exact" w:before="0"/>
        <w:ind w:left="187" w:right="0" w:firstLine="0"/>
        <w:jc w:val="left"/>
        <w:rPr>
          <w:rFonts w:ascii="Times New Roman"/>
          <w:i/>
          <w:sz w:val="19"/>
        </w:rPr>
      </w:pPr>
      <w:r>
        <w:rPr>
          <w:rFonts w:ascii="Times New Roman"/>
          <w:sz w:val="19"/>
          <w:vertAlign w:val="superscript"/>
        </w:rPr>
        <w:t>36</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37</w:t>
      </w:r>
      <w:r>
        <w:rPr>
          <w:rFonts w:ascii="Times New Roman"/>
          <w:spacing w:val="9"/>
          <w:sz w:val="19"/>
          <w:vertAlign w:val="baseline"/>
        </w:rPr>
        <w:t> </w:t>
      </w:r>
      <w:r>
        <w:rPr>
          <w:rFonts w:ascii="Times New Roman"/>
          <w:i/>
          <w:spacing w:val="-4"/>
          <w:sz w:val="19"/>
          <w:vertAlign w:val="baseline"/>
        </w:rPr>
        <w:t>Ibid</w:t>
      </w:r>
    </w:p>
    <w:p>
      <w:pPr>
        <w:spacing w:line="237" w:lineRule="auto" w:before="1"/>
        <w:ind w:left="187" w:right="1254" w:firstLine="0"/>
        <w:jc w:val="left"/>
        <w:rPr>
          <w:rFonts w:ascii="Times New Roman" w:hAnsi="Times New Roman"/>
          <w:sz w:val="19"/>
        </w:rPr>
      </w:pPr>
      <w:r>
        <w:rPr>
          <w:rFonts w:ascii="Times New Roman" w:hAnsi="Times New Roman"/>
          <w:sz w:val="19"/>
          <w:vertAlign w:val="superscript"/>
        </w:rPr>
        <w:t>38</w:t>
      </w:r>
      <w:r>
        <w:rPr>
          <w:rFonts w:ascii="Times New Roman" w:hAnsi="Times New Roman"/>
          <w:spacing w:val="-12"/>
          <w:sz w:val="19"/>
          <w:vertAlign w:val="baseline"/>
        </w:rPr>
        <w:t> </w:t>
      </w:r>
      <w:r>
        <w:rPr>
          <w:rFonts w:ascii="Times New Roman" w:hAnsi="Times New Roman"/>
          <w:sz w:val="19"/>
          <w:vertAlign w:val="baseline"/>
        </w:rPr>
        <w:t>Oladele,</w:t>
      </w:r>
      <w:r>
        <w:rPr>
          <w:rFonts w:ascii="Times New Roman" w:hAnsi="Times New Roman"/>
          <w:spacing w:val="-9"/>
          <w:sz w:val="19"/>
          <w:vertAlign w:val="baseline"/>
        </w:rPr>
        <w:t> </w:t>
      </w:r>
      <w:r>
        <w:rPr>
          <w:rFonts w:ascii="Times New Roman" w:hAnsi="Times New Roman"/>
          <w:sz w:val="19"/>
          <w:vertAlign w:val="baseline"/>
        </w:rPr>
        <w:t>K.</w:t>
      </w:r>
      <w:r>
        <w:rPr>
          <w:rFonts w:ascii="Times New Roman" w:hAnsi="Times New Roman"/>
          <w:spacing w:val="-6"/>
          <w:sz w:val="19"/>
          <w:vertAlign w:val="baseline"/>
        </w:rPr>
        <w:t> </w:t>
      </w:r>
      <w:r>
        <w:rPr>
          <w:rFonts w:ascii="Times New Roman" w:hAnsi="Times New Roman"/>
          <w:sz w:val="19"/>
          <w:vertAlign w:val="baseline"/>
        </w:rPr>
        <w:t>“Reforming</w:t>
      </w:r>
      <w:r>
        <w:rPr>
          <w:rFonts w:ascii="Times New Roman" w:hAnsi="Times New Roman"/>
          <w:spacing w:val="-12"/>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Nigerian</w:t>
      </w:r>
      <w:r>
        <w:rPr>
          <w:rFonts w:ascii="Times New Roman" w:hAnsi="Times New Roman"/>
          <w:spacing w:val="-6"/>
          <w:sz w:val="19"/>
          <w:vertAlign w:val="baseline"/>
        </w:rPr>
        <w:t> </w:t>
      </w:r>
      <w:r>
        <w:rPr>
          <w:rFonts w:ascii="Times New Roman" w:hAnsi="Times New Roman"/>
          <w:sz w:val="19"/>
          <w:vertAlign w:val="baseline"/>
        </w:rPr>
        <w:t>Workmen’s</w:t>
      </w:r>
      <w:r>
        <w:rPr>
          <w:rFonts w:ascii="Times New Roman" w:hAnsi="Times New Roman"/>
          <w:spacing w:val="-12"/>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Factory</w:t>
      </w:r>
      <w:r>
        <w:rPr>
          <w:rFonts w:ascii="Times New Roman" w:hAnsi="Times New Roman"/>
          <w:spacing w:val="-12"/>
          <w:sz w:val="19"/>
          <w:vertAlign w:val="baseline"/>
        </w:rPr>
        <w:t> </w:t>
      </w:r>
      <w:r>
        <w:rPr>
          <w:rFonts w:ascii="Times New Roman" w:hAnsi="Times New Roman"/>
          <w:sz w:val="19"/>
          <w:vertAlign w:val="baseline"/>
        </w:rPr>
        <w:t>Act”</w:t>
      </w:r>
      <w:r>
        <w:rPr>
          <w:rFonts w:ascii="Times New Roman" w:hAnsi="Times New Roman"/>
          <w:spacing w:val="-9"/>
          <w:sz w:val="19"/>
          <w:vertAlign w:val="baseline"/>
        </w:rPr>
        <w:t> </w:t>
      </w:r>
      <w:r>
        <w:rPr>
          <w:rFonts w:ascii="Times New Roman" w:hAnsi="Times New Roman"/>
          <w:sz w:val="19"/>
          <w:vertAlign w:val="baseline"/>
        </w:rPr>
        <w:t>http:/www.nigeria </w:t>
      </w:r>
      <w:r>
        <w:rPr>
          <w:rFonts w:ascii="Times New Roman" w:hAnsi="Times New Roman"/>
          <w:spacing w:val="-2"/>
          <w:sz w:val="19"/>
          <w:vertAlign w:val="baseline"/>
        </w:rPr>
        <w:t>villagesquare.com/articles21/03/2012-5:33pm</w:t>
      </w:r>
    </w:p>
    <w:p>
      <w:pPr>
        <w:spacing w:after="0" w:line="237" w:lineRule="auto"/>
        <w:jc w:val="left"/>
        <w:rPr>
          <w:rFonts w:ascii="Times New Roman" w:hAnsi="Times New Roman"/>
          <w:sz w:val="19"/>
        </w:rPr>
        <w:sectPr>
          <w:pgSz w:w="12240" w:h="15840"/>
          <w:pgMar w:header="0" w:footer="1009" w:top="1240" w:bottom="1200" w:left="1680" w:right="1320"/>
        </w:sectPr>
      </w:pPr>
    </w:p>
    <w:p>
      <w:pPr>
        <w:pStyle w:val="BodyText"/>
        <w:spacing w:line="489" w:lineRule="auto" w:before="114"/>
        <w:ind w:left="864" w:right="564"/>
        <w:jc w:val="both"/>
      </w:pPr>
      <w:r>
        <w:rPr/>
        <w:t>otherwise</w:t>
      </w:r>
      <w:r>
        <w:rPr>
          <w:spacing w:val="38"/>
        </w:rPr>
        <w:t> </w:t>
      </w:r>
      <w:r>
        <w:rPr/>
        <w:t>and</w:t>
      </w:r>
      <w:r>
        <w:rPr>
          <w:spacing w:val="32"/>
        </w:rPr>
        <w:t> </w:t>
      </w:r>
      <w:r>
        <w:rPr/>
        <w:t>had</w:t>
      </w:r>
      <w:r>
        <w:rPr>
          <w:spacing w:val="32"/>
        </w:rPr>
        <w:t> </w:t>
      </w:r>
      <w:r>
        <w:rPr/>
        <w:t>been</w:t>
      </w:r>
      <w:r>
        <w:rPr>
          <w:spacing w:val="30"/>
        </w:rPr>
        <w:t> </w:t>
      </w:r>
      <w:r>
        <w:rPr/>
        <w:t>repeatedly</w:t>
      </w:r>
      <w:r>
        <w:rPr>
          <w:spacing w:val="29"/>
        </w:rPr>
        <w:t> </w:t>
      </w:r>
      <w:r>
        <w:rPr/>
        <w:t>interpreted</w:t>
      </w:r>
      <w:r>
        <w:rPr>
          <w:spacing w:val="36"/>
        </w:rPr>
        <w:t> </w:t>
      </w:r>
      <w:r>
        <w:rPr/>
        <w:t>to</w:t>
      </w:r>
      <w:r>
        <w:rPr>
          <w:spacing w:val="28"/>
        </w:rPr>
        <w:t> </w:t>
      </w:r>
      <w:r>
        <w:rPr/>
        <w:t>exclude</w:t>
      </w:r>
      <w:r>
        <w:rPr>
          <w:spacing w:val="33"/>
        </w:rPr>
        <w:t> </w:t>
      </w:r>
      <w:r>
        <w:rPr/>
        <w:t>professionals.</w:t>
      </w:r>
      <w:r>
        <w:rPr>
          <w:vertAlign w:val="superscript"/>
        </w:rPr>
        <w:t>39</w:t>
      </w:r>
      <w:r>
        <w:rPr>
          <w:vertAlign w:val="baseline"/>
        </w:rPr>
        <w:t> It lioi|ud compensable injuries to injuries that had been the result of</w:t>
      </w:r>
      <w:r>
        <w:rPr>
          <w:spacing w:val="40"/>
          <w:vertAlign w:val="baseline"/>
        </w:rPr>
        <w:t> </w:t>
      </w:r>
      <w:r>
        <w:rPr>
          <w:vertAlign w:val="baseline"/>
        </w:rPr>
        <w:t>accident at the work place leaving other injuries non compensable.</w:t>
      </w:r>
      <w:r>
        <w:rPr>
          <w:vertAlign w:val="superscript"/>
        </w:rPr>
        <w:t>40</w:t>
      </w:r>
      <w:r>
        <w:rPr>
          <w:vertAlign w:val="baseline"/>
        </w:rPr>
        <w:t> Also, the</w:t>
      </w:r>
      <w:r>
        <w:rPr>
          <w:spacing w:val="40"/>
          <w:vertAlign w:val="baseline"/>
        </w:rPr>
        <w:t> </w:t>
      </w:r>
      <w:r>
        <w:rPr>
          <w:vertAlign w:val="baseline"/>
        </w:rPr>
        <w:t>heads</w:t>
      </w:r>
      <w:r>
        <w:rPr>
          <w:spacing w:val="40"/>
          <w:vertAlign w:val="baseline"/>
        </w:rPr>
        <w:t> </w:t>
      </w:r>
      <w:r>
        <w:rPr>
          <w:vertAlign w:val="baseline"/>
        </w:rPr>
        <w:t>of</w:t>
      </w:r>
      <w:r>
        <w:rPr>
          <w:spacing w:val="40"/>
          <w:vertAlign w:val="baseline"/>
        </w:rPr>
        <w:t> </w:t>
      </w:r>
      <w:r>
        <w:rPr>
          <w:vertAlign w:val="baseline"/>
        </w:rPr>
        <w:t>compensation</w:t>
      </w:r>
      <w:r>
        <w:rPr>
          <w:spacing w:val="40"/>
          <w:vertAlign w:val="baseline"/>
        </w:rPr>
        <w:t> </w:t>
      </w:r>
      <w:r>
        <w:rPr>
          <w:vertAlign w:val="baseline"/>
        </w:rPr>
        <w:t>under workmen’s</w:t>
      </w:r>
      <w:r>
        <w:rPr>
          <w:spacing w:val="40"/>
          <w:vertAlign w:val="baseline"/>
        </w:rPr>
        <w:t> </w:t>
      </w:r>
      <w:r>
        <w:rPr>
          <w:vertAlign w:val="baseline"/>
        </w:rPr>
        <w:t>compensation</w:t>
      </w:r>
      <w:r>
        <w:rPr>
          <w:spacing w:val="40"/>
          <w:vertAlign w:val="baseline"/>
        </w:rPr>
        <w:t> </w:t>
      </w:r>
      <w:r>
        <w:rPr>
          <w:vertAlign w:val="baseline"/>
        </w:rPr>
        <w:t>Act</w:t>
      </w:r>
      <w:r>
        <w:rPr>
          <w:spacing w:val="40"/>
          <w:vertAlign w:val="baseline"/>
        </w:rPr>
        <w:t> </w:t>
      </w:r>
      <w:r>
        <w:rPr>
          <w:vertAlign w:val="baseline"/>
        </w:rPr>
        <w:t>were limited to compensation in fatal cases, permanent total incapacity, permanent partial incapacity and temporary incapacity</w:t>
      </w:r>
      <w:r>
        <w:rPr>
          <w:vertAlign w:val="superscript"/>
        </w:rPr>
        <w:t>41</w:t>
      </w:r>
    </w:p>
    <w:p>
      <w:pPr>
        <w:pStyle w:val="BodyText"/>
        <w:spacing w:before="10"/>
      </w:pPr>
    </w:p>
    <w:p>
      <w:pPr>
        <w:pStyle w:val="BodyText"/>
        <w:spacing w:line="489" w:lineRule="auto"/>
        <w:ind w:left="864" w:right="564"/>
        <w:jc w:val="both"/>
      </w:pPr>
      <w:r>
        <w:rPr/>
        <w:t>The 2010 Act makes provision for payment of compensation to employees who</w:t>
      </w:r>
      <w:r>
        <w:rPr>
          <w:spacing w:val="39"/>
        </w:rPr>
        <w:t> </w:t>
      </w:r>
      <w:r>
        <w:rPr/>
        <w:t>suffer</w:t>
      </w:r>
      <w:r>
        <w:rPr>
          <w:spacing w:val="40"/>
        </w:rPr>
        <w:t> </w:t>
      </w:r>
      <w:r>
        <w:rPr/>
        <w:t>occupational</w:t>
      </w:r>
      <w:r>
        <w:rPr>
          <w:spacing w:val="40"/>
        </w:rPr>
        <w:t> </w:t>
      </w:r>
      <w:r>
        <w:rPr/>
        <w:t>diseases</w:t>
      </w:r>
      <w:r>
        <w:rPr>
          <w:spacing w:val="40"/>
        </w:rPr>
        <w:t> </w:t>
      </w:r>
      <w:r>
        <w:rPr/>
        <w:t>or</w:t>
      </w:r>
      <w:r>
        <w:rPr>
          <w:spacing w:val="39"/>
        </w:rPr>
        <w:t> </w:t>
      </w:r>
      <w:r>
        <w:rPr/>
        <w:t>sustain</w:t>
      </w:r>
      <w:r>
        <w:rPr>
          <w:spacing w:val="40"/>
        </w:rPr>
        <w:t> </w:t>
      </w:r>
      <w:r>
        <w:rPr/>
        <w:t>injuries</w:t>
      </w:r>
      <w:r>
        <w:rPr>
          <w:spacing w:val="38"/>
        </w:rPr>
        <w:t> </w:t>
      </w:r>
      <w:r>
        <w:rPr/>
        <w:t>arising</w:t>
      </w:r>
      <w:r>
        <w:rPr>
          <w:spacing w:val="40"/>
        </w:rPr>
        <w:t> </w:t>
      </w:r>
      <w:r>
        <w:rPr/>
        <w:t>from</w:t>
      </w:r>
      <w:r>
        <w:rPr>
          <w:spacing w:val="40"/>
        </w:rPr>
        <w:t> </w:t>
      </w:r>
      <w:r>
        <w:rPr/>
        <w:t>accident at workplace or in the course of employment. However, members of the armed forces, except those employed in civilian capacity are excluded in terms of coverage.</w:t>
      </w:r>
      <w:r>
        <w:rPr>
          <w:vertAlign w:val="superscript"/>
        </w:rPr>
        <w:t>42</w:t>
      </w:r>
      <w:r>
        <w:rPr>
          <w:spacing w:val="40"/>
          <w:vertAlign w:val="baseline"/>
        </w:rPr>
        <w:t> </w:t>
      </w:r>
      <w:r>
        <w:rPr>
          <w:vertAlign w:val="baseline"/>
        </w:rPr>
        <w:t>There are basically five grounds of</w:t>
      </w:r>
      <w:r>
        <w:rPr>
          <w:spacing w:val="40"/>
          <w:vertAlign w:val="baseline"/>
        </w:rPr>
        <w:t> </w:t>
      </w:r>
      <w:r>
        <w:rPr>
          <w:vertAlign w:val="baseline"/>
        </w:rPr>
        <w:t>compensation under the Act viz mental stress, occupational disease, injury, hearing impairment and death.</w:t>
      </w:r>
      <w:r>
        <w:rPr>
          <w:vertAlign w:val="superscript"/>
        </w:rPr>
        <w:t>43</w:t>
      </w:r>
      <w:r>
        <w:rPr>
          <w:vertAlign w:val="baseline"/>
        </w:rPr>
        <w:t> The Act uses some scales in order to measure the amount of compensation. These scales are scales of compensation for temporary partial disability, temporary total disability, permanent partial disability</w:t>
      </w:r>
      <w:r>
        <w:rPr>
          <w:spacing w:val="40"/>
          <w:vertAlign w:val="baseline"/>
        </w:rPr>
        <w:t> </w:t>
      </w:r>
      <w:r>
        <w:rPr>
          <w:vertAlign w:val="baseline"/>
        </w:rPr>
        <w:t>or</w:t>
      </w:r>
      <w:r>
        <w:rPr>
          <w:spacing w:val="40"/>
          <w:vertAlign w:val="baseline"/>
        </w:rPr>
        <w:t> </w:t>
      </w:r>
      <w:r>
        <w:rPr>
          <w:vertAlign w:val="baseline"/>
        </w:rPr>
        <w:t>disfigurement,</w:t>
      </w:r>
      <w:r>
        <w:rPr>
          <w:spacing w:val="40"/>
          <w:vertAlign w:val="baseline"/>
        </w:rPr>
        <w:t> </w:t>
      </w:r>
      <w:r>
        <w:rPr>
          <w:vertAlign w:val="baseline"/>
        </w:rPr>
        <w:t>permanent</w:t>
      </w:r>
      <w:r>
        <w:rPr>
          <w:spacing w:val="40"/>
          <w:vertAlign w:val="baseline"/>
        </w:rPr>
        <w:t> </w:t>
      </w:r>
      <w:r>
        <w:rPr>
          <w:vertAlign w:val="baseline"/>
        </w:rPr>
        <w:t>total</w:t>
      </w:r>
      <w:r>
        <w:rPr>
          <w:spacing w:val="40"/>
          <w:vertAlign w:val="baseline"/>
        </w:rPr>
        <w:t> </w:t>
      </w:r>
      <w:r>
        <w:rPr>
          <w:vertAlign w:val="baseline"/>
        </w:rPr>
        <w:t>disability,</w:t>
      </w:r>
      <w:r>
        <w:rPr>
          <w:spacing w:val="40"/>
          <w:vertAlign w:val="baseline"/>
        </w:rPr>
        <w:t> </w:t>
      </w:r>
      <w:r>
        <w:rPr>
          <w:vertAlign w:val="baseline"/>
        </w:rPr>
        <w:t>fatal</w:t>
      </w:r>
      <w:r>
        <w:rPr>
          <w:spacing w:val="40"/>
          <w:vertAlign w:val="baseline"/>
        </w:rPr>
        <w:t> </w:t>
      </w:r>
      <w:r>
        <w:rPr>
          <w:vertAlign w:val="baseline"/>
        </w:rPr>
        <w:t>cases</w:t>
      </w:r>
      <w:r>
        <w:rPr>
          <w:spacing w:val="40"/>
          <w:vertAlign w:val="baseline"/>
        </w:rPr>
        <w:t> </w:t>
      </w:r>
      <w:r>
        <w:rPr>
          <w:vertAlign w:val="baseline"/>
        </w:rPr>
        <w:t>and enemy</w:t>
      </w:r>
      <w:r>
        <w:rPr>
          <w:spacing w:val="40"/>
          <w:vertAlign w:val="baseline"/>
        </w:rPr>
        <w:t> </w:t>
      </w:r>
      <w:r>
        <w:rPr>
          <w:vertAlign w:val="baseline"/>
        </w:rPr>
        <w:t>war-like</w:t>
      </w:r>
      <w:r>
        <w:rPr>
          <w:spacing w:val="40"/>
          <w:vertAlign w:val="baseline"/>
        </w:rPr>
        <w:t> </w:t>
      </w:r>
      <w:r>
        <w:rPr>
          <w:vertAlign w:val="baseline"/>
        </w:rPr>
        <w:t>actions.</w:t>
      </w:r>
      <w:r>
        <w:rPr>
          <w:vertAlign w:val="superscript"/>
        </w:rPr>
        <w:t>44</w:t>
      </w:r>
      <w:r>
        <w:rPr>
          <w:spacing w:val="40"/>
          <w:vertAlign w:val="baseline"/>
        </w:rPr>
        <w:t> </w:t>
      </w:r>
      <w:r>
        <w:rPr>
          <w:vertAlign w:val="baseline"/>
        </w:rPr>
        <w:t>The</w:t>
      </w:r>
      <w:r>
        <w:rPr>
          <w:spacing w:val="40"/>
          <w:vertAlign w:val="baseline"/>
        </w:rPr>
        <w:t> </w:t>
      </w:r>
      <w:r>
        <w:rPr>
          <w:vertAlign w:val="baseline"/>
        </w:rPr>
        <w:t>Act</w:t>
      </w:r>
      <w:r>
        <w:rPr>
          <w:spacing w:val="40"/>
          <w:vertAlign w:val="baseline"/>
        </w:rPr>
        <w:t> </w:t>
      </w:r>
      <w:r>
        <w:rPr>
          <w:vertAlign w:val="baseline"/>
        </w:rPr>
        <w:t>also</w:t>
      </w:r>
      <w:r>
        <w:rPr>
          <w:spacing w:val="40"/>
          <w:vertAlign w:val="baseline"/>
        </w:rPr>
        <w:t> </w:t>
      </w:r>
      <w:r>
        <w:rPr>
          <w:vertAlign w:val="baseline"/>
        </w:rPr>
        <w:t>provides</w:t>
      </w:r>
      <w:r>
        <w:rPr>
          <w:spacing w:val="40"/>
          <w:vertAlign w:val="baseline"/>
        </w:rPr>
        <w:t> </w:t>
      </w:r>
      <w:r>
        <w:rPr>
          <w:vertAlign w:val="baseline"/>
        </w:rPr>
        <w:t>for</w:t>
      </w:r>
      <w:r>
        <w:rPr>
          <w:spacing w:val="40"/>
          <w:vertAlign w:val="baseline"/>
        </w:rPr>
        <w:t> </w:t>
      </w:r>
      <w:r>
        <w:rPr>
          <w:vertAlign w:val="baseline"/>
        </w:rPr>
        <w:t>vocational rehabilitation</w:t>
      </w:r>
      <w:r>
        <w:rPr>
          <w:spacing w:val="40"/>
          <w:vertAlign w:val="baseline"/>
        </w:rPr>
        <w:t> </w:t>
      </w:r>
      <w:r>
        <w:rPr>
          <w:vertAlign w:val="baseline"/>
        </w:rPr>
        <w:t>as</w:t>
      </w:r>
      <w:r>
        <w:rPr>
          <w:spacing w:val="40"/>
          <w:vertAlign w:val="baseline"/>
        </w:rPr>
        <w:t> </w:t>
      </w:r>
      <w:r>
        <w:rPr>
          <w:vertAlign w:val="baseline"/>
        </w:rPr>
        <w:t>a</w:t>
      </w:r>
      <w:r>
        <w:rPr>
          <w:spacing w:val="40"/>
          <w:vertAlign w:val="baseline"/>
        </w:rPr>
        <w:t> </w:t>
      </w:r>
      <w:r>
        <w:rPr>
          <w:vertAlign w:val="baseline"/>
        </w:rPr>
        <w:t>form</w:t>
      </w:r>
      <w:r>
        <w:rPr>
          <w:spacing w:val="40"/>
          <w:vertAlign w:val="baseline"/>
        </w:rPr>
        <w:t> </w:t>
      </w:r>
      <w:r>
        <w:rPr>
          <w:vertAlign w:val="baseline"/>
        </w:rPr>
        <w:t>of</w:t>
      </w:r>
      <w:r>
        <w:rPr>
          <w:spacing w:val="40"/>
          <w:vertAlign w:val="baseline"/>
        </w:rPr>
        <w:t> </w:t>
      </w:r>
      <w:r>
        <w:rPr>
          <w:vertAlign w:val="baseline"/>
        </w:rPr>
        <w:t>compensation</w:t>
      </w:r>
      <w:r>
        <w:rPr>
          <w:spacing w:val="40"/>
          <w:vertAlign w:val="baseline"/>
        </w:rPr>
        <w:t> </w:t>
      </w:r>
      <w:r>
        <w:rPr>
          <w:vertAlign w:val="baseline"/>
        </w:rPr>
        <w:t>in</w:t>
      </w:r>
      <w:r>
        <w:rPr>
          <w:spacing w:val="40"/>
          <w:vertAlign w:val="baseline"/>
        </w:rPr>
        <w:t> </w:t>
      </w:r>
      <w:r>
        <w:rPr>
          <w:vertAlign w:val="baseline"/>
        </w:rPr>
        <w:t>order</w:t>
      </w:r>
      <w:r>
        <w:rPr>
          <w:spacing w:val="40"/>
          <w:vertAlign w:val="baseline"/>
        </w:rPr>
        <w:t> </w:t>
      </w:r>
      <w:r>
        <w:rPr>
          <w:vertAlign w:val="baseline"/>
        </w:rPr>
        <w:t>to</w:t>
      </w:r>
      <w:r>
        <w:rPr>
          <w:spacing w:val="40"/>
          <w:vertAlign w:val="baseline"/>
        </w:rPr>
        <w:t> </w:t>
      </w:r>
      <w:r>
        <w:rPr>
          <w:vertAlign w:val="baseline"/>
        </w:rPr>
        <w:t>bring</w:t>
      </w:r>
      <w:r>
        <w:rPr>
          <w:spacing w:val="40"/>
          <w:vertAlign w:val="baseline"/>
        </w:rPr>
        <w:t> </w:t>
      </w:r>
      <w:r>
        <w:rPr>
          <w:vertAlign w:val="baseline"/>
        </w:rPr>
        <w:t>injured employees</w:t>
      </w:r>
      <w:r>
        <w:rPr>
          <w:spacing w:val="20"/>
          <w:vertAlign w:val="baseline"/>
        </w:rPr>
        <w:t> </w:t>
      </w:r>
      <w:r>
        <w:rPr>
          <w:vertAlign w:val="baseline"/>
        </w:rPr>
        <w:t>back</w:t>
      </w:r>
      <w:r>
        <w:rPr>
          <w:spacing w:val="22"/>
          <w:vertAlign w:val="baseline"/>
        </w:rPr>
        <w:t> </w:t>
      </w:r>
      <w:r>
        <w:rPr>
          <w:vertAlign w:val="baseline"/>
        </w:rPr>
        <w:t>to</w:t>
      </w:r>
      <w:r>
        <w:rPr>
          <w:spacing w:val="21"/>
          <w:vertAlign w:val="baseline"/>
        </w:rPr>
        <w:t> </w:t>
      </w:r>
      <w:r>
        <w:rPr>
          <w:vertAlign w:val="baseline"/>
        </w:rPr>
        <w:t>work</w:t>
      </w:r>
      <w:r>
        <w:rPr>
          <w:spacing w:val="22"/>
          <w:vertAlign w:val="baseline"/>
        </w:rPr>
        <w:t> </w:t>
      </w:r>
      <w:r>
        <w:rPr>
          <w:vertAlign w:val="baseline"/>
        </w:rPr>
        <w:t>by</w:t>
      </w:r>
      <w:r>
        <w:rPr>
          <w:spacing w:val="28"/>
          <w:vertAlign w:val="baseline"/>
        </w:rPr>
        <w:t> </w:t>
      </w:r>
      <w:r>
        <w:rPr>
          <w:vertAlign w:val="baseline"/>
        </w:rPr>
        <w:t>providing</w:t>
      </w:r>
      <w:r>
        <w:rPr>
          <w:spacing w:val="24"/>
          <w:vertAlign w:val="baseline"/>
        </w:rPr>
        <w:t> </w:t>
      </w:r>
      <w:r>
        <w:rPr>
          <w:vertAlign w:val="baseline"/>
        </w:rPr>
        <w:t>any</w:t>
      </w:r>
      <w:r>
        <w:rPr>
          <w:spacing w:val="22"/>
          <w:vertAlign w:val="baseline"/>
        </w:rPr>
        <w:t> </w:t>
      </w:r>
      <w:r>
        <w:rPr>
          <w:vertAlign w:val="baseline"/>
        </w:rPr>
        <w:t>medical</w:t>
      </w:r>
      <w:r>
        <w:rPr>
          <w:spacing w:val="23"/>
          <w:vertAlign w:val="baseline"/>
        </w:rPr>
        <w:t> </w:t>
      </w:r>
      <w:r>
        <w:rPr>
          <w:vertAlign w:val="baseline"/>
        </w:rPr>
        <w:t>treatment</w:t>
      </w:r>
      <w:r>
        <w:rPr>
          <w:spacing w:val="18"/>
          <w:vertAlign w:val="baseline"/>
        </w:rPr>
        <w:t> </w:t>
      </w:r>
      <w:r>
        <w:rPr>
          <w:vertAlign w:val="baseline"/>
        </w:rPr>
        <w:t>or</w:t>
      </w:r>
      <w:r>
        <w:rPr>
          <w:spacing w:val="21"/>
          <w:vertAlign w:val="baseline"/>
        </w:rPr>
        <w:t> </w:t>
      </w:r>
      <w:r>
        <w:rPr>
          <w:vertAlign w:val="baseline"/>
        </w:rPr>
        <w:t>other</w:t>
      </w:r>
      <w:r>
        <w:rPr>
          <w:spacing w:val="27"/>
          <w:vertAlign w:val="baseline"/>
        </w:rPr>
        <w:t> </w:t>
      </w:r>
      <w:r>
        <w:rPr>
          <w:vertAlign w:val="baseline"/>
        </w:rPr>
        <w:t>care</w:t>
      </w:r>
    </w:p>
    <w:p>
      <w:pPr>
        <w:pStyle w:val="BodyText"/>
        <w:spacing w:before="172"/>
        <w:rPr>
          <w:sz w:val="20"/>
        </w:rPr>
      </w:pPr>
      <w:r>
        <w:rPr/>
        <mc:AlternateContent>
          <mc:Choice Requires="wps">
            <w:drawing>
              <wp:anchor distT="0" distB="0" distL="0" distR="0" allowOverlap="1" layoutInCell="1" locked="0" behindDoc="1" simplePos="0" relativeHeight="487605248">
                <wp:simplePos x="0" y="0"/>
                <wp:positionH relativeFrom="page">
                  <wp:posOffset>1185672</wp:posOffset>
                </wp:positionH>
                <wp:positionV relativeFrom="paragraph">
                  <wp:posOffset>278092</wp:posOffset>
                </wp:positionV>
                <wp:extent cx="1719580" cy="6350"/>
                <wp:effectExtent l="0" t="0" r="0" b="0"/>
                <wp:wrapTopAndBottom/>
                <wp:docPr id="38" name="Graphic 38"/>
                <wp:cNvGraphicFramePr>
                  <a:graphicFrameLocks/>
                </wp:cNvGraphicFramePr>
                <a:graphic>
                  <a:graphicData uri="http://schemas.microsoft.com/office/word/2010/wordprocessingShape">
                    <wps:wsp>
                      <wps:cNvPr id="38" name="Graphic 3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1.897032pt;width:135.360pt;height:.48pt;mso-position-horizontal-relative:page;mso-position-vertical-relative:paragraph;z-index:-15711232;mso-wrap-distance-left:0;mso-wrap-distance-right:0" id="docshape38" filled="true" fillcolor="#000000" stroked="false">
                <v:fill type="solid"/>
                <w10:wrap type="topAndBottom"/>
              </v:rect>
            </w:pict>
          </mc:Fallback>
        </mc:AlternateContent>
      </w:r>
    </w:p>
    <w:p>
      <w:pPr>
        <w:spacing w:line="242" w:lineRule="auto" w:before="96"/>
        <w:ind w:left="187" w:right="0" w:firstLine="0"/>
        <w:jc w:val="left"/>
        <w:rPr>
          <w:rFonts w:ascii="Times New Roman" w:hAnsi="Times New Roman"/>
          <w:sz w:val="19"/>
        </w:rPr>
      </w:pPr>
      <w:r>
        <w:rPr>
          <w:rFonts w:ascii="Times New Roman" w:hAnsi="Times New Roman"/>
          <w:sz w:val="19"/>
          <w:vertAlign w:val="superscript"/>
        </w:rPr>
        <w:t>39</w:t>
      </w:r>
      <w:r>
        <w:rPr>
          <w:rFonts w:ascii="Times New Roman" w:hAnsi="Times New Roman"/>
          <w:sz w:val="19"/>
          <w:vertAlign w:val="baseline"/>
        </w:rPr>
        <w:t> Olaniwun, A.L.P. “Employer and Employee Relations: The Employee’s Compensation Act 2011” </w:t>
      </w:r>
      <w:hyperlink r:id="rId9">
        <w:r>
          <w:rPr>
            <w:rFonts w:ascii="Times New Roman" w:hAnsi="Times New Roman"/>
            <w:spacing w:val="-2"/>
            <w:sz w:val="19"/>
            <w:vertAlign w:val="baseline"/>
          </w:rPr>
          <w:t>http://www.olaniwunajayi.net/clientalert/employees</w:t>
        </w:r>
      </w:hyperlink>
      <w:r>
        <w:rPr>
          <w:rFonts w:ascii="Times New Roman" w:hAnsi="Times New Roman"/>
          <w:spacing w:val="-2"/>
          <w:sz w:val="19"/>
          <w:vertAlign w:val="baseline"/>
        </w:rPr>
        <w:t>’compensationactnewsletter accessed May 22, 2012</w:t>
      </w:r>
    </w:p>
    <w:p>
      <w:pPr>
        <w:spacing w:line="210" w:lineRule="exact" w:before="0"/>
        <w:ind w:left="187" w:right="0" w:firstLine="0"/>
        <w:jc w:val="left"/>
        <w:rPr>
          <w:rFonts w:ascii="Times New Roman"/>
          <w:i/>
          <w:sz w:val="19"/>
        </w:rPr>
      </w:pPr>
      <w:r>
        <w:rPr>
          <w:rFonts w:ascii="Times New Roman"/>
          <w:sz w:val="19"/>
          <w:vertAlign w:val="superscript"/>
        </w:rPr>
        <w:t>40</w:t>
      </w:r>
      <w:r>
        <w:rPr>
          <w:rFonts w:ascii="Times New Roman"/>
          <w:spacing w:val="9"/>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41</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hAnsi="Times New Roman"/>
          <w:i/>
          <w:sz w:val="19"/>
        </w:rPr>
      </w:pPr>
      <w:r>
        <w:rPr>
          <w:rFonts w:ascii="Times New Roman" w:hAnsi="Times New Roman"/>
          <w:sz w:val="19"/>
          <w:vertAlign w:val="superscript"/>
        </w:rPr>
        <w:t>42</w:t>
      </w:r>
      <w:r>
        <w:rPr>
          <w:rFonts w:ascii="Times New Roman" w:hAnsi="Times New Roman"/>
          <w:spacing w:val="-4"/>
          <w:sz w:val="19"/>
          <w:vertAlign w:val="baseline"/>
        </w:rPr>
        <w:t> </w:t>
      </w:r>
      <w:r>
        <w:rPr>
          <w:rFonts w:ascii="Times New Roman" w:hAnsi="Times New Roman"/>
          <w:sz w:val="19"/>
          <w:vertAlign w:val="baseline"/>
        </w:rPr>
        <w:t>See</w:t>
      </w:r>
      <w:r>
        <w:rPr>
          <w:rFonts w:ascii="Times New Roman" w:hAnsi="Times New Roman"/>
          <w:spacing w:val="-6"/>
          <w:sz w:val="19"/>
          <w:vertAlign w:val="baseline"/>
        </w:rPr>
        <w:t> </w:t>
      </w:r>
      <w:r>
        <w:rPr>
          <w:rFonts w:ascii="Times New Roman" w:hAnsi="Times New Roman"/>
          <w:sz w:val="19"/>
          <w:vertAlign w:val="baseline"/>
        </w:rPr>
        <w:t>Sections</w:t>
      </w:r>
      <w:r>
        <w:rPr>
          <w:rFonts w:ascii="Times New Roman" w:hAnsi="Times New Roman"/>
          <w:spacing w:val="-10"/>
          <w:sz w:val="19"/>
          <w:vertAlign w:val="baseline"/>
        </w:rPr>
        <w:t> </w:t>
      </w:r>
      <w:r>
        <w:rPr>
          <w:rFonts w:ascii="Times New Roman" w:hAnsi="Times New Roman"/>
          <w:sz w:val="19"/>
          <w:vertAlign w:val="baseline"/>
        </w:rPr>
        <w:t>1</w:t>
      </w:r>
      <w:r>
        <w:rPr>
          <w:rFonts w:ascii="Times New Roman" w:hAnsi="Times New Roman"/>
          <w:spacing w:val="-8"/>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3</w:t>
      </w:r>
      <w:r>
        <w:rPr>
          <w:rFonts w:ascii="Times New Roman" w:hAnsi="Times New Roman"/>
          <w:spacing w:val="-8"/>
          <w:sz w:val="19"/>
          <w:vertAlign w:val="baseline"/>
        </w:rPr>
        <w:t> </w:t>
      </w:r>
      <w:r>
        <w:rPr>
          <w:rFonts w:ascii="Times New Roman" w:hAnsi="Times New Roman"/>
          <w:sz w:val="19"/>
          <w:vertAlign w:val="baseline"/>
        </w:rPr>
        <w:t>of</w:t>
      </w:r>
      <w:r>
        <w:rPr>
          <w:rFonts w:ascii="Times New Roman" w:hAnsi="Times New Roman"/>
          <w:spacing w:val="-9"/>
          <w:sz w:val="19"/>
          <w:vertAlign w:val="baseline"/>
        </w:rPr>
        <w:t> </w:t>
      </w:r>
      <w:r>
        <w:rPr>
          <w:rFonts w:ascii="Times New Roman" w:hAnsi="Times New Roman"/>
          <w:sz w:val="19"/>
          <w:vertAlign w:val="baseline"/>
        </w:rPr>
        <w:t>Employees’</w:t>
      </w:r>
      <w:r>
        <w:rPr>
          <w:rFonts w:ascii="Times New Roman" w:hAnsi="Times New Roman"/>
          <w:spacing w:val="-9"/>
          <w:sz w:val="19"/>
          <w:vertAlign w:val="baseline"/>
        </w:rPr>
        <w:t> </w:t>
      </w:r>
      <w:r>
        <w:rPr>
          <w:rFonts w:ascii="Times New Roman" w:hAnsi="Times New Roman"/>
          <w:sz w:val="19"/>
          <w:vertAlign w:val="baseline"/>
        </w:rPr>
        <w:t>Compensation</w:t>
      </w:r>
      <w:r>
        <w:rPr>
          <w:rFonts w:ascii="Times New Roman" w:hAnsi="Times New Roman"/>
          <w:spacing w:val="-8"/>
          <w:sz w:val="19"/>
          <w:vertAlign w:val="baseline"/>
        </w:rPr>
        <w:t> </w:t>
      </w:r>
      <w:r>
        <w:rPr>
          <w:rFonts w:ascii="Times New Roman" w:hAnsi="Times New Roman"/>
          <w:sz w:val="19"/>
          <w:vertAlign w:val="baseline"/>
        </w:rPr>
        <w:t>Act</w:t>
      </w:r>
      <w:r>
        <w:rPr>
          <w:rFonts w:ascii="Times New Roman" w:hAnsi="Times New Roman"/>
          <w:spacing w:val="-4"/>
          <w:sz w:val="19"/>
          <w:vertAlign w:val="baseline"/>
        </w:rPr>
        <w:t> </w:t>
      </w:r>
      <w:r>
        <w:rPr>
          <w:rFonts w:ascii="Times New Roman" w:hAnsi="Times New Roman"/>
          <w:i/>
          <w:sz w:val="19"/>
          <w:vertAlign w:val="baseline"/>
        </w:rPr>
        <w:t>op</w:t>
      </w:r>
      <w:r>
        <w:rPr>
          <w:rFonts w:ascii="Times New Roman" w:hAnsi="Times New Roman"/>
          <w:i/>
          <w:spacing w:val="-11"/>
          <w:sz w:val="19"/>
          <w:vertAlign w:val="baseline"/>
        </w:rPr>
        <w:t> </w:t>
      </w:r>
      <w:r>
        <w:rPr>
          <w:rFonts w:ascii="Times New Roman" w:hAnsi="Times New Roman"/>
          <w:i/>
          <w:spacing w:val="-5"/>
          <w:sz w:val="19"/>
          <w:vertAlign w:val="baseline"/>
        </w:rPr>
        <w:t>cit</w:t>
      </w:r>
    </w:p>
    <w:p>
      <w:pPr>
        <w:spacing w:line="216" w:lineRule="exact" w:before="0"/>
        <w:ind w:left="187" w:right="0" w:firstLine="0"/>
        <w:jc w:val="left"/>
        <w:rPr>
          <w:rFonts w:ascii="Times New Roman" w:hAnsi="Times New Roman"/>
          <w:sz w:val="19"/>
        </w:rPr>
      </w:pPr>
      <w:r>
        <w:rPr>
          <w:rFonts w:ascii="Times New Roman" w:hAnsi="Times New Roman"/>
          <w:sz w:val="19"/>
          <w:vertAlign w:val="superscript"/>
        </w:rPr>
        <w:t>43</w:t>
      </w:r>
      <w:r>
        <w:rPr>
          <w:rFonts w:ascii="Times New Roman" w:hAnsi="Times New Roman"/>
          <w:spacing w:val="-11"/>
          <w:sz w:val="19"/>
          <w:vertAlign w:val="baseline"/>
        </w:rPr>
        <w:t> </w:t>
      </w:r>
      <w:r>
        <w:rPr>
          <w:rFonts w:ascii="Times New Roman" w:hAnsi="Times New Roman"/>
          <w:sz w:val="19"/>
          <w:vertAlign w:val="baseline"/>
        </w:rPr>
        <w:t>Sections</w:t>
      </w:r>
      <w:r>
        <w:rPr>
          <w:rFonts w:ascii="Times New Roman" w:hAnsi="Times New Roman"/>
          <w:spacing w:val="-8"/>
          <w:sz w:val="19"/>
          <w:vertAlign w:val="baseline"/>
        </w:rPr>
        <w:t> </w:t>
      </w:r>
      <w:r>
        <w:rPr>
          <w:rFonts w:ascii="Times New Roman" w:hAnsi="Times New Roman"/>
          <w:sz w:val="19"/>
          <w:vertAlign w:val="baseline"/>
        </w:rPr>
        <w:t>7,8,9,</w:t>
      </w:r>
      <w:r>
        <w:rPr>
          <w:rFonts w:ascii="Times New Roman" w:hAnsi="Times New Roman"/>
          <w:spacing w:val="-12"/>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10</w:t>
      </w:r>
      <w:r>
        <w:rPr>
          <w:rFonts w:ascii="Times New Roman" w:hAnsi="Times New Roman"/>
          <w:spacing w:val="-10"/>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7"/>
          <w:sz w:val="19"/>
          <w:vertAlign w:val="baseline"/>
        </w:rPr>
        <w:t> </w:t>
      </w:r>
      <w:r>
        <w:rPr>
          <w:rFonts w:ascii="Times New Roman" w:hAnsi="Times New Roman"/>
          <w:sz w:val="19"/>
          <w:vertAlign w:val="baseline"/>
        </w:rPr>
        <w:t>Compensation</w:t>
      </w:r>
      <w:r>
        <w:rPr>
          <w:rFonts w:ascii="Times New Roman" w:hAnsi="Times New Roman"/>
          <w:spacing w:val="-9"/>
          <w:sz w:val="19"/>
          <w:vertAlign w:val="baseline"/>
        </w:rPr>
        <w:t> </w:t>
      </w:r>
      <w:r>
        <w:rPr>
          <w:rFonts w:ascii="Times New Roman" w:hAnsi="Times New Roman"/>
          <w:sz w:val="19"/>
          <w:vertAlign w:val="baseline"/>
        </w:rPr>
        <w:t>Act,</w:t>
      </w:r>
      <w:r>
        <w:rPr>
          <w:rFonts w:ascii="Times New Roman" w:hAnsi="Times New Roman"/>
          <w:spacing w:val="-10"/>
          <w:sz w:val="19"/>
          <w:vertAlign w:val="baseline"/>
        </w:rPr>
        <w:t> </w:t>
      </w:r>
      <w:r>
        <w:rPr>
          <w:rFonts w:ascii="Times New Roman" w:hAnsi="Times New Roman"/>
          <w:sz w:val="19"/>
          <w:vertAlign w:val="baseline"/>
        </w:rPr>
        <w:t>No.13,</w:t>
      </w:r>
      <w:r>
        <w:rPr>
          <w:rFonts w:ascii="Times New Roman" w:hAnsi="Times New Roman"/>
          <w:spacing w:val="-10"/>
          <w:sz w:val="19"/>
          <w:vertAlign w:val="baseline"/>
        </w:rPr>
        <w:t> </w:t>
      </w:r>
      <w:r>
        <w:rPr>
          <w:rFonts w:ascii="Times New Roman" w:hAnsi="Times New Roman"/>
          <w:spacing w:val="-4"/>
          <w:sz w:val="19"/>
          <w:vertAlign w:val="baseline"/>
        </w:rPr>
        <w:t>2010</w:t>
      </w:r>
    </w:p>
    <w:p>
      <w:pPr>
        <w:spacing w:line="217" w:lineRule="exact" w:before="0"/>
        <w:ind w:left="187" w:right="0" w:firstLine="0"/>
        <w:jc w:val="left"/>
        <w:rPr>
          <w:rFonts w:ascii="Times New Roman"/>
          <w:i/>
          <w:sz w:val="19"/>
        </w:rPr>
      </w:pPr>
      <w:r>
        <w:rPr>
          <w:rFonts w:ascii="Times New Roman"/>
          <w:sz w:val="19"/>
          <w:vertAlign w:val="superscript"/>
        </w:rPr>
        <w:t>44</w:t>
      </w:r>
      <w:r>
        <w:rPr>
          <w:rFonts w:ascii="Times New Roman"/>
          <w:spacing w:val="-4"/>
          <w:sz w:val="19"/>
          <w:vertAlign w:val="baseline"/>
        </w:rPr>
        <w:t> </w:t>
      </w:r>
      <w:r>
        <w:rPr>
          <w:rFonts w:ascii="Times New Roman"/>
          <w:sz w:val="19"/>
          <w:vertAlign w:val="baseline"/>
        </w:rPr>
        <w:t>Sections</w:t>
      </w:r>
      <w:r>
        <w:rPr>
          <w:rFonts w:ascii="Times New Roman"/>
          <w:spacing w:val="-6"/>
          <w:sz w:val="19"/>
          <w:vertAlign w:val="baseline"/>
        </w:rPr>
        <w:t> </w:t>
      </w:r>
      <w:r>
        <w:rPr>
          <w:rFonts w:ascii="Times New Roman"/>
          <w:sz w:val="19"/>
          <w:vertAlign w:val="baseline"/>
        </w:rPr>
        <w:t>25,</w:t>
      </w:r>
      <w:r>
        <w:rPr>
          <w:rFonts w:ascii="Times New Roman"/>
          <w:spacing w:val="-8"/>
          <w:sz w:val="19"/>
          <w:vertAlign w:val="baseline"/>
        </w:rPr>
        <w:t> </w:t>
      </w:r>
      <w:r>
        <w:rPr>
          <w:rFonts w:ascii="Times New Roman"/>
          <w:sz w:val="19"/>
          <w:vertAlign w:val="baseline"/>
        </w:rPr>
        <w:t>24,</w:t>
      </w:r>
      <w:r>
        <w:rPr>
          <w:rFonts w:ascii="Times New Roman"/>
          <w:spacing w:val="-8"/>
          <w:sz w:val="19"/>
          <w:vertAlign w:val="baseline"/>
        </w:rPr>
        <w:t> </w:t>
      </w:r>
      <w:r>
        <w:rPr>
          <w:rFonts w:ascii="Times New Roman"/>
          <w:sz w:val="19"/>
          <w:vertAlign w:val="baseline"/>
        </w:rPr>
        <w:t>22,21,17</w:t>
      </w:r>
      <w:r>
        <w:rPr>
          <w:rFonts w:ascii="Times New Roman"/>
          <w:spacing w:val="-11"/>
          <w:sz w:val="19"/>
          <w:vertAlign w:val="baseline"/>
        </w:rPr>
        <w:t> </w:t>
      </w:r>
      <w:r>
        <w:rPr>
          <w:rFonts w:ascii="Times New Roman"/>
          <w:sz w:val="19"/>
          <w:vertAlign w:val="baseline"/>
        </w:rPr>
        <w:t>and18</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864" w:right="566"/>
        <w:jc w:val="both"/>
      </w:pPr>
      <w:r>
        <w:rPr/>
        <w:t>that are necessary to alleviate or relieve the injured employee from the effect of the injury. </w:t>
      </w:r>
      <w:r>
        <w:rPr>
          <w:vertAlign w:val="superscript"/>
        </w:rPr>
        <w:t>45</w:t>
      </w:r>
    </w:p>
    <w:p>
      <w:pPr>
        <w:pStyle w:val="BodyText"/>
        <w:spacing w:before="5"/>
      </w:pPr>
    </w:p>
    <w:p>
      <w:pPr>
        <w:pStyle w:val="BodyText"/>
        <w:spacing w:line="489" w:lineRule="auto"/>
        <w:ind w:left="864" w:right="562"/>
        <w:jc w:val="both"/>
      </w:pPr>
      <w:r>
        <w:rPr/>
        <w:t>The 2010 Act establishes contributory Pension Fund called “the Fund” into which shall be credited all monies, funds or contributions by employers for adequate compensation to employees or their dependants for any death, injury, disability or disease arising out of or in the course of employment. The Fund established is managed by the Nigeria Social Insurance Trust</w:t>
      </w:r>
      <w:r>
        <w:rPr>
          <w:spacing w:val="80"/>
        </w:rPr>
        <w:t> </w:t>
      </w:r>
      <w:r>
        <w:rPr/>
        <w:t>Fund</w:t>
      </w:r>
      <w:r>
        <w:rPr>
          <w:spacing w:val="40"/>
        </w:rPr>
        <w:t> </w:t>
      </w:r>
      <w:r>
        <w:rPr/>
        <w:t>Management</w:t>
      </w:r>
      <w:r>
        <w:rPr>
          <w:spacing w:val="40"/>
        </w:rPr>
        <w:t> </w:t>
      </w:r>
      <w:r>
        <w:rPr/>
        <w:t>Board</w:t>
      </w:r>
      <w:r>
        <w:rPr>
          <w:spacing w:val="40"/>
        </w:rPr>
        <w:t> </w:t>
      </w:r>
      <w:r>
        <w:rPr/>
        <w:t>called</w:t>
      </w:r>
      <w:r>
        <w:rPr>
          <w:spacing w:val="40"/>
        </w:rPr>
        <w:t> </w:t>
      </w:r>
      <w:r>
        <w:rPr/>
        <w:t>‘the</w:t>
      </w:r>
      <w:r>
        <w:rPr>
          <w:spacing w:val="40"/>
        </w:rPr>
        <w:t> </w:t>
      </w:r>
      <w:r>
        <w:rPr/>
        <w:t>Board’.</w:t>
      </w:r>
      <w:r>
        <w:rPr>
          <w:spacing w:val="40"/>
        </w:rPr>
        <w:t> </w:t>
      </w:r>
      <w:r>
        <w:rPr/>
        <w:t>The</w:t>
      </w:r>
      <w:r>
        <w:rPr>
          <w:spacing w:val="40"/>
        </w:rPr>
        <w:t> </w:t>
      </w:r>
      <w:r>
        <w:rPr/>
        <w:t>Fund</w:t>
      </w:r>
      <w:r>
        <w:rPr>
          <w:spacing w:val="40"/>
        </w:rPr>
        <w:t> </w:t>
      </w:r>
      <w:r>
        <w:rPr/>
        <w:t>here</w:t>
      </w:r>
      <w:r>
        <w:rPr>
          <w:spacing w:val="40"/>
        </w:rPr>
        <w:t> </w:t>
      </w:r>
      <w:r>
        <w:rPr/>
        <w:t>consists</w:t>
      </w:r>
      <w:r>
        <w:rPr>
          <w:spacing w:val="40"/>
        </w:rPr>
        <w:t> </w:t>
      </w:r>
      <w:r>
        <w:rPr/>
        <w:t>of take-off grant from the Federal Government, contributions by employers pursuant to the Act, fees and assessments charged on employers, the proceeds of investments of the funds, gifts or grants from any national or international organisations, and other monies that may accrue to the Fund from any other source.</w:t>
      </w:r>
      <w:r>
        <w:rPr>
          <w:vertAlign w:val="superscript"/>
        </w:rPr>
        <w:t>46</w:t>
      </w:r>
      <w:r>
        <w:rPr>
          <w:vertAlign w:val="baseline"/>
        </w:rPr>
        <w:t> It is hoped that the Fund established by the</w:t>
      </w:r>
      <w:r>
        <w:rPr>
          <w:spacing w:val="40"/>
          <w:vertAlign w:val="baseline"/>
        </w:rPr>
        <w:t> </w:t>
      </w:r>
      <w:r>
        <w:rPr>
          <w:vertAlign w:val="baseline"/>
        </w:rPr>
        <w:t>present Employees’ Compensation Act will be managed</w:t>
      </w:r>
      <w:r>
        <w:rPr>
          <w:spacing w:val="40"/>
          <w:vertAlign w:val="baseline"/>
        </w:rPr>
        <w:t> </w:t>
      </w:r>
      <w:r>
        <w:rPr>
          <w:vertAlign w:val="baseline"/>
        </w:rPr>
        <w:t>properly and</w:t>
      </w:r>
      <w:r>
        <w:rPr>
          <w:spacing w:val="40"/>
          <w:vertAlign w:val="baseline"/>
        </w:rPr>
        <w:t> </w:t>
      </w:r>
      <w:r>
        <w:rPr>
          <w:vertAlign w:val="baseline"/>
        </w:rPr>
        <w:t>without</w:t>
      </w:r>
      <w:r>
        <w:rPr>
          <w:spacing w:val="40"/>
          <w:vertAlign w:val="baseline"/>
        </w:rPr>
        <w:t> </w:t>
      </w:r>
      <w:r>
        <w:rPr>
          <w:vertAlign w:val="baseline"/>
        </w:rPr>
        <w:t>fraud.</w:t>
      </w:r>
      <w:r>
        <w:rPr>
          <w:spacing w:val="40"/>
          <w:vertAlign w:val="baseline"/>
        </w:rPr>
        <w:t> </w:t>
      </w:r>
      <w:r>
        <w:rPr>
          <w:vertAlign w:val="baseline"/>
        </w:rPr>
        <w:t>The</w:t>
      </w:r>
      <w:r>
        <w:rPr>
          <w:spacing w:val="40"/>
          <w:vertAlign w:val="baseline"/>
        </w:rPr>
        <w:t> </w:t>
      </w:r>
      <w:r>
        <w:rPr>
          <w:vertAlign w:val="baseline"/>
        </w:rPr>
        <w:t>reason</w:t>
      </w:r>
      <w:r>
        <w:rPr>
          <w:spacing w:val="40"/>
          <w:vertAlign w:val="baseline"/>
        </w:rPr>
        <w:t> </w:t>
      </w:r>
      <w:r>
        <w:rPr>
          <w:vertAlign w:val="baseline"/>
        </w:rPr>
        <w:t>why</w:t>
      </w:r>
      <w:r>
        <w:rPr>
          <w:spacing w:val="40"/>
          <w:vertAlign w:val="baseline"/>
        </w:rPr>
        <w:t> </w:t>
      </w:r>
      <w:r>
        <w:rPr>
          <w:vertAlign w:val="baseline"/>
        </w:rPr>
        <w:t>the</w:t>
      </w:r>
      <w:r>
        <w:rPr>
          <w:spacing w:val="40"/>
          <w:vertAlign w:val="baseline"/>
        </w:rPr>
        <w:t> </w:t>
      </w:r>
      <w:r>
        <w:rPr>
          <w:vertAlign w:val="baseline"/>
        </w:rPr>
        <w:t>author</w:t>
      </w:r>
      <w:r>
        <w:rPr>
          <w:spacing w:val="40"/>
          <w:vertAlign w:val="baseline"/>
        </w:rPr>
        <w:t> </w:t>
      </w:r>
      <w:r>
        <w:rPr>
          <w:vertAlign w:val="baseline"/>
        </w:rPr>
        <w:t>is</w:t>
      </w:r>
      <w:r>
        <w:rPr>
          <w:spacing w:val="40"/>
          <w:vertAlign w:val="baseline"/>
        </w:rPr>
        <w:t> </w:t>
      </w:r>
      <w:r>
        <w:rPr>
          <w:vertAlign w:val="baseline"/>
        </w:rPr>
        <w:t>alarmed</w:t>
      </w:r>
      <w:r>
        <w:rPr>
          <w:spacing w:val="40"/>
          <w:vertAlign w:val="baseline"/>
        </w:rPr>
        <w:t> </w:t>
      </w:r>
      <w:r>
        <w:rPr>
          <w:vertAlign w:val="baseline"/>
        </w:rPr>
        <w:t>is</w:t>
      </w:r>
      <w:r>
        <w:rPr>
          <w:spacing w:val="40"/>
          <w:vertAlign w:val="baseline"/>
        </w:rPr>
        <w:t> </w:t>
      </w:r>
      <w:r>
        <w:rPr>
          <w:vertAlign w:val="baseline"/>
        </w:rPr>
        <w:t>that</w:t>
      </w:r>
      <w:r>
        <w:rPr>
          <w:spacing w:val="40"/>
          <w:vertAlign w:val="baseline"/>
        </w:rPr>
        <w:t> </w:t>
      </w:r>
      <w:r>
        <w:rPr>
          <w:vertAlign w:val="baseline"/>
        </w:rPr>
        <w:t>there</w:t>
      </w:r>
      <w:r>
        <w:rPr>
          <w:spacing w:val="40"/>
          <w:vertAlign w:val="baseline"/>
        </w:rPr>
        <w:t> </w:t>
      </w:r>
      <w:r>
        <w:rPr>
          <w:vertAlign w:val="baseline"/>
        </w:rPr>
        <w:t>are many</w:t>
      </w:r>
      <w:r>
        <w:rPr>
          <w:spacing w:val="33"/>
          <w:vertAlign w:val="baseline"/>
        </w:rPr>
        <w:t> </w:t>
      </w:r>
      <w:r>
        <w:rPr>
          <w:vertAlign w:val="baseline"/>
        </w:rPr>
        <w:t>instances</w:t>
      </w:r>
      <w:r>
        <w:rPr>
          <w:spacing w:val="31"/>
          <w:vertAlign w:val="baseline"/>
        </w:rPr>
        <w:t> </w:t>
      </w:r>
      <w:r>
        <w:rPr>
          <w:vertAlign w:val="baseline"/>
        </w:rPr>
        <w:t>of</w:t>
      </w:r>
      <w:r>
        <w:rPr>
          <w:spacing w:val="36"/>
          <w:vertAlign w:val="baseline"/>
        </w:rPr>
        <w:t> </w:t>
      </w:r>
      <w:r>
        <w:rPr>
          <w:vertAlign w:val="baseline"/>
        </w:rPr>
        <w:t>such</w:t>
      </w:r>
      <w:r>
        <w:rPr>
          <w:spacing w:val="33"/>
          <w:vertAlign w:val="baseline"/>
        </w:rPr>
        <w:t> </w:t>
      </w:r>
      <w:r>
        <w:rPr>
          <w:vertAlign w:val="baseline"/>
        </w:rPr>
        <w:t>related</w:t>
      </w:r>
      <w:r>
        <w:rPr>
          <w:spacing w:val="34"/>
          <w:vertAlign w:val="baseline"/>
        </w:rPr>
        <w:t> </w:t>
      </w:r>
      <w:r>
        <w:rPr>
          <w:vertAlign w:val="baseline"/>
        </w:rPr>
        <w:t>fraud</w:t>
      </w:r>
      <w:r>
        <w:rPr>
          <w:spacing w:val="34"/>
          <w:vertAlign w:val="baseline"/>
        </w:rPr>
        <w:t> </w:t>
      </w:r>
      <w:r>
        <w:rPr>
          <w:vertAlign w:val="baseline"/>
        </w:rPr>
        <w:t>in</w:t>
      </w:r>
      <w:r>
        <w:rPr>
          <w:spacing w:val="33"/>
          <w:vertAlign w:val="baseline"/>
        </w:rPr>
        <w:t> </w:t>
      </w:r>
      <w:r>
        <w:rPr>
          <w:vertAlign w:val="baseline"/>
        </w:rPr>
        <w:t>the</w:t>
      </w:r>
      <w:r>
        <w:rPr>
          <w:spacing w:val="31"/>
          <w:vertAlign w:val="baseline"/>
        </w:rPr>
        <w:t> </w:t>
      </w:r>
      <w:r>
        <w:rPr>
          <w:vertAlign w:val="baseline"/>
        </w:rPr>
        <w:t>world</w:t>
      </w:r>
      <w:r>
        <w:rPr>
          <w:spacing w:val="34"/>
          <w:vertAlign w:val="baseline"/>
        </w:rPr>
        <w:t> </w:t>
      </w:r>
      <w:r>
        <w:rPr>
          <w:vertAlign w:val="baseline"/>
        </w:rPr>
        <w:t>and</w:t>
      </w:r>
      <w:r>
        <w:rPr>
          <w:spacing w:val="34"/>
          <w:vertAlign w:val="baseline"/>
        </w:rPr>
        <w:t> </w:t>
      </w:r>
      <w:r>
        <w:rPr>
          <w:vertAlign w:val="baseline"/>
        </w:rPr>
        <w:t>even</w:t>
      </w:r>
      <w:r>
        <w:rPr>
          <w:spacing w:val="33"/>
          <w:vertAlign w:val="baseline"/>
        </w:rPr>
        <w:t> </w:t>
      </w:r>
      <w:r>
        <w:rPr>
          <w:vertAlign w:val="baseline"/>
        </w:rPr>
        <w:t>UK</w:t>
      </w:r>
      <w:r>
        <w:rPr>
          <w:spacing w:val="36"/>
          <w:vertAlign w:val="baseline"/>
        </w:rPr>
        <w:t> </w:t>
      </w:r>
      <w:r>
        <w:rPr>
          <w:vertAlign w:val="baseline"/>
        </w:rPr>
        <w:t>and</w:t>
      </w:r>
      <w:r>
        <w:rPr>
          <w:spacing w:val="34"/>
          <w:vertAlign w:val="baseline"/>
        </w:rPr>
        <w:t> </w:t>
      </w:r>
      <w:r>
        <w:rPr>
          <w:vertAlign w:val="baseline"/>
        </w:rPr>
        <w:t>USA are</w:t>
      </w:r>
      <w:r>
        <w:rPr>
          <w:spacing w:val="24"/>
          <w:vertAlign w:val="baseline"/>
        </w:rPr>
        <w:t> </w:t>
      </w:r>
      <w:r>
        <w:rPr>
          <w:vertAlign w:val="baseline"/>
        </w:rPr>
        <w:t>not excluded.</w:t>
      </w:r>
      <w:r>
        <w:rPr>
          <w:spacing w:val="24"/>
          <w:vertAlign w:val="baseline"/>
        </w:rPr>
        <w:t> </w:t>
      </w:r>
      <w:r>
        <w:rPr>
          <w:vertAlign w:val="baseline"/>
        </w:rPr>
        <w:t>For</w:t>
      </w:r>
      <w:r>
        <w:rPr>
          <w:spacing w:val="25"/>
          <w:vertAlign w:val="baseline"/>
        </w:rPr>
        <w:t> </w:t>
      </w:r>
      <w:r>
        <w:rPr>
          <w:vertAlign w:val="baseline"/>
        </w:rPr>
        <w:t>example, one of the</w:t>
      </w:r>
      <w:r>
        <w:rPr>
          <w:spacing w:val="25"/>
          <w:vertAlign w:val="baseline"/>
        </w:rPr>
        <w:t> </w:t>
      </w:r>
      <w:r>
        <w:rPr>
          <w:vertAlign w:val="baseline"/>
        </w:rPr>
        <w:t>most celebrated</w:t>
      </w:r>
      <w:r>
        <w:rPr>
          <w:spacing w:val="28"/>
          <w:vertAlign w:val="baseline"/>
        </w:rPr>
        <w:t> </w:t>
      </w:r>
      <w:r>
        <w:rPr>
          <w:vertAlign w:val="baseline"/>
        </w:rPr>
        <w:t>pension scams in the UK was perpetrated by Robert Maxwell, a Czechoslovakian-born</w:t>
      </w:r>
      <w:r>
        <w:rPr>
          <w:spacing w:val="40"/>
          <w:vertAlign w:val="baseline"/>
        </w:rPr>
        <w:t> </w:t>
      </w:r>
      <w:r>
        <w:rPr>
          <w:vertAlign w:val="baseline"/>
        </w:rPr>
        <w:t>British</w:t>
      </w:r>
      <w:r>
        <w:rPr>
          <w:spacing w:val="40"/>
          <w:vertAlign w:val="baseline"/>
        </w:rPr>
        <w:t> </w:t>
      </w:r>
      <w:r>
        <w:rPr>
          <w:vertAlign w:val="baseline"/>
        </w:rPr>
        <w:t>media</w:t>
      </w:r>
      <w:r>
        <w:rPr>
          <w:spacing w:val="40"/>
          <w:vertAlign w:val="baseline"/>
        </w:rPr>
        <w:t> </w:t>
      </w:r>
      <w:r>
        <w:rPr>
          <w:vertAlign w:val="baseline"/>
        </w:rPr>
        <w:t>mogul</w:t>
      </w:r>
      <w:r>
        <w:rPr>
          <w:spacing w:val="40"/>
          <w:vertAlign w:val="baseline"/>
        </w:rPr>
        <w:t> </w:t>
      </w:r>
      <w:r>
        <w:rPr>
          <w:vertAlign w:val="baseline"/>
        </w:rPr>
        <w:t>and</w:t>
      </w:r>
      <w:r>
        <w:rPr>
          <w:spacing w:val="40"/>
          <w:vertAlign w:val="baseline"/>
        </w:rPr>
        <w:t> </w:t>
      </w:r>
      <w:r>
        <w:rPr>
          <w:vertAlign w:val="baseline"/>
        </w:rPr>
        <w:t>Member</w:t>
      </w:r>
      <w:r>
        <w:rPr>
          <w:spacing w:val="40"/>
          <w:vertAlign w:val="baseline"/>
        </w:rPr>
        <w:t> </w:t>
      </w:r>
      <w:r>
        <w:rPr>
          <w:vertAlign w:val="baseline"/>
        </w:rPr>
        <w:t>of</w:t>
      </w:r>
      <w:r>
        <w:rPr>
          <w:spacing w:val="40"/>
          <w:vertAlign w:val="baseline"/>
        </w:rPr>
        <w:t> </w:t>
      </w:r>
      <w:r>
        <w:rPr>
          <w:vertAlign w:val="baseline"/>
        </w:rPr>
        <w:t>Parliament</w:t>
      </w:r>
      <w:r>
        <w:rPr>
          <w:spacing w:val="40"/>
          <w:vertAlign w:val="baseline"/>
        </w:rPr>
        <w:t> </w:t>
      </w:r>
      <w:r>
        <w:rPr>
          <w:vertAlign w:val="baseline"/>
        </w:rPr>
        <w:t>(MP)</w:t>
      </w:r>
      <w:r>
        <w:rPr>
          <w:spacing w:val="40"/>
          <w:vertAlign w:val="baseline"/>
        </w:rPr>
        <w:t> </w:t>
      </w:r>
      <w:r>
        <w:rPr>
          <w:vertAlign w:val="baseline"/>
        </w:rPr>
        <w:t>who</w:t>
      </w:r>
      <w:r>
        <w:rPr>
          <w:spacing w:val="40"/>
          <w:vertAlign w:val="baseline"/>
        </w:rPr>
        <w:t> </w:t>
      </w:r>
      <w:r>
        <w:rPr>
          <w:vertAlign w:val="baseline"/>
        </w:rPr>
        <w:t>died mysteriously</w:t>
      </w:r>
      <w:r>
        <w:rPr>
          <w:spacing w:val="40"/>
          <w:vertAlign w:val="baseline"/>
        </w:rPr>
        <w:t> </w:t>
      </w:r>
      <w:r>
        <w:rPr>
          <w:vertAlign w:val="baseline"/>
        </w:rPr>
        <w:t>in</w:t>
      </w:r>
      <w:r>
        <w:rPr>
          <w:spacing w:val="40"/>
          <w:vertAlign w:val="baseline"/>
        </w:rPr>
        <w:t> </w:t>
      </w:r>
      <w:r>
        <w:rPr>
          <w:vertAlign w:val="baseline"/>
        </w:rPr>
        <w:t>1991,</w:t>
      </w:r>
      <w:r>
        <w:rPr>
          <w:spacing w:val="40"/>
          <w:vertAlign w:val="baseline"/>
        </w:rPr>
        <w:t> </w:t>
      </w:r>
      <w:r>
        <w:rPr>
          <w:vertAlign w:val="baseline"/>
        </w:rPr>
        <w:t>in</w:t>
      </w:r>
      <w:r>
        <w:rPr>
          <w:spacing w:val="40"/>
          <w:vertAlign w:val="baseline"/>
        </w:rPr>
        <w:t> </w:t>
      </w:r>
      <w:r>
        <w:rPr>
          <w:vertAlign w:val="baseline"/>
        </w:rPr>
        <w:t>circumstances</w:t>
      </w:r>
      <w:r>
        <w:rPr>
          <w:spacing w:val="40"/>
          <w:vertAlign w:val="baseline"/>
        </w:rPr>
        <w:t> </w:t>
      </w:r>
      <w:r>
        <w:rPr>
          <w:vertAlign w:val="baseline"/>
        </w:rPr>
        <w:t>many</w:t>
      </w:r>
      <w:r>
        <w:rPr>
          <w:spacing w:val="40"/>
          <w:vertAlign w:val="baseline"/>
        </w:rPr>
        <w:t> </w:t>
      </w:r>
      <w:r>
        <w:rPr>
          <w:vertAlign w:val="baseline"/>
        </w:rPr>
        <w:t>believed</w:t>
      </w:r>
      <w:r>
        <w:rPr>
          <w:spacing w:val="40"/>
          <w:vertAlign w:val="baseline"/>
        </w:rPr>
        <w:t> </w:t>
      </w:r>
      <w:r>
        <w:rPr>
          <w:vertAlign w:val="baseline"/>
        </w:rPr>
        <w:t>was</w:t>
      </w:r>
      <w:r>
        <w:rPr>
          <w:spacing w:val="40"/>
          <w:vertAlign w:val="baseline"/>
        </w:rPr>
        <w:t> </w:t>
      </w:r>
      <w:r>
        <w:rPr>
          <w:vertAlign w:val="baseline"/>
        </w:rPr>
        <w:t>a</w:t>
      </w:r>
      <w:r>
        <w:rPr>
          <w:spacing w:val="40"/>
          <w:vertAlign w:val="baseline"/>
        </w:rPr>
        <w:t> </w:t>
      </w:r>
      <w:r>
        <w:rPr>
          <w:vertAlign w:val="baseline"/>
        </w:rPr>
        <w:t>suicide</w:t>
      </w:r>
      <w:r>
        <w:rPr>
          <w:spacing w:val="40"/>
          <w:vertAlign w:val="baseline"/>
        </w:rPr>
        <w:t> </w:t>
      </w:r>
      <w:r>
        <w:rPr>
          <w:vertAlign w:val="baseline"/>
        </w:rPr>
        <w:t>and</w:t>
      </w:r>
    </w:p>
    <w:p>
      <w:pPr>
        <w:pStyle w:val="BodyText"/>
        <w:rPr>
          <w:sz w:val="20"/>
        </w:rPr>
      </w:pPr>
    </w:p>
    <w:p>
      <w:pPr>
        <w:pStyle w:val="BodyText"/>
        <w:rPr>
          <w:sz w:val="20"/>
        </w:rPr>
      </w:pPr>
    </w:p>
    <w:p>
      <w:pPr>
        <w:pStyle w:val="BodyText"/>
        <w:spacing w:before="213"/>
        <w:rPr>
          <w:sz w:val="20"/>
        </w:rPr>
      </w:pPr>
      <w:r>
        <w:rPr/>
        <mc:AlternateContent>
          <mc:Choice Requires="wps">
            <w:drawing>
              <wp:anchor distT="0" distB="0" distL="0" distR="0" allowOverlap="1" layoutInCell="1" locked="0" behindDoc="1" simplePos="0" relativeHeight="487605760">
                <wp:simplePos x="0" y="0"/>
                <wp:positionH relativeFrom="page">
                  <wp:posOffset>1185672</wp:posOffset>
                </wp:positionH>
                <wp:positionV relativeFrom="paragraph">
                  <wp:posOffset>303904</wp:posOffset>
                </wp:positionV>
                <wp:extent cx="1719580" cy="6350"/>
                <wp:effectExtent l="0" t="0" r="0" b="0"/>
                <wp:wrapTopAndBottom/>
                <wp:docPr id="39" name="Graphic 39"/>
                <wp:cNvGraphicFramePr>
                  <a:graphicFrameLocks/>
                </wp:cNvGraphicFramePr>
                <a:graphic>
                  <a:graphicData uri="http://schemas.microsoft.com/office/word/2010/wordprocessingShape">
                    <wps:wsp>
                      <wps:cNvPr id="39" name="Graphic 39"/>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3.929453pt;width:135.360pt;height:.48pt;mso-position-horizontal-relative:page;mso-position-vertical-relative:paragraph;z-index:-15710720;mso-wrap-distance-left:0;mso-wrap-distance-right:0" id="docshape39"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45</w:t>
      </w:r>
      <w:r>
        <w:rPr>
          <w:rFonts w:ascii="Times New Roman"/>
          <w:spacing w:val="-4"/>
          <w:sz w:val="19"/>
          <w:vertAlign w:val="baseline"/>
        </w:rPr>
        <w:t> </w:t>
      </w:r>
      <w:r>
        <w:rPr>
          <w:rFonts w:ascii="Times New Roman"/>
          <w:sz w:val="19"/>
          <w:vertAlign w:val="baseline"/>
        </w:rPr>
        <w:t>Sections</w:t>
      </w:r>
      <w:r>
        <w:rPr>
          <w:rFonts w:ascii="Times New Roman"/>
          <w:spacing w:val="-5"/>
          <w:sz w:val="19"/>
          <w:vertAlign w:val="baseline"/>
        </w:rPr>
        <w:t> </w:t>
      </w:r>
      <w:r>
        <w:rPr>
          <w:rFonts w:ascii="Times New Roman"/>
          <w:sz w:val="19"/>
          <w:vertAlign w:val="baseline"/>
        </w:rPr>
        <w:t>16</w:t>
      </w:r>
      <w:r>
        <w:rPr>
          <w:rFonts w:ascii="Times New Roman"/>
          <w:spacing w:val="-10"/>
          <w:sz w:val="19"/>
          <w:vertAlign w:val="baseline"/>
        </w:rPr>
        <w:t> </w:t>
      </w:r>
      <w:r>
        <w:rPr>
          <w:rFonts w:ascii="Times New Roman"/>
          <w:sz w:val="19"/>
          <w:vertAlign w:val="baseline"/>
        </w:rPr>
        <w:t>and</w:t>
      </w:r>
      <w:r>
        <w:rPr>
          <w:rFonts w:ascii="Times New Roman"/>
          <w:spacing w:val="-10"/>
          <w:sz w:val="19"/>
          <w:vertAlign w:val="baseline"/>
        </w:rPr>
        <w:t> </w:t>
      </w:r>
      <w:r>
        <w:rPr>
          <w:rFonts w:ascii="Times New Roman"/>
          <w:sz w:val="19"/>
          <w:vertAlign w:val="baseline"/>
        </w:rPr>
        <w:t>26(1)(8)(9)</w:t>
      </w:r>
      <w:r>
        <w:rPr>
          <w:rFonts w:ascii="Times New Roman"/>
          <w:spacing w:val="-12"/>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46</w:t>
      </w:r>
      <w:r>
        <w:rPr>
          <w:rFonts w:ascii="Times New Roman"/>
          <w:spacing w:val="1"/>
          <w:sz w:val="19"/>
          <w:vertAlign w:val="baseline"/>
        </w:rPr>
        <w:t> </w:t>
      </w:r>
      <w:r>
        <w:rPr>
          <w:rFonts w:ascii="Times New Roman"/>
          <w:sz w:val="19"/>
          <w:vertAlign w:val="baseline"/>
        </w:rPr>
        <w:t>Sections</w:t>
      </w:r>
      <w:r>
        <w:rPr>
          <w:rFonts w:ascii="Times New Roman"/>
          <w:spacing w:val="-2"/>
          <w:sz w:val="19"/>
          <w:vertAlign w:val="baseline"/>
        </w:rPr>
        <w:t> </w:t>
      </w:r>
      <w:r>
        <w:rPr>
          <w:rFonts w:ascii="Times New Roman"/>
          <w:sz w:val="19"/>
          <w:vertAlign w:val="baseline"/>
        </w:rPr>
        <w:t>31</w:t>
      </w:r>
      <w:r>
        <w:rPr>
          <w:rFonts w:ascii="Times New Roman"/>
          <w:spacing w:val="-7"/>
          <w:sz w:val="19"/>
          <w:vertAlign w:val="baseline"/>
        </w:rPr>
        <w:t> </w:t>
      </w:r>
      <w:r>
        <w:rPr>
          <w:rFonts w:ascii="Times New Roman"/>
          <w:sz w:val="19"/>
          <w:vertAlign w:val="baseline"/>
        </w:rPr>
        <w:t>&amp;</w:t>
      </w:r>
      <w:r>
        <w:rPr>
          <w:rFonts w:ascii="Times New Roman"/>
          <w:spacing w:val="-3"/>
          <w:sz w:val="19"/>
          <w:vertAlign w:val="baseline"/>
        </w:rPr>
        <w:t> </w:t>
      </w:r>
      <w:r>
        <w:rPr>
          <w:rFonts w:ascii="Times New Roman"/>
          <w:sz w:val="19"/>
          <w:vertAlign w:val="baseline"/>
        </w:rPr>
        <w:t>33</w:t>
      </w:r>
      <w:r>
        <w:rPr>
          <w:rFonts w:ascii="Times New Roman"/>
          <w:spacing w:val="-7"/>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62"/>
        <w:jc w:val="both"/>
      </w:pPr>
      <w:r>
        <w:rPr/>
        <w:t>linked to his financial crises and pension scams.</w:t>
      </w:r>
      <w:r>
        <w:rPr>
          <w:vertAlign w:val="superscript"/>
        </w:rPr>
        <w:t>47</w:t>
      </w:r>
      <w:r>
        <w:rPr>
          <w:vertAlign w:val="baseline"/>
        </w:rPr>
        <w:t> Maxwell, who rose from poverty to build an extensive publishing enterprise, was known to have misappropriated more than $1 billion from his company’s pension funds to finance corporate expansion of his more than 400 corporate entities. When the companies failed, the funds were gone and pensioners were left in the cold.</w:t>
      </w:r>
      <w:r>
        <w:rPr>
          <w:vertAlign w:val="superscript"/>
        </w:rPr>
        <w:t>48</w:t>
      </w:r>
      <w:r>
        <w:rPr>
          <w:vertAlign w:val="baseline"/>
        </w:rPr>
        <w:t> Even in America, fraud is common. According to the Association of Certified Fraud Examiners (ACFE), U.S organisations lose an estimated 7 percent of annual revenues to fraud based on the projected U.S Gross Domestic Product for 2008, this percentage indicates a staggering estimate of losses of approximately $994 billion among organisations.</w:t>
      </w:r>
      <w:r>
        <w:rPr>
          <w:vertAlign w:val="superscript"/>
        </w:rPr>
        <w:t>49</w:t>
      </w:r>
      <w:r>
        <w:rPr>
          <w:vertAlign w:val="baseline"/>
        </w:rPr>
        <w:t> In Nigeria, instances of fraud are even more common. For example, the Senate, on June 21, adopted the report of its Joint Committee on Establishment and Intergovernmental Affairs and States and Local Governments and recommended,</w:t>
      </w:r>
      <w:r>
        <w:rPr>
          <w:spacing w:val="40"/>
          <w:vertAlign w:val="baseline"/>
        </w:rPr>
        <w:t> </w:t>
      </w:r>
      <w:r>
        <w:rPr>
          <w:vertAlign w:val="baseline"/>
        </w:rPr>
        <w:t>among</w:t>
      </w:r>
      <w:r>
        <w:rPr>
          <w:spacing w:val="40"/>
          <w:vertAlign w:val="baseline"/>
        </w:rPr>
        <w:t> </w:t>
      </w:r>
      <w:r>
        <w:rPr>
          <w:vertAlign w:val="baseline"/>
        </w:rPr>
        <w:t>other</w:t>
      </w:r>
      <w:r>
        <w:rPr>
          <w:spacing w:val="40"/>
          <w:vertAlign w:val="baseline"/>
        </w:rPr>
        <w:t> </w:t>
      </w:r>
      <w:r>
        <w:rPr>
          <w:vertAlign w:val="baseline"/>
        </w:rPr>
        <w:t>things</w:t>
      </w:r>
      <w:r>
        <w:rPr>
          <w:spacing w:val="40"/>
          <w:vertAlign w:val="baseline"/>
        </w:rPr>
        <w:t> </w:t>
      </w:r>
      <w:r>
        <w:rPr>
          <w:vertAlign w:val="baseline"/>
        </w:rPr>
        <w:t>the</w:t>
      </w:r>
      <w:r>
        <w:rPr>
          <w:spacing w:val="40"/>
          <w:vertAlign w:val="baseline"/>
        </w:rPr>
        <w:t> </w:t>
      </w:r>
      <w:r>
        <w:rPr>
          <w:vertAlign w:val="baseline"/>
        </w:rPr>
        <w:t>prosecution</w:t>
      </w:r>
      <w:r>
        <w:rPr>
          <w:spacing w:val="40"/>
          <w:vertAlign w:val="baseline"/>
        </w:rPr>
        <w:t> </w:t>
      </w:r>
      <w:r>
        <w:rPr>
          <w:vertAlign w:val="baseline"/>
        </w:rPr>
        <w:t>of</w:t>
      </w:r>
      <w:r>
        <w:rPr>
          <w:spacing w:val="40"/>
          <w:vertAlign w:val="baseline"/>
        </w:rPr>
        <w:t> </w:t>
      </w:r>
      <w:r>
        <w:rPr>
          <w:vertAlign w:val="baseline"/>
        </w:rPr>
        <w:t>Chairman</w:t>
      </w:r>
      <w:r>
        <w:rPr>
          <w:spacing w:val="40"/>
          <w:vertAlign w:val="baseline"/>
        </w:rPr>
        <w:t> </w:t>
      </w:r>
      <w:r>
        <w:rPr>
          <w:vertAlign w:val="baseline"/>
        </w:rPr>
        <w:t>of Pension</w:t>
      </w:r>
      <w:r>
        <w:rPr>
          <w:spacing w:val="40"/>
          <w:vertAlign w:val="baseline"/>
        </w:rPr>
        <w:t> </w:t>
      </w:r>
      <w:r>
        <w:rPr>
          <w:vertAlign w:val="baseline"/>
        </w:rPr>
        <w:t>Task</w:t>
      </w:r>
      <w:r>
        <w:rPr>
          <w:spacing w:val="40"/>
          <w:vertAlign w:val="baseline"/>
        </w:rPr>
        <w:t> </w:t>
      </w:r>
      <w:r>
        <w:rPr>
          <w:vertAlign w:val="baseline"/>
        </w:rPr>
        <w:t>Force</w:t>
      </w:r>
      <w:r>
        <w:rPr>
          <w:spacing w:val="40"/>
          <w:vertAlign w:val="baseline"/>
        </w:rPr>
        <w:t> </w:t>
      </w:r>
      <w:r>
        <w:rPr>
          <w:vertAlign w:val="baseline"/>
        </w:rPr>
        <w:t>Team,</w:t>
      </w:r>
      <w:r>
        <w:rPr>
          <w:spacing w:val="40"/>
          <w:vertAlign w:val="baseline"/>
        </w:rPr>
        <w:t> </w:t>
      </w:r>
      <w:r>
        <w:rPr>
          <w:vertAlign w:val="baseline"/>
        </w:rPr>
        <w:t>(PTFT),</w:t>
      </w:r>
      <w:r>
        <w:rPr>
          <w:spacing w:val="40"/>
          <w:vertAlign w:val="baseline"/>
        </w:rPr>
        <w:t> </w:t>
      </w:r>
      <w:r>
        <w:rPr>
          <w:vertAlign w:val="baseline"/>
        </w:rPr>
        <w:t>Abdulrasheed</w:t>
      </w:r>
      <w:r>
        <w:rPr>
          <w:spacing w:val="40"/>
          <w:vertAlign w:val="baseline"/>
        </w:rPr>
        <w:t> </w:t>
      </w:r>
      <w:r>
        <w:rPr>
          <w:vertAlign w:val="baseline"/>
        </w:rPr>
        <w:t>Maina,</w:t>
      </w:r>
      <w:r>
        <w:rPr>
          <w:spacing w:val="40"/>
          <w:vertAlign w:val="baseline"/>
        </w:rPr>
        <w:t> </w:t>
      </w:r>
      <w:r>
        <w:rPr>
          <w:vertAlign w:val="baseline"/>
        </w:rPr>
        <w:t>and</w:t>
      </w:r>
      <w:r>
        <w:rPr>
          <w:spacing w:val="40"/>
          <w:vertAlign w:val="baseline"/>
        </w:rPr>
        <w:t> </w:t>
      </w:r>
      <w:r>
        <w:rPr>
          <w:vertAlign w:val="baseline"/>
        </w:rPr>
        <w:t>other members of the team (including Mr. John Yusuf and B.G. kaigama) for a litany of corruption-related offences,. The Senate specifically listed the “Charges”</w:t>
      </w:r>
      <w:r>
        <w:rPr>
          <w:spacing w:val="40"/>
          <w:vertAlign w:val="baseline"/>
        </w:rPr>
        <w:t> </w:t>
      </w:r>
      <w:r>
        <w:rPr>
          <w:vertAlign w:val="baseline"/>
        </w:rPr>
        <w:t>to</w:t>
      </w:r>
      <w:r>
        <w:rPr>
          <w:spacing w:val="40"/>
          <w:vertAlign w:val="baseline"/>
        </w:rPr>
        <w:t> </w:t>
      </w:r>
      <w:r>
        <w:rPr>
          <w:vertAlign w:val="baseline"/>
        </w:rPr>
        <w:t>include</w:t>
      </w:r>
      <w:r>
        <w:rPr>
          <w:spacing w:val="40"/>
          <w:vertAlign w:val="baseline"/>
        </w:rPr>
        <w:t> </w:t>
      </w:r>
      <w:r>
        <w:rPr>
          <w:vertAlign w:val="baseline"/>
        </w:rPr>
        <w:t>fraud,</w:t>
      </w:r>
      <w:r>
        <w:rPr>
          <w:spacing w:val="40"/>
          <w:vertAlign w:val="baseline"/>
        </w:rPr>
        <w:t> </w:t>
      </w:r>
      <w:r>
        <w:rPr>
          <w:vertAlign w:val="baseline"/>
        </w:rPr>
        <w:t>embezzlement,</w:t>
      </w:r>
      <w:r>
        <w:rPr>
          <w:spacing w:val="40"/>
          <w:vertAlign w:val="baseline"/>
        </w:rPr>
        <w:t> </w:t>
      </w:r>
      <w:r>
        <w:rPr>
          <w:vertAlign w:val="baseline"/>
        </w:rPr>
        <w:t>misappropriation, misapplication,</w:t>
      </w:r>
      <w:r>
        <w:rPr>
          <w:spacing w:val="40"/>
          <w:vertAlign w:val="baseline"/>
        </w:rPr>
        <w:t> </w:t>
      </w:r>
      <w:r>
        <w:rPr>
          <w:vertAlign w:val="baseline"/>
        </w:rPr>
        <w:t>outright</w:t>
      </w:r>
      <w:r>
        <w:rPr>
          <w:spacing w:val="40"/>
          <w:vertAlign w:val="baseline"/>
        </w:rPr>
        <w:t> </w:t>
      </w:r>
      <w:r>
        <w:rPr>
          <w:vertAlign w:val="baseline"/>
        </w:rPr>
        <w:t>stealing</w:t>
      </w:r>
      <w:r>
        <w:rPr>
          <w:spacing w:val="40"/>
          <w:vertAlign w:val="baseline"/>
        </w:rPr>
        <w:t> </w:t>
      </w:r>
      <w:r>
        <w:rPr>
          <w:vertAlign w:val="baseline"/>
        </w:rPr>
        <w:t>of</w:t>
      </w:r>
      <w:r>
        <w:rPr>
          <w:spacing w:val="40"/>
          <w:vertAlign w:val="baseline"/>
        </w:rPr>
        <w:t> </w:t>
      </w:r>
      <w:r>
        <w:rPr>
          <w:vertAlign w:val="baseline"/>
        </w:rPr>
        <w:t>pension</w:t>
      </w:r>
      <w:r>
        <w:rPr>
          <w:spacing w:val="40"/>
          <w:vertAlign w:val="baseline"/>
        </w:rPr>
        <w:t> </w:t>
      </w:r>
      <w:r>
        <w:rPr>
          <w:vertAlign w:val="baseline"/>
        </w:rPr>
        <w:t>fund.</w:t>
      </w:r>
      <w:r>
        <w:rPr>
          <w:vertAlign w:val="superscript"/>
        </w:rPr>
        <w:t>50</w:t>
      </w:r>
      <w:r>
        <w:rPr>
          <w:spacing w:val="40"/>
          <w:vertAlign w:val="baseline"/>
        </w:rPr>
        <w:t> </w:t>
      </w:r>
      <w:r>
        <w:rPr>
          <w:vertAlign w:val="baseline"/>
        </w:rPr>
        <w:t>The</w:t>
      </w:r>
      <w:r>
        <w:rPr>
          <w:spacing w:val="40"/>
          <w:vertAlign w:val="baseline"/>
        </w:rPr>
        <w:t> </w:t>
      </w:r>
      <w:r>
        <w:rPr>
          <w:vertAlign w:val="baseline"/>
        </w:rPr>
        <w:t>Senate</w:t>
      </w:r>
      <w:r>
        <w:rPr>
          <w:spacing w:val="40"/>
          <w:vertAlign w:val="baseline"/>
        </w:rPr>
        <w:t> </w:t>
      </w:r>
      <w:r>
        <w:rPr>
          <w:vertAlign w:val="baseline"/>
        </w:rPr>
        <w:t>President,</w:t>
      </w:r>
    </w:p>
    <w:p>
      <w:pPr>
        <w:pStyle w:val="BodyText"/>
        <w:rPr>
          <w:sz w:val="20"/>
        </w:rPr>
      </w:pPr>
    </w:p>
    <w:p>
      <w:pPr>
        <w:pStyle w:val="BodyText"/>
        <w:rPr>
          <w:sz w:val="20"/>
        </w:rPr>
      </w:pPr>
    </w:p>
    <w:p>
      <w:pPr>
        <w:pStyle w:val="BodyText"/>
        <w:spacing w:before="193"/>
        <w:rPr>
          <w:sz w:val="20"/>
        </w:rPr>
      </w:pPr>
      <w:r>
        <w:rPr/>
        <mc:AlternateContent>
          <mc:Choice Requires="wps">
            <w:drawing>
              <wp:anchor distT="0" distB="0" distL="0" distR="0" allowOverlap="1" layoutInCell="1" locked="0" behindDoc="1" simplePos="0" relativeHeight="487606272">
                <wp:simplePos x="0" y="0"/>
                <wp:positionH relativeFrom="page">
                  <wp:posOffset>1185672</wp:posOffset>
                </wp:positionH>
                <wp:positionV relativeFrom="paragraph">
                  <wp:posOffset>291303</wp:posOffset>
                </wp:positionV>
                <wp:extent cx="1719580" cy="6350"/>
                <wp:effectExtent l="0" t="0" r="0" b="0"/>
                <wp:wrapTopAndBottom/>
                <wp:docPr id="40" name="Graphic 40"/>
                <wp:cNvGraphicFramePr>
                  <a:graphicFrameLocks/>
                </wp:cNvGraphicFramePr>
                <a:graphic>
                  <a:graphicData uri="http://schemas.microsoft.com/office/word/2010/wordprocessingShape">
                    <wps:wsp>
                      <wps:cNvPr id="40" name="Graphic 40"/>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2.937265pt;width:135.360pt;height:.48pt;mso-position-horizontal-relative:page;mso-position-vertical-relative:paragraph;z-index:-15710208;mso-wrap-distance-left:0;mso-wrap-distance-right:0" id="docshape40" filled="true" fillcolor="#000000" stroked="false">
                <v:fill type="solid"/>
                <w10:wrap type="topAndBottom"/>
              </v:rect>
            </w:pict>
          </mc:Fallback>
        </mc:AlternateContent>
      </w:r>
    </w:p>
    <w:p>
      <w:pPr>
        <w:spacing w:line="237" w:lineRule="auto" w:before="102"/>
        <w:ind w:left="187" w:right="563" w:firstLine="0"/>
        <w:jc w:val="left"/>
        <w:rPr>
          <w:rFonts w:ascii="Times New Roman"/>
          <w:sz w:val="19"/>
        </w:rPr>
      </w:pPr>
      <w:r>
        <w:rPr>
          <w:rFonts w:ascii="Times New Roman"/>
          <w:sz w:val="19"/>
          <w:vertAlign w:val="superscript"/>
        </w:rPr>
        <w:t>47</w:t>
      </w:r>
      <w:r>
        <w:rPr>
          <w:rFonts w:ascii="Times New Roman"/>
          <w:spacing w:val="-11"/>
          <w:sz w:val="19"/>
          <w:vertAlign w:val="baseline"/>
        </w:rPr>
        <w:t> </w:t>
      </w:r>
      <w:r>
        <w:rPr>
          <w:rFonts w:ascii="Times New Roman"/>
          <w:sz w:val="19"/>
          <w:vertAlign w:val="baseline"/>
        </w:rPr>
        <w:t>Akele</w:t>
      </w:r>
      <w:r>
        <w:rPr>
          <w:rFonts w:ascii="Times New Roman"/>
          <w:spacing w:val="-11"/>
          <w:sz w:val="19"/>
          <w:vertAlign w:val="baseline"/>
        </w:rPr>
        <w:t> </w:t>
      </w:r>
      <w:r>
        <w:rPr>
          <w:rFonts w:ascii="Times New Roman"/>
          <w:sz w:val="19"/>
          <w:vertAlign w:val="baseline"/>
        </w:rPr>
        <w:t>S.</w:t>
      </w:r>
      <w:r>
        <w:rPr>
          <w:rFonts w:ascii="Times New Roman"/>
          <w:spacing w:val="-12"/>
          <w:sz w:val="19"/>
          <w:vertAlign w:val="baseline"/>
        </w:rPr>
        <w:t> </w:t>
      </w:r>
      <w:r>
        <w:rPr>
          <w:rFonts w:ascii="Times New Roman"/>
          <w:sz w:val="19"/>
          <w:vertAlign w:val="baseline"/>
        </w:rPr>
        <w:t>Pension</w:t>
      </w:r>
      <w:r>
        <w:rPr>
          <w:rFonts w:ascii="Times New Roman"/>
          <w:spacing w:val="-5"/>
          <w:sz w:val="19"/>
          <w:vertAlign w:val="baseline"/>
        </w:rPr>
        <w:t> </w:t>
      </w:r>
      <w:r>
        <w:rPr>
          <w:rFonts w:ascii="Times New Roman"/>
          <w:sz w:val="19"/>
          <w:vertAlign w:val="baseline"/>
        </w:rPr>
        <w:t>Scams:</w:t>
      </w:r>
      <w:r>
        <w:rPr>
          <w:rFonts w:ascii="Times New Roman"/>
          <w:spacing w:val="-10"/>
          <w:sz w:val="19"/>
          <w:vertAlign w:val="baseline"/>
        </w:rPr>
        <w:t> </w:t>
      </w:r>
      <w:r>
        <w:rPr>
          <w:rFonts w:ascii="Times New Roman"/>
          <w:sz w:val="19"/>
          <w:vertAlign w:val="baseline"/>
        </w:rPr>
        <w:t>Is</w:t>
      </w:r>
      <w:r>
        <w:rPr>
          <w:rFonts w:ascii="Times New Roman"/>
          <w:spacing w:val="-12"/>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Contributory</w:t>
      </w:r>
      <w:r>
        <w:rPr>
          <w:rFonts w:ascii="Times New Roman"/>
          <w:spacing w:val="-12"/>
          <w:sz w:val="19"/>
          <w:vertAlign w:val="baseline"/>
        </w:rPr>
        <w:t> </w:t>
      </w:r>
      <w:r>
        <w:rPr>
          <w:rFonts w:ascii="Times New Roman"/>
          <w:sz w:val="19"/>
          <w:vertAlign w:val="baseline"/>
        </w:rPr>
        <w:t>Pension</w:t>
      </w:r>
      <w:r>
        <w:rPr>
          <w:rFonts w:ascii="Times New Roman"/>
          <w:spacing w:val="-9"/>
          <w:sz w:val="19"/>
          <w:vertAlign w:val="baseline"/>
        </w:rPr>
        <w:t> </w:t>
      </w:r>
      <w:r>
        <w:rPr>
          <w:rFonts w:ascii="Times New Roman"/>
          <w:sz w:val="19"/>
          <w:vertAlign w:val="baseline"/>
        </w:rPr>
        <w:t>Scheme</w:t>
      </w:r>
      <w:r>
        <w:rPr>
          <w:rFonts w:ascii="Times New Roman"/>
          <w:spacing w:val="-12"/>
          <w:sz w:val="19"/>
          <w:vertAlign w:val="baseline"/>
        </w:rPr>
        <w:t> </w:t>
      </w:r>
      <w:r>
        <w:rPr>
          <w:rFonts w:ascii="Times New Roman"/>
          <w:sz w:val="19"/>
          <w:vertAlign w:val="baseline"/>
        </w:rPr>
        <w:t>Immune?</w:t>
      </w:r>
      <w:r>
        <w:rPr>
          <w:rFonts w:ascii="Times New Roman"/>
          <w:spacing w:val="-11"/>
          <w:sz w:val="19"/>
          <w:vertAlign w:val="baseline"/>
        </w:rPr>
        <w:t> </w:t>
      </w:r>
      <w:hyperlink r:id="rId10">
        <w:r>
          <w:rPr>
            <w:rFonts w:ascii="Times New Roman"/>
            <w:color w:val="0000FF"/>
            <w:sz w:val="19"/>
            <w:u w:val="single" w:color="0000FF"/>
            <w:vertAlign w:val="baseline"/>
          </w:rPr>
          <w:t>www.dailyindependencenigeria.com-</w:t>
        </w:r>
      </w:hyperlink>
      <w:r>
        <w:rPr>
          <w:rFonts w:ascii="Times New Roman"/>
          <w:color w:val="0000FF"/>
          <w:sz w:val="19"/>
          <w:vertAlign w:val="baseline"/>
        </w:rPr>
        <w:t> </w:t>
      </w:r>
      <w:r>
        <w:rPr>
          <w:rFonts w:ascii="Times New Roman"/>
          <w:color w:val="0000FF"/>
          <w:sz w:val="19"/>
          <w:u w:val="single" w:color="0000FF"/>
          <w:vertAlign w:val="baseline"/>
        </w:rPr>
        <w:t>may</w:t>
      </w:r>
      <w:r>
        <w:rPr>
          <w:rFonts w:ascii="Times New Roman"/>
          <w:color w:val="0000FF"/>
          <w:spacing w:val="-9"/>
          <w:sz w:val="19"/>
          <w:vertAlign w:val="baseline"/>
        </w:rPr>
        <w:t> </w:t>
      </w:r>
      <w:r>
        <w:rPr>
          <w:rFonts w:ascii="Times New Roman"/>
          <w:sz w:val="19"/>
          <w:vertAlign w:val="baseline"/>
        </w:rPr>
        <w:t>2005</w:t>
      </w:r>
    </w:p>
    <w:p>
      <w:pPr>
        <w:spacing w:line="210" w:lineRule="exact" w:before="0"/>
        <w:ind w:left="187" w:right="0" w:firstLine="0"/>
        <w:jc w:val="left"/>
        <w:rPr>
          <w:rFonts w:ascii="Times New Roman"/>
          <w:i/>
          <w:sz w:val="19"/>
        </w:rPr>
      </w:pPr>
      <w:r>
        <w:rPr>
          <w:rFonts w:ascii="Times New Roman"/>
          <w:sz w:val="19"/>
          <w:vertAlign w:val="superscript"/>
        </w:rPr>
        <w:t>48</w:t>
      </w:r>
      <w:r>
        <w:rPr>
          <w:rFonts w:ascii="Times New Roman"/>
          <w:spacing w:val="9"/>
          <w:sz w:val="19"/>
          <w:vertAlign w:val="baseline"/>
        </w:rPr>
        <w:t> </w:t>
      </w:r>
      <w:r>
        <w:rPr>
          <w:rFonts w:ascii="Times New Roman"/>
          <w:i/>
          <w:spacing w:val="-4"/>
          <w:sz w:val="19"/>
          <w:vertAlign w:val="baseline"/>
        </w:rPr>
        <w:t>Ibid</w:t>
      </w:r>
    </w:p>
    <w:p>
      <w:pPr>
        <w:spacing w:line="237" w:lineRule="auto" w:before="1"/>
        <w:ind w:left="187" w:right="1355" w:firstLine="0"/>
        <w:jc w:val="left"/>
        <w:rPr>
          <w:rFonts w:ascii="Times New Roman"/>
          <w:sz w:val="19"/>
        </w:rPr>
      </w:pPr>
      <w:r>
        <w:rPr>
          <w:rFonts w:ascii="Times New Roman"/>
          <w:sz w:val="19"/>
          <w:vertAlign w:val="superscript"/>
        </w:rPr>
        <w:t>49</w:t>
      </w:r>
      <w:r>
        <w:rPr>
          <w:rFonts w:ascii="Times New Roman"/>
          <w:spacing w:val="-2"/>
          <w:sz w:val="19"/>
          <w:vertAlign w:val="baseline"/>
        </w:rPr>
        <w:t> </w:t>
      </w:r>
      <w:r>
        <w:rPr>
          <w:rFonts w:ascii="Times New Roman"/>
          <w:sz w:val="19"/>
          <w:vertAlign w:val="baseline"/>
        </w:rPr>
        <w:t>Dinapoly</w:t>
      </w:r>
      <w:r>
        <w:rPr>
          <w:rFonts w:ascii="Times New Roman"/>
          <w:spacing w:val="-12"/>
          <w:sz w:val="19"/>
          <w:vertAlign w:val="baseline"/>
        </w:rPr>
        <w:t> </w:t>
      </w:r>
      <w:r>
        <w:rPr>
          <w:rFonts w:ascii="Times New Roman"/>
          <w:sz w:val="19"/>
          <w:vertAlign w:val="baseline"/>
        </w:rPr>
        <w:t>TP,</w:t>
      </w:r>
      <w:r>
        <w:rPr>
          <w:rFonts w:ascii="Times New Roman"/>
          <w:spacing w:val="-2"/>
          <w:sz w:val="19"/>
          <w:vertAlign w:val="baseline"/>
        </w:rPr>
        <w:t> </w:t>
      </w:r>
      <w:r>
        <w:rPr>
          <w:rFonts w:ascii="Times New Roman"/>
          <w:sz w:val="19"/>
          <w:vertAlign w:val="baseline"/>
        </w:rPr>
        <w:t>Preventing</w:t>
      </w:r>
      <w:r>
        <w:rPr>
          <w:rFonts w:ascii="Times New Roman"/>
          <w:spacing w:val="33"/>
          <w:sz w:val="19"/>
          <w:vertAlign w:val="baseline"/>
        </w:rPr>
        <w:t> </w:t>
      </w:r>
      <w:r>
        <w:rPr>
          <w:rFonts w:ascii="Times New Roman"/>
          <w:sz w:val="19"/>
          <w:vertAlign w:val="baseline"/>
        </w:rPr>
        <w:t>Fraud</w:t>
      </w:r>
      <w:r>
        <w:rPr>
          <w:rFonts w:ascii="Times New Roman"/>
          <w:spacing w:val="-9"/>
          <w:sz w:val="19"/>
          <w:vertAlign w:val="baseline"/>
        </w:rPr>
        <w:t> </w:t>
      </w:r>
      <w:r>
        <w:rPr>
          <w:rFonts w:ascii="Times New Roman"/>
          <w:sz w:val="19"/>
          <w:vertAlign w:val="baseline"/>
        </w:rPr>
        <w:t>and</w:t>
      </w:r>
      <w:r>
        <w:rPr>
          <w:rFonts w:ascii="Times New Roman"/>
          <w:spacing w:val="-4"/>
          <w:sz w:val="19"/>
          <w:vertAlign w:val="baseline"/>
        </w:rPr>
        <w:t> </w:t>
      </w:r>
      <w:r>
        <w:rPr>
          <w:rFonts w:ascii="Times New Roman"/>
          <w:sz w:val="19"/>
          <w:vertAlign w:val="baseline"/>
        </w:rPr>
        <w:t>Abuse</w:t>
      </w:r>
      <w:r>
        <w:rPr>
          <w:rFonts w:ascii="Times New Roman"/>
          <w:spacing w:val="-8"/>
          <w:sz w:val="19"/>
          <w:vertAlign w:val="baseline"/>
        </w:rPr>
        <w:t> </w:t>
      </w:r>
      <w:r>
        <w:rPr>
          <w:rFonts w:ascii="Times New Roman"/>
          <w:sz w:val="19"/>
          <w:vertAlign w:val="baseline"/>
        </w:rPr>
        <w:t>of</w:t>
      </w:r>
      <w:r>
        <w:rPr>
          <w:rFonts w:ascii="Times New Roman"/>
          <w:spacing w:val="-10"/>
          <w:sz w:val="19"/>
          <w:vertAlign w:val="baseline"/>
        </w:rPr>
        <w:t> </w:t>
      </w:r>
      <w:r>
        <w:rPr>
          <w:rFonts w:ascii="Times New Roman"/>
          <w:sz w:val="19"/>
          <w:vertAlign w:val="baseline"/>
        </w:rPr>
        <w:t>Public</w:t>
      </w:r>
      <w:r>
        <w:rPr>
          <w:rFonts w:ascii="Times New Roman"/>
          <w:spacing w:val="-8"/>
          <w:sz w:val="19"/>
          <w:vertAlign w:val="baseline"/>
        </w:rPr>
        <w:t> </w:t>
      </w:r>
      <w:r>
        <w:rPr>
          <w:rFonts w:ascii="Times New Roman"/>
          <w:sz w:val="19"/>
          <w:vertAlign w:val="baseline"/>
        </w:rPr>
        <w:t>Funds:</w:t>
      </w:r>
      <w:r>
        <w:rPr>
          <w:rFonts w:ascii="Times New Roman"/>
          <w:spacing w:val="-6"/>
          <w:sz w:val="19"/>
          <w:vertAlign w:val="baseline"/>
        </w:rPr>
        <w:t> </w:t>
      </w:r>
      <w:r>
        <w:rPr>
          <w:rFonts w:ascii="Times New Roman"/>
          <w:sz w:val="19"/>
          <w:vertAlign w:val="baseline"/>
        </w:rPr>
        <w:t>Local</w:t>
      </w:r>
      <w:r>
        <w:rPr>
          <w:rFonts w:ascii="Times New Roman"/>
          <w:spacing w:val="-6"/>
          <w:sz w:val="19"/>
          <w:vertAlign w:val="baseline"/>
        </w:rPr>
        <w:t> </w:t>
      </w:r>
      <w:r>
        <w:rPr>
          <w:rFonts w:ascii="Times New Roman"/>
          <w:sz w:val="19"/>
          <w:vertAlign w:val="baseline"/>
        </w:rPr>
        <w:t>Governments</w:t>
      </w:r>
      <w:r>
        <w:rPr>
          <w:rFonts w:ascii="Times New Roman"/>
          <w:spacing w:val="-8"/>
          <w:sz w:val="19"/>
          <w:vertAlign w:val="baseline"/>
        </w:rPr>
        <w:t> </w:t>
      </w:r>
      <w:r>
        <w:rPr>
          <w:rFonts w:ascii="Times New Roman"/>
          <w:sz w:val="19"/>
          <w:vertAlign w:val="baseline"/>
        </w:rPr>
        <w:t>Need</w:t>
      </w:r>
      <w:r>
        <w:rPr>
          <w:rFonts w:ascii="Times New Roman"/>
          <w:spacing w:val="-9"/>
          <w:sz w:val="19"/>
          <w:vertAlign w:val="baseline"/>
        </w:rPr>
        <w:t> </w:t>
      </w:r>
      <w:r>
        <w:rPr>
          <w:rFonts w:ascii="Times New Roman"/>
          <w:sz w:val="19"/>
          <w:vertAlign w:val="baseline"/>
        </w:rPr>
        <w:t>to</w:t>
      </w:r>
      <w:r>
        <w:rPr>
          <w:rFonts w:ascii="Times New Roman"/>
          <w:spacing w:val="-9"/>
          <w:sz w:val="19"/>
          <w:vertAlign w:val="baseline"/>
        </w:rPr>
        <w:t> </w:t>
      </w:r>
      <w:r>
        <w:rPr>
          <w:rFonts w:ascii="Times New Roman"/>
          <w:sz w:val="19"/>
          <w:vertAlign w:val="baseline"/>
        </w:rPr>
        <w:t>do</w:t>
      </w:r>
      <w:r>
        <w:rPr>
          <w:rFonts w:ascii="Times New Roman"/>
          <w:spacing w:val="-9"/>
          <w:sz w:val="19"/>
          <w:vertAlign w:val="baseline"/>
        </w:rPr>
        <w:t> </w:t>
      </w:r>
      <w:r>
        <w:rPr>
          <w:rFonts w:ascii="Times New Roman"/>
          <w:sz w:val="19"/>
          <w:vertAlign w:val="baseline"/>
        </w:rPr>
        <w:t>Better- </w:t>
      </w:r>
      <w:hyperlink r:id="rId11">
        <w:r>
          <w:rPr>
            <w:rFonts w:ascii="Times New Roman"/>
            <w:spacing w:val="-2"/>
            <w:sz w:val="19"/>
            <w:vertAlign w:val="baseline"/>
          </w:rPr>
          <w:t>www.osc.state.ny.us/localgovt/pubs/preventingfraud-August2010</w:t>
        </w:r>
      </w:hyperlink>
    </w:p>
    <w:p>
      <w:pPr>
        <w:pStyle w:val="ListParagraph"/>
        <w:numPr>
          <w:ilvl w:val="0"/>
          <w:numId w:val="11"/>
        </w:numPr>
        <w:tabs>
          <w:tab w:pos="382" w:val="left" w:leader="none"/>
        </w:tabs>
        <w:spacing w:line="216" w:lineRule="exact" w:before="0" w:after="0"/>
        <w:ind w:left="382" w:right="0" w:hanging="195"/>
        <w:jc w:val="left"/>
        <w:rPr>
          <w:rFonts w:ascii="Times New Roman" w:hAnsi="Times New Roman"/>
          <w:sz w:val="19"/>
        </w:rPr>
      </w:pPr>
      <w:r>
        <w:rPr>
          <w:rFonts w:ascii="Times New Roman" w:hAnsi="Times New Roman"/>
          <w:spacing w:val="-2"/>
          <w:sz w:val="19"/>
        </w:rPr>
        <w:t>www.nigeriaintel.com-the-nigerian-pension-scam-how-they-looted-the-funds-July,2012</w:t>
      </w:r>
    </w:p>
    <w:p>
      <w:pPr>
        <w:spacing w:after="0" w:line="216" w:lineRule="exact"/>
        <w:jc w:val="left"/>
        <w:rPr>
          <w:rFonts w:ascii="Times New Roman" w:hAnsi="Times New Roman"/>
          <w:sz w:val="19"/>
        </w:rPr>
        <w:sectPr>
          <w:pgSz w:w="12240" w:h="15840"/>
          <w:pgMar w:header="0" w:footer="1009" w:top="1240" w:bottom="1200" w:left="1680" w:right="1320"/>
        </w:sectPr>
      </w:pPr>
    </w:p>
    <w:p>
      <w:pPr>
        <w:pStyle w:val="BodyText"/>
        <w:spacing w:line="489" w:lineRule="auto" w:before="94"/>
        <w:ind w:left="864" w:right="570"/>
        <w:jc w:val="both"/>
      </w:pPr>
      <w:r>
        <w:rPr/>
        <w:t>David Mark aptly described this as a ‘monumental fraud’ and ‘national disgrace and embarrassment’</w:t>
      </w:r>
      <w:r>
        <w:rPr>
          <w:vertAlign w:val="superscript"/>
        </w:rPr>
        <w:t>51</w:t>
      </w:r>
      <w:r>
        <w:rPr>
          <w:vertAlign w:val="baseline"/>
        </w:rPr>
        <w:t>.</w:t>
      </w:r>
    </w:p>
    <w:p>
      <w:pPr>
        <w:pStyle w:val="BodyText"/>
        <w:spacing w:before="5"/>
      </w:pPr>
    </w:p>
    <w:p>
      <w:pPr>
        <w:pStyle w:val="BodyText"/>
        <w:spacing w:line="491" w:lineRule="auto"/>
        <w:ind w:left="864" w:right="571"/>
        <w:jc w:val="both"/>
      </w:pPr>
      <w:r>
        <w:rPr/>
        <w:t>Employees</w:t>
      </w:r>
      <w:r>
        <w:rPr>
          <w:spacing w:val="40"/>
        </w:rPr>
        <w:t> </w:t>
      </w:r>
      <w:r>
        <w:rPr/>
        <w:t>are</w:t>
      </w:r>
      <w:r>
        <w:rPr>
          <w:spacing w:val="40"/>
        </w:rPr>
        <w:t> </w:t>
      </w:r>
      <w:r>
        <w:rPr/>
        <w:t>prohibited</w:t>
      </w:r>
      <w:r>
        <w:rPr>
          <w:spacing w:val="40"/>
        </w:rPr>
        <w:t> </w:t>
      </w:r>
      <w:r>
        <w:rPr/>
        <w:t>from</w:t>
      </w:r>
      <w:r>
        <w:rPr>
          <w:spacing w:val="40"/>
        </w:rPr>
        <w:t> </w:t>
      </w:r>
      <w:r>
        <w:rPr/>
        <w:t>contributing</w:t>
      </w:r>
      <w:r>
        <w:rPr>
          <w:spacing w:val="40"/>
        </w:rPr>
        <w:t> </w:t>
      </w:r>
      <w:r>
        <w:rPr/>
        <w:t>to</w:t>
      </w:r>
      <w:r>
        <w:rPr>
          <w:spacing w:val="40"/>
        </w:rPr>
        <w:t> </w:t>
      </w:r>
      <w:r>
        <w:rPr/>
        <w:t>thm</w:t>
      </w:r>
      <w:r>
        <w:rPr>
          <w:spacing w:val="40"/>
        </w:rPr>
        <w:t> </w:t>
      </w:r>
      <w:r>
        <w:rPr/>
        <w:t>Fund</w:t>
      </w:r>
      <w:r>
        <w:rPr>
          <w:spacing w:val="40"/>
        </w:rPr>
        <w:t> </w:t>
      </w:r>
      <w:r>
        <w:rPr/>
        <w:t>as</w:t>
      </w:r>
      <w:r>
        <w:rPr>
          <w:spacing w:val="40"/>
        </w:rPr>
        <w:t> </w:t>
      </w:r>
      <w:r>
        <w:rPr/>
        <w:t>the</w:t>
      </w:r>
      <w:r>
        <w:rPr>
          <w:spacing w:val="40"/>
        </w:rPr>
        <w:t> </w:t>
      </w:r>
      <w:r>
        <w:rPr/>
        <w:t>Act imposes sanction against employers who attempt to deduct assessments that are payable to the Fund from the remuneration of employees.</w:t>
      </w:r>
      <w:r>
        <w:rPr>
          <w:vertAlign w:val="superscript"/>
        </w:rPr>
        <w:t>52</w:t>
      </w:r>
    </w:p>
    <w:p>
      <w:pPr>
        <w:pStyle w:val="BodyText"/>
        <w:spacing w:before="2"/>
      </w:pPr>
    </w:p>
    <w:p>
      <w:pPr>
        <w:pStyle w:val="BodyText"/>
        <w:spacing w:line="491" w:lineRule="auto" w:before="1"/>
        <w:ind w:left="187" w:right="571" w:firstLine="72"/>
        <w:jc w:val="both"/>
      </w:pPr>
      <w:r>
        <w:rPr/>
        <w:t>The Act prohibits waiver of the benefits or rights of employees or dependants to compensation</w:t>
      </w:r>
      <w:r>
        <w:rPr>
          <w:spacing w:val="40"/>
        </w:rPr>
        <w:t> </w:t>
      </w:r>
      <w:r>
        <w:rPr/>
        <w:t>through</w:t>
      </w:r>
      <w:r>
        <w:rPr>
          <w:spacing w:val="40"/>
        </w:rPr>
        <w:t> </w:t>
      </w:r>
      <w:r>
        <w:rPr/>
        <w:t>any</w:t>
      </w:r>
      <w:r>
        <w:rPr>
          <w:spacing w:val="40"/>
        </w:rPr>
        <w:t> </w:t>
      </w:r>
      <w:r>
        <w:rPr/>
        <w:t>agreement</w:t>
      </w:r>
      <w:r>
        <w:rPr>
          <w:spacing w:val="40"/>
        </w:rPr>
        <w:t> </w:t>
      </w:r>
      <w:r>
        <w:rPr/>
        <w:t>made</w:t>
      </w:r>
      <w:r>
        <w:rPr>
          <w:spacing w:val="40"/>
        </w:rPr>
        <w:t> </w:t>
      </w:r>
      <w:r>
        <w:rPr/>
        <w:t>between</w:t>
      </w:r>
      <w:r>
        <w:rPr>
          <w:spacing w:val="40"/>
        </w:rPr>
        <w:t> </w:t>
      </w:r>
      <w:r>
        <w:rPr/>
        <w:t>the</w:t>
      </w:r>
      <w:r>
        <w:rPr>
          <w:spacing w:val="40"/>
        </w:rPr>
        <w:t> </w:t>
      </w:r>
      <w:r>
        <w:rPr/>
        <w:t>employer</w:t>
      </w:r>
      <w:r>
        <w:rPr>
          <w:spacing w:val="40"/>
        </w:rPr>
        <w:t> </w:t>
      </w:r>
      <w:r>
        <w:rPr/>
        <w:t>and employee. Agreements that are made with the aim to waive the employees’ right</w:t>
      </w:r>
      <w:r>
        <w:rPr>
          <w:spacing w:val="40"/>
        </w:rPr>
        <w:t> </w:t>
      </w:r>
      <w:r>
        <w:rPr/>
        <w:t>to compensation are rendered void and unenforceable.</w:t>
      </w:r>
    </w:p>
    <w:p>
      <w:pPr>
        <w:pStyle w:val="BodyText"/>
        <w:spacing w:line="489" w:lineRule="auto" w:before="277"/>
        <w:ind w:left="864" w:right="561"/>
        <w:jc w:val="both"/>
      </w:pPr>
      <w:r>
        <w:rPr/>
        <w:t>The Employees’ Compensation scheme now recognises new categories of workplace injuries such as mental stress resulting from exceptional circumstances in the course of employment.</w:t>
      </w:r>
      <w:r>
        <w:rPr>
          <w:vertAlign w:val="superscript"/>
        </w:rPr>
        <w:t>53??T</w:t>
      </w:r>
      <w:r>
        <w:rPr>
          <w:vertAlign w:val="baseline"/>
        </w:rPr>
        <w:t>his is only if the mental stress is an acute reaction to a sudden and unexpected traumatic event arising out of or in the course of the employees’ employment or diagnosed by an accredited medical practitioner as a mental or physical condition amounting to mental stress arising out of the nature of work or the occurrence of any event in the course of the employees’ employment.</w:t>
      </w:r>
      <w:r>
        <w:rPr>
          <w:vertAlign w:val="superscript"/>
        </w:rPr>
        <w:t>54</w:t>
      </w:r>
      <w:r>
        <w:rPr>
          <w:vertAlign w:val="baseline"/>
        </w:rPr>
        <w:t> Where the mental stress is caused as a result of the decision of the</w:t>
      </w:r>
      <w:r>
        <w:rPr>
          <w:spacing w:val="40"/>
          <w:vertAlign w:val="baseline"/>
        </w:rPr>
        <w:t> </w:t>
      </w:r>
      <w:r>
        <w:rPr>
          <w:vertAlign w:val="baseline"/>
        </w:rPr>
        <w:t>employer</w:t>
      </w:r>
      <w:r>
        <w:rPr>
          <w:spacing w:val="24"/>
          <w:vertAlign w:val="baseline"/>
        </w:rPr>
        <w:t> </w:t>
      </w:r>
      <w:r>
        <w:rPr>
          <w:vertAlign w:val="baseline"/>
        </w:rPr>
        <w:t>to</w:t>
      </w:r>
      <w:r>
        <w:rPr>
          <w:spacing w:val="27"/>
          <w:vertAlign w:val="baseline"/>
        </w:rPr>
        <w:t> </w:t>
      </w:r>
      <w:r>
        <w:rPr>
          <w:vertAlign w:val="baseline"/>
        </w:rPr>
        <w:t>change</w:t>
      </w:r>
      <w:r>
        <w:rPr>
          <w:spacing w:val="25"/>
          <w:vertAlign w:val="baseline"/>
        </w:rPr>
        <w:t> </w:t>
      </w:r>
      <w:r>
        <w:rPr>
          <w:vertAlign w:val="baseline"/>
        </w:rPr>
        <w:t>the</w:t>
      </w:r>
      <w:r>
        <w:rPr>
          <w:spacing w:val="20"/>
          <w:vertAlign w:val="baseline"/>
        </w:rPr>
        <w:t> </w:t>
      </w:r>
      <w:r>
        <w:rPr>
          <w:vertAlign w:val="baseline"/>
        </w:rPr>
        <w:t>work,</w:t>
      </w:r>
      <w:r>
        <w:rPr>
          <w:spacing w:val="20"/>
          <w:vertAlign w:val="baseline"/>
        </w:rPr>
        <w:t> </w:t>
      </w:r>
      <w:r>
        <w:rPr>
          <w:vertAlign w:val="baseline"/>
        </w:rPr>
        <w:t>the</w:t>
      </w:r>
      <w:r>
        <w:rPr>
          <w:spacing w:val="21"/>
          <w:vertAlign w:val="baseline"/>
        </w:rPr>
        <w:t> </w:t>
      </w:r>
      <w:r>
        <w:rPr>
          <w:vertAlign w:val="baseline"/>
        </w:rPr>
        <w:t>working</w:t>
      </w:r>
      <w:r>
        <w:rPr>
          <w:spacing w:val="29"/>
          <w:vertAlign w:val="baseline"/>
        </w:rPr>
        <w:t> </w:t>
      </w:r>
      <w:r>
        <w:rPr>
          <w:vertAlign w:val="baseline"/>
        </w:rPr>
        <w:t>condition</w:t>
      </w:r>
      <w:r>
        <w:rPr>
          <w:spacing w:val="23"/>
          <w:vertAlign w:val="baseline"/>
        </w:rPr>
        <w:t> </w:t>
      </w:r>
      <w:r>
        <w:rPr>
          <w:vertAlign w:val="baseline"/>
        </w:rPr>
        <w:t>of</w:t>
      </w:r>
      <w:r>
        <w:rPr>
          <w:spacing w:val="27"/>
          <w:vertAlign w:val="baseline"/>
        </w:rPr>
        <w:t> </w:t>
      </w:r>
      <w:r>
        <w:rPr>
          <w:vertAlign w:val="baseline"/>
        </w:rPr>
        <w:t>work</w:t>
      </w:r>
      <w:r>
        <w:rPr>
          <w:spacing w:val="28"/>
          <w:vertAlign w:val="baseline"/>
        </w:rPr>
        <w:t> </w:t>
      </w:r>
      <w:r>
        <w:rPr>
          <w:spacing w:val="-2"/>
          <w:vertAlign w:val="baseline"/>
        </w:rPr>
        <w:t>organisation</w:t>
      </w:r>
    </w:p>
    <w:p>
      <w:pPr>
        <w:pStyle w:val="BodyText"/>
        <w:spacing w:before="10"/>
        <w:ind w:left="864"/>
        <w:jc w:val="both"/>
      </w:pPr>
      <w:r>
        <w:rPr/>
        <w:t>in</w:t>
      </w:r>
      <w:r>
        <w:rPr>
          <w:spacing w:val="36"/>
        </w:rPr>
        <w:t> </w:t>
      </w:r>
      <w:r>
        <w:rPr/>
        <w:t>such</w:t>
      </w:r>
      <w:r>
        <w:rPr>
          <w:spacing w:val="36"/>
        </w:rPr>
        <w:t> </w:t>
      </w:r>
      <w:r>
        <w:rPr/>
        <w:t>a</w:t>
      </w:r>
      <w:r>
        <w:rPr>
          <w:spacing w:val="34"/>
        </w:rPr>
        <w:t> </w:t>
      </w:r>
      <w:r>
        <w:rPr/>
        <w:t>way</w:t>
      </w:r>
      <w:r>
        <w:rPr>
          <w:spacing w:val="39"/>
        </w:rPr>
        <w:t> </w:t>
      </w:r>
      <w:r>
        <w:rPr/>
        <w:t>as</w:t>
      </w:r>
      <w:r>
        <w:rPr>
          <w:spacing w:val="38"/>
        </w:rPr>
        <w:t> </w:t>
      </w:r>
      <w:r>
        <w:rPr/>
        <w:t>to</w:t>
      </w:r>
      <w:r>
        <w:rPr>
          <w:spacing w:val="39"/>
        </w:rPr>
        <w:t> </w:t>
      </w:r>
      <w:r>
        <w:rPr/>
        <w:t>unfairly</w:t>
      </w:r>
      <w:r>
        <w:rPr>
          <w:spacing w:val="36"/>
        </w:rPr>
        <w:t> </w:t>
      </w:r>
      <w:r>
        <w:rPr/>
        <w:t>exceed</w:t>
      </w:r>
      <w:r>
        <w:rPr>
          <w:spacing w:val="37"/>
        </w:rPr>
        <w:t> </w:t>
      </w:r>
      <w:r>
        <w:rPr/>
        <w:t>the</w:t>
      </w:r>
      <w:r>
        <w:rPr>
          <w:spacing w:val="34"/>
        </w:rPr>
        <w:t> </w:t>
      </w:r>
      <w:r>
        <w:rPr/>
        <w:t>work</w:t>
      </w:r>
      <w:r>
        <w:rPr>
          <w:spacing w:val="36"/>
        </w:rPr>
        <w:t> </w:t>
      </w:r>
      <w:r>
        <w:rPr/>
        <w:t>ability</w:t>
      </w:r>
      <w:r>
        <w:rPr>
          <w:spacing w:val="36"/>
        </w:rPr>
        <w:t> </w:t>
      </w:r>
      <w:r>
        <w:rPr/>
        <w:t>and</w:t>
      </w:r>
      <w:r>
        <w:rPr>
          <w:spacing w:val="32"/>
        </w:rPr>
        <w:t> </w:t>
      </w:r>
      <w:r>
        <w:rPr/>
        <w:t>capacity</w:t>
      </w:r>
      <w:r>
        <w:rPr>
          <w:spacing w:val="40"/>
        </w:rPr>
        <w:t> </w:t>
      </w:r>
      <w:r>
        <w:rPr/>
        <w:t>of</w:t>
      </w:r>
      <w:r>
        <w:rPr>
          <w:spacing w:val="39"/>
        </w:rPr>
        <w:t> </w:t>
      </w:r>
      <w:r>
        <w:rPr>
          <w:spacing w:val="-5"/>
        </w:rPr>
        <w:t>the</w:t>
      </w:r>
    </w:p>
    <w:p>
      <w:pPr>
        <w:pStyle w:val="BodyText"/>
        <w:spacing w:before="1"/>
        <w:rPr>
          <w:sz w:val="17"/>
        </w:rPr>
      </w:pPr>
      <w:r>
        <w:rPr/>
        <mc:AlternateContent>
          <mc:Choice Requires="wps">
            <w:drawing>
              <wp:anchor distT="0" distB="0" distL="0" distR="0" allowOverlap="1" layoutInCell="1" locked="0" behindDoc="1" simplePos="0" relativeHeight="487606784">
                <wp:simplePos x="0" y="0"/>
                <wp:positionH relativeFrom="page">
                  <wp:posOffset>1185672</wp:posOffset>
                </wp:positionH>
                <wp:positionV relativeFrom="paragraph">
                  <wp:posOffset>146731</wp:posOffset>
                </wp:positionV>
                <wp:extent cx="1719580" cy="3175"/>
                <wp:effectExtent l="0" t="0" r="0" b="0"/>
                <wp:wrapTopAndBottom/>
                <wp:docPr id="41" name="Graphic 41"/>
                <wp:cNvGraphicFramePr>
                  <a:graphicFrameLocks/>
                </wp:cNvGraphicFramePr>
                <a:graphic>
                  <a:graphicData uri="http://schemas.microsoft.com/office/word/2010/wordprocessingShape">
                    <wps:wsp>
                      <wps:cNvPr id="41" name="Graphic 41"/>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553653pt;width:135.360pt;height:.24pt;mso-position-horizontal-relative:page;mso-position-vertical-relative:paragraph;z-index:-15709696;mso-wrap-distance-left:0;mso-wrap-distance-right:0" id="docshape41" filled="true" fillcolor="#000000" stroked="false">
                <v:fill type="solid"/>
                <w10:wrap type="topAndBottom"/>
              </v:rect>
            </w:pict>
          </mc:Fallback>
        </mc:AlternateContent>
      </w:r>
    </w:p>
    <w:p>
      <w:pPr>
        <w:pStyle w:val="ListParagraph"/>
        <w:numPr>
          <w:ilvl w:val="0"/>
          <w:numId w:val="11"/>
        </w:numPr>
        <w:tabs>
          <w:tab w:pos="382" w:val="left" w:leader="none"/>
        </w:tabs>
        <w:spacing w:line="217" w:lineRule="exact" w:before="96" w:after="0"/>
        <w:ind w:left="382" w:right="0" w:hanging="195"/>
        <w:jc w:val="left"/>
        <w:rPr>
          <w:rFonts w:ascii="Times New Roman" w:hAnsi="Times New Roman"/>
          <w:sz w:val="19"/>
        </w:rPr>
      </w:pPr>
      <w:r>
        <w:rPr>
          <w:rFonts w:ascii="Times New Roman" w:hAnsi="Times New Roman"/>
          <w:spacing w:val="-4"/>
          <w:sz w:val="19"/>
        </w:rPr>
        <w:t>Ibid</w:t>
      </w:r>
    </w:p>
    <w:p>
      <w:pPr>
        <w:pStyle w:val="ListParagraph"/>
        <w:numPr>
          <w:ilvl w:val="0"/>
          <w:numId w:val="11"/>
        </w:numPr>
        <w:tabs>
          <w:tab w:pos="382" w:val="left" w:leader="none"/>
        </w:tabs>
        <w:spacing w:line="216"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8"/>
          <w:sz w:val="19"/>
        </w:rPr>
        <w:t> </w:t>
      </w:r>
      <w:r>
        <w:rPr>
          <w:rFonts w:ascii="Times New Roman" w:hAnsi="Times New Roman"/>
          <w:sz w:val="19"/>
        </w:rPr>
        <w:t>14</w:t>
      </w:r>
      <w:r>
        <w:rPr>
          <w:rFonts w:ascii="Times New Roman" w:hAnsi="Times New Roman"/>
          <w:spacing w:val="-11"/>
          <w:sz w:val="19"/>
        </w:rPr>
        <w:t> </w:t>
      </w:r>
      <w:r>
        <w:rPr>
          <w:rFonts w:ascii="Times New Roman" w:hAnsi="Times New Roman"/>
          <w:spacing w:val="-4"/>
          <w:sz w:val="19"/>
        </w:rPr>
        <w:t>ibid</w:t>
      </w:r>
    </w:p>
    <w:p>
      <w:pPr>
        <w:pStyle w:val="ListParagraph"/>
        <w:numPr>
          <w:ilvl w:val="0"/>
          <w:numId w:val="11"/>
        </w:numPr>
        <w:tabs>
          <w:tab w:pos="382" w:val="left" w:leader="none"/>
        </w:tabs>
        <w:spacing w:line="216"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8"/>
          <w:sz w:val="19"/>
        </w:rPr>
        <w:t> </w:t>
      </w:r>
      <w:r>
        <w:rPr>
          <w:rFonts w:ascii="Times New Roman" w:hAnsi="Times New Roman"/>
          <w:sz w:val="19"/>
        </w:rPr>
        <w:t>8</w:t>
      </w:r>
      <w:r>
        <w:rPr>
          <w:rFonts w:ascii="Times New Roman" w:hAnsi="Times New Roman"/>
          <w:spacing w:val="-11"/>
          <w:sz w:val="19"/>
        </w:rPr>
        <w:t> </w:t>
      </w:r>
      <w:r>
        <w:rPr>
          <w:rFonts w:ascii="Times New Roman" w:hAnsi="Times New Roman"/>
          <w:spacing w:val="-4"/>
          <w:sz w:val="19"/>
        </w:rPr>
        <w:t>ibid</w:t>
      </w:r>
    </w:p>
    <w:p>
      <w:pPr>
        <w:pStyle w:val="ListParagraph"/>
        <w:numPr>
          <w:ilvl w:val="0"/>
          <w:numId w:val="11"/>
        </w:numPr>
        <w:tabs>
          <w:tab w:pos="382" w:val="left" w:leader="none"/>
        </w:tabs>
        <w:spacing w:line="217" w:lineRule="exact" w:before="0" w:after="0"/>
        <w:ind w:left="382" w:right="0" w:hanging="195"/>
        <w:jc w:val="left"/>
        <w:rPr>
          <w:rFonts w:ascii="Times New Roman" w:hAnsi="Times New Roman"/>
          <w:sz w:val="19"/>
        </w:rPr>
      </w:pPr>
      <w:r>
        <w:rPr>
          <w:rFonts w:ascii="Times New Roman" w:hAnsi="Times New Roman"/>
          <w:spacing w:val="-4"/>
          <w:sz w:val="19"/>
        </w:rPr>
        <w:t>Ibid</w:t>
      </w:r>
    </w:p>
    <w:p>
      <w:pPr>
        <w:spacing w:after="0" w:line="217"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94"/>
        <w:ind w:left="864" w:right="564"/>
        <w:jc w:val="both"/>
      </w:pPr>
      <w:r>
        <w:rPr/>
        <w:t>employee thereby leading to mental stress, such situation shall be liable to compensation to the degree as may be determined under any regulation made by the Board. </w:t>
      </w:r>
      <w:r>
        <w:rPr>
          <w:vertAlign w:val="superscript"/>
        </w:rPr>
        <w:t>55</w:t>
      </w:r>
    </w:p>
    <w:p>
      <w:pPr>
        <w:pStyle w:val="BodyText"/>
        <w:spacing w:before="10"/>
      </w:pPr>
    </w:p>
    <w:p>
      <w:pPr>
        <w:pStyle w:val="BodyText"/>
        <w:spacing w:line="489" w:lineRule="auto"/>
        <w:ind w:left="864" w:right="566"/>
        <w:jc w:val="both"/>
      </w:pPr>
      <w:r>
        <w:rPr/>
        <w:t>Payment of compensation under the Act does not affect the employees’ retirement benefits payable under the Pension Reform Act.</w:t>
      </w:r>
      <w:r>
        <w:rPr>
          <w:vertAlign w:val="superscript"/>
        </w:rPr>
        <w:t>56</w:t>
      </w:r>
      <w:r>
        <w:rPr>
          <w:vertAlign w:val="baseline"/>
        </w:rPr>
        <w:t> The scheme has the effect of easing the burden on employers who will not be required</w:t>
      </w:r>
      <w:r>
        <w:rPr>
          <w:spacing w:val="40"/>
          <w:vertAlign w:val="baseline"/>
        </w:rPr>
        <w:t> </w:t>
      </w:r>
      <w:r>
        <w:rPr>
          <w:vertAlign w:val="baseline"/>
        </w:rPr>
        <w:t>to contribute further to the welfare of an injured employee in the event of</w:t>
      </w:r>
      <w:r>
        <w:rPr>
          <w:spacing w:val="40"/>
          <w:vertAlign w:val="baseline"/>
        </w:rPr>
        <w:t> </w:t>
      </w:r>
      <w:r>
        <w:rPr>
          <w:vertAlign w:val="baseline"/>
        </w:rPr>
        <w:t>an accident or injury, no matter the amount of liability involved.</w:t>
      </w:r>
    </w:p>
    <w:p>
      <w:pPr>
        <w:pStyle w:val="BodyText"/>
        <w:spacing w:before="11"/>
      </w:pPr>
    </w:p>
    <w:p>
      <w:pPr>
        <w:pStyle w:val="BodyText"/>
        <w:spacing w:line="489" w:lineRule="auto"/>
        <w:ind w:left="864" w:right="564" w:firstLine="72"/>
        <w:jc w:val="both"/>
      </w:pPr>
      <w:r>
        <w:rPr/>
        <w:t>As a general rule, an employee or his dependant is entitled to apply to the Board for</w:t>
      </w:r>
      <w:r>
        <w:rPr>
          <w:spacing w:val="40"/>
        </w:rPr>
        <w:t> </w:t>
      </w:r>
      <w:r>
        <w:rPr/>
        <w:t>compensation</w:t>
      </w:r>
      <w:r>
        <w:rPr>
          <w:spacing w:val="40"/>
        </w:rPr>
        <w:t> </w:t>
      </w:r>
      <w:r>
        <w:rPr/>
        <w:t>within</w:t>
      </w:r>
      <w:r>
        <w:rPr>
          <w:spacing w:val="40"/>
        </w:rPr>
        <w:t> </w:t>
      </w:r>
      <w:r>
        <w:rPr/>
        <w:t>one</w:t>
      </w:r>
      <w:r>
        <w:rPr>
          <w:spacing w:val="40"/>
        </w:rPr>
        <w:t> </w:t>
      </w:r>
      <w:r>
        <w:rPr/>
        <w:t>year</w:t>
      </w:r>
      <w:r>
        <w:rPr>
          <w:spacing w:val="40"/>
        </w:rPr>
        <w:t> </w:t>
      </w:r>
      <w:r>
        <w:rPr/>
        <w:t>after</w:t>
      </w:r>
      <w:r>
        <w:rPr>
          <w:spacing w:val="40"/>
        </w:rPr>
        <w:t> </w:t>
      </w:r>
      <w:r>
        <w:rPr/>
        <w:t>the date</w:t>
      </w:r>
      <w:r>
        <w:rPr>
          <w:spacing w:val="40"/>
        </w:rPr>
        <w:t> </w:t>
      </w:r>
      <w:r>
        <w:rPr/>
        <w:t>of</w:t>
      </w:r>
      <w:r>
        <w:rPr>
          <w:spacing w:val="40"/>
        </w:rPr>
        <w:t> </w:t>
      </w:r>
      <w:r>
        <w:rPr/>
        <w:t>the death</w:t>
      </w:r>
      <w:r>
        <w:rPr>
          <w:spacing w:val="40"/>
        </w:rPr>
        <w:t> </w:t>
      </w:r>
      <w:r>
        <w:rPr/>
        <w:t>or injury or disease or disability arising from a occupational accident or</w:t>
      </w:r>
      <w:r>
        <w:rPr>
          <w:spacing w:val="80"/>
        </w:rPr>
        <w:t> </w:t>
      </w:r>
      <w:r>
        <w:rPr/>
        <w:t>disease.</w:t>
      </w:r>
      <w:r>
        <w:rPr>
          <w:spacing w:val="40"/>
        </w:rPr>
        <w:t> </w:t>
      </w:r>
      <w:r>
        <w:rPr/>
        <w:t>Where</w:t>
      </w:r>
      <w:r>
        <w:rPr>
          <w:spacing w:val="40"/>
        </w:rPr>
        <w:t> </w:t>
      </w:r>
      <w:r>
        <w:rPr/>
        <w:t>special</w:t>
      </w:r>
      <w:r>
        <w:rPr>
          <w:spacing w:val="40"/>
        </w:rPr>
        <w:t> </w:t>
      </w:r>
      <w:r>
        <w:rPr/>
        <w:t>circumstances</w:t>
      </w:r>
      <w:r>
        <w:rPr>
          <w:spacing w:val="40"/>
        </w:rPr>
        <w:t> </w:t>
      </w:r>
      <w:r>
        <w:rPr/>
        <w:t>exist,</w:t>
      </w:r>
      <w:r>
        <w:rPr>
          <w:spacing w:val="40"/>
        </w:rPr>
        <w:t> </w:t>
      </w:r>
      <w:r>
        <w:rPr/>
        <w:t>an</w:t>
      </w:r>
      <w:r>
        <w:rPr>
          <w:spacing w:val="40"/>
        </w:rPr>
        <w:t> </w:t>
      </w:r>
      <w:r>
        <w:rPr/>
        <w:t>application</w:t>
      </w:r>
      <w:r>
        <w:rPr>
          <w:spacing w:val="40"/>
        </w:rPr>
        <w:t> </w:t>
      </w:r>
      <w:r>
        <w:rPr/>
        <w:t>for compensation may be made within |xree years of the occurrence of the accident or injury, or injury, or disease for which a claim is being made.</w:t>
      </w:r>
      <w:r>
        <w:rPr>
          <w:vertAlign w:val="superscript"/>
        </w:rPr>
        <w:t>57</w:t>
      </w:r>
      <w:r>
        <w:rPr>
          <w:vertAlign w:val="baseline"/>
        </w:rPr>
        <w:t> Anybody</w:t>
      </w:r>
      <w:r>
        <w:rPr>
          <w:spacing w:val="40"/>
          <w:vertAlign w:val="baseline"/>
        </w:rPr>
        <w:t> </w:t>
      </w:r>
      <w:r>
        <w:rPr>
          <w:vertAlign w:val="baseline"/>
        </w:rPr>
        <w:t>that</w:t>
      </w:r>
      <w:r>
        <w:rPr>
          <w:spacing w:val="40"/>
          <w:vertAlign w:val="baseline"/>
        </w:rPr>
        <w:t> </w:t>
      </w:r>
      <w:r>
        <w:rPr>
          <w:vertAlign w:val="baseline"/>
        </w:rPr>
        <w:t>is</w:t>
      </w:r>
      <w:r>
        <w:rPr>
          <w:spacing w:val="40"/>
          <w:vertAlign w:val="baseline"/>
        </w:rPr>
        <w:t> </w:t>
      </w:r>
      <w:r>
        <w:rPr>
          <w:vertAlign w:val="baseline"/>
        </w:rPr>
        <w:t>dissatisfied</w:t>
      </w:r>
      <w:r>
        <w:rPr>
          <w:spacing w:val="40"/>
          <w:vertAlign w:val="baseline"/>
        </w:rPr>
        <w:t> </w:t>
      </w:r>
      <w:r>
        <w:rPr>
          <w:vertAlign w:val="baseline"/>
        </w:rPr>
        <w:t>with</w:t>
      </w:r>
      <w:r>
        <w:rPr>
          <w:spacing w:val="40"/>
          <w:vertAlign w:val="baseline"/>
        </w:rPr>
        <w:t> </w:t>
      </w:r>
      <w:r>
        <w:rPr>
          <w:vertAlign w:val="baseline"/>
        </w:rPr>
        <w:t>the</w:t>
      </w:r>
      <w:r>
        <w:rPr>
          <w:spacing w:val="40"/>
          <w:vertAlign w:val="baseline"/>
        </w:rPr>
        <w:t> </w:t>
      </w:r>
      <w:r>
        <w:rPr>
          <w:vertAlign w:val="baseline"/>
        </w:rPr>
        <w:t>decision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on compensation may appeal to the Board for a review of such decision and it</w:t>
      </w:r>
      <w:r>
        <w:rPr>
          <w:spacing w:val="40"/>
          <w:vertAlign w:val="baseline"/>
        </w:rPr>
        <w:t> </w:t>
      </w:r>
      <w:r>
        <w:rPr>
          <w:vertAlign w:val="baseline"/>
        </w:rPr>
        <w:t>is only upon further dissatisfaction with the review that one can approach the National Industrial Court.</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12"/>
        <w:rPr>
          <w:sz w:val="20"/>
        </w:rPr>
      </w:pPr>
      <w:r>
        <w:rPr/>
        <mc:AlternateContent>
          <mc:Choice Requires="wps">
            <w:drawing>
              <wp:anchor distT="0" distB="0" distL="0" distR="0" allowOverlap="1" layoutInCell="1" locked="0" behindDoc="1" simplePos="0" relativeHeight="487607296">
                <wp:simplePos x="0" y="0"/>
                <wp:positionH relativeFrom="page">
                  <wp:posOffset>1185672</wp:posOffset>
                </wp:positionH>
                <wp:positionV relativeFrom="paragraph">
                  <wp:posOffset>239668</wp:posOffset>
                </wp:positionV>
                <wp:extent cx="1719580" cy="6350"/>
                <wp:effectExtent l="0" t="0" r="0" b="0"/>
                <wp:wrapTopAndBottom/>
                <wp:docPr id="42" name="Graphic 42"/>
                <wp:cNvGraphicFramePr>
                  <a:graphicFrameLocks/>
                </wp:cNvGraphicFramePr>
                <a:graphic>
                  <a:graphicData uri="http://schemas.microsoft.com/office/word/2010/wordprocessingShape">
                    <wps:wsp>
                      <wps:cNvPr id="42" name="Graphic 42"/>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8.871563pt;width:135.360pt;height:.48pt;mso-position-horizontal-relative:page;mso-position-vertical-relative:paragraph;z-index:-15709184;mso-wrap-distance-left:0;mso-wrap-distance-right:0" id="docshape42" filled="true" fillcolor="#000000" stroked="false">
                <v:fill type="solid"/>
                <w10:wrap type="topAndBottom"/>
              </v:rect>
            </w:pict>
          </mc:Fallback>
        </mc:AlternateContent>
      </w:r>
    </w:p>
    <w:p>
      <w:pPr>
        <w:pStyle w:val="ListParagraph"/>
        <w:numPr>
          <w:ilvl w:val="0"/>
          <w:numId w:val="11"/>
        </w:numPr>
        <w:tabs>
          <w:tab w:pos="382" w:val="left" w:leader="none"/>
        </w:tabs>
        <w:spacing w:line="217" w:lineRule="exact" w:before="91" w:after="0"/>
        <w:ind w:left="382" w:right="0" w:hanging="195"/>
        <w:jc w:val="left"/>
        <w:rPr>
          <w:rFonts w:ascii="Times New Roman" w:hAnsi="Times New Roman"/>
          <w:sz w:val="19"/>
        </w:rPr>
      </w:pPr>
      <w:r>
        <w:rPr>
          <w:rFonts w:ascii="Times New Roman" w:hAnsi="Times New Roman"/>
          <w:spacing w:val="-4"/>
          <w:sz w:val="19"/>
        </w:rPr>
        <w:t>Ibid</w:t>
      </w:r>
    </w:p>
    <w:p>
      <w:pPr>
        <w:pStyle w:val="ListParagraph"/>
        <w:numPr>
          <w:ilvl w:val="0"/>
          <w:numId w:val="11"/>
        </w:numPr>
        <w:tabs>
          <w:tab w:pos="382" w:val="left" w:leader="none"/>
        </w:tabs>
        <w:spacing w:line="216" w:lineRule="exact" w:before="0" w:after="0"/>
        <w:ind w:left="382" w:right="0" w:hanging="195"/>
        <w:jc w:val="left"/>
        <w:rPr>
          <w:rFonts w:ascii="Times New Roman" w:hAnsi="Times New Roman"/>
          <w:sz w:val="19"/>
        </w:rPr>
      </w:pPr>
      <w:r>
        <w:rPr>
          <w:rFonts w:ascii="Times New Roman" w:hAnsi="Times New Roman"/>
          <w:sz w:val="19"/>
        </w:rPr>
        <w:t>No.</w:t>
      </w:r>
      <w:r>
        <w:rPr>
          <w:rFonts w:ascii="Times New Roman" w:hAnsi="Times New Roman"/>
          <w:spacing w:val="-5"/>
          <w:sz w:val="19"/>
        </w:rPr>
        <w:t> </w:t>
      </w:r>
      <w:r>
        <w:rPr>
          <w:rFonts w:ascii="Times New Roman" w:hAnsi="Times New Roman"/>
          <w:sz w:val="19"/>
        </w:rPr>
        <w:t>2,</w:t>
      </w:r>
      <w:r>
        <w:rPr>
          <w:rFonts w:ascii="Times New Roman" w:hAnsi="Times New Roman"/>
          <w:spacing w:val="-4"/>
          <w:sz w:val="19"/>
        </w:rPr>
        <w:t> 2005</w:t>
      </w:r>
    </w:p>
    <w:p>
      <w:pPr>
        <w:pStyle w:val="ListParagraph"/>
        <w:numPr>
          <w:ilvl w:val="0"/>
          <w:numId w:val="11"/>
        </w:numPr>
        <w:tabs>
          <w:tab w:pos="382" w:val="left" w:leader="none"/>
        </w:tabs>
        <w:spacing w:line="217"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12"/>
          <w:sz w:val="19"/>
        </w:rPr>
        <w:t> </w:t>
      </w:r>
      <w:r>
        <w:rPr>
          <w:rFonts w:ascii="Times New Roman" w:hAnsi="Times New Roman"/>
          <w:sz w:val="19"/>
        </w:rPr>
        <w:t>6</w:t>
      </w:r>
      <w:r>
        <w:rPr>
          <w:rFonts w:ascii="Times New Roman" w:hAnsi="Times New Roman"/>
          <w:spacing w:val="-12"/>
          <w:sz w:val="19"/>
        </w:rPr>
        <w:t> </w:t>
      </w:r>
      <w:r>
        <w:rPr>
          <w:rFonts w:ascii="Times New Roman" w:hAnsi="Times New Roman"/>
          <w:sz w:val="19"/>
        </w:rPr>
        <w:t>of</w:t>
      </w:r>
      <w:r>
        <w:rPr>
          <w:rFonts w:ascii="Times New Roman" w:hAnsi="Times New Roman"/>
          <w:spacing w:val="-11"/>
          <w:sz w:val="19"/>
        </w:rPr>
        <w:t> </w:t>
      </w:r>
      <w:r>
        <w:rPr>
          <w:rFonts w:ascii="Times New Roman" w:hAnsi="Times New Roman"/>
          <w:sz w:val="19"/>
        </w:rPr>
        <w:t>Employees’</w:t>
      </w:r>
      <w:r>
        <w:rPr>
          <w:rFonts w:ascii="Times New Roman" w:hAnsi="Times New Roman"/>
          <w:spacing w:val="-12"/>
          <w:sz w:val="19"/>
        </w:rPr>
        <w:t> </w:t>
      </w:r>
      <w:r>
        <w:rPr>
          <w:rFonts w:ascii="Times New Roman" w:hAnsi="Times New Roman"/>
          <w:sz w:val="19"/>
        </w:rPr>
        <w:t>Compensation</w:t>
      </w:r>
      <w:r>
        <w:rPr>
          <w:rFonts w:ascii="Times New Roman" w:hAnsi="Times New Roman"/>
          <w:spacing w:val="-10"/>
          <w:sz w:val="19"/>
        </w:rPr>
        <w:t> </w:t>
      </w:r>
      <w:r>
        <w:rPr>
          <w:rFonts w:ascii="Times New Roman" w:hAnsi="Times New Roman"/>
          <w:sz w:val="19"/>
        </w:rPr>
        <w:t>Act</w:t>
      </w:r>
      <w:r>
        <w:rPr>
          <w:rFonts w:ascii="Times New Roman" w:hAnsi="Times New Roman"/>
          <w:spacing w:val="-7"/>
          <w:sz w:val="19"/>
        </w:rPr>
        <w:t> </w:t>
      </w:r>
      <w:r>
        <w:rPr>
          <w:rFonts w:ascii="Times New Roman" w:hAnsi="Times New Roman"/>
          <w:sz w:val="19"/>
        </w:rPr>
        <w:t>op</w:t>
      </w:r>
      <w:r>
        <w:rPr>
          <w:rFonts w:ascii="Times New Roman" w:hAnsi="Times New Roman"/>
          <w:spacing w:val="-9"/>
          <w:sz w:val="19"/>
        </w:rPr>
        <w:t> </w:t>
      </w:r>
      <w:r>
        <w:rPr>
          <w:rFonts w:ascii="Times New Roman" w:hAnsi="Times New Roman"/>
          <w:spacing w:val="-5"/>
          <w:sz w:val="19"/>
        </w:rPr>
        <w:t>cit</w:t>
      </w:r>
    </w:p>
    <w:p>
      <w:pPr>
        <w:spacing w:after="0" w:line="217" w:lineRule="exact"/>
        <w:jc w:val="left"/>
        <w:rPr>
          <w:rFonts w:ascii="Times New Roman" w:hAnsi="Times New Roman"/>
          <w:sz w:val="19"/>
        </w:rPr>
        <w:sectPr>
          <w:pgSz w:w="12240" w:h="15840"/>
          <w:pgMar w:header="0" w:footer="1009" w:top="1260" w:bottom="1200" w:left="1680" w:right="1320"/>
        </w:sectPr>
      </w:pPr>
    </w:p>
    <w:p>
      <w:pPr>
        <w:pStyle w:val="Heading3"/>
        <w:numPr>
          <w:ilvl w:val="1"/>
          <w:numId w:val="9"/>
        </w:numPr>
        <w:tabs>
          <w:tab w:pos="864" w:val="left" w:leader="none"/>
        </w:tabs>
        <w:spacing w:line="489" w:lineRule="auto" w:before="94" w:after="0"/>
        <w:ind w:left="864" w:right="564" w:hanging="677"/>
        <w:jc w:val="left"/>
      </w:pPr>
      <w:r>
        <w:rPr/>
        <w:t>The</w:t>
      </w:r>
      <w:r>
        <w:rPr>
          <w:spacing w:val="40"/>
        </w:rPr>
        <w:t> </w:t>
      </w:r>
      <w:r>
        <w:rPr/>
        <w:t>Meaning</w:t>
      </w:r>
      <w:r>
        <w:rPr>
          <w:spacing w:val="40"/>
        </w:rPr>
        <w:t> </w:t>
      </w:r>
      <w:r>
        <w:rPr/>
        <w:t>and</w:t>
      </w:r>
      <w:r>
        <w:rPr>
          <w:spacing w:val="40"/>
        </w:rPr>
        <w:t> </w:t>
      </w:r>
      <w:r>
        <w:rPr/>
        <w:t>Nature</w:t>
      </w:r>
      <w:r>
        <w:rPr>
          <w:spacing w:val="40"/>
        </w:rPr>
        <w:t> </w:t>
      </w:r>
      <w:r>
        <w:rPr/>
        <w:t>of</w:t>
      </w:r>
      <w:r>
        <w:rPr>
          <w:spacing w:val="40"/>
        </w:rPr>
        <w:t> </w:t>
      </w:r>
      <w:r>
        <w:rPr/>
        <w:t>Employees’</w:t>
      </w:r>
      <w:r>
        <w:rPr>
          <w:spacing w:val="40"/>
        </w:rPr>
        <w:t> </w:t>
      </w:r>
      <w:r>
        <w:rPr/>
        <w:t>Compensation</w:t>
      </w:r>
      <w:r>
        <w:rPr>
          <w:spacing w:val="40"/>
        </w:rPr>
        <w:t> </w:t>
      </w:r>
      <w:r>
        <w:rPr/>
        <w:t>under</w:t>
      </w:r>
      <w:r>
        <w:rPr>
          <w:spacing w:val="39"/>
        </w:rPr>
        <w:t> </w:t>
      </w:r>
      <w:r>
        <w:rPr/>
        <w:t>the </w:t>
      </w:r>
      <w:r>
        <w:rPr>
          <w:spacing w:val="-4"/>
        </w:rPr>
        <w:t>Act</w:t>
      </w:r>
    </w:p>
    <w:p>
      <w:pPr>
        <w:pStyle w:val="BodyText"/>
        <w:spacing w:line="489" w:lineRule="auto"/>
        <w:ind w:left="864" w:right="570"/>
        <w:jc w:val="both"/>
      </w:pPr>
      <w:r>
        <w:rPr/>
        <w:t>The concept of compensation for the purpose of the Act is defined as “any amount payable or service provided under the Act in respect of a disabled employee and includes rehabilitation.’’</w:t>
      </w:r>
      <w:r>
        <w:rPr>
          <w:vertAlign w:val="superscript"/>
        </w:rPr>
        <w:t>58</w:t>
      </w:r>
      <w:r>
        <w:rPr>
          <w:vertAlign w:val="baseline"/>
        </w:rPr>
        <w:t> The services referred to in this Act include health care services to a disabled employee. It also includes</w:t>
      </w:r>
      <w:r>
        <w:rPr>
          <w:spacing w:val="40"/>
          <w:vertAlign w:val="baseline"/>
        </w:rPr>
        <w:t> </w:t>
      </w:r>
      <w:r>
        <w:rPr>
          <w:vertAlign w:val="baseline"/>
        </w:rPr>
        <w:t>disability support. Section 26(1) of the Act reads:</w:t>
      </w:r>
    </w:p>
    <w:p>
      <w:pPr>
        <w:pStyle w:val="BodyText"/>
        <w:spacing w:line="244" w:lineRule="auto" w:before="5"/>
        <w:ind w:left="1540" w:right="1917"/>
        <w:jc w:val="both"/>
      </w:pPr>
      <w:r>
        <w:rPr/>
        <w:t>In addition to the other compensation provided by this Act, the Board may provide for the injured employee</w:t>
      </w:r>
      <w:r>
        <w:rPr>
          <w:spacing w:val="40"/>
        </w:rPr>
        <w:t> </w:t>
      </w:r>
      <w:r>
        <w:rPr/>
        <w:t>any medical, surgical, hospital, nursing and other care</w:t>
      </w:r>
      <w:r>
        <w:rPr>
          <w:spacing w:val="80"/>
        </w:rPr>
        <w:t> </w:t>
      </w:r>
      <w:r>
        <w:rPr/>
        <w:t>or treatment, transport, medicines, crutches and apparatus, including artificial members, that it may consider reasonably necessary at the time of the injury, and thereafter during the disability to cure and relieve from the effects of the injury or alleviate those effects, the Board may adopt rules and regulations with respect to furnishing health care to injured employees entitled</w:t>
      </w:r>
      <w:r>
        <w:rPr>
          <w:spacing w:val="80"/>
        </w:rPr>
        <w:t> </w:t>
      </w:r>
      <w:r>
        <w:rPr/>
        <w:t>to it and for the payment of it.</w:t>
      </w:r>
    </w:p>
    <w:p>
      <w:pPr>
        <w:pStyle w:val="BodyText"/>
        <w:spacing w:before="15"/>
      </w:pPr>
    </w:p>
    <w:p>
      <w:pPr>
        <w:pStyle w:val="BodyText"/>
        <w:spacing w:line="489" w:lineRule="auto"/>
        <w:ind w:left="864" w:right="566"/>
        <w:jc w:val="both"/>
      </w:pPr>
      <w:r>
        <w:rPr/>
        <w:t>This is also supported by section 16 of the Act which provides that the</w:t>
      </w:r>
      <w:r>
        <w:rPr>
          <w:spacing w:val="80"/>
        </w:rPr>
        <w:t> </w:t>
      </w:r>
      <w:r>
        <w:rPr/>
        <w:t>Board i.e. Nigeria Social Insurance Trust Fund Management Board, may in getting an</w:t>
      </w:r>
      <w:r>
        <w:rPr>
          <w:spacing w:val="40"/>
        </w:rPr>
        <w:t> </w:t>
      </w:r>
      <w:r>
        <w:rPr/>
        <w:t>injured employee back to work or</w:t>
      </w:r>
      <w:r>
        <w:rPr>
          <w:spacing w:val="40"/>
        </w:rPr>
        <w:t> </w:t>
      </w:r>
      <w:r>
        <w:rPr/>
        <w:t>in assisting to lessen or remove a resulting disability, take any measure and make the expenditures from the Fund that it considers necessary or expedient.</w:t>
      </w:r>
    </w:p>
    <w:p>
      <w:pPr>
        <w:pStyle w:val="BodyText"/>
        <w:spacing w:before="6"/>
      </w:pPr>
    </w:p>
    <w:p>
      <w:pPr>
        <w:pStyle w:val="BodyText"/>
        <w:spacing w:line="491" w:lineRule="auto"/>
        <w:ind w:left="864" w:right="570"/>
        <w:jc w:val="both"/>
      </w:pPr>
      <w:r>
        <w:rPr/>
        <w:t>While</w:t>
      </w:r>
      <w:r>
        <w:rPr>
          <w:spacing w:val="40"/>
        </w:rPr>
        <w:t> </w:t>
      </w:r>
      <w:r>
        <w:rPr/>
        <w:t>the</w:t>
      </w:r>
      <w:r>
        <w:rPr>
          <w:spacing w:val="40"/>
        </w:rPr>
        <w:t> </w:t>
      </w:r>
      <w:r>
        <w:rPr/>
        <w:t>percentages</w:t>
      </w:r>
      <w:r>
        <w:rPr>
          <w:spacing w:val="40"/>
        </w:rPr>
        <w:t> </w:t>
      </w:r>
      <w:r>
        <w:rPr/>
        <w:t>for</w:t>
      </w:r>
      <w:r>
        <w:rPr>
          <w:spacing w:val="40"/>
        </w:rPr>
        <w:t> </w:t>
      </w:r>
      <w:r>
        <w:rPr/>
        <w:t>monetary</w:t>
      </w:r>
      <w:r>
        <w:rPr>
          <w:spacing w:val="40"/>
        </w:rPr>
        <w:t> </w:t>
      </w:r>
      <w:r>
        <w:rPr/>
        <w:t>compensation</w:t>
      </w:r>
      <w:r>
        <w:rPr>
          <w:spacing w:val="40"/>
        </w:rPr>
        <w:t> </w:t>
      </w:r>
      <w:r>
        <w:rPr/>
        <w:t>are</w:t>
      </w:r>
      <w:r>
        <w:rPr>
          <w:spacing w:val="40"/>
        </w:rPr>
        <w:t> </w:t>
      </w:r>
      <w:r>
        <w:rPr/>
        <w:t>clearly</w:t>
      </w:r>
      <w:r>
        <w:rPr>
          <w:spacing w:val="40"/>
        </w:rPr>
        <w:t> </w:t>
      </w:r>
      <w:r>
        <w:rPr/>
        <w:t>defined</w:t>
      </w:r>
      <w:r>
        <w:rPr>
          <w:spacing w:val="40"/>
        </w:rPr>
        <w:t> </w:t>
      </w:r>
      <w:r>
        <w:rPr/>
        <w:t>in the</w:t>
      </w:r>
      <w:r>
        <w:rPr>
          <w:spacing w:val="40"/>
        </w:rPr>
        <w:t> </w:t>
      </w:r>
      <w:r>
        <w:rPr/>
        <w:t>Act</w:t>
      </w:r>
      <w:r>
        <w:rPr>
          <w:spacing w:val="40"/>
        </w:rPr>
        <w:t> </w:t>
      </w:r>
      <w:r>
        <w:rPr/>
        <w:t>and</w:t>
      </w:r>
      <w:r>
        <w:rPr>
          <w:spacing w:val="40"/>
        </w:rPr>
        <w:t> </w:t>
      </w:r>
      <w:r>
        <w:rPr/>
        <w:t>are</w:t>
      </w:r>
      <w:r>
        <w:rPr>
          <w:spacing w:val="40"/>
        </w:rPr>
        <w:t> </w:t>
      </w:r>
      <w:r>
        <w:rPr/>
        <w:t>obligatory</w:t>
      </w:r>
      <w:r>
        <w:rPr>
          <w:spacing w:val="40"/>
        </w:rPr>
        <w:t> </w:t>
      </w:r>
      <w:r>
        <w:rPr/>
        <w:t>on</w:t>
      </w:r>
      <w:r>
        <w:rPr>
          <w:spacing w:val="40"/>
        </w:rPr>
        <w:t> </w:t>
      </w:r>
      <w:r>
        <w:rPr/>
        <w:t>the</w:t>
      </w:r>
      <w:r>
        <w:rPr>
          <w:spacing w:val="40"/>
        </w:rPr>
        <w:t> </w:t>
      </w:r>
      <w:r>
        <w:rPr/>
        <w:t>Board</w:t>
      </w:r>
      <w:r>
        <w:rPr>
          <w:spacing w:val="40"/>
        </w:rPr>
        <w:t> </w:t>
      </w:r>
      <w:r>
        <w:rPr/>
        <w:t>when</w:t>
      </w:r>
      <w:r>
        <w:rPr>
          <w:spacing w:val="40"/>
        </w:rPr>
        <w:t> </w:t>
      </w:r>
      <w:r>
        <w:rPr/>
        <w:t>they</w:t>
      </w:r>
      <w:r>
        <w:rPr>
          <w:spacing w:val="40"/>
        </w:rPr>
        <w:t> </w:t>
      </w:r>
      <w:r>
        <w:rPr/>
        <w:t>are</w:t>
      </w:r>
      <w:r>
        <w:rPr>
          <w:spacing w:val="40"/>
        </w:rPr>
        <w:t> </w:t>
      </w:r>
      <w:r>
        <w:rPr/>
        <w:t>proved,</w:t>
      </w:r>
      <w:r>
        <w:rPr>
          <w:spacing w:val="40"/>
        </w:rPr>
        <w:t> </w:t>
      </w:r>
      <w:r>
        <w:rPr/>
        <w:t>other health</w:t>
      </w:r>
      <w:r>
        <w:rPr>
          <w:spacing w:val="39"/>
        </w:rPr>
        <w:t> </w:t>
      </w:r>
      <w:r>
        <w:rPr/>
        <w:t>care</w:t>
      </w:r>
      <w:r>
        <w:rPr>
          <w:spacing w:val="38"/>
        </w:rPr>
        <w:t> </w:t>
      </w:r>
      <w:r>
        <w:rPr/>
        <w:t>benefits</w:t>
      </w:r>
      <w:r>
        <w:rPr>
          <w:spacing w:val="42"/>
        </w:rPr>
        <w:t> </w:t>
      </w:r>
      <w:r>
        <w:rPr/>
        <w:t>except</w:t>
      </w:r>
      <w:r>
        <w:rPr>
          <w:spacing w:val="34"/>
        </w:rPr>
        <w:t> </w:t>
      </w:r>
      <w:r>
        <w:rPr/>
        <w:t>in</w:t>
      </w:r>
      <w:r>
        <w:rPr>
          <w:spacing w:val="39"/>
        </w:rPr>
        <w:t> </w:t>
      </w:r>
      <w:r>
        <w:rPr/>
        <w:t>cases</w:t>
      </w:r>
      <w:r>
        <w:rPr>
          <w:spacing w:val="38"/>
        </w:rPr>
        <w:t> </w:t>
      </w:r>
      <w:r>
        <w:rPr/>
        <w:t>of</w:t>
      </w:r>
      <w:r>
        <w:rPr>
          <w:spacing w:val="38"/>
        </w:rPr>
        <w:t> </w:t>
      </w:r>
      <w:r>
        <w:rPr/>
        <w:t>occupational</w:t>
      </w:r>
      <w:r>
        <w:rPr>
          <w:spacing w:val="35"/>
        </w:rPr>
        <w:t> </w:t>
      </w:r>
      <w:r>
        <w:rPr/>
        <w:t>diseases,</w:t>
      </w:r>
      <w:r>
        <w:rPr>
          <w:spacing w:val="42"/>
        </w:rPr>
        <w:t> </w:t>
      </w:r>
      <w:r>
        <w:rPr/>
        <w:t>are</w:t>
      </w:r>
      <w:r>
        <w:rPr>
          <w:spacing w:val="38"/>
        </w:rPr>
        <w:t> </w:t>
      </w:r>
      <w:r>
        <w:rPr/>
        <w:t>at</w:t>
      </w:r>
      <w:r>
        <w:rPr>
          <w:spacing w:val="39"/>
        </w:rPr>
        <w:t> </w:t>
      </w:r>
      <w:r>
        <w:rPr>
          <w:spacing w:val="-5"/>
        </w:rPr>
        <w:t>the</w:t>
      </w:r>
    </w:p>
    <w:p>
      <w:pPr>
        <w:pStyle w:val="BodyText"/>
        <w:rPr>
          <w:sz w:val="20"/>
        </w:rPr>
      </w:pPr>
    </w:p>
    <w:p>
      <w:pPr>
        <w:pStyle w:val="BodyText"/>
        <w:spacing w:before="80"/>
        <w:rPr>
          <w:sz w:val="20"/>
        </w:rPr>
      </w:pPr>
      <w:r>
        <w:rPr/>
        <mc:AlternateContent>
          <mc:Choice Requires="wps">
            <w:drawing>
              <wp:anchor distT="0" distB="0" distL="0" distR="0" allowOverlap="1" layoutInCell="1" locked="0" behindDoc="1" simplePos="0" relativeHeight="487607808">
                <wp:simplePos x="0" y="0"/>
                <wp:positionH relativeFrom="page">
                  <wp:posOffset>1185672</wp:posOffset>
                </wp:positionH>
                <wp:positionV relativeFrom="paragraph">
                  <wp:posOffset>219633</wp:posOffset>
                </wp:positionV>
                <wp:extent cx="1719580" cy="6350"/>
                <wp:effectExtent l="0" t="0" r="0" b="0"/>
                <wp:wrapTopAndBottom/>
                <wp:docPr id="43" name="Graphic 43"/>
                <wp:cNvGraphicFramePr>
                  <a:graphicFrameLocks/>
                </wp:cNvGraphicFramePr>
                <a:graphic>
                  <a:graphicData uri="http://schemas.microsoft.com/office/word/2010/wordprocessingShape">
                    <wps:wsp>
                      <wps:cNvPr id="43" name="Graphic 43"/>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7.294004pt;width:135.360pt;height:.48pt;mso-position-horizontal-relative:page;mso-position-vertical-relative:paragraph;z-index:-15708672;mso-wrap-distance-left:0;mso-wrap-distance-right:0" id="docshape43" filled="true" fillcolor="#000000" stroked="false">
                <v:fill type="solid"/>
                <w10:wrap type="topAndBottom"/>
              </v:rect>
            </w:pict>
          </mc:Fallback>
        </mc:AlternateContent>
      </w:r>
    </w:p>
    <w:p>
      <w:pPr>
        <w:spacing w:before="91"/>
        <w:ind w:left="187" w:right="0" w:firstLine="0"/>
        <w:jc w:val="left"/>
        <w:rPr>
          <w:rFonts w:ascii="Times New Roman" w:hAnsi="Times New Roman"/>
          <w:sz w:val="19"/>
        </w:rPr>
      </w:pPr>
      <w:r>
        <w:rPr>
          <w:rFonts w:ascii="Times New Roman" w:hAnsi="Times New Roman"/>
          <w:sz w:val="19"/>
          <w:vertAlign w:val="superscript"/>
        </w:rPr>
        <w:t>58</w:t>
      </w:r>
      <w:r>
        <w:rPr>
          <w:rFonts w:ascii="Times New Roman" w:hAnsi="Times New Roman"/>
          <w:spacing w:val="-8"/>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73</w:t>
      </w:r>
      <w:r>
        <w:rPr>
          <w:rFonts w:ascii="Times New Roman" w:hAnsi="Times New Roman"/>
          <w:spacing w:val="30"/>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6"/>
          <w:sz w:val="19"/>
          <w:vertAlign w:val="baseline"/>
        </w:rPr>
        <w:t> </w:t>
      </w:r>
      <w:r>
        <w:rPr>
          <w:rFonts w:ascii="Times New Roman" w:hAnsi="Times New Roman"/>
          <w:sz w:val="19"/>
          <w:vertAlign w:val="baseline"/>
        </w:rPr>
        <w:t>Compensation</w:t>
      </w:r>
      <w:r>
        <w:rPr>
          <w:rFonts w:ascii="Times New Roman" w:hAnsi="Times New Roman"/>
          <w:spacing w:val="-5"/>
          <w:sz w:val="19"/>
          <w:vertAlign w:val="baseline"/>
        </w:rPr>
        <w:t> </w:t>
      </w:r>
      <w:r>
        <w:rPr>
          <w:rFonts w:ascii="Times New Roman" w:hAnsi="Times New Roman"/>
          <w:sz w:val="19"/>
          <w:vertAlign w:val="baseline"/>
        </w:rPr>
        <w:t>Act,</w:t>
      </w:r>
      <w:r>
        <w:rPr>
          <w:rFonts w:ascii="Times New Roman" w:hAnsi="Times New Roman"/>
          <w:spacing w:val="-5"/>
          <w:sz w:val="19"/>
          <w:vertAlign w:val="baseline"/>
        </w:rPr>
        <w:t> </w:t>
      </w:r>
      <w:r>
        <w:rPr>
          <w:rFonts w:ascii="Times New Roman" w:hAnsi="Times New Roman"/>
          <w:sz w:val="19"/>
          <w:vertAlign w:val="baseline"/>
        </w:rPr>
        <w:t>No.</w:t>
      </w:r>
      <w:r>
        <w:rPr>
          <w:rFonts w:ascii="Times New Roman" w:hAnsi="Times New Roman"/>
          <w:spacing w:val="-12"/>
          <w:sz w:val="19"/>
          <w:vertAlign w:val="baseline"/>
        </w:rPr>
        <w:t> </w:t>
      </w:r>
      <w:r>
        <w:rPr>
          <w:rFonts w:ascii="Times New Roman" w:hAnsi="Times New Roman"/>
          <w:sz w:val="19"/>
          <w:vertAlign w:val="baseline"/>
        </w:rPr>
        <w:t>13,</w:t>
      </w:r>
      <w:r>
        <w:rPr>
          <w:rFonts w:ascii="Times New Roman" w:hAnsi="Times New Roman"/>
          <w:spacing w:val="-9"/>
          <w:sz w:val="19"/>
          <w:vertAlign w:val="baseline"/>
        </w:rPr>
        <w:t> </w:t>
      </w:r>
      <w:r>
        <w:rPr>
          <w:rFonts w:ascii="Times New Roman" w:hAnsi="Times New Roman"/>
          <w:spacing w:val="-4"/>
          <w:sz w:val="19"/>
          <w:vertAlign w:val="baseline"/>
        </w:rPr>
        <w:t>2010</w:t>
      </w:r>
    </w:p>
    <w:p>
      <w:pPr>
        <w:spacing w:after="0"/>
        <w:jc w:val="left"/>
        <w:rPr>
          <w:rFonts w:ascii="Times New Roman" w:hAnsi="Times New Roman"/>
          <w:sz w:val="19"/>
        </w:rPr>
        <w:sectPr>
          <w:pgSz w:w="12240" w:h="15840"/>
          <w:pgMar w:header="0" w:footer="1009" w:top="1260" w:bottom="1200" w:left="1680" w:right="1320"/>
        </w:sectPr>
      </w:pPr>
    </w:p>
    <w:p>
      <w:pPr>
        <w:pStyle w:val="BodyText"/>
        <w:spacing w:line="489" w:lineRule="auto" w:before="114"/>
        <w:ind w:left="864" w:right="564"/>
        <w:jc w:val="both"/>
      </w:pPr>
      <w:r>
        <w:rPr/>
        <w:t>discretion of the Board.</w:t>
      </w:r>
      <w:r>
        <w:rPr>
          <w:vertAlign w:val="superscript"/>
        </w:rPr>
        <w:t>59</w:t>
      </w:r>
      <w:r>
        <w:rPr>
          <w:vertAlign w:val="baseline"/>
        </w:rPr>
        <w:t> For example an employee can only legally sue for health care benefits in respect of occupational disease. It is the view of the researcher that health care services</w:t>
      </w:r>
      <w:r>
        <w:rPr>
          <w:spacing w:val="40"/>
          <w:vertAlign w:val="baseline"/>
        </w:rPr>
        <w:t> </w:t>
      </w:r>
      <w:r>
        <w:rPr>
          <w:vertAlign w:val="baseline"/>
        </w:rPr>
        <w:t>or disability supports ought not to be discretionary remedies but obligatory on the Board in the event of any disability to employees out of or in the course of employment.</w:t>
      </w:r>
    </w:p>
    <w:p>
      <w:pPr>
        <w:pStyle w:val="BodyText"/>
        <w:spacing w:before="10"/>
      </w:pPr>
    </w:p>
    <w:p>
      <w:pPr>
        <w:pStyle w:val="BodyText"/>
        <w:spacing w:line="489" w:lineRule="auto"/>
        <w:ind w:left="864" w:right="567"/>
        <w:jc w:val="both"/>
      </w:pPr>
      <w:r>
        <w:rPr/>
        <w:t>Also, compensation payable under the Act is only restricted to personal injury and does not include injury to the employees’ property.</w:t>
      </w:r>
      <w:r>
        <w:rPr>
          <w:vertAlign w:val="superscript"/>
        </w:rPr>
        <w:t>60</w:t>
      </w:r>
      <w:r>
        <w:rPr>
          <w:vertAlign w:val="baseline"/>
        </w:rPr>
        <w:t>This means that</w:t>
      </w:r>
      <w:r>
        <w:rPr>
          <w:spacing w:val="23"/>
          <w:vertAlign w:val="baseline"/>
        </w:rPr>
        <w:t> </w:t>
      </w:r>
      <w:r>
        <w:rPr>
          <w:vertAlign w:val="baseline"/>
        </w:rPr>
        <w:t>where</w:t>
      </w:r>
      <w:r>
        <w:rPr>
          <w:spacing w:val="31"/>
          <w:vertAlign w:val="baseline"/>
        </w:rPr>
        <w:t> </w:t>
      </w:r>
      <w:r>
        <w:rPr>
          <w:vertAlign w:val="baseline"/>
        </w:rPr>
        <w:t>there</w:t>
      </w:r>
      <w:r>
        <w:rPr>
          <w:spacing w:val="26"/>
          <w:vertAlign w:val="baseline"/>
        </w:rPr>
        <w:t> </w:t>
      </w:r>
      <w:r>
        <w:rPr>
          <w:vertAlign w:val="baseline"/>
        </w:rPr>
        <w:t>is</w:t>
      </w:r>
      <w:r>
        <w:rPr>
          <w:spacing w:val="30"/>
          <w:vertAlign w:val="baseline"/>
        </w:rPr>
        <w:t> </w:t>
      </w:r>
      <w:r>
        <w:rPr>
          <w:vertAlign w:val="baseline"/>
        </w:rPr>
        <w:t>any</w:t>
      </w:r>
      <w:r>
        <w:rPr>
          <w:spacing w:val="33"/>
          <w:vertAlign w:val="baseline"/>
        </w:rPr>
        <w:t> </w:t>
      </w:r>
      <w:r>
        <w:rPr>
          <w:vertAlign w:val="baseline"/>
        </w:rPr>
        <w:t>damage</w:t>
      </w:r>
      <w:r>
        <w:rPr>
          <w:spacing w:val="31"/>
          <w:vertAlign w:val="baseline"/>
        </w:rPr>
        <w:t> </w:t>
      </w:r>
      <w:r>
        <w:rPr>
          <w:vertAlign w:val="baseline"/>
        </w:rPr>
        <w:t>or</w:t>
      </w:r>
      <w:r>
        <w:rPr>
          <w:spacing w:val="27"/>
          <w:vertAlign w:val="baseline"/>
        </w:rPr>
        <w:t> </w:t>
      </w:r>
      <w:r>
        <w:rPr>
          <w:vertAlign w:val="baseline"/>
        </w:rPr>
        <w:t>loss</w:t>
      </w:r>
      <w:r>
        <w:rPr>
          <w:spacing w:val="30"/>
          <w:vertAlign w:val="baseline"/>
        </w:rPr>
        <w:t> </w:t>
      </w:r>
      <w:r>
        <w:rPr>
          <w:vertAlign w:val="baseline"/>
        </w:rPr>
        <w:t>to</w:t>
      </w:r>
      <w:r>
        <w:rPr>
          <w:spacing w:val="32"/>
          <w:vertAlign w:val="baseline"/>
        </w:rPr>
        <w:t> </w:t>
      </w:r>
      <w:r>
        <w:rPr>
          <w:vertAlign w:val="baseline"/>
        </w:rPr>
        <w:t>an</w:t>
      </w:r>
      <w:r>
        <w:rPr>
          <w:spacing w:val="29"/>
          <w:vertAlign w:val="baseline"/>
        </w:rPr>
        <w:t> </w:t>
      </w:r>
      <w:r>
        <w:rPr>
          <w:vertAlign w:val="baseline"/>
        </w:rPr>
        <w:t>employee’s</w:t>
      </w:r>
      <w:r>
        <w:rPr>
          <w:spacing w:val="30"/>
          <w:vertAlign w:val="baseline"/>
        </w:rPr>
        <w:t> </w:t>
      </w:r>
      <w:r>
        <w:rPr>
          <w:vertAlign w:val="baseline"/>
        </w:rPr>
        <w:t>property</w:t>
      </w:r>
      <w:r>
        <w:rPr>
          <w:spacing w:val="33"/>
          <w:vertAlign w:val="baseline"/>
        </w:rPr>
        <w:t> </w:t>
      </w:r>
      <w:r>
        <w:rPr>
          <w:vertAlign w:val="baseline"/>
        </w:rPr>
        <w:t>out</w:t>
      </w:r>
      <w:r>
        <w:rPr>
          <w:spacing w:val="33"/>
          <w:vertAlign w:val="baseline"/>
        </w:rPr>
        <w:t> </w:t>
      </w:r>
      <w:r>
        <w:rPr>
          <w:vertAlign w:val="baseline"/>
        </w:rPr>
        <w:t>of or in the course of employment, there is no remedy for such an employee under the Act.</w:t>
      </w:r>
    </w:p>
    <w:p>
      <w:pPr>
        <w:pStyle w:val="BodyText"/>
        <w:spacing w:before="11"/>
      </w:pPr>
    </w:p>
    <w:p>
      <w:pPr>
        <w:pStyle w:val="BodyText"/>
        <w:spacing w:line="489" w:lineRule="auto"/>
        <w:ind w:left="864" w:right="565"/>
        <w:jc w:val="both"/>
      </w:pPr>
      <w:r>
        <w:rPr/>
        <w:t>Compensation due to any employee is not assignable or liable to attachment</w:t>
      </w:r>
      <w:r>
        <w:rPr>
          <w:vertAlign w:val="superscript"/>
        </w:rPr>
        <w:t>61</w:t>
      </w:r>
      <w:r>
        <w:rPr>
          <w:vertAlign w:val="baseline"/>
        </w:rPr>
        <w:t>. It cannot also pass by operation of law to another party except to a personal representative.</w:t>
      </w:r>
      <w:r>
        <w:rPr>
          <w:vertAlign w:val="superscript"/>
        </w:rPr>
        <w:t>62</w:t>
      </w:r>
      <w:r>
        <w:rPr>
          <w:vertAlign w:val="baseline"/>
        </w:rPr>
        <w:t> No claim can also set off against any compensation due to any employee. </w:t>
      </w:r>
      <w:r>
        <w:rPr>
          <w:vertAlign w:val="superscript"/>
        </w:rPr>
        <w:t>63</w:t>
      </w:r>
      <w:r>
        <w:rPr>
          <w:vertAlign w:val="baseline"/>
        </w:rPr>
        <w:t>However, when money is advanced</w:t>
      </w:r>
      <w:r>
        <w:rPr>
          <w:spacing w:val="80"/>
          <w:vertAlign w:val="baseline"/>
        </w:rPr>
        <w:t> </w:t>
      </w:r>
      <w:r>
        <w:rPr>
          <w:vertAlign w:val="baseline"/>
        </w:rPr>
        <w:t>to the employee by way of financial or social welfare assistance by the Federal, State, Local Government or the Board, a claim by any of the mentioned bodies can be set off against any amount of compensation due</w:t>
      </w:r>
      <w:r>
        <w:rPr>
          <w:spacing w:val="40"/>
          <w:vertAlign w:val="baseline"/>
        </w:rPr>
        <w:t> </w:t>
      </w:r>
      <w:r>
        <w:rPr>
          <w:vertAlign w:val="baseline"/>
        </w:rPr>
        <w:t>to the employee.</w:t>
      </w:r>
      <w:r>
        <w:rPr>
          <w:vertAlign w:val="superscript"/>
        </w:rPr>
        <w:t>64</w:t>
      </w:r>
    </w:p>
    <w:p>
      <w:pPr>
        <w:pStyle w:val="BodyText"/>
        <w:spacing w:before="18"/>
        <w:rPr>
          <w:sz w:val="20"/>
        </w:rPr>
      </w:pPr>
      <w:r>
        <w:rPr/>
        <mc:AlternateContent>
          <mc:Choice Requires="wps">
            <w:drawing>
              <wp:anchor distT="0" distB="0" distL="0" distR="0" allowOverlap="1" layoutInCell="1" locked="0" behindDoc="1" simplePos="0" relativeHeight="487608320">
                <wp:simplePos x="0" y="0"/>
                <wp:positionH relativeFrom="page">
                  <wp:posOffset>1185672</wp:posOffset>
                </wp:positionH>
                <wp:positionV relativeFrom="paragraph">
                  <wp:posOffset>180125</wp:posOffset>
                </wp:positionV>
                <wp:extent cx="1719580" cy="6350"/>
                <wp:effectExtent l="0" t="0" r="0" b="0"/>
                <wp:wrapTopAndBottom/>
                <wp:docPr id="44" name="Graphic 44"/>
                <wp:cNvGraphicFramePr>
                  <a:graphicFrameLocks/>
                </wp:cNvGraphicFramePr>
                <a:graphic>
                  <a:graphicData uri="http://schemas.microsoft.com/office/word/2010/wordprocessingShape">
                    <wps:wsp>
                      <wps:cNvPr id="44" name="Graphic 44"/>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183125pt;width:135.360pt;height:.48pt;mso-position-horizontal-relative:page;mso-position-vertical-relative:paragraph;z-index:-15708160;mso-wrap-distance-left:0;mso-wrap-distance-right:0" id="docshape44" filled="true" fillcolor="#000000" stroked="false">
                <v:fill type="solid"/>
                <w10:wrap type="topAndBottom"/>
              </v:rect>
            </w:pict>
          </mc:Fallback>
        </mc:AlternateContent>
      </w:r>
    </w:p>
    <w:p>
      <w:pPr>
        <w:spacing w:line="240" w:lineRule="auto" w:before="96"/>
        <w:ind w:left="187" w:right="563" w:firstLine="0"/>
        <w:jc w:val="left"/>
        <w:rPr>
          <w:rFonts w:ascii="Times New Roman" w:hAnsi="Times New Roman"/>
          <w:sz w:val="19"/>
        </w:rPr>
      </w:pPr>
      <w:r>
        <w:rPr>
          <w:rFonts w:ascii="Times New Roman" w:hAnsi="Times New Roman"/>
          <w:sz w:val="19"/>
          <w:vertAlign w:val="superscript"/>
        </w:rPr>
        <w:t>59</w:t>
      </w:r>
      <w:r>
        <w:rPr>
          <w:rFonts w:ascii="Times New Roman" w:hAnsi="Times New Roman"/>
          <w:sz w:val="19"/>
          <w:vertAlign w:val="baseline"/>
        </w:rPr>
        <w:t> The</w:t>
      </w:r>
      <w:r>
        <w:rPr>
          <w:rFonts w:ascii="Times New Roman" w:hAnsi="Times New Roman"/>
          <w:spacing w:val="-7"/>
          <w:sz w:val="19"/>
          <w:vertAlign w:val="baseline"/>
        </w:rPr>
        <w:t> </w:t>
      </w:r>
      <w:r>
        <w:rPr>
          <w:rFonts w:ascii="Times New Roman" w:hAnsi="Times New Roman"/>
          <w:sz w:val="19"/>
          <w:vertAlign w:val="baseline"/>
        </w:rPr>
        <w:t>word</w:t>
      </w:r>
      <w:r>
        <w:rPr>
          <w:rFonts w:ascii="Times New Roman" w:hAnsi="Times New Roman"/>
          <w:spacing w:val="-4"/>
          <w:sz w:val="19"/>
          <w:vertAlign w:val="baseline"/>
        </w:rPr>
        <w:t> </w:t>
      </w:r>
      <w:r>
        <w:rPr>
          <w:rFonts w:ascii="Times New Roman" w:hAnsi="Times New Roman"/>
          <w:sz w:val="19"/>
          <w:vertAlign w:val="baseline"/>
        </w:rPr>
        <w:t>“may”</w:t>
      </w:r>
      <w:r>
        <w:rPr>
          <w:rFonts w:ascii="Times New Roman" w:hAnsi="Times New Roman"/>
          <w:spacing w:val="-3"/>
          <w:sz w:val="19"/>
          <w:vertAlign w:val="baseline"/>
        </w:rPr>
        <w:t> </w:t>
      </w:r>
      <w:r>
        <w:rPr>
          <w:rFonts w:ascii="Times New Roman" w:hAnsi="Times New Roman"/>
          <w:sz w:val="19"/>
          <w:vertAlign w:val="baseline"/>
        </w:rPr>
        <w:t>used</w:t>
      </w:r>
      <w:r>
        <w:rPr>
          <w:rFonts w:ascii="Times New Roman" w:hAnsi="Times New Roman"/>
          <w:spacing w:val="-4"/>
          <w:sz w:val="19"/>
          <w:vertAlign w:val="baseline"/>
        </w:rPr>
        <w:t> </w:t>
      </w:r>
      <w:r>
        <w:rPr>
          <w:rFonts w:ascii="Times New Roman" w:hAnsi="Times New Roman"/>
          <w:sz w:val="19"/>
          <w:vertAlign w:val="baseline"/>
        </w:rPr>
        <w:t>in sections</w:t>
      </w:r>
      <w:r>
        <w:rPr>
          <w:rFonts w:ascii="Times New Roman" w:hAnsi="Times New Roman"/>
          <w:spacing w:val="-2"/>
          <w:sz w:val="19"/>
          <w:vertAlign w:val="baseline"/>
        </w:rPr>
        <w:t> </w:t>
      </w:r>
      <w:r>
        <w:rPr>
          <w:rFonts w:ascii="Times New Roman" w:hAnsi="Times New Roman"/>
          <w:sz w:val="19"/>
          <w:vertAlign w:val="baseline"/>
        </w:rPr>
        <w:t>26</w:t>
      </w:r>
      <w:r>
        <w:rPr>
          <w:rFonts w:ascii="Times New Roman" w:hAnsi="Times New Roman"/>
          <w:spacing w:val="-8"/>
          <w:sz w:val="19"/>
          <w:vertAlign w:val="baseline"/>
        </w:rPr>
        <w:t> </w:t>
      </w:r>
      <w:r>
        <w:rPr>
          <w:rFonts w:ascii="Times New Roman" w:hAnsi="Times New Roman"/>
          <w:sz w:val="19"/>
          <w:vertAlign w:val="baseline"/>
        </w:rPr>
        <w:t>and</w:t>
      </w:r>
      <w:r>
        <w:rPr>
          <w:rFonts w:ascii="Times New Roman" w:hAnsi="Times New Roman"/>
          <w:spacing w:val="-8"/>
          <w:sz w:val="19"/>
          <w:vertAlign w:val="baseline"/>
        </w:rPr>
        <w:t> </w:t>
      </w:r>
      <w:r>
        <w:rPr>
          <w:rFonts w:ascii="Times New Roman" w:hAnsi="Times New Roman"/>
          <w:sz w:val="19"/>
          <w:vertAlign w:val="baseline"/>
        </w:rPr>
        <w:t>16</w:t>
      </w:r>
      <w:r>
        <w:rPr>
          <w:rFonts w:ascii="Times New Roman" w:hAnsi="Times New Roman"/>
          <w:spacing w:val="-4"/>
          <w:sz w:val="19"/>
          <w:vertAlign w:val="baseline"/>
        </w:rPr>
        <w:t> </w:t>
      </w:r>
      <w:r>
        <w:rPr>
          <w:rFonts w:ascii="Times New Roman" w:hAnsi="Times New Roman"/>
          <w:sz w:val="19"/>
          <w:vertAlign w:val="baseline"/>
        </w:rPr>
        <w:t>of</w:t>
      </w:r>
      <w:r>
        <w:rPr>
          <w:rFonts w:ascii="Times New Roman" w:hAnsi="Times New Roman"/>
          <w:spacing w:val="-6"/>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Act suggests</w:t>
      </w:r>
      <w:r>
        <w:rPr>
          <w:rFonts w:ascii="Times New Roman" w:hAnsi="Times New Roman"/>
          <w:spacing w:val="-2"/>
          <w:sz w:val="19"/>
          <w:vertAlign w:val="baseline"/>
        </w:rPr>
        <w:t> </w:t>
      </w:r>
      <w:r>
        <w:rPr>
          <w:rFonts w:ascii="Times New Roman" w:hAnsi="Times New Roman"/>
          <w:sz w:val="19"/>
          <w:vertAlign w:val="baseline"/>
        </w:rPr>
        <w:t>discretion.</w:t>
      </w:r>
      <w:r>
        <w:rPr>
          <w:rFonts w:ascii="Times New Roman" w:hAnsi="Times New Roman"/>
          <w:spacing w:val="-4"/>
          <w:sz w:val="19"/>
          <w:vertAlign w:val="baseline"/>
        </w:rPr>
        <w:t> </w:t>
      </w:r>
      <w:r>
        <w:rPr>
          <w:rFonts w:ascii="Times New Roman" w:hAnsi="Times New Roman"/>
          <w:sz w:val="19"/>
          <w:vertAlign w:val="baseline"/>
        </w:rPr>
        <w:t>See</w:t>
      </w:r>
      <w:r>
        <w:rPr>
          <w:rFonts w:ascii="Times New Roman" w:hAnsi="Times New Roman"/>
          <w:spacing w:val="-11"/>
          <w:sz w:val="19"/>
          <w:vertAlign w:val="baseline"/>
        </w:rPr>
        <w:t> </w:t>
      </w:r>
      <w:r>
        <w:rPr>
          <w:rFonts w:ascii="Times New Roman" w:hAnsi="Times New Roman"/>
          <w:sz w:val="19"/>
          <w:vertAlign w:val="baseline"/>
        </w:rPr>
        <w:t>however,</w:t>
      </w:r>
      <w:r>
        <w:rPr>
          <w:rFonts w:ascii="Times New Roman" w:hAnsi="Times New Roman"/>
          <w:spacing w:val="-5"/>
          <w:sz w:val="19"/>
          <w:vertAlign w:val="baseline"/>
        </w:rPr>
        <w:t> </w:t>
      </w:r>
      <w:r>
        <w:rPr>
          <w:rFonts w:ascii="Times New Roman" w:hAnsi="Times New Roman"/>
          <w:sz w:val="19"/>
          <w:vertAlign w:val="baseline"/>
        </w:rPr>
        <w:t>section</w:t>
      </w:r>
      <w:r>
        <w:rPr>
          <w:rFonts w:ascii="Times New Roman" w:hAnsi="Times New Roman"/>
          <w:spacing w:val="-3"/>
          <w:sz w:val="19"/>
          <w:vertAlign w:val="baseline"/>
        </w:rPr>
        <w:t> </w:t>
      </w:r>
      <w:r>
        <w:rPr>
          <w:rFonts w:ascii="Times New Roman" w:hAnsi="Times New Roman"/>
          <w:sz w:val="19"/>
          <w:vertAlign w:val="baseline"/>
        </w:rPr>
        <w:t>9(i)(a)(c)(d) ibid which says</w:t>
      </w:r>
      <w:r>
        <w:rPr>
          <w:rFonts w:ascii="Times New Roman" w:hAnsi="Times New Roman"/>
          <w:spacing w:val="40"/>
          <w:sz w:val="19"/>
          <w:vertAlign w:val="baseline"/>
        </w:rPr>
        <w:t> </w:t>
      </w:r>
      <w:r>
        <w:rPr>
          <w:rFonts w:ascii="Times New Roman" w:hAnsi="Times New Roman"/>
          <w:sz w:val="19"/>
          <w:vertAlign w:val="baseline"/>
        </w:rPr>
        <w:t>‘Health care</w:t>
      </w:r>
      <w:r>
        <w:rPr>
          <w:rFonts w:ascii="Times New Roman" w:hAnsi="Times New Roman"/>
          <w:spacing w:val="-2"/>
          <w:sz w:val="19"/>
          <w:vertAlign w:val="baseline"/>
        </w:rPr>
        <w:t> </w:t>
      </w:r>
      <w:r>
        <w:rPr>
          <w:rFonts w:ascii="Times New Roman" w:hAnsi="Times New Roman"/>
          <w:sz w:val="19"/>
          <w:vertAlign w:val="baseline"/>
        </w:rPr>
        <w:t>benefits shall be</w:t>
      </w:r>
      <w:r>
        <w:rPr>
          <w:rFonts w:ascii="Times New Roman" w:hAnsi="Times New Roman"/>
          <w:spacing w:val="-2"/>
          <w:sz w:val="19"/>
          <w:vertAlign w:val="baseline"/>
        </w:rPr>
        <w:t> </w:t>
      </w:r>
      <w:r>
        <w:rPr>
          <w:rFonts w:ascii="Times New Roman" w:hAnsi="Times New Roman"/>
          <w:sz w:val="19"/>
          <w:vertAlign w:val="baseline"/>
        </w:rPr>
        <w:t>paid in any</w:t>
      </w:r>
      <w:r>
        <w:rPr>
          <w:rFonts w:ascii="Times New Roman" w:hAnsi="Times New Roman"/>
          <w:spacing w:val="-8"/>
          <w:sz w:val="19"/>
          <w:vertAlign w:val="baseline"/>
        </w:rPr>
        <w:t> </w:t>
      </w:r>
      <w:r>
        <w:rPr>
          <w:rFonts w:ascii="Times New Roman" w:hAnsi="Times New Roman"/>
          <w:sz w:val="19"/>
          <w:vertAlign w:val="baseline"/>
        </w:rPr>
        <w:t>case</w:t>
      </w:r>
      <w:r>
        <w:rPr>
          <w:rFonts w:ascii="Times New Roman" w:hAnsi="Times New Roman"/>
          <w:spacing w:val="-2"/>
          <w:sz w:val="19"/>
          <w:vertAlign w:val="baseline"/>
        </w:rPr>
        <w:t> </w:t>
      </w:r>
      <w:r>
        <w:rPr>
          <w:rFonts w:ascii="Times New Roman" w:hAnsi="Times New Roman"/>
          <w:sz w:val="19"/>
          <w:vertAlign w:val="baseline"/>
        </w:rPr>
        <w:t>of</w:t>
      </w:r>
      <w:r>
        <w:rPr>
          <w:rFonts w:ascii="Times New Roman" w:hAnsi="Times New Roman"/>
          <w:spacing w:val="-5"/>
          <w:sz w:val="19"/>
          <w:vertAlign w:val="baseline"/>
        </w:rPr>
        <w:t> </w:t>
      </w:r>
      <w:r>
        <w:rPr>
          <w:rFonts w:ascii="Times New Roman" w:hAnsi="Times New Roman"/>
          <w:sz w:val="19"/>
          <w:vertAlign w:val="baseline"/>
        </w:rPr>
        <w:t>occupational disease. See</w:t>
      </w:r>
      <w:r>
        <w:rPr>
          <w:rFonts w:ascii="Times New Roman" w:hAnsi="Times New Roman"/>
          <w:spacing w:val="-2"/>
          <w:sz w:val="19"/>
          <w:vertAlign w:val="baseline"/>
        </w:rPr>
        <w:t> </w:t>
      </w:r>
      <w:r>
        <w:rPr>
          <w:rFonts w:ascii="Times New Roman" w:hAnsi="Times New Roman"/>
          <w:sz w:val="19"/>
          <w:vertAlign w:val="baseline"/>
        </w:rPr>
        <w:t>also, section 17 of the</w:t>
      </w:r>
      <w:r>
        <w:rPr>
          <w:rFonts w:ascii="Times New Roman" w:hAnsi="Times New Roman"/>
          <w:spacing w:val="-12"/>
          <w:sz w:val="19"/>
          <w:vertAlign w:val="baseline"/>
        </w:rPr>
        <w:t> </w:t>
      </w:r>
      <w:r>
        <w:rPr>
          <w:rFonts w:ascii="Times New Roman" w:hAnsi="Times New Roman"/>
          <w:sz w:val="19"/>
          <w:vertAlign w:val="baseline"/>
        </w:rPr>
        <w:t>Act</w:t>
      </w:r>
      <w:r>
        <w:rPr>
          <w:rFonts w:ascii="Times New Roman" w:hAnsi="Times New Roman"/>
          <w:spacing w:val="-3"/>
          <w:sz w:val="19"/>
          <w:vertAlign w:val="baseline"/>
        </w:rPr>
        <w:t> </w:t>
      </w:r>
      <w:r>
        <w:rPr>
          <w:rFonts w:ascii="Times New Roman" w:hAnsi="Times New Roman"/>
          <w:sz w:val="19"/>
          <w:vertAlign w:val="baseline"/>
        </w:rPr>
        <w:t>which</w:t>
      </w:r>
      <w:r>
        <w:rPr>
          <w:rFonts w:ascii="Times New Roman" w:hAnsi="Times New Roman"/>
          <w:spacing w:val="-7"/>
          <w:sz w:val="19"/>
          <w:vertAlign w:val="baseline"/>
        </w:rPr>
        <w:t> </w:t>
      </w:r>
      <w:r>
        <w:rPr>
          <w:rFonts w:ascii="Times New Roman" w:hAnsi="Times New Roman"/>
          <w:sz w:val="19"/>
          <w:vertAlign w:val="baseline"/>
        </w:rPr>
        <w:t>provides</w:t>
      </w:r>
      <w:r>
        <w:rPr>
          <w:rFonts w:ascii="Times New Roman" w:hAnsi="Times New Roman"/>
          <w:spacing w:val="-9"/>
          <w:sz w:val="19"/>
          <w:vertAlign w:val="baseline"/>
        </w:rPr>
        <w:t> </w:t>
      </w:r>
      <w:r>
        <w:rPr>
          <w:rFonts w:ascii="Times New Roman" w:hAnsi="Times New Roman"/>
          <w:sz w:val="19"/>
          <w:vertAlign w:val="baseline"/>
        </w:rPr>
        <w:t>for various</w:t>
      </w:r>
      <w:r>
        <w:rPr>
          <w:rFonts w:ascii="Times New Roman" w:hAnsi="Times New Roman"/>
          <w:spacing w:val="-5"/>
          <w:sz w:val="19"/>
          <w:vertAlign w:val="baseline"/>
        </w:rPr>
        <w:t> </w:t>
      </w:r>
      <w:r>
        <w:rPr>
          <w:rFonts w:ascii="Times New Roman" w:hAnsi="Times New Roman"/>
          <w:sz w:val="19"/>
          <w:vertAlign w:val="baseline"/>
        </w:rPr>
        <w:t>scales</w:t>
      </w:r>
      <w:r>
        <w:rPr>
          <w:rFonts w:ascii="Times New Roman" w:hAnsi="Times New Roman"/>
          <w:spacing w:val="-9"/>
          <w:sz w:val="19"/>
          <w:vertAlign w:val="baseline"/>
        </w:rPr>
        <w:t> </w:t>
      </w:r>
      <w:r>
        <w:rPr>
          <w:rFonts w:ascii="Times New Roman" w:hAnsi="Times New Roman"/>
          <w:sz w:val="19"/>
          <w:vertAlign w:val="baseline"/>
        </w:rPr>
        <w:t>for</w:t>
      </w:r>
      <w:r>
        <w:rPr>
          <w:rFonts w:ascii="Times New Roman" w:hAnsi="Times New Roman"/>
          <w:spacing w:val="-8"/>
          <w:sz w:val="19"/>
          <w:vertAlign w:val="baseline"/>
        </w:rPr>
        <w:t> </w:t>
      </w:r>
      <w:r>
        <w:rPr>
          <w:rFonts w:ascii="Times New Roman" w:hAnsi="Times New Roman"/>
          <w:sz w:val="19"/>
          <w:vertAlign w:val="baseline"/>
        </w:rPr>
        <w:t>monetary</w:t>
      </w:r>
      <w:r>
        <w:rPr>
          <w:rFonts w:ascii="Times New Roman" w:hAnsi="Times New Roman"/>
          <w:spacing w:val="-12"/>
          <w:sz w:val="19"/>
          <w:vertAlign w:val="baseline"/>
        </w:rPr>
        <w:t> </w:t>
      </w:r>
      <w:r>
        <w:rPr>
          <w:rFonts w:ascii="Times New Roman" w:hAnsi="Times New Roman"/>
          <w:sz w:val="19"/>
          <w:vertAlign w:val="baseline"/>
        </w:rPr>
        <w:t>compensation</w:t>
      </w:r>
      <w:r>
        <w:rPr>
          <w:rFonts w:ascii="Times New Roman" w:hAnsi="Times New Roman"/>
          <w:spacing w:val="-7"/>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the</w:t>
      </w:r>
      <w:r>
        <w:rPr>
          <w:rFonts w:ascii="Times New Roman" w:hAnsi="Times New Roman"/>
          <w:spacing w:val="-9"/>
          <w:sz w:val="19"/>
          <w:vertAlign w:val="baseline"/>
        </w:rPr>
        <w:t> </w:t>
      </w:r>
      <w:r>
        <w:rPr>
          <w:rFonts w:ascii="Times New Roman" w:hAnsi="Times New Roman"/>
          <w:sz w:val="19"/>
          <w:vertAlign w:val="baseline"/>
        </w:rPr>
        <w:t>said</w:t>
      </w:r>
      <w:r>
        <w:rPr>
          <w:rFonts w:ascii="Times New Roman" w:hAnsi="Times New Roman"/>
          <w:spacing w:val="-7"/>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uses</w:t>
      </w:r>
      <w:r>
        <w:rPr>
          <w:rFonts w:ascii="Times New Roman" w:hAnsi="Times New Roman"/>
          <w:spacing w:val="-5"/>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phrase</w:t>
      </w:r>
      <w:r>
        <w:rPr>
          <w:rFonts w:ascii="Times New Roman" w:hAnsi="Times New Roman"/>
          <w:spacing w:val="-9"/>
          <w:sz w:val="19"/>
          <w:vertAlign w:val="baseline"/>
        </w:rPr>
        <w:t> </w:t>
      </w:r>
      <w:r>
        <w:rPr>
          <w:rFonts w:ascii="Times New Roman" w:hAnsi="Times New Roman"/>
          <w:sz w:val="19"/>
          <w:vertAlign w:val="baseline"/>
        </w:rPr>
        <w:t>“shall be paid.” This denotes legal obligation.</w:t>
      </w:r>
    </w:p>
    <w:p>
      <w:pPr>
        <w:spacing w:line="210" w:lineRule="exact" w:before="0"/>
        <w:ind w:left="187" w:right="0" w:firstLine="0"/>
        <w:jc w:val="left"/>
        <w:rPr>
          <w:rFonts w:ascii="Times New Roman" w:hAnsi="Times New Roman"/>
          <w:i/>
          <w:sz w:val="19"/>
        </w:rPr>
      </w:pPr>
      <w:r>
        <w:rPr>
          <w:rFonts w:ascii="Times New Roman" w:hAnsi="Times New Roman"/>
          <w:sz w:val="19"/>
          <w:vertAlign w:val="superscript"/>
        </w:rPr>
        <w:t>60</w:t>
      </w:r>
      <w:r>
        <w:rPr>
          <w:rFonts w:ascii="Times New Roman" w:hAnsi="Times New Roman"/>
          <w:spacing w:val="-5"/>
          <w:sz w:val="19"/>
          <w:vertAlign w:val="baseline"/>
        </w:rPr>
        <w:t> </w:t>
      </w:r>
      <w:r>
        <w:rPr>
          <w:rFonts w:ascii="Times New Roman" w:hAnsi="Times New Roman"/>
          <w:sz w:val="19"/>
          <w:vertAlign w:val="baseline"/>
        </w:rPr>
        <w:t>See</w:t>
      </w:r>
      <w:r>
        <w:rPr>
          <w:rFonts w:ascii="Times New Roman" w:hAnsi="Times New Roman"/>
          <w:spacing w:val="-6"/>
          <w:sz w:val="19"/>
          <w:vertAlign w:val="baseline"/>
        </w:rPr>
        <w:t> </w:t>
      </w:r>
      <w:r>
        <w:rPr>
          <w:rFonts w:ascii="Times New Roman" w:hAnsi="Times New Roman"/>
          <w:sz w:val="19"/>
          <w:vertAlign w:val="baseline"/>
        </w:rPr>
        <w:t>sections</w:t>
      </w:r>
      <w:r>
        <w:rPr>
          <w:rFonts w:ascii="Times New Roman" w:hAnsi="Times New Roman"/>
          <w:spacing w:val="-7"/>
          <w:sz w:val="19"/>
          <w:vertAlign w:val="baseline"/>
        </w:rPr>
        <w:t> </w:t>
      </w:r>
      <w:r>
        <w:rPr>
          <w:rFonts w:ascii="Times New Roman" w:hAnsi="Times New Roman"/>
          <w:sz w:val="19"/>
          <w:vertAlign w:val="baseline"/>
        </w:rPr>
        <w:t>73,</w:t>
      </w:r>
      <w:r>
        <w:rPr>
          <w:rFonts w:ascii="Times New Roman" w:hAnsi="Times New Roman"/>
          <w:spacing w:val="-9"/>
          <w:sz w:val="19"/>
          <w:vertAlign w:val="baseline"/>
        </w:rPr>
        <w:t> </w:t>
      </w:r>
      <w:r>
        <w:rPr>
          <w:rFonts w:ascii="Times New Roman" w:hAnsi="Times New Roman"/>
          <w:sz w:val="19"/>
          <w:vertAlign w:val="baseline"/>
        </w:rPr>
        <w:t>32(d)</w:t>
      </w:r>
      <w:r>
        <w:rPr>
          <w:rFonts w:ascii="Times New Roman" w:hAnsi="Times New Roman"/>
          <w:spacing w:val="29"/>
          <w:sz w:val="19"/>
          <w:vertAlign w:val="baseline"/>
        </w:rPr>
        <w:t> </w:t>
      </w:r>
      <w:r>
        <w:rPr>
          <w:rFonts w:ascii="Times New Roman" w:hAnsi="Times New Roman"/>
          <w:sz w:val="19"/>
          <w:vertAlign w:val="baseline"/>
        </w:rPr>
        <w:t>of</w:t>
      </w:r>
      <w:r>
        <w:rPr>
          <w:rFonts w:ascii="Times New Roman" w:hAnsi="Times New Roman"/>
          <w:spacing w:val="-10"/>
          <w:sz w:val="19"/>
          <w:vertAlign w:val="baseline"/>
        </w:rPr>
        <w:t> </w:t>
      </w:r>
      <w:r>
        <w:rPr>
          <w:rFonts w:ascii="Times New Roman" w:hAnsi="Times New Roman"/>
          <w:sz w:val="19"/>
          <w:vertAlign w:val="baseline"/>
        </w:rPr>
        <w:t>Employees’</w:t>
      </w:r>
      <w:r>
        <w:rPr>
          <w:rFonts w:ascii="Times New Roman" w:hAnsi="Times New Roman"/>
          <w:spacing w:val="-9"/>
          <w:sz w:val="19"/>
          <w:vertAlign w:val="baseline"/>
        </w:rPr>
        <w:t> </w:t>
      </w:r>
      <w:r>
        <w:rPr>
          <w:rFonts w:ascii="Times New Roman" w:hAnsi="Times New Roman"/>
          <w:sz w:val="19"/>
          <w:vertAlign w:val="baseline"/>
        </w:rPr>
        <w:t>Compensation</w:t>
      </w:r>
      <w:r>
        <w:rPr>
          <w:rFonts w:ascii="Times New Roman" w:hAnsi="Times New Roman"/>
          <w:spacing w:val="-5"/>
          <w:sz w:val="19"/>
          <w:vertAlign w:val="baseline"/>
        </w:rPr>
        <w:t> </w:t>
      </w:r>
      <w:r>
        <w:rPr>
          <w:rFonts w:ascii="Times New Roman" w:hAnsi="Times New Roman"/>
          <w:sz w:val="19"/>
          <w:vertAlign w:val="baseline"/>
        </w:rPr>
        <w:t>Act</w:t>
      </w:r>
      <w:r>
        <w:rPr>
          <w:rFonts w:ascii="Times New Roman" w:hAnsi="Times New Roman"/>
          <w:spacing w:val="-9"/>
          <w:sz w:val="19"/>
          <w:vertAlign w:val="baseline"/>
        </w:rPr>
        <w:t> </w:t>
      </w:r>
      <w:r>
        <w:rPr>
          <w:rFonts w:ascii="Times New Roman" w:hAnsi="Times New Roman"/>
          <w:i/>
          <w:sz w:val="19"/>
          <w:vertAlign w:val="baseline"/>
        </w:rPr>
        <w:t>op</w:t>
      </w:r>
      <w:r>
        <w:rPr>
          <w:rFonts w:ascii="Times New Roman" w:hAnsi="Times New Roman"/>
          <w:i/>
          <w:spacing w:val="-11"/>
          <w:sz w:val="19"/>
          <w:vertAlign w:val="baseline"/>
        </w:rPr>
        <w:t> </w:t>
      </w:r>
      <w:r>
        <w:rPr>
          <w:rFonts w:ascii="Times New Roman" w:hAnsi="Times New Roman"/>
          <w:i/>
          <w:spacing w:val="-5"/>
          <w:sz w:val="19"/>
          <w:vertAlign w:val="baseline"/>
        </w:rPr>
        <w:t>cit</w:t>
      </w:r>
    </w:p>
    <w:p>
      <w:pPr>
        <w:spacing w:line="214" w:lineRule="exact" w:before="0"/>
        <w:ind w:left="187" w:right="0" w:firstLine="0"/>
        <w:jc w:val="left"/>
        <w:rPr>
          <w:rFonts w:ascii="Times New Roman"/>
          <w:i/>
          <w:sz w:val="19"/>
        </w:rPr>
      </w:pPr>
      <w:r>
        <w:rPr>
          <w:rFonts w:ascii="Times New Roman"/>
          <w:sz w:val="19"/>
          <w:vertAlign w:val="superscript"/>
        </w:rPr>
        <w:t>61</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15</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62</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i/>
          <w:sz w:val="19"/>
          <w:vertAlign w:val="superscript"/>
        </w:rPr>
        <w:t>63</w:t>
      </w:r>
      <w:r>
        <w:rPr>
          <w:rFonts w:ascii="Times New Roman"/>
          <w:i/>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64</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77"/>
        <w:ind w:left="864" w:right="571"/>
        <w:jc w:val="both"/>
      </w:pPr>
      <w:r>
        <w:rPr/>
        <w:t>The</w:t>
      </w:r>
      <w:r>
        <w:rPr>
          <w:spacing w:val="40"/>
        </w:rPr>
        <w:t> </w:t>
      </w:r>
      <w:r>
        <w:rPr/>
        <w:t>Act</w:t>
      </w:r>
      <w:r>
        <w:rPr>
          <w:spacing w:val="40"/>
        </w:rPr>
        <w:t> </w:t>
      </w:r>
      <w:r>
        <w:rPr/>
        <w:t>prohibits</w:t>
      </w:r>
      <w:r>
        <w:rPr>
          <w:spacing w:val="40"/>
        </w:rPr>
        <w:t> </w:t>
      </w:r>
      <w:r>
        <w:rPr/>
        <w:t>any</w:t>
      </w:r>
      <w:r>
        <w:rPr>
          <w:spacing w:val="40"/>
        </w:rPr>
        <w:t> </w:t>
      </w:r>
      <w:r>
        <w:rPr/>
        <w:t>agreement</w:t>
      </w:r>
      <w:r>
        <w:rPr>
          <w:spacing w:val="40"/>
        </w:rPr>
        <w:t> </w:t>
      </w:r>
      <w:r>
        <w:rPr/>
        <w:t>between</w:t>
      </w:r>
      <w:r>
        <w:rPr>
          <w:spacing w:val="40"/>
        </w:rPr>
        <w:t> </w:t>
      </w:r>
      <w:r>
        <w:rPr/>
        <w:t>employee</w:t>
      </w:r>
      <w:r>
        <w:rPr>
          <w:spacing w:val="40"/>
        </w:rPr>
        <w:t> </w:t>
      </w:r>
      <w:r>
        <w:rPr/>
        <w:t>and</w:t>
      </w:r>
      <w:r>
        <w:rPr>
          <w:spacing w:val="40"/>
        </w:rPr>
        <w:t> </w:t>
      </w:r>
      <w:r>
        <w:rPr/>
        <w:t>employer</w:t>
      </w:r>
      <w:r>
        <w:rPr>
          <w:spacing w:val="40"/>
        </w:rPr>
        <w:t> </w:t>
      </w:r>
      <w:r>
        <w:rPr/>
        <w:t>to waive compensation which the employee or the dependants are or may be entitled.</w:t>
      </w:r>
      <w:r>
        <w:rPr>
          <w:vertAlign w:val="superscript"/>
        </w:rPr>
        <w:t>65</w:t>
      </w:r>
      <w:r>
        <w:rPr>
          <w:spacing w:val="80"/>
          <w:vertAlign w:val="baseline"/>
        </w:rPr>
        <w:t> </w:t>
      </w:r>
      <w:r>
        <w:rPr>
          <w:vertAlign w:val="baseline"/>
        </w:rPr>
        <w:t>Any of such agreement is void and unenforceable.</w:t>
      </w:r>
      <w:r>
        <w:rPr>
          <w:vertAlign w:val="superscript"/>
        </w:rPr>
        <w:t>66</w:t>
      </w:r>
    </w:p>
    <w:p>
      <w:pPr>
        <w:pStyle w:val="BodyText"/>
        <w:spacing w:before="10"/>
      </w:pPr>
    </w:p>
    <w:p>
      <w:pPr>
        <w:pStyle w:val="BodyText"/>
        <w:spacing w:line="489" w:lineRule="auto"/>
        <w:ind w:left="864" w:right="566"/>
        <w:jc w:val="both"/>
      </w:pPr>
      <w:r>
        <w:rPr/>
        <w:t>By the provisions of the Act, employers are to make contributions for the purpose of compensation.</w:t>
      </w:r>
      <w:r>
        <w:rPr>
          <w:spacing w:val="80"/>
        </w:rPr>
        <w:t> </w:t>
      </w:r>
      <w:r>
        <w:rPr/>
        <w:t>Nigeria Social Insurance Trust Fund</w:t>
      </w:r>
      <w:r>
        <w:rPr>
          <w:spacing w:val="80"/>
        </w:rPr>
        <w:t> </w:t>
      </w:r>
      <w:r>
        <w:rPr/>
        <w:t>Management</w:t>
      </w:r>
      <w:r>
        <w:rPr>
          <w:spacing w:val="36"/>
        </w:rPr>
        <w:t> </w:t>
      </w:r>
      <w:r>
        <w:rPr/>
        <w:t>Board</w:t>
      </w:r>
      <w:r>
        <w:rPr>
          <w:spacing w:val="37"/>
        </w:rPr>
        <w:t> </w:t>
      </w:r>
      <w:r>
        <w:rPr/>
        <w:t>(the</w:t>
      </w:r>
      <w:r>
        <w:rPr>
          <w:spacing w:val="33"/>
        </w:rPr>
        <w:t> </w:t>
      </w:r>
      <w:r>
        <w:rPr/>
        <w:t>Board)</w:t>
      </w:r>
      <w:r>
        <w:rPr>
          <w:spacing w:val="33"/>
        </w:rPr>
        <w:t> </w:t>
      </w:r>
      <w:r>
        <w:rPr/>
        <w:t>has</w:t>
      </w:r>
      <w:r>
        <w:rPr>
          <w:spacing w:val="33"/>
        </w:rPr>
        <w:t> </w:t>
      </w:r>
      <w:r>
        <w:rPr/>
        <w:t>the</w:t>
      </w:r>
      <w:r>
        <w:rPr>
          <w:spacing w:val="33"/>
        </w:rPr>
        <w:t> </w:t>
      </w:r>
      <w:r>
        <w:rPr/>
        <w:t>power</w:t>
      </w:r>
      <w:r>
        <w:rPr>
          <w:spacing w:val="39"/>
        </w:rPr>
        <w:t> </w:t>
      </w:r>
      <w:r>
        <w:rPr/>
        <w:t>to</w:t>
      </w:r>
      <w:r>
        <w:rPr>
          <w:spacing w:val="35"/>
        </w:rPr>
        <w:t> </w:t>
      </w:r>
      <w:r>
        <w:rPr/>
        <w:t>implement</w:t>
      </w:r>
      <w:r>
        <w:rPr>
          <w:spacing w:val="36"/>
        </w:rPr>
        <w:t> </w:t>
      </w:r>
      <w:r>
        <w:rPr/>
        <w:t>the</w:t>
      </w:r>
      <w:r>
        <w:rPr>
          <w:spacing w:val="33"/>
        </w:rPr>
        <w:t> </w:t>
      </w:r>
      <w:r>
        <w:rPr/>
        <w:t>Act</w:t>
      </w:r>
      <w:r>
        <w:rPr>
          <w:spacing w:val="30"/>
        </w:rPr>
        <w:t> </w:t>
      </w:r>
      <w:r>
        <w:rPr/>
        <w:t>and to manage the Fund established under the Act.</w:t>
      </w:r>
      <w:r>
        <w:rPr>
          <w:vertAlign w:val="superscript"/>
        </w:rPr>
        <w:t>67</w:t>
      </w:r>
      <w:r>
        <w:rPr>
          <w:vertAlign w:val="baseline"/>
        </w:rPr>
        <w:t> The “Fund” here means employees’ compensation fund or contributions by employers for adequate compensation to employees or their dependants, arising out of, or in the course of employment.</w:t>
      </w:r>
      <w:r>
        <w:rPr>
          <w:vertAlign w:val="superscript"/>
        </w:rPr>
        <w:t>68</w:t>
      </w:r>
    </w:p>
    <w:p>
      <w:pPr>
        <w:pStyle w:val="BodyText"/>
        <w:spacing w:before="11"/>
      </w:pPr>
    </w:p>
    <w:p>
      <w:pPr>
        <w:pStyle w:val="BodyText"/>
        <w:spacing w:line="489" w:lineRule="auto"/>
        <w:ind w:left="864" w:right="569"/>
        <w:jc w:val="both"/>
      </w:pPr>
      <w:r>
        <w:rPr/>
        <w:t>In order to safely advise the Board on the investment of any money</w:t>
      </w:r>
      <w:r>
        <w:rPr>
          <w:spacing w:val="40"/>
        </w:rPr>
        <w:t> </w:t>
      </w:r>
      <w:r>
        <w:rPr/>
        <w:t>standing to the credit of the Fund and to monitor its activities over the</w:t>
      </w:r>
      <w:r>
        <w:rPr>
          <w:spacing w:val="80"/>
        </w:rPr>
        <w:t> </w:t>
      </w:r>
      <w:r>
        <w:rPr/>
        <w:t>Fund,</w:t>
      </w:r>
      <w:r>
        <w:rPr>
          <w:spacing w:val="40"/>
        </w:rPr>
        <w:t> </w:t>
      </w:r>
      <w:r>
        <w:rPr/>
        <w:t>the</w:t>
      </w:r>
      <w:r>
        <w:rPr>
          <w:spacing w:val="40"/>
        </w:rPr>
        <w:t> </w:t>
      </w:r>
      <w:r>
        <w:rPr/>
        <w:t>Act</w:t>
      </w:r>
      <w:r>
        <w:rPr>
          <w:spacing w:val="40"/>
        </w:rPr>
        <w:t> </w:t>
      </w:r>
      <w:r>
        <w:rPr/>
        <w:t>establishes</w:t>
      </w:r>
      <w:r>
        <w:rPr>
          <w:spacing w:val="40"/>
        </w:rPr>
        <w:t> </w:t>
      </w:r>
      <w:r>
        <w:rPr/>
        <w:t>a</w:t>
      </w:r>
      <w:r>
        <w:rPr>
          <w:spacing w:val="40"/>
        </w:rPr>
        <w:t> </w:t>
      </w:r>
      <w:r>
        <w:rPr/>
        <w:t>body</w:t>
      </w:r>
      <w:r>
        <w:rPr>
          <w:spacing w:val="40"/>
        </w:rPr>
        <w:t> </w:t>
      </w:r>
      <w:r>
        <w:rPr/>
        <w:t>called</w:t>
      </w:r>
      <w:r>
        <w:rPr>
          <w:spacing w:val="40"/>
        </w:rPr>
        <w:t> </w:t>
      </w:r>
      <w:r>
        <w:rPr/>
        <w:t>Independent</w:t>
      </w:r>
      <w:r>
        <w:rPr>
          <w:spacing w:val="40"/>
        </w:rPr>
        <w:t> </w:t>
      </w:r>
      <w:r>
        <w:rPr/>
        <w:t>Investment Committee which shall consist of a representative each of Central Bank, National Pension Commission, Nigeria Investment Promotion Commission, Nigerian Associqtion of Chambers of Commerce, Industry, Mines and Agriculture, three representatives of most represented employers’ organisations</w:t>
      </w:r>
      <w:r>
        <w:rPr>
          <w:spacing w:val="47"/>
        </w:rPr>
        <w:t>  </w:t>
      </w:r>
      <w:r>
        <w:rPr/>
        <w:t>and</w:t>
      </w:r>
      <w:r>
        <w:rPr>
          <w:spacing w:val="47"/>
        </w:rPr>
        <w:t>  </w:t>
      </w:r>
      <w:r>
        <w:rPr/>
        <w:t>three</w:t>
      </w:r>
      <w:r>
        <w:rPr>
          <w:spacing w:val="46"/>
        </w:rPr>
        <w:t>  </w:t>
      </w:r>
      <w:r>
        <w:rPr/>
        <w:t>representatives</w:t>
      </w:r>
      <w:r>
        <w:rPr>
          <w:spacing w:val="50"/>
        </w:rPr>
        <w:t>  </w:t>
      </w:r>
      <w:r>
        <w:rPr/>
        <w:t>of</w:t>
      </w:r>
      <w:r>
        <w:rPr>
          <w:spacing w:val="48"/>
        </w:rPr>
        <w:t>  </w:t>
      </w:r>
      <w:r>
        <w:rPr/>
        <w:t>the</w:t>
      </w:r>
      <w:r>
        <w:rPr>
          <w:spacing w:val="47"/>
        </w:rPr>
        <w:t>  </w:t>
      </w:r>
      <w:r>
        <w:rPr/>
        <w:t>most</w:t>
      </w:r>
      <w:r>
        <w:rPr>
          <w:spacing w:val="46"/>
        </w:rPr>
        <w:t>  </w:t>
      </w:r>
      <w:r>
        <w:rPr>
          <w:spacing w:val="-2"/>
        </w:rPr>
        <w:t>represented</w:t>
      </w:r>
    </w:p>
    <w:p>
      <w:pPr>
        <w:pStyle w:val="BodyText"/>
        <w:rPr>
          <w:sz w:val="20"/>
        </w:rPr>
      </w:pPr>
    </w:p>
    <w:p>
      <w:pPr>
        <w:pStyle w:val="BodyText"/>
        <w:rPr>
          <w:sz w:val="20"/>
        </w:rPr>
      </w:pPr>
    </w:p>
    <w:p>
      <w:pPr>
        <w:pStyle w:val="BodyText"/>
        <w:spacing w:before="116"/>
        <w:rPr>
          <w:sz w:val="20"/>
        </w:rPr>
      </w:pPr>
      <w:r>
        <w:rPr/>
        <mc:AlternateContent>
          <mc:Choice Requires="wps">
            <w:drawing>
              <wp:anchor distT="0" distB="0" distL="0" distR="0" allowOverlap="1" layoutInCell="1" locked="0" behindDoc="1" simplePos="0" relativeHeight="487608832">
                <wp:simplePos x="0" y="0"/>
                <wp:positionH relativeFrom="page">
                  <wp:posOffset>1185672</wp:posOffset>
                </wp:positionH>
                <wp:positionV relativeFrom="paragraph">
                  <wp:posOffset>242474</wp:posOffset>
                </wp:positionV>
                <wp:extent cx="1719580" cy="6350"/>
                <wp:effectExtent l="0" t="0" r="0" b="0"/>
                <wp:wrapTopAndBottom/>
                <wp:docPr id="45" name="Graphic 45"/>
                <wp:cNvGraphicFramePr>
                  <a:graphicFrameLocks/>
                </wp:cNvGraphicFramePr>
                <a:graphic>
                  <a:graphicData uri="http://schemas.microsoft.com/office/word/2010/wordprocessingShape">
                    <wps:wsp>
                      <wps:cNvPr id="45" name="Graphic 4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9.092501pt;width:135.360pt;height:.48pt;mso-position-horizontal-relative:page;mso-position-vertical-relative:paragraph;z-index:-15707648;mso-wrap-distance-left:0;mso-wrap-distance-right:0" id="docshape45"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65</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13</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66</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67</w:t>
      </w:r>
      <w:r>
        <w:rPr>
          <w:rFonts w:ascii="Times New Roman"/>
          <w:spacing w:val="-2"/>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2(2)</w:t>
      </w:r>
      <w:r>
        <w:rPr>
          <w:rFonts w:ascii="Times New Roman"/>
          <w:spacing w:val="-7"/>
          <w:sz w:val="19"/>
          <w:vertAlign w:val="baseline"/>
        </w:rPr>
        <w:t> </w:t>
      </w:r>
      <w:r>
        <w:rPr>
          <w:rFonts w:ascii="Times New Roman"/>
          <w:sz w:val="19"/>
          <w:vertAlign w:val="baseline"/>
        </w:rPr>
        <w:t>57</w:t>
      </w:r>
      <w:r>
        <w:rPr>
          <w:rFonts w:ascii="Times New Roman"/>
          <w:spacing w:val="-9"/>
          <w:sz w:val="19"/>
          <w:vertAlign w:val="baseline"/>
        </w:rPr>
        <w:t> </w:t>
      </w:r>
      <w:r>
        <w:rPr>
          <w:rFonts w:ascii="Times New Roman"/>
          <w:i/>
          <w:spacing w:val="-4"/>
          <w:sz w:val="19"/>
          <w:vertAlign w:val="baseline"/>
        </w:rPr>
        <w:t>ibid</w:t>
      </w:r>
    </w:p>
    <w:p>
      <w:pPr>
        <w:spacing w:line="237" w:lineRule="auto" w:before="0"/>
        <w:ind w:left="187" w:right="0" w:firstLine="0"/>
        <w:jc w:val="left"/>
        <w:rPr>
          <w:rFonts w:ascii="Times New Roman"/>
          <w:i/>
          <w:sz w:val="19"/>
        </w:rPr>
      </w:pPr>
      <w:r>
        <w:rPr>
          <w:rFonts w:ascii="Times New Roman"/>
          <w:sz w:val="19"/>
          <w:vertAlign w:val="superscript"/>
        </w:rPr>
        <w:t>68</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56(1)</w:t>
      </w:r>
      <w:r>
        <w:rPr>
          <w:rFonts w:ascii="Times New Roman"/>
          <w:spacing w:val="-8"/>
          <w:sz w:val="19"/>
          <w:vertAlign w:val="baseline"/>
        </w:rPr>
        <w:t> </w:t>
      </w:r>
      <w:r>
        <w:rPr>
          <w:rFonts w:ascii="Times New Roman"/>
          <w:i/>
          <w:sz w:val="19"/>
          <w:vertAlign w:val="baseline"/>
        </w:rPr>
        <w:t>ibid.</w:t>
      </w:r>
      <w:r>
        <w:rPr>
          <w:rFonts w:ascii="Times New Roman"/>
          <w:i/>
          <w:spacing w:val="-10"/>
          <w:sz w:val="19"/>
          <w:vertAlign w:val="baseline"/>
        </w:rPr>
        <w:t> </w:t>
      </w:r>
      <w:r>
        <w:rPr>
          <w:rFonts w:ascii="Times New Roman"/>
          <w:i/>
          <w:sz w:val="19"/>
          <w:vertAlign w:val="baseline"/>
        </w:rPr>
        <w:t>See</w:t>
      </w:r>
      <w:r>
        <w:rPr>
          <w:rFonts w:ascii="Times New Roman"/>
          <w:i/>
          <w:spacing w:val="-8"/>
          <w:sz w:val="19"/>
          <w:vertAlign w:val="baseline"/>
        </w:rPr>
        <w:t> </w:t>
      </w:r>
      <w:r>
        <w:rPr>
          <w:rFonts w:ascii="Times New Roman"/>
          <w:i/>
          <w:sz w:val="19"/>
          <w:vertAlign w:val="baseline"/>
        </w:rPr>
        <w:t>other</w:t>
      </w:r>
      <w:r>
        <w:rPr>
          <w:rFonts w:ascii="Times New Roman"/>
          <w:i/>
          <w:spacing w:val="-8"/>
          <w:sz w:val="19"/>
          <w:vertAlign w:val="baseline"/>
        </w:rPr>
        <w:t> </w:t>
      </w:r>
      <w:r>
        <w:rPr>
          <w:rFonts w:ascii="Times New Roman"/>
          <w:i/>
          <w:sz w:val="19"/>
          <w:vertAlign w:val="baseline"/>
        </w:rPr>
        <w:t>sources</w:t>
      </w:r>
      <w:r>
        <w:rPr>
          <w:rFonts w:ascii="Times New Roman"/>
          <w:i/>
          <w:spacing w:val="-12"/>
          <w:sz w:val="19"/>
          <w:vertAlign w:val="baseline"/>
        </w:rPr>
        <w:t> </w:t>
      </w:r>
      <w:r>
        <w:rPr>
          <w:rFonts w:ascii="Times New Roman"/>
          <w:i/>
          <w:sz w:val="19"/>
          <w:vertAlign w:val="baseline"/>
        </w:rPr>
        <w:t>of</w:t>
      </w:r>
      <w:r>
        <w:rPr>
          <w:rFonts w:ascii="Times New Roman"/>
          <w:i/>
          <w:spacing w:val="-7"/>
          <w:sz w:val="19"/>
          <w:vertAlign w:val="baseline"/>
        </w:rPr>
        <w:t> </w:t>
      </w:r>
      <w:r>
        <w:rPr>
          <w:rFonts w:ascii="Times New Roman"/>
          <w:i/>
          <w:sz w:val="19"/>
          <w:vertAlign w:val="baseline"/>
        </w:rPr>
        <w:t>the</w:t>
      </w:r>
      <w:r>
        <w:rPr>
          <w:rFonts w:ascii="Times New Roman"/>
          <w:i/>
          <w:spacing w:val="-8"/>
          <w:sz w:val="19"/>
          <w:vertAlign w:val="baseline"/>
        </w:rPr>
        <w:t> </w:t>
      </w:r>
      <w:r>
        <w:rPr>
          <w:rFonts w:ascii="Times New Roman"/>
          <w:i/>
          <w:sz w:val="19"/>
          <w:vertAlign w:val="baseline"/>
        </w:rPr>
        <w:t>Fund</w:t>
      </w:r>
      <w:r>
        <w:rPr>
          <w:rFonts w:ascii="Times New Roman"/>
          <w:i/>
          <w:spacing w:val="-9"/>
          <w:sz w:val="19"/>
          <w:vertAlign w:val="baseline"/>
        </w:rPr>
        <w:t> </w:t>
      </w:r>
      <w:r>
        <w:rPr>
          <w:rFonts w:ascii="Times New Roman"/>
          <w:i/>
          <w:sz w:val="19"/>
          <w:vertAlign w:val="baseline"/>
        </w:rPr>
        <w:t>in</w:t>
      </w:r>
      <w:r>
        <w:rPr>
          <w:rFonts w:ascii="Times New Roman"/>
          <w:i/>
          <w:spacing w:val="-6"/>
          <w:sz w:val="19"/>
          <w:vertAlign w:val="baseline"/>
        </w:rPr>
        <w:t> </w:t>
      </w:r>
      <w:r>
        <w:rPr>
          <w:rFonts w:ascii="Times New Roman"/>
          <w:i/>
          <w:sz w:val="19"/>
          <w:vertAlign w:val="baseline"/>
        </w:rPr>
        <w:t>subsection</w:t>
      </w:r>
      <w:r>
        <w:rPr>
          <w:rFonts w:ascii="Times New Roman"/>
          <w:i/>
          <w:spacing w:val="-6"/>
          <w:sz w:val="19"/>
          <w:vertAlign w:val="baseline"/>
        </w:rPr>
        <w:t> </w:t>
      </w:r>
      <w:r>
        <w:rPr>
          <w:rFonts w:ascii="Times New Roman"/>
          <w:i/>
          <w:sz w:val="19"/>
          <w:vertAlign w:val="baseline"/>
        </w:rPr>
        <w:t>(2)</w:t>
      </w:r>
      <w:r>
        <w:rPr>
          <w:rFonts w:ascii="Times New Roman"/>
          <w:i/>
          <w:spacing w:val="-3"/>
          <w:sz w:val="19"/>
          <w:vertAlign w:val="baseline"/>
        </w:rPr>
        <w:t> </w:t>
      </w:r>
      <w:r>
        <w:rPr>
          <w:rFonts w:ascii="Times New Roman"/>
          <w:i/>
          <w:sz w:val="19"/>
          <w:vertAlign w:val="baseline"/>
        </w:rPr>
        <w:t>which</w:t>
      </w:r>
      <w:r>
        <w:rPr>
          <w:rFonts w:ascii="Times New Roman"/>
          <w:i/>
          <w:spacing w:val="-6"/>
          <w:sz w:val="19"/>
          <w:vertAlign w:val="baseline"/>
        </w:rPr>
        <w:t> </w:t>
      </w:r>
      <w:r>
        <w:rPr>
          <w:rFonts w:ascii="Times New Roman"/>
          <w:i/>
          <w:sz w:val="19"/>
          <w:vertAlign w:val="baseline"/>
        </w:rPr>
        <w:t>include</w:t>
      </w:r>
      <w:r>
        <w:rPr>
          <w:rFonts w:ascii="Times New Roman"/>
          <w:i/>
          <w:spacing w:val="-8"/>
          <w:sz w:val="19"/>
          <w:vertAlign w:val="baseline"/>
        </w:rPr>
        <w:t> </w:t>
      </w:r>
      <w:r>
        <w:rPr>
          <w:rFonts w:ascii="Times New Roman"/>
          <w:i/>
          <w:sz w:val="19"/>
          <w:vertAlign w:val="baseline"/>
        </w:rPr>
        <w:t>take</w:t>
      </w:r>
      <w:r>
        <w:rPr>
          <w:rFonts w:ascii="Times New Roman"/>
          <w:i/>
          <w:spacing w:val="-5"/>
          <w:sz w:val="19"/>
          <w:vertAlign w:val="baseline"/>
        </w:rPr>
        <w:t> </w:t>
      </w:r>
      <w:r>
        <w:rPr>
          <w:rFonts w:ascii="Times New Roman"/>
          <w:i/>
          <w:sz w:val="19"/>
          <w:vertAlign w:val="baseline"/>
        </w:rPr>
        <w:t>off</w:t>
      </w:r>
      <w:r>
        <w:rPr>
          <w:rFonts w:ascii="Times New Roman"/>
          <w:i/>
          <w:spacing w:val="-7"/>
          <w:sz w:val="19"/>
          <w:vertAlign w:val="baseline"/>
        </w:rPr>
        <w:t> </w:t>
      </w:r>
      <w:r>
        <w:rPr>
          <w:rFonts w:ascii="Times New Roman"/>
          <w:i/>
          <w:sz w:val="19"/>
          <w:vertAlign w:val="baseline"/>
        </w:rPr>
        <w:t>grant</w:t>
      </w:r>
      <w:r>
        <w:rPr>
          <w:rFonts w:ascii="Times New Roman"/>
          <w:i/>
          <w:spacing w:val="-10"/>
          <w:sz w:val="19"/>
          <w:vertAlign w:val="baseline"/>
        </w:rPr>
        <w:t> </w:t>
      </w:r>
      <w:r>
        <w:rPr>
          <w:rFonts w:ascii="Times New Roman"/>
          <w:i/>
          <w:sz w:val="19"/>
          <w:vertAlign w:val="baseline"/>
        </w:rPr>
        <w:t>from</w:t>
      </w:r>
      <w:r>
        <w:rPr>
          <w:rFonts w:ascii="Times New Roman"/>
          <w:i/>
          <w:spacing w:val="-4"/>
          <w:sz w:val="19"/>
          <w:vertAlign w:val="baseline"/>
        </w:rPr>
        <w:t> </w:t>
      </w:r>
      <w:r>
        <w:rPr>
          <w:rFonts w:ascii="Times New Roman"/>
          <w:i/>
          <w:sz w:val="19"/>
          <w:vertAlign w:val="baseline"/>
        </w:rPr>
        <w:t>Federal Government, gifts from</w:t>
      </w:r>
      <w:r>
        <w:rPr>
          <w:rFonts w:ascii="Times New Roman"/>
          <w:i/>
          <w:spacing w:val="-2"/>
          <w:sz w:val="19"/>
          <w:vertAlign w:val="baseline"/>
        </w:rPr>
        <w:t> </w:t>
      </w:r>
      <w:r>
        <w:rPr>
          <w:rFonts w:ascii="Times New Roman"/>
          <w:i/>
          <w:sz w:val="19"/>
          <w:vertAlign w:val="baseline"/>
        </w:rPr>
        <w:t>other</w:t>
      </w:r>
      <w:r>
        <w:rPr>
          <w:rFonts w:ascii="Times New Roman"/>
          <w:i/>
          <w:spacing w:val="-1"/>
          <w:sz w:val="19"/>
          <w:vertAlign w:val="baseline"/>
        </w:rPr>
        <w:t> </w:t>
      </w:r>
      <w:r>
        <w:rPr>
          <w:rFonts w:ascii="Times New Roman"/>
          <w:i/>
          <w:sz w:val="19"/>
          <w:vertAlign w:val="baseline"/>
        </w:rPr>
        <w:t>bodies, fees and assessments charged or pursuant to the Act</w:t>
      </w:r>
    </w:p>
    <w:p>
      <w:pPr>
        <w:spacing w:after="0" w:line="237" w:lineRule="auto"/>
        <w:jc w:val="left"/>
        <w:rPr>
          <w:rFonts w:ascii="Times New Roman"/>
          <w:sz w:val="19"/>
        </w:rPr>
        <w:sectPr>
          <w:pgSz w:w="12240" w:h="15840"/>
          <w:pgMar w:header="0" w:footer="1009" w:top="1560" w:bottom="1200" w:left="1680" w:right="1320"/>
        </w:sectPr>
      </w:pPr>
    </w:p>
    <w:p>
      <w:pPr>
        <w:pStyle w:val="BodyText"/>
        <w:spacing w:line="489" w:lineRule="auto" w:before="114"/>
        <w:ind w:left="864" w:right="570"/>
        <w:jc w:val="both"/>
      </w:pPr>
      <w:r>
        <w:rPr/>
        <w:t>employees’ organisation.</w:t>
      </w:r>
      <w:r>
        <w:rPr>
          <w:vertAlign w:val="superscript"/>
        </w:rPr>
        <w:t>69</w:t>
      </w:r>
      <w:r>
        <w:rPr>
          <w:vertAlign w:val="baseline"/>
        </w:rPr>
        <w:t> The reason for this is to ensure that monies pulled for the purpose of compensation are profitably invested for the benefit of employers and employees.</w:t>
      </w:r>
    </w:p>
    <w:p>
      <w:pPr>
        <w:pStyle w:val="BodyText"/>
        <w:spacing w:before="10"/>
      </w:pPr>
    </w:p>
    <w:p>
      <w:pPr>
        <w:pStyle w:val="BodyText"/>
        <w:spacing w:line="489" w:lineRule="auto"/>
        <w:ind w:left="864" w:right="564"/>
        <w:jc w:val="both"/>
      </w:pPr>
      <w:r>
        <w:rPr/>
        <w:t>Every</w:t>
      </w:r>
      <w:r>
        <w:rPr>
          <w:spacing w:val="40"/>
        </w:rPr>
        <w:t> </w:t>
      </w:r>
      <w:r>
        <w:rPr/>
        <w:t>employer</w:t>
      </w:r>
      <w:r>
        <w:rPr>
          <w:spacing w:val="40"/>
        </w:rPr>
        <w:t> </w:t>
      </w:r>
      <w:r>
        <w:rPr/>
        <w:t>shall</w:t>
      </w:r>
      <w:r>
        <w:rPr>
          <w:spacing w:val="40"/>
        </w:rPr>
        <w:t> </w:t>
      </w:r>
      <w:r>
        <w:rPr/>
        <w:t>within</w:t>
      </w:r>
      <w:r>
        <w:rPr>
          <w:spacing w:val="40"/>
        </w:rPr>
        <w:t> </w:t>
      </w:r>
      <w:r>
        <w:rPr/>
        <w:t>the</w:t>
      </w:r>
      <w:r>
        <w:rPr>
          <w:spacing w:val="40"/>
        </w:rPr>
        <w:t> </w:t>
      </w:r>
      <w:r>
        <w:rPr/>
        <w:t>first</w:t>
      </w:r>
      <w:r>
        <w:rPr>
          <w:spacing w:val="40"/>
        </w:rPr>
        <w:t> </w:t>
      </w:r>
      <w:r>
        <w:rPr/>
        <w:t>two</w:t>
      </w:r>
      <w:r>
        <w:rPr>
          <w:spacing w:val="40"/>
        </w:rPr>
        <w:t> </w:t>
      </w:r>
      <w:r>
        <w:rPr/>
        <w:t>years</w:t>
      </w:r>
      <w:r>
        <w:rPr>
          <w:spacing w:val="38"/>
        </w:rPr>
        <w:t> </w:t>
      </w:r>
      <w:r>
        <w:rPr/>
        <w:t>of</w:t>
      </w:r>
      <w:r>
        <w:rPr>
          <w:spacing w:val="40"/>
        </w:rPr>
        <w:t> </w:t>
      </w:r>
      <w:r>
        <w:rPr/>
        <w:t>the</w:t>
      </w:r>
      <w:r>
        <w:rPr>
          <w:spacing w:val="39"/>
        </w:rPr>
        <w:t> </w:t>
      </w:r>
      <w:r>
        <w:rPr/>
        <w:t>commencement</w:t>
      </w:r>
      <w:r>
        <w:rPr>
          <w:spacing w:val="40"/>
        </w:rPr>
        <w:t> </w:t>
      </w:r>
      <w:r>
        <w:rPr/>
        <w:t>of the Act make a minimum monthly contribution of 1.0 percent of the total monthly</w:t>
      </w:r>
      <w:r>
        <w:rPr>
          <w:spacing w:val="40"/>
        </w:rPr>
        <w:t> </w:t>
      </w:r>
      <w:r>
        <w:rPr/>
        <w:t>payroll</w:t>
      </w:r>
      <w:r>
        <w:rPr>
          <w:spacing w:val="40"/>
        </w:rPr>
        <w:t> </w:t>
      </w:r>
      <w:r>
        <w:rPr/>
        <w:t>into</w:t>
      </w:r>
      <w:r>
        <w:rPr>
          <w:spacing w:val="40"/>
        </w:rPr>
        <w:t> </w:t>
      </w:r>
      <w:r>
        <w:rPr/>
        <w:t>the</w:t>
      </w:r>
      <w:r>
        <w:rPr>
          <w:spacing w:val="40"/>
        </w:rPr>
        <w:t> </w:t>
      </w:r>
      <w:r>
        <w:rPr/>
        <w:t>Fund.</w:t>
      </w:r>
      <w:r>
        <w:rPr>
          <w:spacing w:val="40"/>
        </w:rPr>
        <w:t> </w:t>
      </w:r>
      <w:r>
        <w:rPr/>
        <w:t>The</w:t>
      </w:r>
      <w:r>
        <w:rPr>
          <w:spacing w:val="40"/>
        </w:rPr>
        <w:t> </w:t>
      </w:r>
      <w:r>
        <w:rPr/>
        <w:t>Board</w:t>
      </w:r>
      <w:r>
        <w:rPr>
          <w:spacing w:val="40"/>
        </w:rPr>
        <w:t> </w:t>
      </w:r>
      <w:r>
        <w:rPr/>
        <w:t>from</w:t>
      </w:r>
      <w:r>
        <w:rPr>
          <w:spacing w:val="40"/>
        </w:rPr>
        <w:t> </w:t>
      </w:r>
      <w:r>
        <w:rPr/>
        <w:t>time</w:t>
      </w:r>
      <w:r>
        <w:rPr>
          <w:spacing w:val="40"/>
        </w:rPr>
        <w:t> </w:t>
      </w:r>
      <w:r>
        <w:rPr/>
        <w:t>to</w:t>
      </w:r>
      <w:r>
        <w:rPr>
          <w:spacing w:val="40"/>
        </w:rPr>
        <w:t> </w:t>
      </w:r>
      <w:r>
        <w:rPr/>
        <w:t>time shall</w:t>
      </w:r>
      <w:r>
        <w:rPr>
          <w:spacing w:val="40"/>
        </w:rPr>
        <w:t> </w:t>
      </w:r>
      <w:r>
        <w:rPr/>
        <w:t>make rules to vary contributions of employers in tandem with the risk factors in the place of work.</w:t>
      </w:r>
      <w:r>
        <w:rPr>
          <w:vertAlign w:val="superscript"/>
        </w:rPr>
        <w:t>70</w:t>
      </w:r>
      <w:r>
        <w:rPr>
          <w:vertAlign w:val="baseline"/>
        </w:rPr>
        <w:t> The flat percent in the first two years of the commencement of this Act may be to enable the Board take its time to categorise and rate all the places of work based on the probable degree of risk and to make rules that will vary their contributions based on the risk factors obtainable in the places of work by creating classes of industries in line with risk tendency. For the purposes of assessment and contributions, employers are mandated to within thirty days of commencement or recommencement of business provide to the Board statement of total</w:t>
      </w:r>
      <w:r>
        <w:rPr>
          <w:spacing w:val="80"/>
          <w:vertAlign w:val="baseline"/>
        </w:rPr>
        <w:t> </w:t>
      </w:r>
      <w:r>
        <w:rPr>
          <w:vertAlign w:val="baseline"/>
        </w:rPr>
        <w:t>payroll for the year.</w:t>
      </w:r>
      <w:r>
        <w:rPr>
          <w:vertAlign w:val="superscript"/>
        </w:rPr>
        <w:t>71</w:t>
      </w:r>
      <w:r>
        <w:rPr>
          <w:vertAlign w:val="baseline"/>
        </w:rPr>
        <w:t> The prescribed form for the employer’s actual</w:t>
      </w:r>
      <w:r>
        <w:rPr>
          <w:spacing w:val="40"/>
          <w:vertAlign w:val="baseline"/>
        </w:rPr>
        <w:t> </w:t>
      </w:r>
      <w:r>
        <w:rPr>
          <w:vertAlign w:val="baseline"/>
        </w:rPr>
        <w:t>schedule of</w:t>
      </w:r>
      <w:r>
        <w:rPr>
          <w:spacing w:val="20"/>
          <w:vertAlign w:val="baseline"/>
        </w:rPr>
        <w:t> </w:t>
      </w:r>
      <w:r>
        <w:rPr>
          <w:vertAlign w:val="baseline"/>
        </w:rPr>
        <w:t>payment is</w:t>
      </w:r>
      <w:r>
        <w:rPr>
          <w:spacing w:val="19"/>
          <w:vertAlign w:val="baseline"/>
        </w:rPr>
        <w:t> </w:t>
      </w:r>
      <w:r>
        <w:rPr>
          <w:vertAlign w:val="baseline"/>
        </w:rPr>
        <w:t>called</w:t>
      </w:r>
      <w:r>
        <w:rPr>
          <w:spacing w:val="18"/>
          <w:vertAlign w:val="baseline"/>
        </w:rPr>
        <w:t> </w:t>
      </w:r>
      <w:r>
        <w:rPr>
          <w:vertAlign w:val="baseline"/>
        </w:rPr>
        <w:t>Form</w:t>
      </w:r>
      <w:r>
        <w:rPr>
          <w:spacing w:val="18"/>
          <w:vertAlign w:val="baseline"/>
        </w:rPr>
        <w:t> </w:t>
      </w:r>
      <w:r>
        <w:rPr>
          <w:vertAlign w:val="baseline"/>
        </w:rPr>
        <w:t>ECS.RE04.</w:t>
      </w:r>
      <w:r>
        <w:rPr>
          <w:vertAlign w:val="superscript"/>
        </w:rPr>
        <w:t>72</w:t>
      </w:r>
      <w:r>
        <w:rPr>
          <w:spacing w:val="19"/>
          <w:vertAlign w:val="baseline"/>
        </w:rPr>
        <w:t> </w:t>
      </w:r>
      <w:r>
        <w:rPr>
          <w:vertAlign w:val="baseline"/>
        </w:rPr>
        <w:t>Also the Board</w:t>
      </w:r>
      <w:r>
        <w:rPr>
          <w:spacing w:val="18"/>
          <w:vertAlign w:val="baseline"/>
        </w:rPr>
        <w:t> </w:t>
      </w:r>
      <w:r>
        <w:rPr>
          <w:vertAlign w:val="baseline"/>
        </w:rPr>
        <w:t>may adopt a system of merit rating and may by order, establish a minimum assessment.</w:t>
      </w:r>
      <w:r>
        <w:rPr>
          <w:vertAlign w:val="superscript"/>
        </w:rPr>
        <w:t>73</w:t>
      </w:r>
      <w:r>
        <w:rPr>
          <w:vertAlign w:val="baseline"/>
        </w:rPr>
        <w:t> By system of merit rating the Board uses its judgement to</w:t>
      </w:r>
      <w:r>
        <w:rPr>
          <w:spacing w:val="40"/>
          <w:vertAlign w:val="baseline"/>
        </w:rPr>
        <w:t> </w:t>
      </w:r>
      <w:r>
        <w:rPr>
          <w:vertAlign w:val="baseline"/>
        </w:rPr>
        <w:t>rate</w:t>
      </w:r>
      <w:r>
        <w:rPr>
          <w:spacing w:val="22"/>
          <w:vertAlign w:val="baseline"/>
        </w:rPr>
        <w:t> </w:t>
      </w:r>
      <w:r>
        <w:rPr>
          <w:vertAlign w:val="baseline"/>
        </w:rPr>
        <w:t>employers</w:t>
      </w:r>
      <w:r>
        <w:rPr>
          <w:spacing w:val="23"/>
          <w:vertAlign w:val="baseline"/>
        </w:rPr>
        <w:t> </w:t>
      </w:r>
      <w:r>
        <w:rPr>
          <w:vertAlign w:val="baseline"/>
        </w:rPr>
        <w:t>based</w:t>
      </w:r>
      <w:r>
        <w:rPr>
          <w:spacing w:val="25"/>
          <w:vertAlign w:val="baseline"/>
        </w:rPr>
        <w:t> </w:t>
      </w:r>
      <w:r>
        <w:rPr>
          <w:vertAlign w:val="baseline"/>
        </w:rPr>
        <w:t>on</w:t>
      </w:r>
      <w:r>
        <w:rPr>
          <w:spacing w:val="26"/>
          <w:vertAlign w:val="baseline"/>
        </w:rPr>
        <w:t> </w:t>
      </w:r>
      <w:r>
        <w:rPr>
          <w:vertAlign w:val="baseline"/>
        </w:rPr>
        <w:t>what</w:t>
      </w:r>
      <w:r>
        <w:rPr>
          <w:spacing w:val="25"/>
          <w:vertAlign w:val="baseline"/>
        </w:rPr>
        <w:t> </w:t>
      </w:r>
      <w:r>
        <w:rPr>
          <w:vertAlign w:val="baseline"/>
        </w:rPr>
        <w:t>is</w:t>
      </w:r>
      <w:r>
        <w:rPr>
          <w:spacing w:val="26"/>
          <w:vertAlign w:val="baseline"/>
        </w:rPr>
        <w:t> </w:t>
      </w:r>
      <w:r>
        <w:rPr>
          <w:vertAlign w:val="baseline"/>
        </w:rPr>
        <w:t>seen</w:t>
      </w:r>
      <w:r>
        <w:rPr>
          <w:spacing w:val="26"/>
          <w:vertAlign w:val="baseline"/>
        </w:rPr>
        <w:t> </w:t>
      </w:r>
      <w:r>
        <w:rPr>
          <w:vertAlign w:val="baseline"/>
        </w:rPr>
        <w:t>in</w:t>
      </w:r>
      <w:r>
        <w:rPr>
          <w:spacing w:val="26"/>
          <w:vertAlign w:val="baseline"/>
        </w:rPr>
        <w:t> </w:t>
      </w:r>
      <w:r>
        <w:rPr>
          <w:vertAlign w:val="baseline"/>
        </w:rPr>
        <w:t>the</w:t>
      </w:r>
      <w:r>
        <w:rPr>
          <w:spacing w:val="27"/>
          <w:vertAlign w:val="baseline"/>
        </w:rPr>
        <w:t> </w:t>
      </w:r>
      <w:r>
        <w:rPr>
          <w:vertAlign w:val="baseline"/>
        </w:rPr>
        <w:t>industry</w:t>
      </w:r>
      <w:r>
        <w:rPr>
          <w:spacing w:val="25"/>
          <w:vertAlign w:val="baseline"/>
        </w:rPr>
        <w:t> </w:t>
      </w:r>
      <w:r>
        <w:rPr>
          <w:vertAlign w:val="baseline"/>
        </w:rPr>
        <w:t>and</w:t>
      </w:r>
      <w:r>
        <w:rPr>
          <w:spacing w:val="25"/>
          <w:vertAlign w:val="baseline"/>
        </w:rPr>
        <w:t> </w:t>
      </w:r>
      <w:r>
        <w:rPr>
          <w:vertAlign w:val="baseline"/>
        </w:rPr>
        <w:t>to</w:t>
      </w:r>
      <w:r>
        <w:rPr>
          <w:spacing w:val="24"/>
          <w:vertAlign w:val="baseline"/>
        </w:rPr>
        <w:t> </w:t>
      </w:r>
      <w:r>
        <w:rPr>
          <w:vertAlign w:val="baseline"/>
        </w:rPr>
        <w:t>place</w:t>
      </w:r>
      <w:r>
        <w:rPr>
          <w:spacing w:val="28"/>
          <w:vertAlign w:val="baseline"/>
        </w:rPr>
        <w:t> </w:t>
      </w:r>
      <w:r>
        <w:rPr>
          <w:vertAlign w:val="baseline"/>
        </w:rPr>
        <w:t>it</w:t>
      </w:r>
      <w:r>
        <w:rPr>
          <w:spacing w:val="24"/>
          <w:vertAlign w:val="baseline"/>
        </w:rPr>
        <w:t> </w:t>
      </w:r>
      <w:r>
        <w:rPr>
          <w:vertAlign w:val="baseline"/>
        </w:rPr>
        <w:t>in</w:t>
      </w:r>
      <w:r>
        <w:rPr>
          <w:spacing w:val="26"/>
          <w:vertAlign w:val="baseline"/>
        </w:rPr>
        <w:t> </w:t>
      </w:r>
      <w:r>
        <w:rPr>
          <w:spacing w:val="-10"/>
          <w:vertAlign w:val="baseline"/>
        </w:rPr>
        <w:t>a</w:t>
      </w:r>
    </w:p>
    <w:p>
      <w:pPr>
        <w:pStyle w:val="BodyText"/>
        <w:spacing w:before="38"/>
        <w:rPr>
          <w:sz w:val="20"/>
        </w:rPr>
      </w:pPr>
      <w:r>
        <w:rPr/>
        <mc:AlternateContent>
          <mc:Choice Requires="wps">
            <w:drawing>
              <wp:anchor distT="0" distB="0" distL="0" distR="0" allowOverlap="1" layoutInCell="1" locked="0" behindDoc="1" simplePos="0" relativeHeight="487609344">
                <wp:simplePos x="0" y="0"/>
                <wp:positionH relativeFrom="page">
                  <wp:posOffset>1185672</wp:posOffset>
                </wp:positionH>
                <wp:positionV relativeFrom="paragraph">
                  <wp:posOffset>192786</wp:posOffset>
                </wp:positionV>
                <wp:extent cx="1719580" cy="6350"/>
                <wp:effectExtent l="0" t="0" r="0" b="0"/>
                <wp:wrapTopAndBottom/>
                <wp:docPr id="46" name="Graphic 46"/>
                <wp:cNvGraphicFramePr>
                  <a:graphicFrameLocks/>
                </wp:cNvGraphicFramePr>
                <a:graphic>
                  <a:graphicData uri="http://schemas.microsoft.com/office/word/2010/wordprocessingShape">
                    <wps:wsp>
                      <wps:cNvPr id="46" name="Graphic 46"/>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5.180079pt;width:135.360pt;height:.48pt;mso-position-horizontal-relative:page;mso-position-vertical-relative:paragraph;z-index:-15707136;mso-wrap-distance-left:0;mso-wrap-distance-right:0" id="docshape46" filled="true" fillcolor="#000000" stroked="false">
                <v:fill type="solid"/>
                <w10:wrap type="topAndBottom"/>
              </v:rect>
            </w:pict>
          </mc:Fallback>
        </mc:AlternateContent>
      </w:r>
    </w:p>
    <w:p>
      <w:pPr>
        <w:spacing w:line="215" w:lineRule="exact" w:before="101"/>
        <w:ind w:left="187" w:right="0" w:firstLine="0"/>
        <w:jc w:val="left"/>
        <w:rPr>
          <w:rFonts w:ascii="Times New Roman"/>
          <w:sz w:val="19"/>
        </w:rPr>
      </w:pPr>
      <w:r>
        <w:rPr>
          <w:rFonts w:ascii="Times New Roman"/>
          <w:sz w:val="19"/>
          <w:vertAlign w:val="superscript"/>
        </w:rPr>
        <w:t>69</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 62</w:t>
      </w:r>
      <w:r>
        <w:rPr>
          <w:rFonts w:ascii="Times New Roman"/>
          <w:spacing w:val="-9"/>
          <w:sz w:val="19"/>
          <w:vertAlign w:val="baseline"/>
        </w:rPr>
        <w:t> </w:t>
      </w:r>
      <w:r>
        <w:rPr>
          <w:rFonts w:ascii="Times New Roman"/>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70</w:t>
      </w:r>
      <w:r>
        <w:rPr>
          <w:rFonts w:ascii="Times New Roman"/>
          <w:sz w:val="19"/>
          <w:vertAlign w:val="baseline"/>
        </w:rPr>
        <w:t> See</w:t>
      </w:r>
      <w:r>
        <w:rPr>
          <w:rFonts w:ascii="Times New Roman"/>
          <w:spacing w:val="-3"/>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33</w:t>
      </w:r>
      <w:r>
        <w:rPr>
          <w:rFonts w:ascii="Times New Roman"/>
          <w:spacing w:val="-8"/>
          <w:sz w:val="19"/>
          <w:vertAlign w:val="baseline"/>
        </w:rPr>
        <w:t> </w:t>
      </w:r>
      <w:r>
        <w:rPr>
          <w:rFonts w:ascii="Times New Roman"/>
          <w:sz w:val="19"/>
          <w:vertAlign w:val="baseline"/>
        </w:rPr>
        <w:t>and</w:t>
      </w:r>
      <w:r>
        <w:rPr>
          <w:rFonts w:ascii="Times New Roman"/>
          <w:spacing w:val="-8"/>
          <w:sz w:val="19"/>
          <w:vertAlign w:val="baseline"/>
        </w:rPr>
        <w:t> </w:t>
      </w:r>
      <w:r>
        <w:rPr>
          <w:rFonts w:ascii="Times New Roman"/>
          <w:sz w:val="19"/>
          <w:vertAlign w:val="baseline"/>
        </w:rPr>
        <w:t>38</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71</w:t>
      </w:r>
      <w:r>
        <w:rPr>
          <w:rFonts w:ascii="Times New Roman"/>
          <w:spacing w:val="43"/>
          <w:sz w:val="19"/>
          <w:vertAlign w:val="baseline"/>
        </w:rPr>
        <w:t> </w:t>
      </w:r>
      <w:r>
        <w:rPr>
          <w:rFonts w:ascii="Times New Roman"/>
          <w:sz w:val="19"/>
          <w:vertAlign w:val="baseline"/>
        </w:rPr>
        <w:t>Section</w:t>
      </w:r>
      <w:r>
        <w:rPr>
          <w:rFonts w:ascii="Times New Roman"/>
          <w:spacing w:val="-4"/>
          <w:sz w:val="19"/>
          <w:vertAlign w:val="baseline"/>
        </w:rPr>
        <w:t> </w:t>
      </w:r>
      <w:r>
        <w:rPr>
          <w:rFonts w:ascii="Times New Roman"/>
          <w:sz w:val="19"/>
          <w:vertAlign w:val="baseline"/>
        </w:rPr>
        <w:t>50</w:t>
      </w:r>
      <w:r>
        <w:rPr>
          <w:rFonts w:ascii="Times New Roman"/>
          <w:spacing w:val="-7"/>
          <w:sz w:val="19"/>
          <w:vertAlign w:val="baseline"/>
        </w:rPr>
        <w:t> </w:t>
      </w:r>
      <w:r>
        <w:rPr>
          <w:rFonts w:ascii="Times New Roman"/>
          <w:sz w:val="19"/>
          <w:vertAlign w:val="baseline"/>
        </w:rPr>
        <w:t>and</w:t>
      </w:r>
      <w:r>
        <w:rPr>
          <w:rFonts w:ascii="Times New Roman"/>
          <w:spacing w:val="1"/>
          <w:sz w:val="19"/>
          <w:vertAlign w:val="baseline"/>
        </w:rPr>
        <w:t> </w:t>
      </w:r>
      <w:r>
        <w:rPr>
          <w:rFonts w:ascii="Times New Roman"/>
          <w:sz w:val="19"/>
          <w:vertAlign w:val="baseline"/>
        </w:rPr>
        <w:t>51</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72</w:t>
      </w:r>
      <w:r>
        <w:rPr>
          <w:rFonts w:ascii="Times New Roman"/>
          <w:spacing w:val="-3"/>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in</w:t>
      </w:r>
      <w:r>
        <w:rPr>
          <w:rFonts w:ascii="Times New Roman"/>
          <w:spacing w:val="-7"/>
          <w:sz w:val="19"/>
          <w:vertAlign w:val="baseline"/>
        </w:rPr>
        <w:t> </w:t>
      </w:r>
      <w:r>
        <w:rPr>
          <w:rFonts w:ascii="Times New Roman"/>
          <w:sz w:val="19"/>
          <w:vertAlign w:val="baseline"/>
        </w:rPr>
        <w:t>appendix</w:t>
      </w:r>
      <w:r>
        <w:rPr>
          <w:rFonts w:ascii="Times New Roman"/>
          <w:spacing w:val="-10"/>
          <w:sz w:val="19"/>
          <w:vertAlign w:val="baseline"/>
        </w:rPr>
        <w:t> 6</w:t>
      </w:r>
    </w:p>
    <w:p>
      <w:pPr>
        <w:spacing w:line="217" w:lineRule="exact" w:before="0"/>
        <w:ind w:left="187" w:right="0" w:firstLine="0"/>
        <w:jc w:val="left"/>
        <w:rPr>
          <w:rFonts w:ascii="Times New Roman" w:hAnsi="Times New Roman"/>
          <w:i/>
          <w:sz w:val="19"/>
        </w:rPr>
      </w:pPr>
      <w:r>
        <w:rPr>
          <w:rFonts w:ascii="Times New Roman" w:hAnsi="Times New Roman"/>
          <w:sz w:val="19"/>
          <w:vertAlign w:val="superscript"/>
        </w:rPr>
        <w:t>73</w:t>
      </w:r>
      <w:r>
        <w:rPr>
          <w:rFonts w:ascii="Times New Roman" w:hAnsi="Times New Roman"/>
          <w:spacing w:val="-6"/>
          <w:sz w:val="19"/>
          <w:vertAlign w:val="baseline"/>
        </w:rPr>
        <w:t> </w:t>
      </w:r>
      <w:r>
        <w:rPr>
          <w:rFonts w:ascii="Times New Roman" w:hAnsi="Times New Roman"/>
          <w:sz w:val="19"/>
          <w:vertAlign w:val="baseline"/>
        </w:rPr>
        <w:t>Section</w:t>
      </w:r>
      <w:r>
        <w:rPr>
          <w:rFonts w:ascii="Times New Roman" w:hAnsi="Times New Roman"/>
          <w:spacing w:val="-4"/>
          <w:sz w:val="19"/>
          <w:vertAlign w:val="baseline"/>
        </w:rPr>
        <w:t> </w:t>
      </w:r>
      <w:r>
        <w:rPr>
          <w:rFonts w:ascii="Times New Roman" w:hAnsi="Times New Roman"/>
          <w:sz w:val="19"/>
          <w:vertAlign w:val="baseline"/>
        </w:rPr>
        <w:t>34</w:t>
      </w:r>
      <w:r>
        <w:rPr>
          <w:rFonts w:ascii="Times New Roman" w:hAnsi="Times New Roman"/>
          <w:spacing w:val="-11"/>
          <w:sz w:val="19"/>
          <w:vertAlign w:val="baseline"/>
        </w:rPr>
        <w:t> </w:t>
      </w:r>
      <w:r>
        <w:rPr>
          <w:rFonts w:ascii="Times New Roman" w:hAnsi="Times New Roman"/>
          <w:sz w:val="19"/>
          <w:vertAlign w:val="baseline"/>
        </w:rPr>
        <w:t>and</w:t>
      </w:r>
      <w:r>
        <w:rPr>
          <w:rFonts w:ascii="Times New Roman" w:hAnsi="Times New Roman"/>
          <w:spacing w:val="-12"/>
          <w:sz w:val="19"/>
          <w:vertAlign w:val="baseline"/>
        </w:rPr>
        <w:t> </w:t>
      </w:r>
      <w:r>
        <w:rPr>
          <w:rFonts w:ascii="Times New Roman" w:hAnsi="Times New Roman"/>
          <w:sz w:val="19"/>
          <w:vertAlign w:val="baseline"/>
        </w:rPr>
        <w:t>43</w:t>
      </w:r>
      <w:r>
        <w:rPr>
          <w:rFonts w:ascii="Times New Roman" w:hAnsi="Times New Roman"/>
          <w:spacing w:val="-8"/>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6"/>
          <w:sz w:val="19"/>
          <w:vertAlign w:val="baseline"/>
        </w:rPr>
        <w:t> </w:t>
      </w:r>
      <w:r>
        <w:rPr>
          <w:rFonts w:ascii="Times New Roman" w:hAnsi="Times New Roman"/>
          <w:sz w:val="19"/>
          <w:vertAlign w:val="baseline"/>
        </w:rPr>
        <w:t>Compensation</w:t>
      </w:r>
      <w:r>
        <w:rPr>
          <w:rFonts w:ascii="Times New Roman" w:hAnsi="Times New Roman"/>
          <w:spacing w:val="-7"/>
          <w:sz w:val="19"/>
          <w:vertAlign w:val="baseline"/>
        </w:rPr>
        <w:t> </w:t>
      </w:r>
      <w:r>
        <w:rPr>
          <w:rFonts w:ascii="Times New Roman" w:hAnsi="Times New Roman"/>
          <w:sz w:val="19"/>
          <w:vertAlign w:val="baseline"/>
        </w:rPr>
        <w:t>Act</w:t>
      </w:r>
      <w:r>
        <w:rPr>
          <w:rFonts w:ascii="Times New Roman" w:hAnsi="Times New Roman"/>
          <w:spacing w:val="-9"/>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after="0" w:line="217" w:lineRule="exact"/>
        <w:jc w:val="left"/>
        <w:rPr>
          <w:rFonts w:ascii="Times New Roman" w:hAnsi="Times New Roman"/>
          <w:sz w:val="19"/>
        </w:rPr>
        <w:sectPr>
          <w:pgSz w:w="12240" w:h="15840"/>
          <w:pgMar w:header="0" w:footer="1009" w:top="1240" w:bottom="1200" w:left="1680" w:right="1320"/>
        </w:sectPr>
      </w:pPr>
    </w:p>
    <w:p>
      <w:pPr>
        <w:pStyle w:val="BodyText"/>
        <w:spacing w:line="489" w:lineRule="auto" w:before="94"/>
        <w:ind w:left="864" w:right="566"/>
        <w:jc w:val="both"/>
      </w:pPr>
      <w:r>
        <w:rPr/>
        <w:t>particular</w:t>
      </w:r>
      <w:r>
        <w:rPr>
          <w:spacing w:val="29"/>
        </w:rPr>
        <w:t> </w:t>
      </w:r>
      <w:r>
        <w:rPr/>
        <w:t>class</w:t>
      </w:r>
      <w:r>
        <w:rPr>
          <w:spacing w:val="22"/>
        </w:rPr>
        <w:t> </w:t>
      </w:r>
      <w:r>
        <w:rPr/>
        <w:t>for</w:t>
      </w:r>
      <w:r>
        <w:rPr>
          <w:spacing w:val="29"/>
        </w:rPr>
        <w:t> </w:t>
      </w:r>
      <w:r>
        <w:rPr/>
        <w:t>the</w:t>
      </w:r>
      <w:r>
        <w:rPr>
          <w:spacing w:val="28"/>
        </w:rPr>
        <w:t> </w:t>
      </w:r>
      <w:r>
        <w:rPr/>
        <w:t>purpose</w:t>
      </w:r>
      <w:r>
        <w:rPr>
          <w:spacing w:val="28"/>
        </w:rPr>
        <w:t> </w:t>
      </w:r>
      <w:r>
        <w:rPr/>
        <w:t>of</w:t>
      </w:r>
      <w:r>
        <w:rPr>
          <w:spacing w:val="24"/>
        </w:rPr>
        <w:t> </w:t>
      </w:r>
      <w:r>
        <w:rPr/>
        <w:t>contribution</w:t>
      </w:r>
      <w:r>
        <w:rPr>
          <w:spacing w:val="26"/>
        </w:rPr>
        <w:t> </w:t>
      </w:r>
      <w:r>
        <w:rPr/>
        <w:t>to</w:t>
      </w:r>
      <w:r>
        <w:rPr>
          <w:spacing w:val="29"/>
        </w:rPr>
        <w:t> </w:t>
      </w:r>
      <w:r>
        <w:rPr/>
        <w:t>the</w:t>
      </w:r>
      <w:r>
        <w:rPr>
          <w:spacing w:val="24"/>
        </w:rPr>
        <w:t> </w:t>
      </w:r>
      <w:r>
        <w:rPr/>
        <w:t>Fund.</w:t>
      </w:r>
      <w:r>
        <w:rPr>
          <w:spacing w:val="28"/>
        </w:rPr>
        <w:t> </w:t>
      </w:r>
      <w:r>
        <w:rPr/>
        <w:t>By</w:t>
      </w:r>
      <w:r>
        <w:rPr>
          <w:spacing w:val="30"/>
        </w:rPr>
        <w:t> </w:t>
      </w:r>
      <w:r>
        <w:rPr/>
        <w:t>section</w:t>
      </w:r>
      <w:r>
        <w:rPr>
          <w:spacing w:val="26"/>
        </w:rPr>
        <w:t> </w:t>
      </w:r>
      <w:r>
        <w:rPr/>
        <w:t>35 of</w:t>
      </w:r>
      <w:r>
        <w:rPr>
          <w:spacing w:val="27"/>
        </w:rPr>
        <w:t> </w:t>
      </w:r>
      <w:r>
        <w:rPr/>
        <w:t>the</w:t>
      </w:r>
      <w:r>
        <w:rPr>
          <w:spacing w:val="26"/>
        </w:rPr>
        <w:t> </w:t>
      </w:r>
      <w:r>
        <w:rPr/>
        <w:t>Act,</w:t>
      </w:r>
      <w:r>
        <w:rPr>
          <w:spacing w:val="26"/>
        </w:rPr>
        <w:t> </w:t>
      </w:r>
      <w:r>
        <w:rPr/>
        <w:t>assessments</w:t>
      </w:r>
      <w:r>
        <w:rPr>
          <w:spacing w:val="30"/>
        </w:rPr>
        <w:t> </w:t>
      </w:r>
      <w:r>
        <w:rPr/>
        <w:t>are payable on</w:t>
      </w:r>
      <w:r>
        <w:rPr>
          <w:spacing w:val="28"/>
        </w:rPr>
        <w:t> </w:t>
      </w:r>
      <w:r>
        <w:rPr/>
        <w:t>the</w:t>
      </w:r>
      <w:r>
        <w:rPr>
          <w:spacing w:val="26"/>
        </w:rPr>
        <w:t> </w:t>
      </w:r>
      <w:r>
        <w:rPr/>
        <w:t>1</w:t>
      </w:r>
      <w:r>
        <w:rPr>
          <w:vertAlign w:val="superscript"/>
        </w:rPr>
        <w:t>st</w:t>
      </w:r>
      <w:r>
        <w:rPr>
          <w:vertAlign w:val="baseline"/>
        </w:rPr>
        <w:t> day of January in the year for which it relates. The Board may in</w:t>
      </w:r>
      <w:r>
        <w:rPr>
          <w:spacing w:val="40"/>
          <w:vertAlign w:val="baseline"/>
        </w:rPr>
        <w:t> </w:t>
      </w:r>
      <w:r>
        <w:rPr>
          <w:vertAlign w:val="baseline"/>
        </w:rPr>
        <w:t>its discretion as</w:t>
      </w:r>
      <w:r>
        <w:rPr>
          <w:spacing w:val="40"/>
          <w:vertAlign w:val="baseline"/>
        </w:rPr>
        <w:t> </w:t>
      </w:r>
      <w:r>
        <w:rPr>
          <w:vertAlign w:val="baseline"/>
        </w:rPr>
        <w:t>seen to be practicable make assessments payable on some other dates determined by it. In this case the Board may make provision for payment by instalment of any amount of assessment. In computing the amount of the payroll for the purpose of assessment, regard shall be had only to that portion of the payroll that represents workers and employment within the scope of the</w:t>
      </w:r>
      <w:r>
        <w:rPr>
          <w:spacing w:val="80"/>
          <w:vertAlign w:val="baseline"/>
        </w:rPr>
        <w:t> </w:t>
      </w:r>
      <w:r>
        <w:rPr>
          <w:vertAlign w:val="baseline"/>
        </w:rPr>
        <w:t>Act. Employees not covered by the Act will not be reckoned with when calculating the amount of assessment payable by employers.</w:t>
      </w:r>
      <w:r>
        <w:rPr>
          <w:vertAlign w:val="superscript"/>
        </w:rPr>
        <w:t>74</w:t>
      </w:r>
      <w:r>
        <w:rPr>
          <w:vertAlign w:val="baseline"/>
        </w:rPr>
        <w:t> This is in a situation where in the same place of employment, there are some who are not covered by the Act.</w:t>
      </w:r>
    </w:p>
    <w:p>
      <w:pPr>
        <w:pStyle w:val="BodyText"/>
        <w:spacing w:before="20"/>
      </w:pPr>
    </w:p>
    <w:p>
      <w:pPr>
        <w:pStyle w:val="BodyText"/>
        <w:spacing w:line="489" w:lineRule="auto"/>
        <w:ind w:left="864" w:right="561"/>
        <w:jc w:val="both"/>
      </w:pPr>
      <w:r>
        <w:rPr/>
        <w:t>Assessment and compensation, every employer shall not later than the last day of February in each year, or as may be determined by the Board, provide to the Board, a statement estimating the earnings that will be paid to its employees in that year or any part of the year, a statement of total amount</w:t>
      </w:r>
      <w:r>
        <w:rPr>
          <w:spacing w:val="40"/>
        </w:rPr>
        <w:t> </w:t>
      </w:r>
      <w:r>
        <w:rPr/>
        <w:t>of</w:t>
      </w:r>
      <w:r>
        <w:rPr>
          <w:spacing w:val="40"/>
        </w:rPr>
        <w:t> </w:t>
      </w:r>
      <w:r>
        <w:rPr/>
        <w:t>all</w:t>
      </w:r>
      <w:r>
        <w:rPr>
          <w:spacing w:val="40"/>
        </w:rPr>
        <w:t> </w:t>
      </w:r>
      <w:r>
        <w:rPr/>
        <w:t>earnings</w:t>
      </w:r>
      <w:r>
        <w:rPr>
          <w:spacing w:val="40"/>
        </w:rPr>
        <w:t> </w:t>
      </w:r>
      <w:r>
        <w:rPr/>
        <w:t>paid</w:t>
      </w:r>
      <w:r>
        <w:rPr>
          <w:spacing w:val="40"/>
        </w:rPr>
        <w:t> </w:t>
      </w:r>
      <w:r>
        <w:rPr/>
        <w:t>to</w:t>
      </w:r>
      <w:r>
        <w:rPr>
          <w:spacing w:val="40"/>
        </w:rPr>
        <w:t> </w:t>
      </w:r>
      <w:r>
        <w:rPr/>
        <w:t>its</w:t>
      </w:r>
      <w:r>
        <w:rPr>
          <w:spacing w:val="40"/>
        </w:rPr>
        <w:t> </w:t>
      </w:r>
      <w:r>
        <w:rPr/>
        <w:t>employees</w:t>
      </w:r>
      <w:r>
        <w:rPr>
          <w:spacing w:val="40"/>
        </w:rPr>
        <w:t> </w:t>
      </w:r>
      <w:r>
        <w:rPr/>
        <w:t>in</w:t>
      </w:r>
      <w:r>
        <w:rPr>
          <w:spacing w:val="40"/>
        </w:rPr>
        <w:t> </w:t>
      </w:r>
      <w:r>
        <w:rPr/>
        <w:t>the</w:t>
      </w:r>
      <w:r>
        <w:rPr>
          <w:spacing w:val="40"/>
        </w:rPr>
        <w:t> </w:t>
      </w:r>
      <w:r>
        <w:rPr/>
        <w:t>preceding</w:t>
      </w:r>
      <w:r>
        <w:rPr>
          <w:spacing w:val="40"/>
        </w:rPr>
        <w:t> </w:t>
      </w:r>
      <w:r>
        <w:rPr/>
        <w:t>year</w:t>
      </w:r>
      <w:r>
        <w:rPr>
          <w:spacing w:val="40"/>
        </w:rPr>
        <w:t> </w:t>
      </w:r>
      <w:r>
        <w:rPr/>
        <w:t>and they may also be required to supply any additional information to the Board.</w:t>
      </w:r>
      <w:r>
        <w:rPr>
          <w:vertAlign w:val="superscript"/>
        </w:rPr>
        <w:t>75</w:t>
      </w:r>
      <w:r>
        <w:rPr>
          <w:vertAlign w:val="baseline"/>
        </w:rPr>
        <w:t> The prescribed form for estimate of total payroll is called Form ECS.RE03.</w:t>
      </w:r>
      <w:r>
        <w:rPr>
          <w:vertAlign w:val="superscript"/>
        </w:rPr>
        <w:t>76</w:t>
      </w:r>
      <w:r>
        <w:rPr>
          <w:vertAlign w:val="baseline"/>
        </w:rPr>
        <w:t> Separate statements for each industry may be required if the business</w:t>
      </w:r>
      <w:r>
        <w:rPr>
          <w:spacing w:val="58"/>
          <w:w w:val="150"/>
          <w:vertAlign w:val="baseline"/>
        </w:rPr>
        <w:t> </w:t>
      </w:r>
      <w:r>
        <w:rPr>
          <w:vertAlign w:val="baseline"/>
        </w:rPr>
        <w:t>of</w:t>
      </w:r>
      <w:r>
        <w:rPr>
          <w:spacing w:val="65"/>
          <w:w w:val="150"/>
          <w:vertAlign w:val="baseline"/>
        </w:rPr>
        <w:t> </w:t>
      </w:r>
      <w:r>
        <w:rPr>
          <w:vertAlign w:val="baseline"/>
        </w:rPr>
        <w:t>the</w:t>
      </w:r>
      <w:r>
        <w:rPr>
          <w:spacing w:val="64"/>
          <w:w w:val="150"/>
          <w:vertAlign w:val="baseline"/>
        </w:rPr>
        <w:t> </w:t>
      </w:r>
      <w:r>
        <w:rPr>
          <w:vertAlign w:val="baseline"/>
        </w:rPr>
        <w:t>employer</w:t>
      </w:r>
      <w:r>
        <w:rPr>
          <w:spacing w:val="64"/>
          <w:w w:val="150"/>
          <w:vertAlign w:val="baseline"/>
        </w:rPr>
        <w:t> </w:t>
      </w:r>
      <w:r>
        <w:rPr>
          <w:vertAlign w:val="baseline"/>
        </w:rPr>
        <w:t>is</w:t>
      </w:r>
      <w:r>
        <w:rPr>
          <w:spacing w:val="58"/>
          <w:w w:val="150"/>
          <w:vertAlign w:val="baseline"/>
        </w:rPr>
        <w:t> </w:t>
      </w:r>
      <w:r>
        <w:rPr>
          <w:vertAlign w:val="baseline"/>
        </w:rPr>
        <w:t>carried</w:t>
      </w:r>
      <w:r>
        <w:rPr>
          <w:spacing w:val="63"/>
          <w:w w:val="150"/>
          <w:vertAlign w:val="baseline"/>
        </w:rPr>
        <w:t> </w:t>
      </w:r>
      <w:r>
        <w:rPr>
          <w:vertAlign w:val="baseline"/>
        </w:rPr>
        <w:t>on</w:t>
      </w:r>
      <w:r>
        <w:rPr>
          <w:spacing w:val="66"/>
          <w:w w:val="150"/>
          <w:vertAlign w:val="baseline"/>
        </w:rPr>
        <w:t> </w:t>
      </w:r>
      <w:r>
        <w:rPr>
          <w:vertAlign w:val="baseline"/>
        </w:rPr>
        <w:t>in</w:t>
      </w:r>
      <w:r>
        <w:rPr>
          <w:spacing w:val="62"/>
          <w:w w:val="150"/>
          <w:vertAlign w:val="baseline"/>
        </w:rPr>
        <w:t> </w:t>
      </w:r>
      <w:r>
        <w:rPr>
          <w:vertAlign w:val="baseline"/>
        </w:rPr>
        <w:t>more</w:t>
      </w:r>
      <w:r>
        <w:rPr>
          <w:spacing w:val="59"/>
          <w:w w:val="150"/>
          <w:vertAlign w:val="baseline"/>
        </w:rPr>
        <w:t> </w:t>
      </w:r>
      <w:r>
        <w:rPr>
          <w:vertAlign w:val="baseline"/>
        </w:rPr>
        <w:t>than</w:t>
      </w:r>
      <w:r>
        <w:rPr>
          <w:spacing w:val="62"/>
          <w:w w:val="150"/>
          <w:vertAlign w:val="baseline"/>
        </w:rPr>
        <w:t> </w:t>
      </w:r>
      <w:r>
        <w:rPr>
          <w:vertAlign w:val="baseline"/>
        </w:rPr>
        <w:t>one</w:t>
      </w:r>
      <w:r>
        <w:rPr>
          <w:spacing w:val="60"/>
          <w:w w:val="150"/>
          <w:vertAlign w:val="baseline"/>
        </w:rPr>
        <w:t> </w:t>
      </w:r>
      <w:r>
        <w:rPr>
          <w:spacing w:val="-2"/>
          <w:vertAlign w:val="baseline"/>
        </w:rPr>
        <w:t>industry.</w:t>
      </w:r>
    </w:p>
    <w:p>
      <w:pPr>
        <w:pStyle w:val="BodyText"/>
        <w:spacing w:before="7"/>
        <w:rPr>
          <w:sz w:val="11"/>
        </w:rPr>
      </w:pPr>
      <w:r>
        <w:rPr/>
        <mc:AlternateContent>
          <mc:Choice Requires="wps">
            <w:drawing>
              <wp:anchor distT="0" distB="0" distL="0" distR="0" allowOverlap="1" layoutInCell="1" locked="0" behindDoc="1" simplePos="0" relativeHeight="487609856">
                <wp:simplePos x="0" y="0"/>
                <wp:positionH relativeFrom="page">
                  <wp:posOffset>1185672</wp:posOffset>
                </wp:positionH>
                <wp:positionV relativeFrom="paragraph">
                  <wp:posOffset>104179</wp:posOffset>
                </wp:positionV>
                <wp:extent cx="1719580" cy="6350"/>
                <wp:effectExtent l="0" t="0" r="0" b="0"/>
                <wp:wrapTopAndBottom/>
                <wp:docPr id="47" name="Graphic 47"/>
                <wp:cNvGraphicFramePr>
                  <a:graphicFrameLocks/>
                </wp:cNvGraphicFramePr>
                <a:graphic>
                  <a:graphicData uri="http://schemas.microsoft.com/office/word/2010/wordprocessingShape">
                    <wps:wsp>
                      <wps:cNvPr id="47" name="Graphic 47"/>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8.203125pt;width:135.360pt;height:.48pt;mso-position-horizontal-relative:page;mso-position-vertical-relative:paragraph;z-index:-15706624;mso-wrap-distance-left:0;mso-wrap-distance-right:0" id="docshape47"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74</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39(3)</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75</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40(1)</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76</w:t>
      </w:r>
      <w:r>
        <w:rPr>
          <w:rFonts w:ascii="Times New Roman"/>
          <w:spacing w:val="-2"/>
          <w:sz w:val="19"/>
          <w:vertAlign w:val="baseline"/>
        </w:rPr>
        <w:t> </w:t>
      </w:r>
      <w:r>
        <w:rPr>
          <w:rFonts w:ascii="Times New Roman"/>
          <w:sz w:val="19"/>
          <w:vertAlign w:val="baseline"/>
        </w:rPr>
        <w:t>See</w:t>
      </w:r>
      <w:r>
        <w:rPr>
          <w:rFonts w:ascii="Times New Roman"/>
          <w:spacing w:val="-3"/>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sample</w:t>
      </w:r>
      <w:r>
        <w:rPr>
          <w:rFonts w:ascii="Times New Roman"/>
          <w:spacing w:val="-12"/>
          <w:sz w:val="19"/>
          <w:vertAlign w:val="baseline"/>
        </w:rPr>
        <w:t> </w:t>
      </w:r>
      <w:r>
        <w:rPr>
          <w:rFonts w:ascii="Times New Roman"/>
          <w:sz w:val="19"/>
          <w:vertAlign w:val="baseline"/>
        </w:rPr>
        <w:t>in</w:t>
      </w:r>
      <w:r>
        <w:rPr>
          <w:rFonts w:ascii="Times New Roman"/>
          <w:spacing w:val="-1"/>
          <w:sz w:val="19"/>
          <w:vertAlign w:val="baseline"/>
        </w:rPr>
        <w:t> </w:t>
      </w:r>
      <w:r>
        <w:rPr>
          <w:rFonts w:ascii="Times New Roman"/>
          <w:sz w:val="19"/>
          <w:vertAlign w:val="baseline"/>
        </w:rPr>
        <w:t>appendix</w:t>
      </w:r>
      <w:r>
        <w:rPr>
          <w:rFonts w:ascii="Times New Roman"/>
          <w:spacing w:val="-9"/>
          <w:sz w:val="19"/>
          <w:vertAlign w:val="baseline"/>
        </w:rPr>
        <w:t> </w:t>
      </w:r>
      <w:r>
        <w:rPr>
          <w:rFonts w:ascii="Times New Roman"/>
          <w:spacing w:val="-10"/>
          <w:sz w:val="19"/>
          <w:vertAlign w:val="baseline"/>
        </w:rPr>
        <w:t>5</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9"/>
        <w:jc w:val="both"/>
      </w:pPr>
      <w:r>
        <w:rPr/>
        <w:t>Employers are expected to give true statements otherwise the Board may reassess</w:t>
      </w:r>
      <w:r>
        <w:rPr>
          <w:spacing w:val="40"/>
        </w:rPr>
        <w:t> </w:t>
      </w:r>
      <w:r>
        <w:rPr/>
        <w:t>the</w:t>
      </w:r>
      <w:r>
        <w:rPr>
          <w:spacing w:val="40"/>
        </w:rPr>
        <w:t> </w:t>
      </w:r>
      <w:r>
        <w:rPr/>
        <w:t>employers</w:t>
      </w:r>
      <w:r>
        <w:rPr>
          <w:spacing w:val="40"/>
        </w:rPr>
        <w:t> </w:t>
      </w:r>
      <w:r>
        <w:rPr/>
        <w:t>for</w:t>
      </w:r>
      <w:r>
        <w:rPr>
          <w:spacing w:val="40"/>
        </w:rPr>
        <w:t> </w:t>
      </w:r>
      <w:r>
        <w:rPr/>
        <w:t>each</w:t>
      </w:r>
      <w:r>
        <w:rPr>
          <w:spacing w:val="40"/>
        </w:rPr>
        <w:t> </w:t>
      </w:r>
      <w:r>
        <w:rPr/>
        <w:t>year</w:t>
      </w:r>
      <w:r>
        <w:rPr>
          <w:spacing w:val="40"/>
        </w:rPr>
        <w:t> </w:t>
      </w:r>
      <w:r>
        <w:rPr/>
        <w:t>any</w:t>
      </w:r>
      <w:r>
        <w:rPr>
          <w:spacing w:val="40"/>
        </w:rPr>
        <w:t> </w:t>
      </w:r>
      <w:r>
        <w:rPr/>
        <w:t>statement is</w:t>
      </w:r>
      <w:r>
        <w:rPr>
          <w:spacing w:val="40"/>
        </w:rPr>
        <w:t> </w:t>
      </w:r>
      <w:r>
        <w:rPr/>
        <w:t>incorrectly</w:t>
      </w:r>
      <w:r>
        <w:rPr>
          <w:spacing w:val="40"/>
        </w:rPr>
        <w:t> </w:t>
      </w:r>
      <w:r>
        <w:rPr/>
        <w:t>made and may</w:t>
      </w:r>
      <w:r>
        <w:rPr>
          <w:spacing w:val="40"/>
        </w:rPr>
        <w:t> </w:t>
      </w:r>
      <w:r>
        <w:rPr/>
        <w:t>charge</w:t>
      </w:r>
      <w:r>
        <w:rPr>
          <w:spacing w:val="40"/>
        </w:rPr>
        <w:t> </w:t>
      </w:r>
      <w:r>
        <w:rPr/>
        <w:t>interest</w:t>
      </w:r>
      <w:r>
        <w:rPr>
          <w:spacing w:val="40"/>
        </w:rPr>
        <w:t> </w:t>
      </w:r>
      <w:r>
        <w:rPr/>
        <w:t>at</w:t>
      </w:r>
      <w:r>
        <w:rPr>
          <w:spacing w:val="40"/>
        </w:rPr>
        <w:t> </w:t>
      </w:r>
      <w:r>
        <w:rPr/>
        <w:t>any</w:t>
      </w:r>
      <w:r>
        <w:rPr>
          <w:spacing w:val="40"/>
        </w:rPr>
        <w:t> </w:t>
      </w:r>
      <w:r>
        <w:rPr/>
        <w:t>rate determined by</w:t>
      </w:r>
      <w:r>
        <w:rPr>
          <w:spacing w:val="40"/>
        </w:rPr>
        <w:t> </w:t>
      </w:r>
      <w:r>
        <w:rPr/>
        <w:t>the</w:t>
      </w:r>
      <w:r>
        <w:rPr>
          <w:spacing w:val="40"/>
        </w:rPr>
        <w:t> </w:t>
      </w:r>
      <w:r>
        <w:rPr/>
        <w:t>Board on</w:t>
      </w:r>
      <w:r>
        <w:rPr>
          <w:spacing w:val="40"/>
        </w:rPr>
        <w:t> </w:t>
      </w:r>
      <w:r>
        <w:rPr/>
        <w:t>any unpaid assessment.</w:t>
      </w:r>
      <w:r>
        <w:rPr>
          <w:vertAlign w:val="superscript"/>
        </w:rPr>
        <w:t>77</w:t>
      </w:r>
    </w:p>
    <w:p>
      <w:pPr>
        <w:pStyle w:val="BodyText"/>
        <w:spacing w:before="10"/>
      </w:pPr>
    </w:p>
    <w:p>
      <w:pPr>
        <w:pStyle w:val="BodyText"/>
        <w:spacing w:line="489" w:lineRule="auto"/>
        <w:ind w:left="864" w:right="569"/>
        <w:jc w:val="both"/>
      </w:pPr>
      <w:r>
        <w:rPr/>
        <w:t>Employers are expected to provide estimate of payrolls kept at their known addresses and shall cause to be furnished to the Board the date the employer</w:t>
      </w:r>
      <w:r>
        <w:rPr>
          <w:spacing w:val="40"/>
        </w:rPr>
        <w:t> </w:t>
      </w:r>
      <w:r>
        <w:rPr/>
        <w:t>became an</w:t>
      </w:r>
      <w:r>
        <w:rPr>
          <w:spacing w:val="40"/>
        </w:rPr>
        <w:t> </w:t>
      </w:r>
      <w:r>
        <w:rPr/>
        <w:t>employer</w:t>
      </w:r>
      <w:r>
        <w:rPr>
          <w:spacing w:val="40"/>
        </w:rPr>
        <w:t> </w:t>
      </w:r>
      <w:r>
        <w:rPr/>
        <w:t>in accordance with the</w:t>
      </w:r>
      <w:r>
        <w:rPr>
          <w:spacing w:val="40"/>
        </w:rPr>
        <w:t> </w:t>
      </w:r>
      <w:r>
        <w:rPr/>
        <w:t>Act.</w:t>
      </w:r>
      <w:r>
        <w:rPr>
          <w:vertAlign w:val="superscript"/>
        </w:rPr>
        <w:t>78</w:t>
      </w:r>
      <w:r>
        <w:rPr>
          <w:vertAlign w:val="baseline"/>
        </w:rPr>
        <w:t> Sometimes, the Board may also require an estimate of the probable amount of the payroll of each of the employer in accordance with the Act. The Board may also require an estimate of the probable amount of the payroll of</w:t>
      </w:r>
      <w:r>
        <w:rPr>
          <w:spacing w:val="33"/>
          <w:vertAlign w:val="baseline"/>
        </w:rPr>
        <w:t> </w:t>
      </w:r>
      <w:r>
        <w:rPr>
          <w:vertAlign w:val="baseline"/>
        </w:rPr>
        <w:t>each of the</w:t>
      </w:r>
      <w:r>
        <w:rPr>
          <w:spacing w:val="40"/>
          <w:vertAlign w:val="baseline"/>
        </w:rPr>
        <w:t> </w:t>
      </w:r>
      <w:r>
        <w:rPr>
          <w:vertAlign w:val="baseline"/>
        </w:rPr>
        <w:t>employers’</w:t>
      </w:r>
      <w:r>
        <w:rPr>
          <w:spacing w:val="38"/>
          <w:vertAlign w:val="baseline"/>
        </w:rPr>
        <w:t> </w:t>
      </w:r>
      <w:r>
        <w:rPr>
          <w:vertAlign w:val="baseline"/>
        </w:rPr>
        <w:t>industries</w:t>
      </w:r>
      <w:r>
        <w:rPr>
          <w:spacing w:val="40"/>
          <w:vertAlign w:val="baseline"/>
        </w:rPr>
        <w:t> </w:t>
      </w:r>
      <w:r>
        <w:rPr>
          <w:vertAlign w:val="baseline"/>
        </w:rPr>
        <w:t>and</w:t>
      </w:r>
      <w:r>
        <w:rPr>
          <w:spacing w:val="40"/>
          <w:vertAlign w:val="baseline"/>
        </w:rPr>
        <w:t> </w:t>
      </w:r>
      <w:r>
        <w:rPr>
          <w:vertAlign w:val="baseline"/>
        </w:rPr>
        <w:t>any</w:t>
      </w:r>
      <w:r>
        <w:rPr>
          <w:spacing w:val="38"/>
          <w:vertAlign w:val="baseline"/>
        </w:rPr>
        <w:t> </w:t>
      </w:r>
      <w:r>
        <w:rPr>
          <w:vertAlign w:val="baseline"/>
        </w:rPr>
        <w:t>further</w:t>
      </w:r>
      <w:r>
        <w:rPr>
          <w:spacing w:val="40"/>
          <w:vertAlign w:val="baseline"/>
        </w:rPr>
        <w:t> </w:t>
      </w:r>
      <w:r>
        <w:rPr>
          <w:vertAlign w:val="baseline"/>
        </w:rPr>
        <w:t>information</w:t>
      </w:r>
      <w:r>
        <w:rPr>
          <w:spacing w:val="38"/>
          <w:vertAlign w:val="baseline"/>
        </w:rPr>
        <w:t> </w:t>
      </w:r>
      <w:r>
        <w:rPr>
          <w:vertAlign w:val="baseline"/>
        </w:rPr>
        <w:t>from</w:t>
      </w:r>
      <w:r>
        <w:rPr>
          <w:spacing w:val="39"/>
          <w:vertAlign w:val="baseline"/>
        </w:rPr>
        <w:t> </w:t>
      </w:r>
      <w:r>
        <w:rPr>
          <w:vertAlign w:val="baseline"/>
        </w:rPr>
        <w:t>any</w:t>
      </w:r>
      <w:r>
        <w:rPr>
          <w:spacing w:val="38"/>
          <w:vertAlign w:val="baseline"/>
        </w:rPr>
        <w:t> </w:t>
      </w:r>
      <w:r>
        <w:rPr>
          <w:vertAlign w:val="baseline"/>
        </w:rPr>
        <w:t>employer to be furnished.</w:t>
      </w:r>
    </w:p>
    <w:p>
      <w:pPr>
        <w:pStyle w:val="BodyText"/>
        <w:spacing w:before="16"/>
      </w:pPr>
    </w:p>
    <w:p>
      <w:pPr>
        <w:pStyle w:val="BodyText"/>
        <w:spacing w:line="489" w:lineRule="auto"/>
        <w:ind w:left="864" w:right="567"/>
        <w:jc w:val="both"/>
      </w:pPr>
      <w:r>
        <w:rPr/>
        <w:t>The employers are required to provide to the Board signed copies of the payrolls not later than 31</w:t>
      </w:r>
      <w:r>
        <w:rPr>
          <w:vertAlign w:val="superscript"/>
        </w:rPr>
        <w:t>st</w:t>
      </w:r>
      <w:r>
        <w:rPr>
          <w:vertAlign w:val="baseline"/>
        </w:rPr>
        <w:t> December in each year or any time as may be determined and required by the Board and where any employer fails to comply</w:t>
      </w:r>
      <w:r>
        <w:rPr>
          <w:spacing w:val="40"/>
          <w:vertAlign w:val="baseline"/>
        </w:rPr>
        <w:t> </w:t>
      </w:r>
      <w:r>
        <w:rPr>
          <w:vertAlign w:val="baseline"/>
        </w:rPr>
        <w:t>with</w:t>
      </w:r>
      <w:r>
        <w:rPr>
          <w:spacing w:val="40"/>
          <w:vertAlign w:val="baseline"/>
        </w:rPr>
        <w:t> </w:t>
      </w:r>
      <w:r>
        <w:rPr>
          <w:vertAlign w:val="baseline"/>
        </w:rPr>
        <w:t>the</w:t>
      </w:r>
      <w:r>
        <w:rPr>
          <w:spacing w:val="40"/>
          <w:vertAlign w:val="baseline"/>
        </w:rPr>
        <w:t> </w:t>
      </w:r>
      <w:r>
        <w:rPr>
          <w:vertAlign w:val="baseline"/>
        </w:rPr>
        <w:t>requirements</w:t>
      </w:r>
      <w:r>
        <w:rPr>
          <w:spacing w:val="40"/>
          <w:vertAlign w:val="baseline"/>
        </w:rPr>
        <w:t> </w:t>
      </w:r>
      <w:r>
        <w:rPr>
          <w:vertAlign w:val="baseline"/>
        </w:rPr>
        <w:t>as</w:t>
      </w:r>
      <w:r>
        <w:rPr>
          <w:spacing w:val="40"/>
          <w:vertAlign w:val="baseline"/>
        </w:rPr>
        <w:t> </w:t>
      </w:r>
      <w:r>
        <w:rPr>
          <w:vertAlign w:val="baseline"/>
        </w:rPr>
        <w:t>to</w:t>
      </w:r>
      <w:r>
        <w:rPr>
          <w:spacing w:val="40"/>
          <w:vertAlign w:val="baseline"/>
        </w:rPr>
        <w:t> </w:t>
      </w:r>
      <w:r>
        <w:rPr>
          <w:vertAlign w:val="baseline"/>
        </w:rPr>
        <w:t>estimate</w:t>
      </w:r>
      <w:r>
        <w:rPr>
          <w:spacing w:val="40"/>
          <w:vertAlign w:val="baseline"/>
        </w:rPr>
        <w:t> </w:t>
      </w:r>
      <w:r>
        <w:rPr>
          <w:vertAlign w:val="baseline"/>
        </w:rPr>
        <w:t>of</w:t>
      </w:r>
      <w:r>
        <w:rPr>
          <w:spacing w:val="40"/>
          <w:vertAlign w:val="baseline"/>
        </w:rPr>
        <w:t> </w:t>
      </w:r>
      <w:r>
        <w:rPr>
          <w:vertAlign w:val="baseline"/>
        </w:rPr>
        <w:t>payrolls</w:t>
      </w:r>
      <w:r>
        <w:rPr>
          <w:spacing w:val="40"/>
          <w:vertAlign w:val="baseline"/>
        </w:rPr>
        <w:t> </w:t>
      </w:r>
      <w:r>
        <w:rPr>
          <w:vertAlign w:val="baseline"/>
        </w:rPr>
        <w:t>and</w:t>
      </w:r>
      <w:r>
        <w:rPr>
          <w:spacing w:val="40"/>
          <w:vertAlign w:val="baseline"/>
        </w:rPr>
        <w:t> </w:t>
      </w:r>
      <w:r>
        <w:rPr>
          <w:vertAlign w:val="baseline"/>
        </w:rPr>
        <w:t>related matters here, such employer is liable to pay a penalty for the default, a percentage of the assessment prescribed by regulations or determined by the Board. </w:t>
      </w:r>
      <w:r>
        <w:rPr>
          <w:vertAlign w:val="superscript"/>
        </w:rPr>
        <w:t>79</w:t>
      </w:r>
      <w:r>
        <w:rPr>
          <w:vertAlign w:val="baseline"/>
        </w:rPr>
        <w:t>The Board may also make its own estimate of the payrolls, assess</w:t>
      </w:r>
      <w:r>
        <w:rPr>
          <w:spacing w:val="37"/>
          <w:vertAlign w:val="baseline"/>
        </w:rPr>
        <w:t> </w:t>
      </w:r>
      <w:r>
        <w:rPr>
          <w:vertAlign w:val="baseline"/>
        </w:rPr>
        <w:t>and</w:t>
      </w:r>
      <w:r>
        <w:rPr>
          <w:spacing w:val="40"/>
          <w:vertAlign w:val="baseline"/>
        </w:rPr>
        <w:t> </w:t>
      </w:r>
      <w:r>
        <w:rPr>
          <w:vertAlign w:val="baseline"/>
        </w:rPr>
        <w:t>levy</w:t>
      </w:r>
      <w:r>
        <w:rPr>
          <w:spacing w:val="39"/>
          <w:vertAlign w:val="baseline"/>
        </w:rPr>
        <w:t> </w:t>
      </w:r>
      <w:r>
        <w:rPr>
          <w:vertAlign w:val="baseline"/>
        </w:rPr>
        <w:t>on</w:t>
      </w:r>
      <w:r>
        <w:rPr>
          <w:spacing w:val="35"/>
          <w:vertAlign w:val="baseline"/>
        </w:rPr>
        <w:t> </w:t>
      </w:r>
      <w:r>
        <w:rPr>
          <w:vertAlign w:val="baseline"/>
        </w:rPr>
        <w:t>that</w:t>
      </w:r>
      <w:r>
        <w:rPr>
          <w:spacing w:val="40"/>
          <w:vertAlign w:val="baseline"/>
        </w:rPr>
        <w:t> </w:t>
      </w:r>
      <w:r>
        <w:rPr>
          <w:vertAlign w:val="baseline"/>
        </w:rPr>
        <w:t>estimate</w:t>
      </w:r>
      <w:r>
        <w:rPr>
          <w:spacing w:val="37"/>
          <w:vertAlign w:val="baseline"/>
        </w:rPr>
        <w:t> </w:t>
      </w:r>
      <w:r>
        <w:rPr>
          <w:vertAlign w:val="baseline"/>
        </w:rPr>
        <w:t>and</w:t>
      </w:r>
      <w:r>
        <w:rPr>
          <w:spacing w:val="40"/>
          <w:vertAlign w:val="baseline"/>
        </w:rPr>
        <w:t> </w:t>
      </w:r>
      <w:r>
        <w:rPr>
          <w:vertAlign w:val="baseline"/>
        </w:rPr>
        <w:t>the</w:t>
      </w:r>
      <w:r>
        <w:rPr>
          <w:spacing w:val="39"/>
          <w:vertAlign w:val="baseline"/>
        </w:rPr>
        <w:t> </w:t>
      </w:r>
      <w:r>
        <w:rPr>
          <w:vertAlign w:val="baseline"/>
        </w:rPr>
        <w:t>employer</w:t>
      </w:r>
      <w:r>
        <w:rPr>
          <w:spacing w:val="42"/>
          <w:vertAlign w:val="baseline"/>
        </w:rPr>
        <w:t> </w:t>
      </w:r>
      <w:r>
        <w:rPr>
          <w:vertAlign w:val="baseline"/>
        </w:rPr>
        <w:t>is</w:t>
      </w:r>
      <w:r>
        <w:rPr>
          <w:spacing w:val="38"/>
          <w:vertAlign w:val="baseline"/>
        </w:rPr>
        <w:t> </w:t>
      </w:r>
      <w:r>
        <w:rPr>
          <w:vertAlign w:val="baseline"/>
        </w:rPr>
        <w:t>bound</w:t>
      </w:r>
      <w:r>
        <w:rPr>
          <w:spacing w:val="40"/>
          <w:vertAlign w:val="baseline"/>
        </w:rPr>
        <w:t> </w:t>
      </w:r>
      <w:r>
        <w:rPr>
          <w:vertAlign w:val="baseline"/>
        </w:rPr>
        <w:t>to</w:t>
      </w:r>
      <w:r>
        <w:rPr>
          <w:spacing w:val="39"/>
          <w:vertAlign w:val="baseline"/>
        </w:rPr>
        <w:t> </w:t>
      </w:r>
      <w:r>
        <w:rPr>
          <w:vertAlign w:val="baseline"/>
        </w:rPr>
        <w:t>pay</w:t>
      </w:r>
      <w:r>
        <w:rPr>
          <w:spacing w:val="39"/>
          <w:vertAlign w:val="baseline"/>
        </w:rPr>
        <w:t> </w:t>
      </w:r>
      <w:r>
        <w:rPr>
          <w:spacing w:val="-5"/>
          <w:vertAlign w:val="baseline"/>
        </w:rPr>
        <w:t>the</w:t>
      </w:r>
    </w:p>
    <w:p>
      <w:pPr>
        <w:pStyle w:val="BodyText"/>
        <w:spacing w:before="181"/>
        <w:rPr>
          <w:sz w:val="20"/>
        </w:rPr>
      </w:pPr>
      <w:r>
        <w:rPr/>
        <mc:AlternateContent>
          <mc:Choice Requires="wps">
            <w:drawing>
              <wp:anchor distT="0" distB="0" distL="0" distR="0" allowOverlap="1" layoutInCell="1" locked="0" behindDoc="1" simplePos="0" relativeHeight="487610368">
                <wp:simplePos x="0" y="0"/>
                <wp:positionH relativeFrom="page">
                  <wp:posOffset>1185672</wp:posOffset>
                </wp:positionH>
                <wp:positionV relativeFrom="paragraph">
                  <wp:posOffset>283708</wp:posOffset>
                </wp:positionV>
                <wp:extent cx="1719580" cy="6350"/>
                <wp:effectExtent l="0" t="0" r="0" b="0"/>
                <wp:wrapTopAndBottom/>
                <wp:docPr id="48" name="Graphic 48"/>
                <wp:cNvGraphicFramePr>
                  <a:graphicFrameLocks/>
                </wp:cNvGraphicFramePr>
                <a:graphic>
                  <a:graphicData uri="http://schemas.microsoft.com/office/word/2010/wordprocessingShape">
                    <wps:wsp>
                      <wps:cNvPr id="48" name="Graphic 4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2.339218pt;width:135.360pt;height:.48pt;mso-position-horizontal-relative:page;mso-position-vertical-relative:paragraph;z-index:-15706112;mso-wrap-distance-left:0;mso-wrap-distance-right:0" id="docshape48" filled="true" fillcolor="#000000" stroked="false">
                <v:fill type="solid"/>
                <w10:wrap type="topAndBottom"/>
              </v:rect>
            </w:pict>
          </mc:Fallback>
        </mc:AlternateContent>
      </w:r>
    </w:p>
    <w:p>
      <w:pPr>
        <w:spacing w:line="217" w:lineRule="exact" w:before="91"/>
        <w:ind w:left="187" w:right="0" w:firstLine="0"/>
        <w:jc w:val="left"/>
        <w:rPr>
          <w:rFonts w:ascii="Times New Roman" w:hAnsi="Times New Roman"/>
          <w:i/>
          <w:sz w:val="19"/>
        </w:rPr>
      </w:pPr>
      <w:r>
        <w:rPr>
          <w:rFonts w:ascii="Times New Roman" w:hAnsi="Times New Roman"/>
          <w:sz w:val="19"/>
          <w:vertAlign w:val="superscript"/>
        </w:rPr>
        <w:t>77</w:t>
      </w:r>
      <w:r>
        <w:rPr>
          <w:rFonts w:ascii="Times New Roman" w:hAnsi="Times New Roman"/>
          <w:spacing w:val="-4"/>
          <w:sz w:val="19"/>
          <w:vertAlign w:val="baseline"/>
        </w:rPr>
        <w:t> </w:t>
      </w:r>
      <w:r>
        <w:rPr>
          <w:rFonts w:ascii="Times New Roman" w:hAnsi="Times New Roman"/>
          <w:sz w:val="19"/>
          <w:vertAlign w:val="baseline"/>
        </w:rPr>
        <w:t>See</w:t>
      </w:r>
      <w:r>
        <w:rPr>
          <w:rFonts w:ascii="Times New Roman" w:hAnsi="Times New Roman"/>
          <w:spacing w:val="-5"/>
          <w:sz w:val="19"/>
          <w:vertAlign w:val="baseline"/>
        </w:rPr>
        <w:t> </w:t>
      </w:r>
      <w:r>
        <w:rPr>
          <w:rFonts w:ascii="Times New Roman" w:hAnsi="Times New Roman"/>
          <w:sz w:val="19"/>
          <w:vertAlign w:val="baseline"/>
        </w:rPr>
        <w:t>section</w:t>
      </w:r>
      <w:r>
        <w:rPr>
          <w:rFonts w:ascii="Times New Roman" w:hAnsi="Times New Roman"/>
          <w:spacing w:val="36"/>
          <w:sz w:val="19"/>
          <w:vertAlign w:val="baseline"/>
        </w:rPr>
        <w:t> </w:t>
      </w:r>
      <w:r>
        <w:rPr>
          <w:rFonts w:ascii="Times New Roman" w:hAnsi="Times New Roman"/>
          <w:sz w:val="19"/>
          <w:vertAlign w:val="baseline"/>
        </w:rPr>
        <w:t>40</w:t>
      </w:r>
      <w:r>
        <w:rPr>
          <w:rFonts w:ascii="Times New Roman" w:hAnsi="Times New Roman"/>
          <w:spacing w:val="-7"/>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5"/>
          <w:sz w:val="19"/>
          <w:vertAlign w:val="baseline"/>
        </w:rPr>
        <w:t> </w:t>
      </w:r>
      <w:r>
        <w:rPr>
          <w:rFonts w:ascii="Times New Roman" w:hAnsi="Times New Roman"/>
          <w:sz w:val="19"/>
          <w:vertAlign w:val="baseline"/>
        </w:rPr>
        <w:t>Compensation</w:t>
      </w:r>
      <w:r>
        <w:rPr>
          <w:rFonts w:ascii="Times New Roman" w:hAnsi="Times New Roman"/>
          <w:spacing w:val="-3"/>
          <w:sz w:val="19"/>
          <w:vertAlign w:val="baseline"/>
        </w:rPr>
        <w:t> </w:t>
      </w:r>
      <w:r>
        <w:rPr>
          <w:rFonts w:ascii="Times New Roman" w:hAnsi="Times New Roman"/>
          <w:sz w:val="19"/>
          <w:vertAlign w:val="baseline"/>
        </w:rPr>
        <w:t>Act</w:t>
      </w:r>
      <w:r>
        <w:rPr>
          <w:rFonts w:ascii="Times New Roman" w:hAnsi="Times New Roman"/>
          <w:spacing w:val="28"/>
          <w:sz w:val="19"/>
          <w:vertAlign w:val="baseline"/>
        </w:rPr>
        <w:t> </w:t>
      </w:r>
      <w:r>
        <w:rPr>
          <w:rFonts w:ascii="Times New Roman" w:hAnsi="Times New Roman"/>
          <w:i/>
          <w:sz w:val="19"/>
          <w:vertAlign w:val="baseline"/>
        </w:rPr>
        <w:t>op</w:t>
      </w:r>
      <w:r>
        <w:rPr>
          <w:rFonts w:ascii="Times New Roman" w:hAnsi="Times New Roman"/>
          <w:i/>
          <w:spacing w:val="-10"/>
          <w:sz w:val="19"/>
          <w:vertAlign w:val="baseline"/>
        </w:rPr>
        <w:t> </w:t>
      </w:r>
      <w:r>
        <w:rPr>
          <w:rFonts w:ascii="Times New Roman" w:hAnsi="Times New Roman"/>
          <w:i/>
          <w:spacing w:val="-5"/>
          <w:sz w:val="19"/>
          <w:vertAlign w:val="baseline"/>
        </w:rPr>
        <w:t>cit</w:t>
      </w:r>
    </w:p>
    <w:p>
      <w:pPr>
        <w:spacing w:line="216" w:lineRule="exact" w:before="0"/>
        <w:ind w:left="187" w:right="0" w:firstLine="0"/>
        <w:jc w:val="left"/>
        <w:rPr>
          <w:rFonts w:ascii="Times New Roman"/>
          <w:i/>
          <w:sz w:val="19"/>
        </w:rPr>
      </w:pPr>
      <w:r>
        <w:rPr>
          <w:rFonts w:ascii="Times New Roman"/>
          <w:sz w:val="19"/>
          <w:vertAlign w:val="superscript"/>
        </w:rPr>
        <w:t>78</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39</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79</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66"/>
        <w:jc w:val="both"/>
      </w:pPr>
      <w:r>
        <w:rPr/>
        <w:t>said</w:t>
      </w:r>
      <w:r>
        <w:rPr>
          <w:spacing w:val="40"/>
        </w:rPr>
        <w:t> </w:t>
      </w:r>
      <w:r>
        <w:rPr/>
        <w:t>amount</w:t>
      </w:r>
      <w:r>
        <w:rPr>
          <w:spacing w:val="40"/>
        </w:rPr>
        <w:t> </w:t>
      </w:r>
      <w:r>
        <w:rPr/>
        <w:t>of</w:t>
      </w:r>
      <w:r>
        <w:rPr>
          <w:spacing w:val="40"/>
        </w:rPr>
        <w:t> </w:t>
      </w:r>
      <w:r>
        <w:rPr/>
        <w:t>levy</w:t>
      </w:r>
      <w:r>
        <w:rPr>
          <w:spacing w:val="40"/>
        </w:rPr>
        <w:t> </w:t>
      </w:r>
      <w:r>
        <w:rPr/>
        <w:t>and</w:t>
      </w:r>
      <w:r>
        <w:rPr>
          <w:spacing w:val="40"/>
        </w:rPr>
        <w:t> </w:t>
      </w:r>
      <w:r>
        <w:rPr/>
        <w:t>assessment.</w:t>
      </w:r>
      <w:r>
        <w:rPr>
          <w:spacing w:val="40"/>
        </w:rPr>
        <w:t> </w:t>
      </w:r>
      <w:r>
        <w:rPr>
          <w:vertAlign w:val="superscript"/>
        </w:rPr>
        <w:t>80</w:t>
      </w:r>
      <w:r>
        <w:rPr>
          <w:vertAlign w:val="baseline"/>
        </w:rPr>
        <w:t>The</w:t>
      </w:r>
      <w:r>
        <w:rPr>
          <w:spacing w:val="40"/>
          <w:vertAlign w:val="baseline"/>
        </w:rPr>
        <w:t> </w:t>
      </w:r>
      <w:r>
        <w:rPr>
          <w:vertAlign w:val="baseline"/>
        </w:rPr>
        <w:t>Act</w:t>
      </w:r>
      <w:r>
        <w:rPr>
          <w:spacing w:val="40"/>
          <w:vertAlign w:val="baseline"/>
        </w:rPr>
        <w:t> </w:t>
      </w:r>
      <w:r>
        <w:rPr>
          <w:vertAlign w:val="baseline"/>
        </w:rPr>
        <w:t>criminalises</w:t>
      </w:r>
      <w:r>
        <w:rPr>
          <w:spacing w:val="40"/>
          <w:vertAlign w:val="baseline"/>
        </w:rPr>
        <w:t> </w:t>
      </w:r>
      <w:r>
        <w:rPr>
          <w:vertAlign w:val="baseline"/>
        </w:rPr>
        <w:t>non compliance as regards the provisions for employer to provide estimate of payrolls.</w:t>
      </w:r>
      <w:r>
        <w:rPr>
          <w:spacing w:val="18"/>
          <w:vertAlign w:val="baseline"/>
        </w:rPr>
        <w:t> </w:t>
      </w:r>
      <w:r>
        <w:rPr>
          <w:vertAlign w:val="baseline"/>
        </w:rPr>
        <w:t>Also,</w:t>
      </w:r>
      <w:r>
        <w:rPr>
          <w:spacing w:val="18"/>
          <w:vertAlign w:val="baseline"/>
        </w:rPr>
        <w:t> </w:t>
      </w:r>
      <w:r>
        <w:rPr>
          <w:vertAlign w:val="baseline"/>
        </w:rPr>
        <w:t>if</w:t>
      </w:r>
      <w:r>
        <w:rPr>
          <w:spacing w:val="19"/>
          <w:vertAlign w:val="baseline"/>
        </w:rPr>
        <w:t> </w:t>
      </w:r>
      <w:r>
        <w:rPr>
          <w:vertAlign w:val="baseline"/>
        </w:rPr>
        <w:t>any statement by</w:t>
      </w:r>
      <w:r>
        <w:rPr>
          <w:spacing w:val="20"/>
          <w:vertAlign w:val="baseline"/>
        </w:rPr>
        <w:t> </w:t>
      </w:r>
      <w:r>
        <w:rPr>
          <w:vertAlign w:val="baseline"/>
        </w:rPr>
        <w:t>an</w:t>
      </w:r>
      <w:r>
        <w:rPr>
          <w:spacing w:val="21"/>
          <w:vertAlign w:val="baseline"/>
        </w:rPr>
        <w:t> </w:t>
      </w:r>
      <w:r>
        <w:rPr>
          <w:vertAlign w:val="baseline"/>
        </w:rPr>
        <w:t>employer is not</w:t>
      </w:r>
      <w:r>
        <w:rPr>
          <w:spacing w:val="20"/>
          <w:vertAlign w:val="baseline"/>
        </w:rPr>
        <w:t> </w:t>
      </w:r>
      <w:r>
        <w:rPr>
          <w:vertAlign w:val="baseline"/>
        </w:rPr>
        <w:t>true</w:t>
      </w:r>
      <w:r>
        <w:rPr>
          <w:spacing w:val="19"/>
          <w:vertAlign w:val="baseline"/>
        </w:rPr>
        <w:t> </w:t>
      </w:r>
      <w:r>
        <w:rPr>
          <w:vertAlign w:val="baseline"/>
        </w:rPr>
        <w:t>and accurate,</w:t>
      </w:r>
      <w:r>
        <w:rPr>
          <w:spacing w:val="18"/>
          <w:vertAlign w:val="baseline"/>
        </w:rPr>
        <w:t> </w:t>
      </w:r>
      <w:r>
        <w:rPr>
          <w:vertAlign w:val="baseline"/>
        </w:rPr>
        <w:t>it is</w:t>
      </w:r>
      <w:r>
        <w:rPr>
          <w:spacing w:val="40"/>
          <w:vertAlign w:val="baseline"/>
        </w:rPr>
        <w:t> </w:t>
      </w:r>
      <w:r>
        <w:rPr>
          <w:vertAlign w:val="baseline"/>
        </w:rPr>
        <w:t>an</w:t>
      </w:r>
      <w:r>
        <w:rPr>
          <w:spacing w:val="40"/>
          <w:vertAlign w:val="baseline"/>
        </w:rPr>
        <w:t> </w:t>
      </w:r>
      <w:r>
        <w:rPr>
          <w:vertAlign w:val="baseline"/>
        </w:rPr>
        <w:t>offence.</w:t>
      </w:r>
      <w:r>
        <w:rPr>
          <w:spacing w:val="40"/>
          <w:vertAlign w:val="baseline"/>
        </w:rPr>
        <w:t> </w:t>
      </w:r>
      <w:r>
        <w:rPr>
          <w:vertAlign w:val="baseline"/>
        </w:rPr>
        <w:t>For</w:t>
      </w:r>
      <w:r>
        <w:rPr>
          <w:spacing w:val="40"/>
          <w:vertAlign w:val="baseline"/>
        </w:rPr>
        <w:t> </w:t>
      </w:r>
      <w:r>
        <w:rPr>
          <w:vertAlign w:val="baseline"/>
        </w:rPr>
        <w:t>every</w:t>
      </w:r>
      <w:r>
        <w:rPr>
          <w:spacing w:val="40"/>
          <w:vertAlign w:val="baseline"/>
        </w:rPr>
        <w:t> </w:t>
      </w:r>
      <w:r>
        <w:rPr>
          <w:vertAlign w:val="baseline"/>
        </w:rPr>
        <w:t>statement</w:t>
      </w:r>
      <w:r>
        <w:rPr>
          <w:spacing w:val="40"/>
          <w:vertAlign w:val="baseline"/>
        </w:rPr>
        <w:t> </w:t>
      </w:r>
      <w:r>
        <w:rPr>
          <w:vertAlign w:val="baseline"/>
        </w:rPr>
        <w:t>defaulted,</w:t>
      </w:r>
      <w:r>
        <w:rPr>
          <w:spacing w:val="40"/>
          <w:vertAlign w:val="baseline"/>
        </w:rPr>
        <w:t> </w:t>
      </w:r>
      <w:r>
        <w:rPr>
          <w:vertAlign w:val="baseline"/>
        </w:rPr>
        <w:t>an</w:t>
      </w:r>
      <w:r>
        <w:rPr>
          <w:spacing w:val="40"/>
          <w:vertAlign w:val="baseline"/>
        </w:rPr>
        <w:t> </w:t>
      </w:r>
      <w:r>
        <w:rPr>
          <w:vertAlign w:val="baseline"/>
        </w:rPr>
        <w:t>individual</w:t>
      </w:r>
      <w:r>
        <w:rPr>
          <w:spacing w:val="40"/>
          <w:vertAlign w:val="baseline"/>
        </w:rPr>
        <w:t> </w:t>
      </w:r>
      <w:r>
        <w:rPr>
          <w:vertAlign w:val="baseline"/>
        </w:rPr>
        <w:t>defaulter</w:t>
      </w:r>
      <w:r>
        <w:rPr>
          <w:spacing w:val="40"/>
          <w:vertAlign w:val="baseline"/>
        </w:rPr>
        <w:t> </w:t>
      </w:r>
      <w:r>
        <w:rPr>
          <w:vertAlign w:val="baseline"/>
        </w:rPr>
        <w:t>is liable to imprisonment for a term not exceeding one year or minimum fine</w:t>
      </w:r>
      <w:r>
        <w:rPr>
          <w:spacing w:val="80"/>
          <w:vertAlign w:val="baseline"/>
        </w:rPr>
        <w:t> </w:t>
      </w:r>
      <w:r>
        <w:rPr>
          <w:vertAlign w:val="baseline"/>
        </w:rPr>
        <w:t>of</w:t>
      </w:r>
      <w:r>
        <w:rPr>
          <w:spacing w:val="40"/>
          <w:vertAlign w:val="baseline"/>
        </w:rPr>
        <w:t> </w:t>
      </w:r>
      <w:r>
        <w:rPr>
          <w:vertAlign w:val="baseline"/>
        </w:rPr>
        <w:t>N100,000 or both. Where the defaulter</w:t>
      </w:r>
      <w:r>
        <w:rPr>
          <w:spacing w:val="40"/>
          <w:vertAlign w:val="baseline"/>
        </w:rPr>
        <w:t> </w:t>
      </w:r>
      <w:r>
        <w:rPr>
          <w:vertAlign w:val="baseline"/>
        </w:rPr>
        <w:t>is a corporate body, minimum fine</w:t>
      </w:r>
      <w:r>
        <w:rPr>
          <w:spacing w:val="40"/>
          <w:vertAlign w:val="baseline"/>
        </w:rPr>
        <w:t> </w:t>
      </w:r>
      <w:r>
        <w:rPr>
          <w:vertAlign w:val="baseline"/>
        </w:rPr>
        <w:t>of N1,000,000 and in addition, each director, or manager or officer of the body corporate shall be deemed to have committed the offence and upon conviction, will be liable to pay a fine of N100,000, or imprisonment</w:t>
      </w:r>
      <w:r>
        <w:rPr>
          <w:spacing w:val="80"/>
          <w:vertAlign w:val="baseline"/>
        </w:rPr>
        <w:t> </w:t>
      </w:r>
      <w:r>
        <w:rPr>
          <w:vertAlign w:val="baseline"/>
        </w:rPr>
        <w:t>for a maximum term of one year or both.</w:t>
      </w:r>
      <w:r>
        <w:rPr>
          <w:vertAlign w:val="superscript"/>
        </w:rPr>
        <w:t>81</w:t>
      </w:r>
      <w:r>
        <w:rPr>
          <w:vertAlign w:val="baseline"/>
        </w:rPr>
        <w:t> It seems that this provision for punishment</w:t>
      </w:r>
      <w:r>
        <w:rPr>
          <w:spacing w:val="40"/>
          <w:vertAlign w:val="baseline"/>
        </w:rPr>
        <w:t> </w:t>
      </w:r>
      <w:r>
        <w:rPr>
          <w:vertAlign w:val="baseline"/>
        </w:rPr>
        <w:t>in</w:t>
      </w:r>
      <w:r>
        <w:rPr>
          <w:spacing w:val="40"/>
          <w:vertAlign w:val="baseline"/>
        </w:rPr>
        <w:t> </w:t>
      </w:r>
      <w:r>
        <w:rPr>
          <w:vertAlign w:val="baseline"/>
        </w:rPr>
        <w:t>respect</w:t>
      </w:r>
      <w:r>
        <w:rPr>
          <w:spacing w:val="40"/>
          <w:vertAlign w:val="baseline"/>
        </w:rPr>
        <w:t> </w:t>
      </w:r>
      <w:r>
        <w:rPr>
          <w:vertAlign w:val="baseline"/>
        </w:rPr>
        <w:t>of</w:t>
      </w:r>
      <w:r>
        <w:rPr>
          <w:spacing w:val="40"/>
          <w:vertAlign w:val="baseline"/>
        </w:rPr>
        <w:t> </w:t>
      </w:r>
      <w:r>
        <w:rPr>
          <w:vertAlign w:val="baseline"/>
        </w:rPr>
        <w:t>officers</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body</w:t>
      </w:r>
      <w:r>
        <w:rPr>
          <w:spacing w:val="40"/>
          <w:vertAlign w:val="baseline"/>
        </w:rPr>
        <w:t> </w:t>
      </w:r>
      <w:r>
        <w:rPr>
          <w:vertAlign w:val="baseline"/>
        </w:rPr>
        <w:t>corporate</w:t>
      </w:r>
      <w:r>
        <w:rPr>
          <w:spacing w:val="40"/>
          <w:vertAlign w:val="baseline"/>
        </w:rPr>
        <w:t> </w:t>
      </w:r>
      <w:r>
        <w:rPr>
          <w:vertAlign w:val="baseline"/>
        </w:rPr>
        <w:t>may</w:t>
      </w:r>
      <w:r>
        <w:rPr>
          <w:spacing w:val="40"/>
          <w:vertAlign w:val="baseline"/>
        </w:rPr>
        <w:t> </w:t>
      </w:r>
      <w:r>
        <w:rPr>
          <w:vertAlign w:val="baseline"/>
        </w:rPr>
        <w:t>work hardship. The law</w:t>
      </w:r>
      <w:r>
        <w:rPr>
          <w:spacing w:val="31"/>
          <w:vertAlign w:val="baseline"/>
        </w:rPr>
        <w:t> </w:t>
      </w:r>
      <w:r>
        <w:rPr>
          <w:vertAlign w:val="baseline"/>
        </w:rPr>
        <w:t>should not mete out such</w:t>
      </w:r>
      <w:r>
        <w:rPr>
          <w:spacing w:val="31"/>
          <w:vertAlign w:val="baseline"/>
        </w:rPr>
        <w:t> </w:t>
      </w:r>
      <w:r>
        <w:rPr>
          <w:vertAlign w:val="baseline"/>
        </w:rPr>
        <w:t>punishment for merely</w:t>
      </w:r>
      <w:r>
        <w:rPr>
          <w:spacing w:val="31"/>
          <w:vertAlign w:val="baseline"/>
        </w:rPr>
        <w:t> </w:t>
      </w:r>
      <w:r>
        <w:rPr>
          <w:vertAlign w:val="baseline"/>
        </w:rPr>
        <w:t>being an officer of such defaulting corporate body. For any officer of the</w:t>
      </w:r>
      <w:r>
        <w:rPr>
          <w:spacing w:val="80"/>
          <w:vertAlign w:val="baseline"/>
        </w:rPr>
        <w:t> </w:t>
      </w:r>
      <w:r>
        <w:rPr>
          <w:vertAlign w:val="baseline"/>
        </w:rPr>
        <w:t>defaulting corporate body to be punished under the Act, it must be proved that</w:t>
      </w:r>
      <w:r>
        <w:rPr>
          <w:spacing w:val="40"/>
          <w:vertAlign w:val="baseline"/>
        </w:rPr>
        <w:t> </w:t>
      </w:r>
      <w:r>
        <w:rPr>
          <w:vertAlign w:val="baseline"/>
        </w:rPr>
        <w:t>it</w:t>
      </w:r>
      <w:r>
        <w:rPr>
          <w:spacing w:val="40"/>
          <w:vertAlign w:val="baseline"/>
        </w:rPr>
        <w:t> </w:t>
      </w:r>
      <w:r>
        <w:rPr>
          <w:vertAlign w:val="baseline"/>
        </w:rPr>
        <w:t>was</w:t>
      </w:r>
      <w:r>
        <w:rPr>
          <w:spacing w:val="40"/>
          <w:vertAlign w:val="baseline"/>
        </w:rPr>
        <w:t> </w:t>
      </w:r>
      <w:r>
        <w:rPr>
          <w:vertAlign w:val="baseline"/>
        </w:rPr>
        <w:t>the</w:t>
      </w:r>
      <w:r>
        <w:rPr>
          <w:spacing w:val="40"/>
          <w:vertAlign w:val="baseline"/>
        </w:rPr>
        <w:t> </w:t>
      </w:r>
      <w:r>
        <w:rPr>
          <w:vertAlign w:val="baseline"/>
        </w:rPr>
        <w:t>officer’s</w:t>
      </w:r>
      <w:r>
        <w:rPr>
          <w:spacing w:val="40"/>
          <w:vertAlign w:val="baseline"/>
        </w:rPr>
        <w:t> </w:t>
      </w:r>
      <w:r>
        <w:rPr>
          <w:vertAlign w:val="baseline"/>
        </w:rPr>
        <w:t>responsibility</w:t>
      </w:r>
      <w:r>
        <w:rPr>
          <w:spacing w:val="40"/>
          <w:vertAlign w:val="baseline"/>
        </w:rPr>
        <w:t> </w:t>
      </w:r>
      <w:r>
        <w:rPr>
          <w:vertAlign w:val="baseline"/>
        </w:rPr>
        <w:t>to</w:t>
      </w:r>
      <w:r>
        <w:rPr>
          <w:spacing w:val="40"/>
          <w:vertAlign w:val="baseline"/>
        </w:rPr>
        <w:t> </w:t>
      </w:r>
      <w:r>
        <w:rPr>
          <w:vertAlign w:val="baseline"/>
        </w:rPr>
        <w:t>supply</w:t>
      </w:r>
      <w:r>
        <w:rPr>
          <w:spacing w:val="40"/>
          <w:vertAlign w:val="baseline"/>
        </w:rPr>
        <w:t> </w:t>
      </w:r>
      <w:r>
        <w:rPr>
          <w:vertAlign w:val="baseline"/>
        </w:rPr>
        <w:t>the</w:t>
      </w:r>
      <w:r>
        <w:rPr>
          <w:spacing w:val="40"/>
          <w:vertAlign w:val="baseline"/>
        </w:rPr>
        <w:t> </w:t>
      </w:r>
      <w:r>
        <w:rPr>
          <w:vertAlign w:val="baseline"/>
        </w:rPr>
        <w:t>information</w:t>
      </w:r>
      <w:r>
        <w:rPr>
          <w:spacing w:val="40"/>
          <w:vertAlign w:val="baseline"/>
        </w:rPr>
        <w:t> </w:t>
      </w:r>
      <w:r>
        <w:rPr>
          <w:vertAlign w:val="baseline"/>
        </w:rPr>
        <w:t>and</w:t>
      </w:r>
      <w:r>
        <w:rPr>
          <w:spacing w:val="40"/>
          <w:vertAlign w:val="baseline"/>
        </w:rPr>
        <w:t> </w:t>
      </w:r>
      <w:r>
        <w:rPr>
          <w:vertAlign w:val="baseline"/>
        </w:rPr>
        <w:t>he failed or that he knowingly supplied the required information wrongly. This presumption of guilt seems harsh.</w:t>
      </w:r>
    </w:p>
    <w:p>
      <w:pPr>
        <w:pStyle w:val="BodyText"/>
        <w:spacing w:line="491" w:lineRule="auto" w:before="15"/>
        <w:ind w:left="864" w:right="564"/>
        <w:jc w:val="both"/>
      </w:pPr>
      <w:r>
        <w:rPr/>
        <w:t>The Board can make provisional assessment where an employer fails to comply within time in providing estimate of payroll, or where the</w:t>
      </w:r>
      <w:r>
        <w:rPr>
          <w:spacing w:val="80"/>
        </w:rPr>
        <w:t> </w:t>
      </w:r>
      <w:r>
        <w:rPr/>
        <w:t>information is provided but in the opinion of the Board, the estimate does not</w:t>
      </w:r>
      <w:r>
        <w:rPr>
          <w:spacing w:val="12"/>
        </w:rPr>
        <w:t> </w:t>
      </w:r>
      <w:r>
        <w:rPr/>
        <w:t>reflect</w:t>
      </w:r>
      <w:r>
        <w:rPr>
          <w:spacing w:val="12"/>
        </w:rPr>
        <w:t> </w:t>
      </w:r>
      <w:r>
        <w:rPr/>
        <w:t>the</w:t>
      </w:r>
      <w:r>
        <w:rPr>
          <w:spacing w:val="11"/>
        </w:rPr>
        <w:t> </w:t>
      </w:r>
      <w:r>
        <w:rPr/>
        <w:t>probable</w:t>
      </w:r>
      <w:r>
        <w:rPr>
          <w:spacing w:val="10"/>
        </w:rPr>
        <w:t> </w:t>
      </w:r>
      <w:r>
        <w:rPr/>
        <w:t>amount</w:t>
      </w:r>
      <w:r>
        <w:rPr>
          <w:spacing w:val="12"/>
        </w:rPr>
        <w:t> </w:t>
      </w:r>
      <w:r>
        <w:rPr/>
        <w:t>of</w:t>
      </w:r>
      <w:r>
        <w:rPr>
          <w:spacing w:val="16"/>
        </w:rPr>
        <w:t> </w:t>
      </w:r>
      <w:r>
        <w:rPr/>
        <w:t>the</w:t>
      </w:r>
      <w:r>
        <w:rPr>
          <w:spacing w:val="10"/>
        </w:rPr>
        <w:t> </w:t>
      </w:r>
      <w:r>
        <w:rPr/>
        <w:t>payroll</w:t>
      </w:r>
      <w:r>
        <w:rPr>
          <w:spacing w:val="14"/>
        </w:rPr>
        <w:t> </w:t>
      </w:r>
      <w:r>
        <w:rPr/>
        <w:t>of</w:t>
      </w:r>
      <w:r>
        <w:rPr>
          <w:spacing w:val="11"/>
        </w:rPr>
        <w:t> </w:t>
      </w:r>
      <w:r>
        <w:rPr/>
        <w:t>the</w:t>
      </w:r>
      <w:r>
        <w:rPr>
          <w:spacing w:val="11"/>
        </w:rPr>
        <w:t> </w:t>
      </w:r>
      <w:r>
        <w:rPr/>
        <w:t>employer</w:t>
      </w:r>
      <w:r>
        <w:rPr>
          <w:spacing w:val="15"/>
        </w:rPr>
        <w:t> </w:t>
      </w:r>
      <w:r>
        <w:rPr/>
        <w:t>or</w:t>
      </w:r>
      <w:r>
        <w:rPr>
          <w:spacing w:val="16"/>
        </w:rPr>
        <w:t> </w:t>
      </w:r>
      <w:r>
        <w:rPr/>
        <w:t>does</w:t>
      </w:r>
      <w:r>
        <w:rPr>
          <w:spacing w:val="14"/>
        </w:rPr>
        <w:t> </w:t>
      </w:r>
      <w:r>
        <w:rPr>
          <w:spacing w:val="-5"/>
        </w:rPr>
        <w:t>not</w:t>
      </w:r>
    </w:p>
    <w:p>
      <w:pPr>
        <w:pStyle w:val="BodyText"/>
        <w:rPr>
          <w:sz w:val="20"/>
        </w:rPr>
      </w:pPr>
    </w:p>
    <w:p>
      <w:pPr>
        <w:pStyle w:val="BodyText"/>
        <w:spacing w:before="144"/>
        <w:rPr>
          <w:sz w:val="20"/>
        </w:rPr>
      </w:pPr>
      <w:r>
        <w:rPr/>
        <mc:AlternateContent>
          <mc:Choice Requires="wps">
            <w:drawing>
              <wp:anchor distT="0" distB="0" distL="0" distR="0" allowOverlap="1" layoutInCell="1" locked="0" behindDoc="1" simplePos="0" relativeHeight="487610880">
                <wp:simplePos x="0" y="0"/>
                <wp:positionH relativeFrom="page">
                  <wp:posOffset>1185672</wp:posOffset>
                </wp:positionH>
                <wp:positionV relativeFrom="paragraph">
                  <wp:posOffset>260457</wp:posOffset>
                </wp:positionV>
                <wp:extent cx="1719580" cy="6350"/>
                <wp:effectExtent l="0" t="0" r="0" b="0"/>
                <wp:wrapTopAndBottom/>
                <wp:docPr id="49" name="Graphic 49"/>
                <wp:cNvGraphicFramePr>
                  <a:graphicFrameLocks/>
                </wp:cNvGraphicFramePr>
                <a:graphic>
                  <a:graphicData uri="http://schemas.microsoft.com/office/word/2010/wordprocessingShape">
                    <wps:wsp>
                      <wps:cNvPr id="49" name="Graphic 49"/>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508438pt;width:135.360pt;height:.48pt;mso-position-horizontal-relative:page;mso-position-vertical-relative:paragraph;z-index:-15705600;mso-wrap-distance-left:0;mso-wrap-distance-right:0" id="docshape49"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80</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81</w:t>
      </w:r>
      <w:r>
        <w:rPr>
          <w:rFonts w:ascii="Times New Roman"/>
          <w:sz w:val="19"/>
          <w:vertAlign w:val="baseline"/>
        </w:rPr>
        <w:t> Sec</w:t>
      </w:r>
      <w:r>
        <w:rPr>
          <w:rFonts w:ascii="Times New Roman"/>
          <w:spacing w:val="-2"/>
          <w:sz w:val="19"/>
          <w:vertAlign w:val="baseline"/>
        </w:rPr>
        <w:t> </w:t>
      </w:r>
      <w:r>
        <w:rPr>
          <w:rFonts w:ascii="Times New Roman"/>
          <w:sz w:val="19"/>
          <w:vertAlign w:val="baseline"/>
        </w:rPr>
        <w:t>generally</w:t>
      </w:r>
      <w:r>
        <w:rPr>
          <w:rFonts w:ascii="Times New Roman"/>
          <w:spacing w:val="-8"/>
          <w:sz w:val="19"/>
          <w:vertAlign w:val="baseline"/>
        </w:rPr>
        <w:t> </w:t>
      </w:r>
      <w:r>
        <w:rPr>
          <w:rFonts w:ascii="Times New Roman"/>
          <w:sz w:val="19"/>
          <w:vertAlign w:val="baseline"/>
        </w:rPr>
        <w:t>sec</w:t>
      </w:r>
      <w:r>
        <w:rPr>
          <w:rFonts w:ascii="Times New Roman"/>
          <w:spacing w:val="-6"/>
          <w:sz w:val="19"/>
          <w:vertAlign w:val="baseline"/>
        </w:rPr>
        <w:t> </w:t>
      </w:r>
      <w:r>
        <w:rPr>
          <w:rFonts w:ascii="Times New Roman"/>
          <w:sz w:val="19"/>
          <w:vertAlign w:val="baseline"/>
        </w:rPr>
        <w:t>39</w:t>
      </w:r>
      <w:r>
        <w:rPr>
          <w:rFonts w:ascii="Times New Roman"/>
          <w:spacing w:val="-4"/>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114"/>
        <w:ind w:left="864" w:right="571"/>
        <w:jc w:val="both"/>
      </w:pPr>
      <w:r>
        <w:rPr/>
        <w:t>describe correctly the nature of the work carried on</w:t>
      </w:r>
      <w:r>
        <w:rPr>
          <w:vertAlign w:val="superscript"/>
        </w:rPr>
        <w:t>82</w:t>
      </w:r>
      <w:r>
        <w:rPr>
          <w:vertAlign w:val="baseline"/>
        </w:rPr>
        <w:t>. Assessment is provisional</w:t>
      </w:r>
      <w:r>
        <w:rPr>
          <w:spacing w:val="22"/>
          <w:vertAlign w:val="baseline"/>
        </w:rPr>
        <w:t> </w:t>
      </w:r>
      <w:r>
        <w:rPr>
          <w:vertAlign w:val="baseline"/>
        </w:rPr>
        <w:t>and</w:t>
      </w:r>
      <w:r>
        <w:rPr>
          <w:spacing w:val="23"/>
          <w:vertAlign w:val="baseline"/>
        </w:rPr>
        <w:t> </w:t>
      </w:r>
      <w:r>
        <w:rPr>
          <w:vertAlign w:val="baseline"/>
        </w:rPr>
        <w:t>the</w:t>
      </w:r>
      <w:r>
        <w:rPr>
          <w:spacing w:val="19"/>
          <w:vertAlign w:val="baseline"/>
        </w:rPr>
        <w:t> </w:t>
      </w:r>
      <w:r>
        <w:rPr>
          <w:vertAlign w:val="baseline"/>
        </w:rPr>
        <w:t>difference</w:t>
      </w:r>
      <w:r>
        <w:rPr>
          <w:spacing w:val="24"/>
          <w:vertAlign w:val="baseline"/>
        </w:rPr>
        <w:t> </w:t>
      </w:r>
      <w:r>
        <w:rPr>
          <w:vertAlign w:val="baseline"/>
        </w:rPr>
        <w:t>will</w:t>
      </w:r>
      <w:r>
        <w:rPr>
          <w:spacing w:val="22"/>
          <w:vertAlign w:val="baseline"/>
        </w:rPr>
        <w:t> </w:t>
      </w:r>
      <w:r>
        <w:rPr>
          <w:vertAlign w:val="baseline"/>
        </w:rPr>
        <w:t>be</w:t>
      </w:r>
      <w:r>
        <w:rPr>
          <w:spacing w:val="19"/>
          <w:vertAlign w:val="baseline"/>
        </w:rPr>
        <w:t> </w:t>
      </w:r>
      <w:r>
        <w:rPr>
          <w:vertAlign w:val="baseline"/>
        </w:rPr>
        <w:t>paid</w:t>
      </w:r>
      <w:r>
        <w:rPr>
          <w:spacing w:val="23"/>
          <w:vertAlign w:val="baseline"/>
        </w:rPr>
        <w:t> </w:t>
      </w:r>
      <w:r>
        <w:rPr>
          <w:vertAlign w:val="baseline"/>
        </w:rPr>
        <w:t>by</w:t>
      </w:r>
      <w:r>
        <w:rPr>
          <w:spacing w:val="21"/>
          <w:vertAlign w:val="baseline"/>
        </w:rPr>
        <w:t> </w:t>
      </w:r>
      <w:r>
        <w:rPr>
          <w:vertAlign w:val="baseline"/>
        </w:rPr>
        <w:t>the</w:t>
      </w:r>
      <w:r>
        <w:rPr>
          <w:spacing w:val="19"/>
          <w:vertAlign w:val="baseline"/>
        </w:rPr>
        <w:t> </w:t>
      </w:r>
      <w:r>
        <w:rPr>
          <w:vertAlign w:val="baseline"/>
        </w:rPr>
        <w:t>Board</w:t>
      </w:r>
      <w:r>
        <w:rPr>
          <w:spacing w:val="23"/>
          <w:vertAlign w:val="baseline"/>
        </w:rPr>
        <w:t> </w:t>
      </w:r>
      <w:r>
        <w:rPr>
          <w:vertAlign w:val="baseline"/>
        </w:rPr>
        <w:t>to</w:t>
      </w:r>
      <w:r>
        <w:rPr>
          <w:spacing w:val="20"/>
          <w:vertAlign w:val="baseline"/>
        </w:rPr>
        <w:t> </w:t>
      </w:r>
      <w:r>
        <w:rPr>
          <w:vertAlign w:val="baseline"/>
        </w:rPr>
        <w:t>the</w:t>
      </w:r>
      <w:r>
        <w:rPr>
          <w:spacing w:val="20"/>
          <w:vertAlign w:val="baseline"/>
        </w:rPr>
        <w:t> </w:t>
      </w:r>
      <w:r>
        <w:rPr>
          <w:vertAlign w:val="baseline"/>
        </w:rPr>
        <w:t>employer</w:t>
      </w:r>
      <w:r>
        <w:rPr>
          <w:spacing w:val="25"/>
          <w:vertAlign w:val="baseline"/>
        </w:rPr>
        <w:t> </w:t>
      </w:r>
      <w:r>
        <w:rPr>
          <w:vertAlign w:val="baseline"/>
        </w:rPr>
        <w:t>if it is later discovered that the provisional assessment was higher than what the employer ought to have paid. If on the other hand it is discovered that the</w:t>
      </w:r>
      <w:r>
        <w:rPr>
          <w:spacing w:val="40"/>
          <w:vertAlign w:val="baseline"/>
        </w:rPr>
        <w:t> </w:t>
      </w:r>
      <w:r>
        <w:rPr>
          <w:vertAlign w:val="baseline"/>
        </w:rPr>
        <w:t>provisional</w:t>
      </w:r>
      <w:r>
        <w:rPr>
          <w:spacing w:val="40"/>
          <w:vertAlign w:val="baseline"/>
        </w:rPr>
        <w:t> </w:t>
      </w:r>
      <w:r>
        <w:rPr>
          <w:vertAlign w:val="baseline"/>
        </w:rPr>
        <w:t>assessment(was</w:t>
      </w:r>
      <w:r>
        <w:rPr>
          <w:spacing w:val="40"/>
          <w:vertAlign w:val="baseline"/>
        </w:rPr>
        <w:t> </w:t>
      </w:r>
      <w:r>
        <w:rPr>
          <w:vertAlign w:val="baseline"/>
        </w:rPr>
        <w:t>not</w:t>
      </w:r>
      <w:r>
        <w:rPr>
          <w:spacing w:val="40"/>
          <w:vertAlign w:val="baseline"/>
        </w:rPr>
        <w:t> </w:t>
      </w:r>
      <w:r>
        <w:rPr>
          <w:vertAlign w:val="baseline"/>
        </w:rPr>
        <w:t>up</w:t>
      </w:r>
      <w:r>
        <w:rPr>
          <w:spacing w:val="40"/>
          <w:vertAlign w:val="baseline"/>
        </w:rPr>
        <w:t> </w:t>
      </w:r>
      <w:r>
        <w:rPr>
          <w:vertAlign w:val="baseline"/>
        </w:rPr>
        <w:t>to</w:t>
      </w:r>
      <w:r>
        <w:rPr>
          <w:spacing w:val="40"/>
          <w:vertAlign w:val="baseline"/>
        </w:rPr>
        <w:t> </w:t>
      </w:r>
      <w:r>
        <w:rPr>
          <w:vertAlign w:val="baseline"/>
        </w:rPr>
        <w:t>what</w:t>
      </w:r>
      <w:r>
        <w:rPr>
          <w:spacing w:val="40"/>
          <w:vertAlign w:val="baseline"/>
        </w:rPr>
        <w:t> </w:t>
      </w:r>
      <w:r>
        <w:rPr>
          <w:vertAlign w:val="baseline"/>
        </w:rPr>
        <w:t>the</w:t>
      </w:r>
      <w:r>
        <w:rPr>
          <w:spacing w:val="40"/>
          <w:vertAlign w:val="baseline"/>
        </w:rPr>
        <w:t> </w:t>
      </w:r>
      <w:r>
        <w:rPr>
          <w:vertAlign w:val="baseline"/>
        </w:rPr>
        <w:t>employer</w:t>
      </w:r>
      <w:r>
        <w:rPr>
          <w:spacing w:val="40"/>
          <w:vertAlign w:val="baseline"/>
        </w:rPr>
        <w:t> </w:t>
      </w:r>
      <w:r>
        <w:rPr>
          <w:vertAlign w:val="baseline"/>
        </w:rPr>
        <w:t>ought</w:t>
      </w:r>
      <w:r>
        <w:rPr>
          <w:spacing w:val="40"/>
          <w:vertAlign w:val="baseline"/>
        </w:rPr>
        <w:t> </w:t>
      </w:r>
      <w:r>
        <w:rPr>
          <w:vertAlign w:val="baseline"/>
        </w:rPr>
        <w:t>to have paid, the employer will pay the difference to the Board.</w:t>
      </w:r>
      <w:r>
        <w:rPr>
          <w:vertAlign w:val="superscript"/>
        </w:rPr>
        <w:t>83</w:t>
      </w:r>
    </w:p>
    <w:p>
      <w:pPr>
        <w:pStyle w:val="BodyText"/>
        <w:spacing w:before="10"/>
      </w:pPr>
    </w:p>
    <w:p>
      <w:pPr>
        <w:pStyle w:val="BodyText"/>
        <w:spacing w:line="489" w:lineRule="auto"/>
        <w:ind w:left="864" w:right="565"/>
        <w:jc w:val="both"/>
      </w:pPr>
      <w:r>
        <w:rPr/>
        <w:t>Super assessment is another form of assessment the Board does. If in any year or other period determined by the Board, the claims cost charged to</w:t>
      </w:r>
      <w:r>
        <w:rPr>
          <w:spacing w:val="40"/>
        </w:rPr>
        <w:t> </w:t>
      </w:r>
      <w:r>
        <w:rPr/>
        <w:t>the experience account of an employer are above 105% of the ordinary assessment of that employer for the same year, the Board has up to four years if it wishes to assess and levy the employer in that year a super assessment</w:t>
      </w:r>
      <w:r>
        <w:rPr>
          <w:spacing w:val="40"/>
        </w:rPr>
        <w:t> </w:t>
      </w:r>
      <w:r>
        <w:rPr/>
        <w:t>of</w:t>
      </w:r>
      <w:r>
        <w:rPr>
          <w:spacing w:val="40"/>
        </w:rPr>
        <w:t> </w:t>
      </w:r>
      <w:r>
        <w:rPr/>
        <w:t>an</w:t>
      </w:r>
      <w:r>
        <w:rPr>
          <w:spacing w:val="40"/>
        </w:rPr>
        <w:t> </w:t>
      </w:r>
      <w:r>
        <w:rPr/>
        <w:t>amount</w:t>
      </w:r>
      <w:r>
        <w:rPr>
          <w:spacing w:val="40"/>
        </w:rPr>
        <w:t> </w:t>
      </w:r>
      <w:r>
        <w:rPr/>
        <w:t>directed</w:t>
      </w:r>
      <w:r>
        <w:rPr>
          <w:spacing w:val="40"/>
        </w:rPr>
        <w:t> </w:t>
      </w:r>
      <w:r>
        <w:rPr/>
        <w:t>by</w:t>
      </w:r>
      <w:r>
        <w:rPr>
          <w:spacing w:val="40"/>
        </w:rPr>
        <w:t> </w:t>
      </w:r>
      <w:r>
        <w:rPr/>
        <w:t>the</w:t>
      </w:r>
      <w:r>
        <w:rPr>
          <w:spacing w:val="40"/>
        </w:rPr>
        <w:t> </w:t>
      </w:r>
      <w:r>
        <w:rPr/>
        <w:t>Board</w:t>
      </w:r>
      <w:r>
        <w:rPr>
          <w:spacing w:val="40"/>
        </w:rPr>
        <w:t> </w:t>
      </w:r>
      <w:r>
        <w:rPr/>
        <w:t>but</w:t>
      </w:r>
      <w:r>
        <w:rPr>
          <w:spacing w:val="40"/>
        </w:rPr>
        <w:t> </w:t>
      </w:r>
      <w:r>
        <w:rPr/>
        <w:t>this</w:t>
      </w:r>
      <w:r>
        <w:rPr>
          <w:spacing w:val="40"/>
        </w:rPr>
        <w:t> </w:t>
      </w:r>
      <w:r>
        <w:rPr/>
        <w:t>amount</w:t>
      </w:r>
      <w:r>
        <w:rPr>
          <w:spacing w:val="40"/>
        </w:rPr>
        <w:t> </w:t>
      </w:r>
      <w:r>
        <w:rPr/>
        <w:t>should not be more than 133% of the employer’s ordinary assessment for the year.</w:t>
      </w:r>
      <w:r>
        <w:rPr>
          <w:vertAlign w:val="superscript"/>
        </w:rPr>
        <w:t>84</w:t>
      </w:r>
      <w:r>
        <w:rPr>
          <w:vertAlign w:val="baseline"/>
        </w:rPr>
        <w:t> In</w:t>
      </w:r>
      <w:r>
        <w:rPr>
          <w:spacing w:val="40"/>
          <w:vertAlign w:val="baseline"/>
        </w:rPr>
        <w:t> </w:t>
      </w:r>
      <w:r>
        <w:rPr>
          <w:vertAlign w:val="baseline"/>
        </w:rPr>
        <w:t>doing</w:t>
      </w:r>
      <w:r>
        <w:rPr>
          <w:spacing w:val="40"/>
          <w:vertAlign w:val="baseline"/>
        </w:rPr>
        <w:t> </w:t>
      </w:r>
      <w:r>
        <w:rPr>
          <w:vertAlign w:val="baseline"/>
        </w:rPr>
        <w:t>this, the Board will have regard to</w:t>
      </w:r>
      <w:r>
        <w:rPr>
          <w:spacing w:val="40"/>
          <w:vertAlign w:val="baseline"/>
        </w:rPr>
        <w:t> </w:t>
      </w:r>
      <w:r>
        <w:rPr>
          <w:vertAlign w:val="baseline"/>
        </w:rPr>
        <w:t>the amount of</w:t>
      </w:r>
      <w:r>
        <w:rPr>
          <w:spacing w:val="40"/>
          <w:vertAlign w:val="baseline"/>
        </w:rPr>
        <w:t> </w:t>
      </w:r>
      <w:r>
        <w:rPr>
          <w:vertAlign w:val="baseline"/>
        </w:rPr>
        <w:t>the excess and the amount previously charged against that employers experience account.</w:t>
      </w:r>
      <w:r>
        <w:rPr>
          <w:vertAlign w:val="superscript"/>
        </w:rPr>
        <w:t>85</w:t>
      </w:r>
      <w:r>
        <w:rPr>
          <w:vertAlign w:val="baseline"/>
        </w:rPr>
        <w:t> For example where the ordinary assessment of the employer for the year is N1000,000 (one million naira only), and the claims cost charged</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experience</w:t>
      </w:r>
      <w:r>
        <w:rPr>
          <w:spacing w:val="40"/>
          <w:vertAlign w:val="baseline"/>
        </w:rPr>
        <w:t> </w:t>
      </w:r>
      <w:r>
        <w:rPr>
          <w:vertAlign w:val="baseline"/>
        </w:rPr>
        <w:t>account of</w:t>
      </w:r>
      <w:r>
        <w:rPr>
          <w:spacing w:val="40"/>
          <w:vertAlign w:val="baseline"/>
        </w:rPr>
        <w:t> </w:t>
      </w:r>
      <w:r>
        <w:rPr>
          <w:vertAlign w:val="baseline"/>
        </w:rPr>
        <w:t>the</w:t>
      </w:r>
      <w:r>
        <w:rPr>
          <w:spacing w:val="40"/>
          <w:vertAlign w:val="baseline"/>
        </w:rPr>
        <w:t> </w:t>
      </w:r>
      <w:r>
        <w:rPr>
          <w:vertAlign w:val="baseline"/>
        </w:rPr>
        <w:t>employer</w:t>
      </w:r>
      <w:r>
        <w:rPr>
          <w:spacing w:val="40"/>
          <w:vertAlign w:val="baseline"/>
        </w:rPr>
        <w:t> </w:t>
      </w:r>
      <w:r>
        <w:rPr>
          <w:vertAlign w:val="baseline"/>
        </w:rPr>
        <w:t>is</w:t>
      </w:r>
      <w:r>
        <w:rPr>
          <w:spacing w:val="40"/>
          <w:vertAlign w:val="baseline"/>
        </w:rPr>
        <w:t> </w:t>
      </w:r>
      <w:r>
        <w:rPr>
          <w:vertAlign w:val="baseline"/>
        </w:rPr>
        <w:t>above N1050,000 (one million fifty thousand naira) being the 105% of N1000,000 (one</w:t>
      </w:r>
      <w:r>
        <w:rPr>
          <w:spacing w:val="48"/>
          <w:vertAlign w:val="baseline"/>
        </w:rPr>
        <w:t> </w:t>
      </w:r>
      <w:r>
        <w:rPr>
          <w:vertAlign w:val="baseline"/>
        </w:rPr>
        <w:t>million</w:t>
      </w:r>
      <w:r>
        <w:rPr>
          <w:spacing w:val="51"/>
          <w:vertAlign w:val="baseline"/>
        </w:rPr>
        <w:t> </w:t>
      </w:r>
      <w:r>
        <w:rPr>
          <w:vertAlign w:val="baseline"/>
        </w:rPr>
        <w:t>naira)</w:t>
      </w:r>
      <w:r>
        <w:rPr>
          <w:spacing w:val="48"/>
          <w:vertAlign w:val="baseline"/>
        </w:rPr>
        <w:t> </w:t>
      </w:r>
      <w:r>
        <w:rPr>
          <w:vertAlign w:val="baseline"/>
        </w:rPr>
        <w:t>in</w:t>
      </w:r>
      <w:r>
        <w:rPr>
          <w:spacing w:val="50"/>
          <w:vertAlign w:val="baseline"/>
        </w:rPr>
        <w:t> </w:t>
      </w:r>
      <w:r>
        <w:rPr>
          <w:vertAlign w:val="baseline"/>
        </w:rPr>
        <w:t>a</w:t>
      </w:r>
      <w:r>
        <w:rPr>
          <w:spacing w:val="49"/>
          <w:vertAlign w:val="baseline"/>
        </w:rPr>
        <w:t> </w:t>
      </w:r>
      <w:r>
        <w:rPr>
          <w:vertAlign w:val="baseline"/>
        </w:rPr>
        <w:t>year,</w:t>
      </w:r>
      <w:r>
        <w:rPr>
          <w:spacing w:val="48"/>
          <w:vertAlign w:val="baseline"/>
        </w:rPr>
        <w:t> </w:t>
      </w:r>
      <w:r>
        <w:rPr>
          <w:vertAlign w:val="baseline"/>
        </w:rPr>
        <w:t>a</w:t>
      </w:r>
      <w:r>
        <w:rPr>
          <w:spacing w:val="48"/>
          <w:vertAlign w:val="baseline"/>
        </w:rPr>
        <w:t> </w:t>
      </w:r>
      <w:r>
        <w:rPr>
          <w:vertAlign w:val="baseline"/>
        </w:rPr>
        <w:t>super-assessment</w:t>
      </w:r>
      <w:r>
        <w:rPr>
          <w:spacing w:val="45"/>
          <w:vertAlign w:val="baseline"/>
        </w:rPr>
        <w:t> </w:t>
      </w:r>
      <w:r>
        <w:rPr>
          <w:vertAlign w:val="baseline"/>
        </w:rPr>
        <w:t>not</w:t>
      </w:r>
      <w:r>
        <w:rPr>
          <w:spacing w:val="45"/>
          <w:vertAlign w:val="baseline"/>
        </w:rPr>
        <w:t> </w:t>
      </w:r>
      <w:r>
        <w:rPr>
          <w:vertAlign w:val="baseline"/>
        </w:rPr>
        <w:t>above</w:t>
      </w:r>
      <w:r>
        <w:rPr>
          <w:spacing w:val="48"/>
          <w:vertAlign w:val="baseline"/>
        </w:rPr>
        <w:t> </w:t>
      </w:r>
      <w:r>
        <w:rPr>
          <w:spacing w:val="-2"/>
          <w:vertAlign w:val="baseline"/>
        </w:rPr>
        <w:t>N1330,000</w:t>
      </w:r>
    </w:p>
    <w:p>
      <w:pPr>
        <w:pStyle w:val="BodyText"/>
        <w:spacing w:before="16"/>
        <w:ind w:left="864"/>
        <w:jc w:val="both"/>
      </w:pPr>
      <w:r>
        <w:rPr/>
        <w:t>(one</w:t>
      </w:r>
      <w:r>
        <w:rPr>
          <w:spacing w:val="19"/>
        </w:rPr>
        <w:t> </w:t>
      </w:r>
      <w:r>
        <w:rPr/>
        <w:t>million</w:t>
      </w:r>
      <w:r>
        <w:rPr>
          <w:spacing w:val="22"/>
        </w:rPr>
        <w:t> </w:t>
      </w:r>
      <w:r>
        <w:rPr/>
        <w:t>three</w:t>
      </w:r>
      <w:r>
        <w:rPr>
          <w:spacing w:val="15"/>
        </w:rPr>
        <w:t> </w:t>
      </w:r>
      <w:r>
        <w:rPr/>
        <w:t>hundred</w:t>
      </w:r>
      <w:r>
        <w:rPr>
          <w:spacing w:val="24"/>
        </w:rPr>
        <w:t> </w:t>
      </w:r>
      <w:r>
        <w:rPr/>
        <w:t>and</w:t>
      </w:r>
      <w:r>
        <w:rPr>
          <w:spacing w:val="18"/>
        </w:rPr>
        <w:t> </w:t>
      </w:r>
      <w:r>
        <w:rPr/>
        <w:t>thirty</w:t>
      </w:r>
      <w:r>
        <w:rPr>
          <w:spacing w:val="22"/>
        </w:rPr>
        <w:t> </w:t>
      </w:r>
      <w:r>
        <w:rPr/>
        <w:t>thousand</w:t>
      </w:r>
      <w:r>
        <w:rPr>
          <w:spacing w:val="18"/>
        </w:rPr>
        <w:t> </w:t>
      </w:r>
      <w:r>
        <w:rPr/>
        <w:t>naira</w:t>
      </w:r>
      <w:r>
        <w:rPr>
          <w:spacing w:val="16"/>
        </w:rPr>
        <w:t> </w:t>
      </w:r>
      <w:r>
        <w:rPr/>
        <w:t>only)</w:t>
      </w:r>
      <w:r>
        <w:rPr>
          <w:spacing w:val="25"/>
        </w:rPr>
        <w:t> </w:t>
      </w:r>
      <w:r>
        <w:rPr/>
        <w:t>being</w:t>
      </w:r>
      <w:r>
        <w:rPr>
          <w:spacing w:val="18"/>
        </w:rPr>
        <w:t> </w:t>
      </w:r>
      <w:r>
        <w:rPr/>
        <w:t>133%</w:t>
      </w:r>
      <w:r>
        <w:rPr>
          <w:spacing w:val="20"/>
        </w:rPr>
        <w:t> </w:t>
      </w:r>
      <w:r>
        <w:rPr>
          <w:spacing w:val="-5"/>
        </w:rPr>
        <w:t>of</w:t>
      </w:r>
    </w:p>
    <w:p>
      <w:pPr>
        <w:pStyle w:val="BodyText"/>
        <w:spacing w:before="1"/>
        <w:rPr>
          <w:sz w:val="17"/>
        </w:rPr>
      </w:pPr>
      <w:r>
        <w:rPr/>
        <mc:AlternateContent>
          <mc:Choice Requires="wps">
            <w:drawing>
              <wp:anchor distT="0" distB="0" distL="0" distR="0" allowOverlap="1" layoutInCell="1" locked="0" behindDoc="1" simplePos="0" relativeHeight="487611392">
                <wp:simplePos x="0" y="0"/>
                <wp:positionH relativeFrom="page">
                  <wp:posOffset>1185672</wp:posOffset>
                </wp:positionH>
                <wp:positionV relativeFrom="paragraph">
                  <wp:posOffset>146548</wp:posOffset>
                </wp:positionV>
                <wp:extent cx="1719580" cy="3175"/>
                <wp:effectExtent l="0" t="0" r="0" b="0"/>
                <wp:wrapTopAndBottom/>
                <wp:docPr id="50" name="Graphic 50"/>
                <wp:cNvGraphicFramePr>
                  <a:graphicFrameLocks/>
                </wp:cNvGraphicFramePr>
                <a:graphic>
                  <a:graphicData uri="http://schemas.microsoft.com/office/word/2010/wordprocessingShape">
                    <wps:wsp>
                      <wps:cNvPr id="50" name="Graphic 50"/>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539219pt;width:135.360pt;height:.24pt;mso-position-horizontal-relative:page;mso-position-vertical-relative:paragraph;z-index:-15705088;mso-wrap-distance-left:0;mso-wrap-distance-right:0" id="docshape50"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82</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48</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83</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84</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42</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85</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864" w:right="564"/>
        <w:jc w:val="both"/>
      </w:pPr>
      <w:r>
        <w:rPr/>
        <w:t>N1000,000 (one million naira only) being the employees ordinary assessment. It seems that that the ceiling for the super-assessment is high and should be brought low to at most 110% of the employer’s ordinary assessment, if not the Board will always use its discretion to explore the benchmark of 133% to its maximum.</w:t>
      </w:r>
    </w:p>
    <w:p>
      <w:pPr>
        <w:pStyle w:val="BodyText"/>
        <w:spacing w:before="10"/>
      </w:pPr>
    </w:p>
    <w:p>
      <w:pPr>
        <w:pStyle w:val="BodyText"/>
        <w:spacing w:line="489" w:lineRule="auto"/>
        <w:ind w:left="864" w:right="563"/>
        <w:jc w:val="both"/>
      </w:pPr>
      <w:r>
        <w:rPr/>
        <w:t>The Board shall maintain experience accounts for each employer indicating cost of all claims chargeable in respect of the employer and also the assessment levied.</w:t>
      </w:r>
      <w:r>
        <w:rPr>
          <w:vertAlign w:val="superscript"/>
        </w:rPr>
        <w:t>86</w:t>
      </w:r>
      <w:r>
        <w:rPr>
          <w:vertAlign w:val="baseline"/>
        </w:rPr>
        <w:t> The Board may charge a particular claim to the experience</w:t>
      </w:r>
      <w:r>
        <w:rPr>
          <w:spacing w:val="40"/>
          <w:vertAlign w:val="baseline"/>
        </w:rPr>
        <w:t> </w:t>
      </w:r>
      <w:r>
        <w:rPr>
          <w:vertAlign w:val="baseline"/>
        </w:rPr>
        <w:t>account</w:t>
      </w:r>
      <w:r>
        <w:rPr>
          <w:spacing w:val="40"/>
          <w:vertAlign w:val="baseline"/>
        </w:rPr>
        <w:t> </w:t>
      </w:r>
      <w:r>
        <w:rPr>
          <w:vertAlign w:val="baseline"/>
        </w:rPr>
        <w:t>of</w:t>
      </w:r>
      <w:r>
        <w:rPr>
          <w:spacing w:val="40"/>
          <w:vertAlign w:val="baseline"/>
        </w:rPr>
        <w:t> </w:t>
      </w:r>
      <w:r>
        <w:rPr>
          <w:vertAlign w:val="baseline"/>
        </w:rPr>
        <w:t>an</w:t>
      </w:r>
      <w:r>
        <w:rPr>
          <w:spacing w:val="40"/>
          <w:vertAlign w:val="baseline"/>
        </w:rPr>
        <w:t> </w:t>
      </w:r>
      <w:r>
        <w:rPr>
          <w:vertAlign w:val="baseline"/>
        </w:rPr>
        <w:t>employer</w:t>
      </w:r>
      <w:r>
        <w:rPr>
          <w:spacing w:val="40"/>
          <w:vertAlign w:val="baseline"/>
        </w:rPr>
        <w:t> </w:t>
      </w:r>
      <w:r>
        <w:rPr>
          <w:vertAlign w:val="baseline"/>
        </w:rPr>
        <w:t>who</w:t>
      </w:r>
      <w:r>
        <w:rPr>
          <w:spacing w:val="40"/>
          <w:vertAlign w:val="baseline"/>
        </w:rPr>
        <w:t> </w:t>
      </w:r>
      <w:r>
        <w:rPr>
          <w:vertAlign w:val="baseline"/>
        </w:rPr>
        <w:t>is</w:t>
      </w:r>
      <w:r>
        <w:rPr>
          <w:spacing w:val="40"/>
          <w:vertAlign w:val="baseline"/>
        </w:rPr>
        <w:t> </w:t>
      </w:r>
      <w:r>
        <w:rPr>
          <w:vertAlign w:val="baseline"/>
        </w:rPr>
        <w:t>not</w:t>
      </w:r>
      <w:r>
        <w:rPr>
          <w:spacing w:val="40"/>
          <w:vertAlign w:val="baseline"/>
        </w:rPr>
        <w:t> </w:t>
      </w:r>
      <w:r>
        <w:rPr>
          <w:vertAlign w:val="baseline"/>
        </w:rPr>
        <w:t>the</w:t>
      </w:r>
      <w:r>
        <w:rPr>
          <w:spacing w:val="40"/>
          <w:vertAlign w:val="baseline"/>
        </w:rPr>
        <w:t> </w:t>
      </w:r>
      <w:r>
        <w:rPr>
          <w:vertAlign w:val="baseline"/>
        </w:rPr>
        <w:t>employer</w:t>
      </w:r>
      <w:r>
        <w:rPr>
          <w:spacing w:val="40"/>
          <w:vertAlign w:val="baseline"/>
        </w:rPr>
        <w:t> </w:t>
      </w:r>
      <w:r>
        <w:rPr>
          <w:vertAlign w:val="baseline"/>
        </w:rPr>
        <w:t>of</w:t>
      </w:r>
      <w:r>
        <w:rPr>
          <w:spacing w:val="40"/>
          <w:vertAlign w:val="baseline"/>
        </w:rPr>
        <w:t> </w:t>
      </w:r>
      <w:r>
        <w:rPr>
          <w:vertAlign w:val="baseline"/>
        </w:rPr>
        <w:t>the disabled</w:t>
      </w:r>
      <w:r>
        <w:rPr>
          <w:spacing w:val="35"/>
          <w:vertAlign w:val="baseline"/>
        </w:rPr>
        <w:t> </w:t>
      </w:r>
      <w:r>
        <w:rPr>
          <w:vertAlign w:val="baseline"/>
        </w:rPr>
        <w:t>employee</w:t>
      </w:r>
      <w:r>
        <w:rPr>
          <w:spacing w:val="31"/>
          <w:vertAlign w:val="baseline"/>
        </w:rPr>
        <w:t> </w:t>
      </w:r>
      <w:r>
        <w:rPr>
          <w:vertAlign w:val="baseline"/>
        </w:rPr>
        <w:t>where</w:t>
      </w:r>
      <w:r>
        <w:rPr>
          <w:spacing w:val="31"/>
          <w:vertAlign w:val="baseline"/>
        </w:rPr>
        <w:t> </w:t>
      </w:r>
      <w:r>
        <w:rPr>
          <w:vertAlign w:val="baseline"/>
        </w:rPr>
        <w:t>the</w:t>
      </w:r>
      <w:r>
        <w:rPr>
          <w:spacing w:val="37"/>
          <w:vertAlign w:val="baseline"/>
        </w:rPr>
        <w:t> </w:t>
      </w:r>
      <w:r>
        <w:rPr>
          <w:vertAlign w:val="baseline"/>
        </w:rPr>
        <w:t>employee’s</w:t>
      </w:r>
      <w:r>
        <w:rPr>
          <w:spacing w:val="31"/>
          <w:vertAlign w:val="baseline"/>
        </w:rPr>
        <w:t> </w:t>
      </w:r>
      <w:r>
        <w:rPr>
          <w:vertAlign w:val="baseline"/>
        </w:rPr>
        <w:t>disability</w:t>
      </w:r>
      <w:r>
        <w:rPr>
          <w:spacing w:val="33"/>
          <w:vertAlign w:val="baseline"/>
        </w:rPr>
        <w:t> </w:t>
      </w:r>
      <w:r>
        <w:rPr>
          <w:vertAlign w:val="baseline"/>
        </w:rPr>
        <w:t>is</w:t>
      </w:r>
      <w:r>
        <w:rPr>
          <w:spacing w:val="31"/>
          <w:vertAlign w:val="baseline"/>
        </w:rPr>
        <w:t> </w:t>
      </w:r>
      <w:r>
        <w:rPr>
          <w:vertAlign w:val="baseline"/>
        </w:rPr>
        <w:t>partly</w:t>
      </w:r>
      <w:r>
        <w:rPr>
          <w:spacing w:val="33"/>
          <w:vertAlign w:val="baseline"/>
        </w:rPr>
        <w:t> </w:t>
      </w:r>
      <w:r>
        <w:rPr>
          <w:vertAlign w:val="baseline"/>
        </w:rPr>
        <w:t>or</w:t>
      </w:r>
      <w:r>
        <w:rPr>
          <w:spacing w:val="32"/>
          <w:vertAlign w:val="baseline"/>
        </w:rPr>
        <w:t> </w:t>
      </w:r>
      <w:r>
        <w:rPr>
          <w:vertAlign w:val="baseline"/>
        </w:rPr>
        <w:t>wholly</w:t>
      </w:r>
      <w:r>
        <w:rPr>
          <w:spacing w:val="33"/>
          <w:vertAlign w:val="baseline"/>
        </w:rPr>
        <w:t> </w:t>
      </w:r>
      <w:r>
        <w:rPr>
          <w:vertAlign w:val="baseline"/>
        </w:rPr>
        <w:t>due to his negligence.</w:t>
      </w:r>
      <w:r>
        <w:rPr>
          <w:vertAlign w:val="superscript"/>
        </w:rPr>
        <w:t>87</w:t>
      </w:r>
      <w:r>
        <w:rPr>
          <w:vertAlign w:val="baseline"/>
        </w:rPr>
        <w:t> Where the employer is in a separate class or subclass from the disabled employees’ employer, the Board may charge the cost of the claim to the class or sub-class in which that employer is includul in proportion to the degree of negligence attributed to that employer or that employer’s employee.</w:t>
      </w:r>
      <w:r>
        <w:rPr>
          <w:vertAlign w:val="superscript"/>
        </w:rPr>
        <w:t>88</w:t>
      </w:r>
      <w:r>
        <w:rPr>
          <w:vertAlign w:val="baseline"/>
        </w:rPr>
        <w:t> Where a particular disability of an employee is caused by an employer who is not the employer of the employee or the employee of that employer, the disabled employees’ employer has 24 months maximum period to report to the Board that the cost of the claim should be charged to the negligent employers.</w:t>
      </w:r>
      <w:r>
        <w:rPr>
          <w:vertAlign w:val="superscript"/>
        </w:rPr>
        <w:t>89</w:t>
      </w:r>
      <w:r>
        <w:rPr>
          <w:vertAlign w:val="baseline"/>
        </w:rPr>
        <w:t> If for example, driver of Dangote</w:t>
      </w:r>
      <w:r>
        <w:rPr>
          <w:spacing w:val="47"/>
          <w:vertAlign w:val="baseline"/>
        </w:rPr>
        <w:t> </w:t>
      </w:r>
      <w:r>
        <w:rPr>
          <w:vertAlign w:val="baseline"/>
        </w:rPr>
        <w:t>Sugar</w:t>
      </w:r>
      <w:r>
        <w:rPr>
          <w:spacing w:val="48"/>
          <w:vertAlign w:val="baseline"/>
        </w:rPr>
        <w:t> </w:t>
      </w:r>
      <w:r>
        <w:rPr>
          <w:vertAlign w:val="baseline"/>
        </w:rPr>
        <w:t>Company</w:t>
      </w:r>
      <w:r>
        <w:rPr>
          <w:spacing w:val="49"/>
          <w:vertAlign w:val="baseline"/>
        </w:rPr>
        <w:t> </w:t>
      </w:r>
      <w:r>
        <w:rPr>
          <w:vertAlign w:val="baseline"/>
        </w:rPr>
        <w:t>who</w:t>
      </w:r>
      <w:r>
        <w:rPr>
          <w:spacing w:val="48"/>
          <w:vertAlign w:val="baseline"/>
        </w:rPr>
        <w:t> </w:t>
      </w:r>
      <w:r>
        <w:rPr>
          <w:vertAlign w:val="baseline"/>
        </w:rPr>
        <w:t>is</w:t>
      </w:r>
      <w:r>
        <w:rPr>
          <w:spacing w:val="47"/>
          <w:vertAlign w:val="baseline"/>
        </w:rPr>
        <w:t> </w:t>
      </w:r>
      <w:r>
        <w:rPr>
          <w:vertAlign w:val="baseline"/>
        </w:rPr>
        <w:t>on</w:t>
      </w:r>
      <w:r>
        <w:rPr>
          <w:spacing w:val="49"/>
          <w:vertAlign w:val="baseline"/>
        </w:rPr>
        <w:t> </w:t>
      </w:r>
      <w:r>
        <w:rPr>
          <w:vertAlign w:val="baseline"/>
        </w:rPr>
        <w:t>company</w:t>
      </w:r>
      <w:r>
        <w:rPr>
          <w:spacing w:val="49"/>
          <w:vertAlign w:val="baseline"/>
        </w:rPr>
        <w:t> </w:t>
      </w:r>
      <w:r>
        <w:rPr>
          <w:vertAlign w:val="baseline"/>
        </w:rPr>
        <w:t>errand</w:t>
      </w:r>
      <w:r>
        <w:rPr>
          <w:spacing w:val="51"/>
          <w:vertAlign w:val="baseline"/>
        </w:rPr>
        <w:t> </w:t>
      </w:r>
      <w:r>
        <w:rPr>
          <w:vertAlign w:val="baseline"/>
        </w:rPr>
        <w:t>from</w:t>
      </w:r>
      <w:r>
        <w:rPr>
          <w:spacing w:val="46"/>
          <w:vertAlign w:val="baseline"/>
        </w:rPr>
        <w:t> </w:t>
      </w:r>
      <w:r>
        <w:rPr>
          <w:vertAlign w:val="baseline"/>
        </w:rPr>
        <w:t>Kano</w:t>
      </w:r>
      <w:r>
        <w:rPr>
          <w:spacing w:val="48"/>
          <w:vertAlign w:val="baseline"/>
        </w:rPr>
        <w:t> </w:t>
      </w:r>
      <w:r>
        <w:rPr>
          <w:vertAlign w:val="baseline"/>
        </w:rPr>
        <w:t>to</w:t>
      </w:r>
      <w:r>
        <w:rPr>
          <w:spacing w:val="48"/>
          <w:vertAlign w:val="baseline"/>
        </w:rPr>
        <w:t> </w:t>
      </w:r>
      <w:r>
        <w:rPr>
          <w:spacing w:val="-4"/>
          <w:vertAlign w:val="baseline"/>
        </w:rPr>
        <w:t>Port</w:t>
      </w:r>
    </w:p>
    <w:p>
      <w:pPr>
        <w:pStyle w:val="BodyText"/>
        <w:spacing w:before="16"/>
        <w:ind w:left="864"/>
        <w:jc w:val="both"/>
      </w:pPr>
      <w:r>
        <w:rPr/>
        <w:t>Harcourt,</w:t>
      </w:r>
      <w:r>
        <w:rPr>
          <w:spacing w:val="28"/>
        </w:rPr>
        <w:t> </w:t>
      </w:r>
      <w:r>
        <w:rPr/>
        <w:t>negligently</w:t>
      </w:r>
      <w:r>
        <w:rPr>
          <w:spacing w:val="27"/>
        </w:rPr>
        <w:t> </w:t>
      </w:r>
      <w:r>
        <w:rPr/>
        <w:t>kills</w:t>
      </w:r>
      <w:r>
        <w:rPr>
          <w:spacing w:val="24"/>
        </w:rPr>
        <w:t> </w:t>
      </w:r>
      <w:r>
        <w:rPr/>
        <w:t>a</w:t>
      </w:r>
      <w:r>
        <w:rPr>
          <w:spacing w:val="25"/>
        </w:rPr>
        <w:t> </w:t>
      </w:r>
      <w:r>
        <w:rPr/>
        <w:t>lecturer</w:t>
      </w:r>
      <w:r>
        <w:rPr>
          <w:spacing w:val="30"/>
        </w:rPr>
        <w:t> </w:t>
      </w:r>
      <w:r>
        <w:rPr/>
        <w:t>who</w:t>
      </w:r>
      <w:r>
        <w:rPr>
          <w:spacing w:val="25"/>
        </w:rPr>
        <w:t> </w:t>
      </w:r>
      <w:r>
        <w:rPr/>
        <w:t>is</w:t>
      </w:r>
      <w:r>
        <w:rPr>
          <w:spacing w:val="25"/>
        </w:rPr>
        <w:t> </w:t>
      </w:r>
      <w:r>
        <w:rPr/>
        <w:t>an</w:t>
      </w:r>
      <w:r>
        <w:rPr>
          <w:spacing w:val="27"/>
        </w:rPr>
        <w:t> </w:t>
      </w:r>
      <w:r>
        <w:rPr/>
        <w:t>employee</w:t>
      </w:r>
      <w:r>
        <w:rPr>
          <w:spacing w:val="25"/>
        </w:rPr>
        <w:t> </w:t>
      </w:r>
      <w:r>
        <w:rPr/>
        <w:t>of</w:t>
      </w:r>
      <w:r>
        <w:rPr>
          <w:spacing w:val="25"/>
        </w:rPr>
        <w:t> </w:t>
      </w:r>
      <w:r>
        <w:rPr/>
        <w:t>Ahmadu</w:t>
      </w:r>
      <w:r>
        <w:rPr>
          <w:spacing w:val="28"/>
        </w:rPr>
        <w:t> </w:t>
      </w:r>
      <w:r>
        <w:rPr>
          <w:spacing w:val="-2"/>
        </w:rPr>
        <w:t>Bello</w:t>
      </w:r>
    </w:p>
    <w:p>
      <w:pPr>
        <w:pStyle w:val="BodyText"/>
        <w:spacing w:before="1"/>
        <w:rPr>
          <w:sz w:val="17"/>
        </w:rPr>
      </w:pPr>
      <w:r>
        <w:rPr/>
        <mc:AlternateContent>
          <mc:Choice Requires="wps">
            <w:drawing>
              <wp:anchor distT="0" distB="0" distL="0" distR="0" allowOverlap="1" layoutInCell="1" locked="0" behindDoc="1" simplePos="0" relativeHeight="487611904">
                <wp:simplePos x="0" y="0"/>
                <wp:positionH relativeFrom="page">
                  <wp:posOffset>1185672</wp:posOffset>
                </wp:positionH>
                <wp:positionV relativeFrom="paragraph">
                  <wp:posOffset>146548</wp:posOffset>
                </wp:positionV>
                <wp:extent cx="1719580" cy="3175"/>
                <wp:effectExtent l="0" t="0" r="0" b="0"/>
                <wp:wrapTopAndBottom/>
                <wp:docPr id="52" name="Graphic 52"/>
                <wp:cNvGraphicFramePr>
                  <a:graphicFrameLocks/>
                </wp:cNvGraphicFramePr>
                <a:graphic>
                  <a:graphicData uri="http://schemas.microsoft.com/office/word/2010/wordprocessingShape">
                    <wps:wsp>
                      <wps:cNvPr id="52" name="Graphic 52"/>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539219pt;width:135.360pt;height:.24pt;mso-position-horizontal-relative:page;mso-position-vertical-relative:paragraph;z-index:-15704576;mso-wrap-distance-left:0;mso-wrap-distance-right:0" id="docshape52"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86</w:t>
      </w:r>
      <w:r>
        <w:rPr>
          <w:rFonts w:ascii="Times New Roman"/>
          <w:spacing w:val="-3"/>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i/>
          <w:spacing w:val="-2"/>
          <w:sz w:val="19"/>
          <w:vertAlign w:val="baseline"/>
        </w:rPr>
        <w:t>41ibid</w:t>
      </w:r>
    </w:p>
    <w:p>
      <w:pPr>
        <w:spacing w:line="216" w:lineRule="exact" w:before="0"/>
        <w:ind w:left="187" w:right="0" w:firstLine="0"/>
        <w:jc w:val="left"/>
        <w:rPr>
          <w:rFonts w:ascii="Times New Roman"/>
          <w:i/>
          <w:sz w:val="19"/>
        </w:rPr>
      </w:pPr>
      <w:r>
        <w:rPr>
          <w:rFonts w:ascii="Times New Roman"/>
          <w:sz w:val="19"/>
          <w:vertAlign w:val="superscript"/>
        </w:rPr>
        <w:t>87</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88</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89</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footerReference w:type="default" r:id="rId12"/>
          <w:pgSz w:w="12240" w:h="15840"/>
          <w:pgMar w:header="0" w:footer="1009" w:top="1260" w:bottom="1200" w:left="1680" w:right="1320"/>
        </w:sectPr>
      </w:pPr>
    </w:p>
    <w:p>
      <w:pPr>
        <w:pStyle w:val="BodyText"/>
        <w:spacing w:line="489" w:lineRule="auto" w:before="94"/>
        <w:ind w:left="864" w:right="570"/>
        <w:jc w:val="both"/>
      </w:pPr>
      <w:r>
        <w:rPr/>
        <w:t>University, Zaria on his way home the claim cost in respect of the death of the Ahmadu Bello University lecturer, will be charged to the experience account of Dangote Sugar Company and not that of Ahmadu Bello University, Zaria. However, for this claim cost to be chargeable to the experience account of Dangote Sugar Company, Ahmadu Bello University, must</w:t>
      </w:r>
      <w:r>
        <w:rPr>
          <w:spacing w:val="22"/>
        </w:rPr>
        <w:t> </w:t>
      </w:r>
      <w:r>
        <w:rPr/>
        <w:t>notify</w:t>
      </w:r>
      <w:r>
        <w:rPr>
          <w:spacing w:val="22"/>
        </w:rPr>
        <w:t> </w:t>
      </w:r>
      <w:r>
        <w:rPr/>
        <w:t>the</w:t>
      </w:r>
      <w:r>
        <w:rPr>
          <w:spacing w:val="20"/>
        </w:rPr>
        <w:t> </w:t>
      </w:r>
      <w:r>
        <w:rPr/>
        <w:t>Board</w:t>
      </w:r>
      <w:r>
        <w:rPr>
          <w:spacing w:val="24"/>
        </w:rPr>
        <w:t> </w:t>
      </w:r>
      <w:r>
        <w:rPr/>
        <w:t>of</w:t>
      </w:r>
      <w:r>
        <w:rPr>
          <w:spacing w:val="27"/>
        </w:rPr>
        <w:t> </w:t>
      </w:r>
      <w:r>
        <w:rPr/>
        <w:t>the</w:t>
      </w:r>
      <w:r>
        <w:rPr>
          <w:spacing w:val="21"/>
        </w:rPr>
        <w:t> </w:t>
      </w:r>
      <w:r>
        <w:rPr/>
        <w:t>facts</w:t>
      </w:r>
      <w:r>
        <w:rPr>
          <w:spacing w:val="20"/>
        </w:rPr>
        <w:t> </w:t>
      </w:r>
      <w:r>
        <w:rPr/>
        <w:t>and</w:t>
      </w:r>
      <w:r>
        <w:rPr>
          <w:spacing w:val="24"/>
        </w:rPr>
        <w:t> </w:t>
      </w:r>
      <w:r>
        <w:rPr/>
        <w:t>circumstances</w:t>
      </w:r>
      <w:r>
        <w:rPr>
          <w:spacing w:val="25"/>
        </w:rPr>
        <w:t> </w:t>
      </w:r>
      <w:r>
        <w:rPr/>
        <w:t>of</w:t>
      </w:r>
      <w:r>
        <w:rPr>
          <w:spacing w:val="27"/>
        </w:rPr>
        <w:t> </w:t>
      </w:r>
      <w:r>
        <w:rPr/>
        <w:t>the</w:t>
      </w:r>
      <w:r>
        <w:rPr>
          <w:spacing w:val="20"/>
        </w:rPr>
        <w:t> </w:t>
      </w:r>
      <w:r>
        <w:rPr/>
        <w:t>death,</w:t>
      </w:r>
      <w:r>
        <w:rPr>
          <w:spacing w:val="25"/>
        </w:rPr>
        <w:t> </w:t>
      </w:r>
      <w:r>
        <w:rPr>
          <w:spacing w:val="-2"/>
        </w:rPr>
        <w:t>within</w:t>
      </w:r>
    </w:p>
    <w:p>
      <w:pPr>
        <w:pStyle w:val="BodyText"/>
        <w:spacing w:line="489" w:lineRule="auto" w:before="5"/>
        <w:ind w:left="864" w:right="567"/>
        <w:jc w:val="both"/>
      </w:pPr>
      <w:r>
        <w:rPr/>
        <w:t>24 months of its occurrence in order to enable the Board take proper decision in this regard. It therefore means that unless the employer of the affected employee notifies the Board within time the fact of the negligence of</w:t>
      </w:r>
      <w:r>
        <w:rPr>
          <w:spacing w:val="40"/>
        </w:rPr>
        <w:t> </w:t>
      </w:r>
      <w:r>
        <w:rPr/>
        <w:t>another</w:t>
      </w:r>
      <w:r>
        <w:rPr>
          <w:spacing w:val="40"/>
        </w:rPr>
        <w:t> </w:t>
      </w:r>
      <w:r>
        <w:rPr/>
        <w:t>employer,</w:t>
      </w:r>
      <w:r>
        <w:rPr>
          <w:spacing w:val="40"/>
        </w:rPr>
        <w:t> </w:t>
      </w:r>
      <w:r>
        <w:rPr/>
        <w:t>the</w:t>
      </w:r>
      <w:r>
        <w:rPr>
          <w:spacing w:val="40"/>
        </w:rPr>
        <w:t> </w:t>
      </w:r>
      <w:r>
        <w:rPr/>
        <w:t>claim</w:t>
      </w:r>
      <w:r>
        <w:rPr>
          <w:spacing w:val="40"/>
        </w:rPr>
        <w:t> </w:t>
      </w:r>
      <w:r>
        <w:rPr/>
        <w:t>cost</w:t>
      </w:r>
      <w:r>
        <w:rPr>
          <w:spacing w:val="39"/>
        </w:rPr>
        <w:t> </w:t>
      </w:r>
      <w:r>
        <w:rPr/>
        <w:t>in</w:t>
      </w:r>
      <w:r>
        <w:rPr>
          <w:spacing w:val="40"/>
        </w:rPr>
        <w:t> </w:t>
      </w:r>
      <w:r>
        <w:rPr/>
        <w:t>respect</w:t>
      </w:r>
      <w:r>
        <w:rPr>
          <w:spacing w:val="40"/>
        </w:rPr>
        <w:t> </w:t>
      </w:r>
      <w:r>
        <w:rPr/>
        <w:t>of</w:t>
      </w:r>
      <w:r>
        <w:rPr>
          <w:spacing w:val="40"/>
        </w:rPr>
        <w:t> </w:t>
      </w:r>
      <w:r>
        <w:rPr/>
        <w:t>the</w:t>
      </w:r>
      <w:r>
        <w:rPr>
          <w:spacing w:val="40"/>
        </w:rPr>
        <w:t> </w:t>
      </w:r>
      <w:r>
        <w:rPr/>
        <w:t>affected</w:t>
      </w:r>
      <w:r>
        <w:rPr>
          <w:spacing w:val="40"/>
        </w:rPr>
        <w:t> </w:t>
      </w:r>
      <w:r>
        <w:rPr/>
        <w:t>employee will</w:t>
      </w:r>
      <w:r>
        <w:rPr>
          <w:spacing w:val="40"/>
        </w:rPr>
        <w:t> </w:t>
      </w:r>
      <w:r>
        <w:rPr/>
        <w:t>be chargeable to</w:t>
      </w:r>
      <w:r>
        <w:rPr>
          <w:spacing w:val="40"/>
        </w:rPr>
        <w:t> </w:t>
      </w:r>
      <w:r>
        <w:rPr/>
        <w:t>the experience</w:t>
      </w:r>
      <w:r>
        <w:rPr>
          <w:spacing w:val="40"/>
        </w:rPr>
        <w:t> </w:t>
      </w:r>
      <w:r>
        <w:rPr/>
        <w:t>account of</w:t>
      </w:r>
      <w:r>
        <w:rPr>
          <w:spacing w:val="40"/>
        </w:rPr>
        <w:t> </w:t>
      </w:r>
      <w:r>
        <w:rPr/>
        <w:t>the employer of</w:t>
      </w:r>
      <w:r>
        <w:rPr>
          <w:spacing w:val="40"/>
        </w:rPr>
        <w:t> </w:t>
      </w:r>
      <w:r>
        <w:rPr/>
        <w:t>the affected employee. Notice may be served on an employer by the Board to provide a security in an amount and form deemed appropriate for the payment of assessment that are or might be levied against an employer.</w:t>
      </w:r>
      <w:r>
        <w:rPr>
          <w:spacing w:val="40"/>
        </w:rPr>
        <w:t> </w:t>
      </w:r>
      <w:r>
        <w:rPr/>
        <w:t>The Board will usually serve notice to the employer in this regard and the employer shall within 30 days after being served with a notice provide the security required by the Board. The Board where it considers that the security already provided is not enough, may require further security as it deems appropriate.</w:t>
      </w:r>
      <w:r>
        <w:rPr>
          <w:vertAlign w:val="superscript"/>
        </w:rPr>
        <w:t>9</w:t>
      </w:r>
      <w:r>
        <w:rPr>
          <w:vertAlign w:val="superscript"/>
        </w:rPr>
        <w:t>0</w:t>
      </w:r>
      <w:r>
        <w:rPr>
          <w:vertAlign w:val="baseline"/>
        </w:rPr>
        <w:t> Where an assessment is not paid or security provided by any employer, the Board may assess a penalty of 10% of the unpaid assessment</w:t>
      </w:r>
      <w:r>
        <w:rPr>
          <w:spacing w:val="58"/>
          <w:vertAlign w:val="baseline"/>
        </w:rPr>
        <w:t> </w:t>
      </w:r>
      <w:r>
        <w:rPr>
          <w:vertAlign w:val="baseline"/>
        </w:rPr>
        <w:t>a</w:t>
      </w:r>
      <w:r>
        <w:rPr>
          <w:spacing w:val="53"/>
          <w:vertAlign w:val="baseline"/>
        </w:rPr>
        <w:t> </w:t>
      </w:r>
      <w:r>
        <w:rPr>
          <w:vertAlign w:val="baseline"/>
        </w:rPr>
        <w:t>value</w:t>
      </w:r>
      <w:r>
        <w:rPr>
          <w:spacing w:val="52"/>
          <w:vertAlign w:val="baseline"/>
        </w:rPr>
        <w:t> </w:t>
      </w:r>
      <w:r>
        <w:rPr>
          <w:vertAlign w:val="baseline"/>
        </w:rPr>
        <w:t>of</w:t>
      </w:r>
      <w:r>
        <w:rPr>
          <w:spacing w:val="57"/>
          <w:vertAlign w:val="baseline"/>
        </w:rPr>
        <w:t> </w:t>
      </w:r>
      <w:r>
        <w:rPr>
          <w:vertAlign w:val="baseline"/>
        </w:rPr>
        <w:t>the</w:t>
      </w:r>
      <w:r>
        <w:rPr>
          <w:spacing w:val="57"/>
          <w:vertAlign w:val="baseline"/>
        </w:rPr>
        <w:t> </w:t>
      </w:r>
      <w:r>
        <w:rPr>
          <w:vertAlign w:val="baseline"/>
        </w:rPr>
        <w:t>security.</w:t>
      </w:r>
      <w:r>
        <w:rPr>
          <w:vertAlign w:val="superscript"/>
        </w:rPr>
        <w:t>9</w:t>
      </w:r>
      <w:r>
        <w:rPr>
          <w:vertAlign w:val="superscript"/>
        </w:rPr>
        <w:t>1</w:t>
      </w:r>
      <w:r>
        <w:rPr>
          <w:spacing w:val="56"/>
          <w:vertAlign w:val="baseline"/>
        </w:rPr>
        <w:t> </w:t>
      </w:r>
      <w:r>
        <w:rPr>
          <w:vertAlign w:val="baseline"/>
        </w:rPr>
        <w:t>Aside</w:t>
      </w:r>
      <w:r>
        <w:rPr>
          <w:spacing w:val="57"/>
          <w:vertAlign w:val="baseline"/>
        </w:rPr>
        <w:t> </w:t>
      </w:r>
      <w:r>
        <w:rPr>
          <w:vertAlign w:val="baseline"/>
        </w:rPr>
        <w:t>|xe</w:t>
      </w:r>
      <w:r>
        <w:rPr>
          <w:spacing w:val="56"/>
          <w:vertAlign w:val="baseline"/>
        </w:rPr>
        <w:t> </w:t>
      </w:r>
      <w:r>
        <w:rPr>
          <w:vertAlign w:val="baseline"/>
        </w:rPr>
        <w:t>penalty</w:t>
      </w:r>
      <w:r>
        <w:rPr>
          <w:spacing w:val="54"/>
          <w:vertAlign w:val="baseline"/>
        </w:rPr>
        <w:t> </w:t>
      </w:r>
      <w:r>
        <w:rPr>
          <w:vertAlign w:val="baseline"/>
        </w:rPr>
        <w:t>of</w:t>
      </w:r>
      <w:r>
        <w:rPr>
          <w:spacing w:val="57"/>
          <w:vertAlign w:val="baseline"/>
        </w:rPr>
        <w:t> </w:t>
      </w:r>
      <w:r>
        <w:rPr>
          <w:vertAlign w:val="baseline"/>
        </w:rPr>
        <w:t>10%</w:t>
      </w:r>
      <w:r>
        <w:rPr>
          <w:spacing w:val="57"/>
          <w:vertAlign w:val="baseline"/>
        </w:rPr>
        <w:t> </w:t>
      </w:r>
      <w:r>
        <w:rPr>
          <w:vertAlign w:val="baseline"/>
        </w:rPr>
        <w:t>of</w:t>
      </w:r>
      <w:r>
        <w:rPr>
          <w:spacing w:val="62"/>
          <w:vertAlign w:val="baseline"/>
        </w:rPr>
        <w:t> </w:t>
      </w:r>
      <w:r>
        <w:rPr>
          <w:spacing w:val="-5"/>
          <w:vertAlign w:val="baseline"/>
        </w:rPr>
        <w:t>the</w:t>
      </w:r>
    </w:p>
    <w:p>
      <w:pPr>
        <w:pStyle w:val="BodyText"/>
        <w:rPr>
          <w:sz w:val="20"/>
        </w:rPr>
      </w:pPr>
    </w:p>
    <w:p>
      <w:pPr>
        <w:pStyle w:val="BodyText"/>
        <w:spacing w:before="165"/>
        <w:rPr>
          <w:sz w:val="20"/>
        </w:rPr>
      </w:pPr>
      <w:r>
        <w:rPr/>
        <mc:AlternateContent>
          <mc:Choice Requires="wps">
            <w:drawing>
              <wp:anchor distT="0" distB="0" distL="0" distR="0" allowOverlap="1" layoutInCell="1" locked="0" behindDoc="1" simplePos="0" relativeHeight="487612416">
                <wp:simplePos x="0" y="0"/>
                <wp:positionH relativeFrom="page">
                  <wp:posOffset>1185672</wp:posOffset>
                </wp:positionH>
                <wp:positionV relativeFrom="paragraph">
                  <wp:posOffset>273858</wp:posOffset>
                </wp:positionV>
                <wp:extent cx="1719580" cy="6350"/>
                <wp:effectExtent l="0" t="0" r="0" b="0"/>
                <wp:wrapTopAndBottom/>
                <wp:docPr id="53" name="Graphic 53"/>
                <wp:cNvGraphicFramePr>
                  <a:graphicFrameLocks/>
                </wp:cNvGraphicFramePr>
                <a:graphic>
                  <a:graphicData uri="http://schemas.microsoft.com/office/word/2010/wordprocessingShape">
                    <wps:wsp>
                      <wps:cNvPr id="53" name="Graphic 5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1.563671pt;width:135.360pt;height:.48pt;mso-position-horizontal-relative:page;mso-position-vertical-relative:paragraph;z-index:-15704064;mso-wrap-distance-left:0;mso-wrap-distance-right:0" id="docshape53"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90</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46</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91</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5"/>
        <w:jc w:val="both"/>
      </w:pPr>
      <w:r>
        <w:rPr/>
        <w:t>unpaid, the Act criminalises refusal to pay security or any amount</w:t>
      </w:r>
      <w:r>
        <w:rPr>
          <w:spacing w:val="80"/>
        </w:rPr>
        <w:t> </w:t>
      </w:r>
      <w:r>
        <w:rPr>
          <w:spacing w:val="-2"/>
        </w:rPr>
        <w:t>required.</w:t>
      </w:r>
      <w:r>
        <w:rPr>
          <w:spacing w:val="-2"/>
          <w:vertAlign w:val="superscript"/>
        </w:rPr>
        <w:t>92</w:t>
      </w:r>
    </w:p>
    <w:p>
      <w:pPr>
        <w:pStyle w:val="BodyText"/>
        <w:spacing w:before="5"/>
      </w:pPr>
    </w:p>
    <w:p>
      <w:pPr>
        <w:pStyle w:val="BodyText"/>
        <w:spacing w:line="489" w:lineRule="auto"/>
        <w:ind w:left="864" w:right="561"/>
        <w:jc w:val="both"/>
      </w:pPr>
      <w:r>
        <w:rPr/>
        <w:t>The</w:t>
      </w:r>
      <w:r>
        <w:rPr>
          <w:spacing w:val="38"/>
        </w:rPr>
        <w:t> </w:t>
      </w:r>
      <w:r>
        <w:rPr/>
        <w:t>Board</w:t>
      </w:r>
      <w:r>
        <w:rPr>
          <w:spacing w:val="40"/>
        </w:rPr>
        <w:t> </w:t>
      </w:r>
      <w:r>
        <w:rPr/>
        <w:t>may</w:t>
      </w:r>
      <w:r>
        <w:rPr>
          <w:spacing w:val="40"/>
        </w:rPr>
        <w:t> </w:t>
      </w:r>
      <w:r>
        <w:rPr/>
        <w:t>require</w:t>
      </w:r>
      <w:r>
        <w:rPr>
          <w:spacing w:val="38"/>
        </w:rPr>
        <w:t> </w:t>
      </w:r>
      <w:r>
        <w:rPr/>
        <w:t>an</w:t>
      </w:r>
      <w:r>
        <w:rPr>
          <w:spacing w:val="40"/>
        </w:rPr>
        <w:t> </w:t>
      </w:r>
      <w:r>
        <w:rPr/>
        <w:t>employer</w:t>
      </w:r>
      <w:r>
        <w:rPr>
          <w:spacing w:val="40"/>
        </w:rPr>
        <w:t> </w:t>
      </w:r>
      <w:r>
        <w:rPr/>
        <w:t>who engages</w:t>
      </w:r>
      <w:r>
        <w:rPr>
          <w:spacing w:val="37"/>
        </w:rPr>
        <w:t> </w:t>
      </w:r>
      <w:r>
        <w:rPr/>
        <w:t>in</w:t>
      </w:r>
      <w:r>
        <w:rPr>
          <w:spacing w:val="40"/>
        </w:rPr>
        <w:t> </w:t>
      </w:r>
      <w:r>
        <w:rPr/>
        <w:t>any</w:t>
      </w:r>
      <w:r>
        <w:rPr>
          <w:spacing w:val="40"/>
        </w:rPr>
        <w:t> </w:t>
      </w:r>
      <w:r>
        <w:rPr/>
        <w:t>industry</w:t>
      </w:r>
      <w:r>
        <w:rPr>
          <w:spacing w:val="40"/>
        </w:rPr>
        <w:t> </w:t>
      </w:r>
      <w:r>
        <w:rPr/>
        <w:t>within the scope of the Act and has not been assessed in respect of it to provide security for</w:t>
      </w:r>
      <w:r>
        <w:rPr>
          <w:spacing w:val="40"/>
        </w:rPr>
        <w:t> </w:t>
      </w:r>
      <w:r>
        <w:rPr/>
        <w:t>the payment</w:t>
      </w:r>
      <w:r>
        <w:rPr>
          <w:spacing w:val="40"/>
        </w:rPr>
        <w:t> </w:t>
      </w:r>
      <w:r>
        <w:rPr/>
        <w:t>to the Fund, provided that the Board considers that the industry is to carry on business temporarily. This is if the sum is sufficient</w:t>
      </w:r>
      <w:r>
        <w:rPr>
          <w:spacing w:val="35"/>
        </w:rPr>
        <w:t> </w:t>
      </w:r>
      <w:r>
        <w:rPr/>
        <w:t>to</w:t>
      </w:r>
      <w:r>
        <w:rPr>
          <w:spacing w:val="39"/>
        </w:rPr>
        <w:t> </w:t>
      </w:r>
      <w:r>
        <w:rPr/>
        <w:t>pay</w:t>
      </w:r>
      <w:r>
        <w:rPr>
          <w:spacing w:val="40"/>
        </w:rPr>
        <w:t> </w:t>
      </w:r>
      <w:r>
        <w:rPr/>
        <w:t>the</w:t>
      </w:r>
      <w:r>
        <w:rPr>
          <w:spacing w:val="38"/>
        </w:rPr>
        <w:t> </w:t>
      </w:r>
      <w:r>
        <w:rPr/>
        <w:t>assessment</w:t>
      </w:r>
      <w:r>
        <w:rPr>
          <w:spacing w:val="39"/>
        </w:rPr>
        <w:t> </w:t>
      </w:r>
      <w:r>
        <w:rPr/>
        <w:t>for</w:t>
      </w:r>
      <w:r>
        <w:rPr>
          <w:spacing w:val="40"/>
        </w:rPr>
        <w:t> </w:t>
      </w:r>
      <w:r>
        <w:rPr/>
        <w:t>which</w:t>
      </w:r>
      <w:r>
        <w:rPr>
          <w:spacing w:val="40"/>
        </w:rPr>
        <w:t> </w:t>
      </w:r>
      <w:r>
        <w:rPr/>
        <w:t>the</w:t>
      </w:r>
      <w:r>
        <w:rPr>
          <w:spacing w:val="38"/>
        </w:rPr>
        <w:t> </w:t>
      </w:r>
      <w:r>
        <w:rPr/>
        <w:t>employer</w:t>
      </w:r>
      <w:r>
        <w:rPr>
          <w:spacing w:val="38"/>
        </w:rPr>
        <w:t> </w:t>
      </w:r>
      <w:r>
        <w:rPr/>
        <w:t>may</w:t>
      </w:r>
      <w:r>
        <w:rPr>
          <w:spacing w:val="40"/>
        </w:rPr>
        <w:t> </w:t>
      </w:r>
      <w:r>
        <w:rPr/>
        <w:t>be</w:t>
      </w:r>
      <w:r>
        <w:rPr>
          <w:spacing w:val="38"/>
        </w:rPr>
        <w:t> </w:t>
      </w:r>
      <w:r>
        <w:rPr/>
        <w:t>liable</w:t>
      </w:r>
      <w:r>
        <w:rPr>
          <w:spacing w:val="38"/>
        </w:rPr>
        <w:t> </w:t>
      </w:r>
      <w:r>
        <w:rPr/>
        <w:t>if the</w:t>
      </w:r>
      <w:r>
        <w:rPr>
          <w:spacing w:val="40"/>
        </w:rPr>
        <w:t> </w:t>
      </w:r>
      <w:r>
        <w:rPr/>
        <w:t>industry</w:t>
      </w:r>
      <w:r>
        <w:rPr>
          <w:spacing w:val="40"/>
        </w:rPr>
        <w:t> </w:t>
      </w:r>
      <w:r>
        <w:rPr/>
        <w:t>had</w:t>
      </w:r>
      <w:r>
        <w:rPr>
          <w:spacing w:val="40"/>
        </w:rPr>
        <w:t> </w:t>
      </w:r>
      <w:r>
        <w:rPr/>
        <w:t>been</w:t>
      </w:r>
      <w:r>
        <w:rPr>
          <w:spacing w:val="40"/>
        </w:rPr>
        <w:t> </w:t>
      </w:r>
      <w:r>
        <w:rPr/>
        <w:t>in</w:t>
      </w:r>
      <w:r>
        <w:rPr>
          <w:spacing w:val="40"/>
        </w:rPr>
        <w:t> </w:t>
      </w:r>
      <w:r>
        <w:rPr/>
        <w:t>existence</w:t>
      </w:r>
      <w:r>
        <w:rPr>
          <w:spacing w:val="40"/>
        </w:rPr>
        <w:t> </w:t>
      </w:r>
      <w:r>
        <w:rPr/>
        <w:t>when</w:t>
      </w:r>
      <w:r>
        <w:rPr>
          <w:spacing w:val="40"/>
        </w:rPr>
        <w:t> </w:t>
      </w:r>
      <w:r>
        <w:rPr/>
        <w:t>the</w:t>
      </w:r>
      <w:r>
        <w:rPr>
          <w:spacing w:val="40"/>
        </w:rPr>
        <w:t> </w:t>
      </w:r>
      <w:r>
        <w:rPr/>
        <w:t>last</w:t>
      </w:r>
      <w:r>
        <w:rPr>
          <w:spacing w:val="40"/>
        </w:rPr>
        <w:t> </w:t>
      </w:r>
      <w:r>
        <w:rPr/>
        <w:t>preceding</w:t>
      </w:r>
      <w:r>
        <w:rPr>
          <w:spacing w:val="40"/>
        </w:rPr>
        <w:t> </w:t>
      </w:r>
      <w:r>
        <w:rPr/>
        <w:t>assessment was made. It is an</w:t>
      </w:r>
      <w:r>
        <w:rPr>
          <w:spacing w:val="40"/>
        </w:rPr>
        <w:t> </w:t>
      </w:r>
      <w:r>
        <w:rPr/>
        <w:t>offence if</w:t>
      </w:r>
      <w:r>
        <w:rPr>
          <w:spacing w:val="40"/>
        </w:rPr>
        <w:t> </w:t>
      </w:r>
      <w:r>
        <w:rPr/>
        <w:t>any</w:t>
      </w:r>
      <w:r>
        <w:rPr>
          <w:spacing w:val="40"/>
        </w:rPr>
        <w:t> </w:t>
      </w:r>
      <w:r>
        <w:rPr/>
        <w:t>employer refuses</w:t>
      </w:r>
      <w:r>
        <w:rPr>
          <w:spacing w:val="40"/>
        </w:rPr>
        <w:t> </w:t>
      </w:r>
      <w:r>
        <w:rPr/>
        <w:t>to comply</w:t>
      </w:r>
      <w:r>
        <w:rPr>
          <w:spacing w:val="40"/>
        </w:rPr>
        <w:t> </w:t>
      </w:r>
      <w:r>
        <w:rPr/>
        <w:t>with</w:t>
      </w:r>
      <w:r>
        <w:rPr>
          <w:spacing w:val="40"/>
        </w:rPr>
        <w:t> </w:t>
      </w:r>
      <w:r>
        <w:rPr/>
        <w:t>the Board</w:t>
      </w:r>
      <w:r>
        <w:rPr>
          <w:spacing w:val="34"/>
        </w:rPr>
        <w:t> </w:t>
      </w:r>
      <w:r>
        <w:rPr/>
        <w:t>in</w:t>
      </w:r>
      <w:r>
        <w:rPr>
          <w:spacing w:val="34"/>
        </w:rPr>
        <w:t> </w:t>
      </w:r>
      <w:r>
        <w:rPr/>
        <w:t>providing</w:t>
      </w:r>
      <w:r>
        <w:rPr>
          <w:spacing w:val="34"/>
        </w:rPr>
        <w:t> </w:t>
      </w:r>
      <w:r>
        <w:rPr/>
        <w:t>security.</w:t>
      </w:r>
      <w:r>
        <w:rPr>
          <w:vertAlign w:val="superscript"/>
        </w:rPr>
        <w:t>93</w:t>
      </w:r>
      <w:r>
        <w:rPr>
          <w:spacing w:val="35"/>
          <w:vertAlign w:val="baseline"/>
        </w:rPr>
        <w:t> </w:t>
      </w:r>
      <w:r>
        <w:rPr>
          <w:vertAlign w:val="baseline"/>
        </w:rPr>
        <w:t>An</w:t>
      </w:r>
      <w:r>
        <w:rPr>
          <w:spacing w:val="39"/>
          <w:vertAlign w:val="baseline"/>
        </w:rPr>
        <w:t> </w:t>
      </w:r>
      <w:r>
        <w:rPr>
          <w:vertAlign w:val="baseline"/>
        </w:rPr>
        <w:t>employer</w:t>
      </w:r>
      <w:r>
        <w:rPr>
          <w:spacing w:val="37"/>
          <w:vertAlign w:val="baseline"/>
        </w:rPr>
        <w:t> </w:t>
      </w:r>
      <w:r>
        <w:rPr>
          <w:vertAlign w:val="baseline"/>
        </w:rPr>
        <w:t>that does</w:t>
      </w:r>
      <w:r>
        <w:rPr>
          <w:spacing w:val="35"/>
          <w:vertAlign w:val="baseline"/>
        </w:rPr>
        <w:t> </w:t>
      </w:r>
      <w:r>
        <w:rPr>
          <w:vertAlign w:val="baseline"/>
        </w:rPr>
        <w:t>not</w:t>
      </w:r>
      <w:r>
        <w:rPr>
          <w:spacing w:val="33"/>
          <w:vertAlign w:val="baseline"/>
        </w:rPr>
        <w:t> </w:t>
      </w:r>
      <w:r>
        <w:rPr>
          <w:vertAlign w:val="baseline"/>
        </w:rPr>
        <w:t>comply</w:t>
      </w:r>
      <w:r>
        <w:rPr>
          <w:spacing w:val="33"/>
          <w:vertAlign w:val="baseline"/>
        </w:rPr>
        <w:t> </w:t>
      </w:r>
      <w:r>
        <w:rPr>
          <w:vertAlign w:val="baseline"/>
        </w:rPr>
        <w:t>commits on offence and is liable on first conviction to a fine of N20,000 or imprisonment not exceeding one year. For second and subsequent convictions,</w:t>
      </w:r>
      <w:r>
        <w:rPr>
          <w:spacing w:val="37"/>
          <w:vertAlign w:val="baseline"/>
        </w:rPr>
        <w:t> </w:t>
      </w:r>
      <w:r>
        <w:rPr>
          <w:vertAlign w:val="baseline"/>
        </w:rPr>
        <w:t>the</w:t>
      </w:r>
      <w:r>
        <w:rPr>
          <w:spacing w:val="32"/>
          <w:vertAlign w:val="baseline"/>
        </w:rPr>
        <w:t> </w:t>
      </w:r>
      <w:r>
        <w:rPr>
          <w:vertAlign w:val="baseline"/>
        </w:rPr>
        <w:t>defaulting</w:t>
      </w:r>
      <w:r>
        <w:rPr>
          <w:spacing w:val="36"/>
          <w:vertAlign w:val="baseline"/>
        </w:rPr>
        <w:t> </w:t>
      </w:r>
      <w:r>
        <w:rPr>
          <w:vertAlign w:val="baseline"/>
        </w:rPr>
        <w:t>employer</w:t>
      </w:r>
      <w:r>
        <w:rPr>
          <w:spacing w:val="38"/>
          <w:vertAlign w:val="baseline"/>
        </w:rPr>
        <w:t> </w:t>
      </w:r>
      <w:r>
        <w:rPr>
          <w:vertAlign w:val="baseline"/>
        </w:rPr>
        <w:t>is</w:t>
      </w:r>
      <w:r>
        <w:rPr>
          <w:spacing w:val="31"/>
          <w:vertAlign w:val="baseline"/>
        </w:rPr>
        <w:t> </w:t>
      </w:r>
      <w:r>
        <w:rPr>
          <w:vertAlign w:val="baseline"/>
        </w:rPr>
        <w:t>liable</w:t>
      </w:r>
      <w:r>
        <w:rPr>
          <w:spacing w:val="32"/>
          <w:vertAlign w:val="baseline"/>
        </w:rPr>
        <w:t> </w:t>
      </w:r>
      <w:r>
        <w:rPr>
          <w:vertAlign w:val="baseline"/>
        </w:rPr>
        <w:t>to</w:t>
      </w:r>
      <w:r>
        <w:rPr>
          <w:spacing w:val="34"/>
          <w:vertAlign w:val="baseline"/>
        </w:rPr>
        <w:t> </w:t>
      </w:r>
      <w:r>
        <w:rPr>
          <w:vertAlign w:val="baseline"/>
        </w:rPr>
        <w:t>N100,000</w:t>
      </w:r>
      <w:r>
        <w:rPr>
          <w:spacing w:val="32"/>
          <w:vertAlign w:val="baseline"/>
        </w:rPr>
        <w:t> </w:t>
      </w:r>
      <w:r>
        <w:rPr>
          <w:vertAlign w:val="baseline"/>
        </w:rPr>
        <w:t>fine</w:t>
      </w:r>
      <w:r>
        <w:rPr>
          <w:spacing w:val="32"/>
          <w:vertAlign w:val="baseline"/>
        </w:rPr>
        <w:t> </w:t>
      </w:r>
      <w:r>
        <w:rPr>
          <w:vertAlign w:val="baseline"/>
        </w:rPr>
        <w:t>or</w:t>
      </w:r>
      <w:r>
        <w:rPr>
          <w:spacing w:val="38"/>
          <w:vertAlign w:val="baseline"/>
        </w:rPr>
        <w:t> </w:t>
      </w:r>
      <w:r>
        <w:rPr>
          <w:vertAlign w:val="baseline"/>
        </w:rPr>
        <w:t>as</w:t>
      </w:r>
      <w:r>
        <w:rPr>
          <w:spacing w:val="37"/>
          <w:vertAlign w:val="baseline"/>
        </w:rPr>
        <w:t> </w:t>
      </w:r>
      <w:r>
        <w:rPr>
          <w:vertAlign w:val="baseline"/>
        </w:rPr>
        <w:t>term of imprisonment not exceeding one year or both imprisonment and fine.</w:t>
      </w:r>
      <w:r>
        <w:rPr>
          <w:vertAlign w:val="superscript"/>
        </w:rPr>
        <w:t>94</w:t>
      </w:r>
      <w:r>
        <w:rPr>
          <w:vertAlign w:val="baseline"/>
        </w:rPr>
        <w:t> Where such offence is committed by a body corporate, the director, manager, secretary or other officers of the body corporate, partner, or officers</w:t>
      </w:r>
      <w:r>
        <w:rPr>
          <w:spacing w:val="32"/>
          <w:vertAlign w:val="baseline"/>
        </w:rPr>
        <w:t> </w:t>
      </w:r>
      <w:r>
        <w:rPr>
          <w:vertAlign w:val="baseline"/>
        </w:rPr>
        <w:t>of</w:t>
      </w:r>
      <w:r>
        <w:rPr>
          <w:spacing w:val="33"/>
          <w:vertAlign w:val="baseline"/>
        </w:rPr>
        <w:t> </w:t>
      </w:r>
      <w:r>
        <w:rPr>
          <w:vertAlign w:val="baseline"/>
        </w:rPr>
        <w:t>the</w:t>
      </w:r>
      <w:r>
        <w:rPr>
          <w:spacing w:val="33"/>
          <w:vertAlign w:val="baseline"/>
        </w:rPr>
        <w:t> </w:t>
      </w:r>
      <w:r>
        <w:rPr>
          <w:vertAlign w:val="baseline"/>
        </w:rPr>
        <w:t>firm</w:t>
      </w:r>
      <w:r>
        <w:rPr>
          <w:spacing w:val="31"/>
          <w:vertAlign w:val="baseline"/>
        </w:rPr>
        <w:t> </w:t>
      </w:r>
      <w:r>
        <w:rPr>
          <w:vertAlign w:val="baseline"/>
        </w:rPr>
        <w:t>or</w:t>
      </w:r>
      <w:r>
        <w:rPr>
          <w:spacing w:val="28"/>
          <w:vertAlign w:val="baseline"/>
        </w:rPr>
        <w:t> </w:t>
      </w:r>
      <w:r>
        <w:rPr>
          <w:vertAlign w:val="baseline"/>
        </w:rPr>
        <w:t>any</w:t>
      </w:r>
      <w:r>
        <w:rPr>
          <w:spacing w:val="35"/>
          <w:vertAlign w:val="baseline"/>
        </w:rPr>
        <w:t> </w:t>
      </w:r>
      <w:r>
        <w:rPr>
          <w:vertAlign w:val="baseline"/>
        </w:rPr>
        <w:t>person</w:t>
      </w:r>
      <w:r>
        <w:rPr>
          <w:spacing w:val="35"/>
          <w:vertAlign w:val="baseline"/>
        </w:rPr>
        <w:t> </w:t>
      </w:r>
      <w:r>
        <w:rPr>
          <w:vertAlign w:val="baseline"/>
        </w:rPr>
        <w:t>purporting</w:t>
      </w:r>
      <w:r>
        <w:rPr>
          <w:spacing w:val="31"/>
          <w:vertAlign w:val="baseline"/>
        </w:rPr>
        <w:t> </w:t>
      </w:r>
      <w:r>
        <w:rPr>
          <w:vertAlign w:val="baseline"/>
        </w:rPr>
        <w:t>to</w:t>
      </w:r>
      <w:r>
        <w:rPr>
          <w:spacing w:val="34"/>
          <w:vertAlign w:val="baseline"/>
        </w:rPr>
        <w:t> </w:t>
      </w:r>
      <w:r>
        <w:rPr>
          <w:vertAlign w:val="baseline"/>
        </w:rPr>
        <w:t>act</w:t>
      </w:r>
      <w:r>
        <w:rPr>
          <w:spacing w:val="30"/>
          <w:vertAlign w:val="baseline"/>
        </w:rPr>
        <w:t> </w:t>
      </w:r>
      <w:r>
        <w:rPr>
          <w:vertAlign w:val="baseline"/>
        </w:rPr>
        <w:t>in</w:t>
      </w:r>
      <w:r>
        <w:rPr>
          <w:spacing w:val="31"/>
          <w:vertAlign w:val="baseline"/>
        </w:rPr>
        <w:t> </w:t>
      </w:r>
      <w:r>
        <w:rPr>
          <w:vertAlign w:val="baseline"/>
        </w:rPr>
        <w:t>such</w:t>
      </w:r>
      <w:r>
        <w:rPr>
          <w:spacing w:val="40"/>
          <w:vertAlign w:val="baseline"/>
        </w:rPr>
        <w:t> </w:t>
      </w:r>
      <w:r>
        <w:rPr>
          <w:vertAlign w:val="baseline"/>
        </w:rPr>
        <w:t>capacity</w:t>
      </w:r>
      <w:r>
        <w:rPr>
          <w:spacing w:val="30"/>
          <w:vertAlign w:val="baseline"/>
        </w:rPr>
        <w:t> </w:t>
      </w:r>
      <w:r>
        <w:rPr>
          <w:vertAlign w:val="baseline"/>
        </w:rPr>
        <w:t>shall be deemed to have committed the offence unless</w:t>
      </w:r>
      <w:r>
        <w:rPr>
          <w:spacing w:val="40"/>
          <w:vertAlign w:val="baseline"/>
        </w:rPr>
        <w:t> </w:t>
      </w:r>
      <w:r>
        <w:rPr>
          <w:vertAlign w:val="baseline"/>
        </w:rPr>
        <w:t>he proves that</w:t>
      </w:r>
      <w:r>
        <w:rPr>
          <w:spacing w:val="40"/>
          <w:vertAlign w:val="baseline"/>
        </w:rPr>
        <w:t> </w:t>
      </w:r>
      <w:r>
        <w:rPr>
          <w:vertAlign w:val="baseline"/>
        </w:rPr>
        <w:t>the offence took</w:t>
      </w:r>
      <w:r>
        <w:rPr>
          <w:spacing w:val="34"/>
          <w:vertAlign w:val="baseline"/>
        </w:rPr>
        <w:t> </w:t>
      </w:r>
      <w:r>
        <w:rPr>
          <w:vertAlign w:val="baseline"/>
        </w:rPr>
        <w:t>place without his</w:t>
      </w:r>
      <w:r>
        <w:rPr>
          <w:spacing w:val="32"/>
          <w:vertAlign w:val="baseline"/>
        </w:rPr>
        <w:t> </w:t>
      </w:r>
      <w:r>
        <w:rPr>
          <w:vertAlign w:val="baseline"/>
        </w:rPr>
        <w:t>knowledge,</w:t>
      </w:r>
      <w:r>
        <w:rPr>
          <w:spacing w:val="37"/>
          <w:vertAlign w:val="baseline"/>
        </w:rPr>
        <w:t> </w:t>
      </w:r>
      <w:r>
        <w:rPr>
          <w:vertAlign w:val="baseline"/>
        </w:rPr>
        <w:t>consent,</w:t>
      </w:r>
      <w:r>
        <w:rPr>
          <w:spacing w:val="32"/>
          <w:vertAlign w:val="baseline"/>
        </w:rPr>
        <w:t> </w:t>
      </w:r>
      <w:r>
        <w:rPr>
          <w:vertAlign w:val="baseline"/>
        </w:rPr>
        <w:t>connivance</w:t>
      </w:r>
      <w:r>
        <w:rPr>
          <w:spacing w:val="32"/>
          <w:vertAlign w:val="baseline"/>
        </w:rPr>
        <w:t> </w:t>
      </w:r>
      <w:r>
        <w:rPr>
          <w:vertAlign w:val="baseline"/>
        </w:rPr>
        <w:t>or neglect or he took reasonable step to prevent the commission of the offence.</w:t>
      </w:r>
      <w:r>
        <w:rPr>
          <w:vertAlign w:val="superscript"/>
        </w:rPr>
        <w:t>95</w:t>
      </w:r>
    </w:p>
    <w:p>
      <w:pPr>
        <w:pStyle w:val="BodyText"/>
        <w:rPr>
          <w:sz w:val="20"/>
        </w:rPr>
      </w:pPr>
    </w:p>
    <w:p>
      <w:pPr>
        <w:pStyle w:val="BodyText"/>
        <w:spacing w:before="22"/>
        <w:rPr>
          <w:sz w:val="20"/>
        </w:rPr>
      </w:pPr>
      <w:r>
        <w:rPr/>
        <mc:AlternateContent>
          <mc:Choice Requires="wps">
            <w:drawing>
              <wp:anchor distT="0" distB="0" distL="0" distR="0" allowOverlap="1" layoutInCell="1" locked="0" behindDoc="1" simplePos="0" relativeHeight="487612928">
                <wp:simplePos x="0" y="0"/>
                <wp:positionH relativeFrom="page">
                  <wp:posOffset>1185672</wp:posOffset>
                </wp:positionH>
                <wp:positionV relativeFrom="paragraph">
                  <wp:posOffset>182877</wp:posOffset>
                </wp:positionV>
                <wp:extent cx="1719580" cy="3175"/>
                <wp:effectExtent l="0" t="0" r="0" b="0"/>
                <wp:wrapTopAndBottom/>
                <wp:docPr id="54" name="Graphic 54"/>
                <wp:cNvGraphicFramePr>
                  <a:graphicFrameLocks/>
                </wp:cNvGraphicFramePr>
                <a:graphic>
                  <a:graphicData uri="http://schemas.microsoft.com/office/word/2010/wordprocessingShape">
                    <wps:wsp>
                      <wps:cNvPr id="54" name="Graphic 54"/>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399766pt;width:135.360pt;height:.24pt;mso-position-horizontal-relative:page;mso-position-vertical-relative:paragraph;z-index:-15703552;mso-wrap-distance-left:0;mso-wrap-distance-right:0" id="docshape54"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92</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47</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93</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49</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94</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71</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95</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4"/>
        <w:jc w:val="both"/>
      </w:pPr>
      <w:r>
        <w:rPr/>
        <w:t>In a situation where an employer employs the services of independent contractors or subcontractors both the employers or organisation and independent contractors or subcontractors shall be jointly liable for assessment. The money due to an independent contractor from a principal or due to a subcontractor from independent contractor can be paid to the Board</w:t>
      </w:r>
      <w:r>
        <w:rPr>
          <w:spacing w:val="40"/>
        </w:rPr>
        <w:t> </w:t>
      </w:r>
      <w:r>
        <w:rPr/>
        <w:t>by</w:t>
      </w:r>
      <w:r>
        <w:rPr>
          <w:spacing w:val="40"/>
        </w:rPr>
        <w:t> </w:t>
      </w:r>
      <w:r>
        <w:rPr/>
        <w:t>the</w:t>
      </w:r>
      <w:r>
        <w:rPr>
          <w:spacing w:val="40"/>
        </w:rPr>
        <w:t> </w:t>
      </w:r>
      <w:r>
        <w:rPr/>
        <w:t>said</w:t>
      </w:r>
      <w:r>
        <w:rPr>
          <w:spacing w:val="40"/>
        </w:rPr>
        <w:t> </w:t>
      </w:r>
      <w:r>
        <w:rPr/>
        <w:t>principal</w:t>
      </w:r>
      <w:r>
        <w:rPr>
          <w:spacing w:val="40"/>
        </w:rPr>
        <w:t> </w:t>
      </w:r>
      <w:r>
        <w:rPr/>
        <w:t>or</w:t>
      </w:r>
      <w:r>
        <w:rPr>
          <w:spacing w:val="40"/>
        </w:rPr>
        <w:t> </w:t>
      </w:r>
      <w:r>
        <w:rPr/>
        <w:t>independent</w:t>
      </w:r>
      <w:r>
        <w:rPr>
          <w:spacing w:val="40"/>
        </w:rPr>
        <w:t> </w:t>
      </w:r>
      <w:r>
        <w:rPr/>
        <w:t>contractor</w:t>
      </w:r>
      <w:r>
        <w:rPr>
          <w:spacing w:val="40"/>
        </w:rPr>
        <w:t> </w:t>
      </w:r>
      <w:r>
        <w:rPr/>
        <w:t>and</w:t>
      </w:r>
      <w:r>
        <w:rPr>
          <w:spacing w:val="40"/>
        </w:rPr>
        <w:t> </w:t>
      </w:r>
      <w:r>
        <w:rPr/>
        <w:t>the</w:t>
      </w:r>
      <w:r>
        <w:rPr>
          <w:spacing w:val="40"/>
        </w:rPr>
        <w:t> </w:t>
      </w:r>
      <w:r>
        <w:rPr/>
        <w:t>payment shall</w:t>
      </w:r>
      <w:r>
        <w:rPr>
          <w:spacing w:val="40"/>
        </w:rPr>
        <w:t> </w:t>
      </w:r>
      <w:r>
        <w:rPr/>
        <w:t>be</w:t>
      </w:r>
      <w:r>
        <w:rPr>
          <w:spacing w:val="40"/>
        </w:rPr>
        <w:t> </w:t>
      </w:r>
      <w:r>
        <w:rPr/>
        <w:t>the</w:t>
      </w:r>
      <w:r>
        <w:rPr>
          <w:spacing w:val="40"/>
        </w:rPr>
        <w:t> </w:t>
      </w:r>
      <w:r>
        <w:rPr/>
        <w:t>payments</w:t>
      </w:r>
      <w:r>
        <w:rPr>
          <w:spacing w:val="40"/>
        </w:rPr>
        <w:t> </w:t>
      </w:r>
      <w:r>
        <w:rPr/>
        <w:t>representing</w:t>
      </w:r>
      <w:r>
        <w:rPr>
          <w:spacing w:val="40"/>
        </w:rPr>
        <w:t> </w:t>
      </w:r>
      <w:r>
        <w:rPr/>
        <w:t>their</w:t>
      </w:r>
      <w:r>
        <w:rPr>
          <w:spacing w:val="40"/>
        </w:rPr>
        <w:t> </w:t>
      </w:r>
      <w:r>
        <w:rPr/>
        <w:t>assessment</w:t>
      </w:r>
      <w:r>
        <w:rPr>
          <w:spacing w:val="40"/>
        </w:rPr>
        <w:t> </w:t>
      </w:r>
      <w:r>
        <w:rPr/>
        <w:t>and</w:t>
      </w:r>
      <w:r>
        <w:rPr>
          <w:spacing w:val="40"/>
        </w:rPr>
        <w:t> </w:t>
      </w:r>
      <w:r>
        <w:rPr/>
        <w:t>the</w:t>
      </w:r>
      <w:r>
        <w:rPr>
          <w:spacing w:val="40"/>
        </w:rPr>
        <w:t> </w:t>
      </w:r>
      <w:r>
        <w:rPr/>
        <w:t>payment shall be deemed to be payment under the contract that binds the principal and the contractor or contractor and subcontractor.</w:t>
      </w:r>
      <w:r>
        <w:rPr>
          <w:vertAlign w:val="superscript"/>
        </w:rPr>
        <w:t>96</w:t>
      </w:r>
      <w:r>
        <w:rPr>
          <w:vertAlign w:val="baseline"/>
        </w:rPr>
        <w:t> The contractor shall</w:t>
      </w:r>
      <w:r>
        <w:rPr>
          <w:spacing w:val="80"/>
          <w:vertAlign w:val="baseline"/>
        </w:rPr>
        <w:t> </w:t>
      </w:r>
      <w:r>
        <w:rPr>
          <w:vertAlign w:val="baseline"/>
        </w:rPr>
        <w:t>be indebted</w:t>
      </w:r>
      <w:r>
        <w:rPr>
          <w:spacing w:val="40"/>
          <w:vertAlign w:val="baseline"/>
        </w:rPr>
        <w:t> </w:t>
      </w:r>
      <w:r>
        <w:rPr>
          <w:vertAlign w:val="baseline"/>
        </w:rPr>
        <w:t>to</w:t>
      </w:r>
      <w:r>
        <w:rPr>
          <w:spacing w:val="40"/>
          <w:vertAlign w:val="baseline"/>
        </w:rPr>
        <w:t> </w:t>
      </w:r>
      <w:r>
        <w:rPr>
          <w:vertAlign w:val="baseline"/>
        </w:rPr>
        <w:t>the principal</w:t>
      </w:r>
      <w:r>
        <w:rPr>
          <w:spacing w:val="40"/>
          <w:vertAlign w:val="baseline"/>
        </w:rPr>
        <w:t> </w:t>
      </w:r>
      <w:r>
        <w:rPr>
          <w:vertAlign w:val="baseline"/>
        </w:rPr>
        <w:t>or</w:t>
      </w:r>
      <w:r>
        <w:rPr>
          <w:spacing w:val="40"/>
          <w:vertAlign w:val="baseline"/>
        </w:rPr>
        <w:t> </w:t>
      </w:r>
      <w:r>
        <w:rPr>
          <w:vertAlign w:val="baseline"/>
        </w:rPr>
        <w:t>subcontractor</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contract if</w:t>
      </w:r>
      <w:r>
        <w:rPr>
          <w:spacing w:val="40"/>
          <w:vertAlign w:val="baseline"/>
        </w:rPr>
        <w:t> </w:t>
      </w:r>
      <w:r>
        <w:rPr>
          <w:vertAlign w:val="baseline"/>
        </w:rPr>
        <w:t>the principal or contractor does not withhold any money to pay to the Board in respect of the assessment that the contractor or subcontractor are in the circumstance liable. In this regard the principal or contractor as the case may be, can sue for recovery of such debt. However, there may</w:t>
      </w:r>
      <w:r>
        <w:rPr>
          <w:spacing w:val="19"/>
          <w:vertAlign w:val="baseline"/>
        </w:rPr>
        <w:t> </w:t>
      </w:r>
      <w:r>
        <w:rPr>
          <w:vertAlign w:val="baseline"/>
        </w:rPr>
        <w:t>be a term</w:t>
      </w:r>
      <w:r>
        <w:rPr>
          <w:spacing w:val="40"/>
          <w:vertAlign w:val="baseline"/>
        </w:rPr>
        <w:t> </w:t>
      </w:r>
      <w:r>
        <w:rPr>
          <w:vertAlign w:val="baseline"/>
        </w:rPr>
        <w:t>in the contract, to the contrary.</w:t>
      </w:r>
      <w:r>
        <w:rPr>
          <w:vertAlign w:val="superscript"/>
        </w:rPr>
        <w:t>97</w:t>
      </w:r>
      <w:r>
        <w:rPr>
          <w:vertAlign w:val="baseline"/>
        </w:rPr>
        <w:t> It is safer and neater for the Board to assess the principal, independent contractors and sub-contractors independently and get such amount on assessment from them individually. This will avoid a situation of conflict between the principal and the independent contractor on the one hand and the independent contractor</w:t>
      </w:r>
      <w:r>
        <w:rPr>
          <w:spacing w:val="40"/>
          <w:vertAlign w:val="baseline"/>
        </w:rPr>
        <w:t> </w:t>
      </w:r>
      <w:r>
        <w:rPr>
          <w:vertAlign w:val="baseline"/>
        </w:rPr>
        <w:t>and the subcontractor on the other hand.</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2"/>
        <w:rPr>
          <w:sz w:val="20"/>
        </w:rPr>
      </w:pPr>
      <w:r>
        <w:rPr/>
        <mc:AlternateContent>
          <mc:Choice Requires="wps">
            <w:drawing>
              <wp:anchor distT="0" distB="0" distL="0" distR="0" allowOverlap="1" layoutInCell="1" locked="0" behindDoc="1" simplePos="0" relativeHeight="487613440">
                <wp:simplePos x="0" y="0"/>
                <wp:positionH relativeFrom="page">
                  <wp:posOffset>1185672</wp:posOffset>
                </wp:positionH>
                <wp:positionV relativeFrom="paragraph">
                  <wp:posOffset>176780</wp:posOffset>
                </wp:positionV>
                <wp:extent cx="1719580" cy="6350"/>
                <wp:effectExtent l="0" t="0" r="0" b="0"/>
                <wp:wrapTopAndBottom/>
                <wp:docPr id="55" name="Graphic 55"/>
                <wp:cNvGraphicFramePr>
                  <a:graphicFrameLocks/>
                </wp:cNvGraphicFramePr>
                <a:graphic>
                  <a:graphicData uri="http://schemas.microsoft.com/office/word/2010/wordprocessingShape">
                    <wps:wsp>
                      <wps:cNvPr id="55" name="Graphic 5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3.919687pt;width:135.360pt;height:.48pt;mso-position-horizontal-relative:page;mso-position-vertical-relative:paragraph;z-index:-15703040;mso-wrap-distance-left:0;mso-wrap-distance-right:0" id="docshape55"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96</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44</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97</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Heading3"/>
        <w:numPr>
          <w:ilvl w:val="1"/>
          <w:numId w:val="9"/>
        </w:numPr>
        <w:tabs>
          <w:tab w:pos="863" w:val="left" w:leader="none"/>
        </w:tabs>
        <w:spacing w:line="240" w:lineRule="auto" w:before="94" w:after="0"/>
        <w:ind w:left="863" w:right="0" w:hanging="676"/>
        <w:jc w:val="left"/>
      </w:pPr>
      <w:r>
        <w:rPr/>
        <w:t>The</w:t>
      </w:r>
      <w:r>
        <w:rPr>
          <w:spacing w:val="5"/>
        </w:rPr>
        <w:t> </w:t>
      </w:r>
      <w:r>
        <w:rPr/>
        <w:t>Scope</w:t>
      </w:r>
      <w:r>
        <w:rPr>
          <w:spacing w:val="5"/>
        </w:rPr>
        <w:t> </w:t>
      </w:r>
      <w:r>
        <w:rPr/>
        <w:t>and</w:t>
      </w:r>
      <w:r>
        <w:rPr>
          <w:spacing w:val="7"/>
        </w:rPr>
        <w:t> </w:t>
      </w:r>
      <w:r>
        <w:rPr/>
        <w:t>Application</w:t>
      </w:r>
      <w:r>
        <w:rPr>
          <w:spacing w:val="4"/>
        </w:rPr>
        <w:t> </w:t>
      </w:r>
      <w:r>
        <w:rPr/>
        <w:t>of</w:t>
      </w:r>
      <w:r>
        <w:rPr>
          <w:spacing w:val="7"/>
        </w:rPr>
        <w:t> </w:t>
      </w:r>
      <w:r>
        <w:rPr/>
        <w:t>the</w:t>
      </w:r>
      <w:r>
        <w:rPr>
          <w:spacing w:val="11"/>
        </w:rPr>
        <w:t> </w:t>
      </w:r>
      <w:r>
        <w:rPr>
          <w:spacing w:val="-5"/>
        </w:rPr>
        <w:t>Act</w:t>
      </w:r>
    </w:p>
    <w:p>
      <w:pPr>
        <w:pStyle w:val="BodyText"/>
        <w:spacing w:before="11"/>
        <w:rPr>
          <w:b/>
        </w:rPr>
      </w:pPr>
    </w:p>
    <w:p>
      <w:pPr>
        <w:pStyle w:val="BodyText"/>
        <w:spacing w:line="489" w:lineRule="auto"/>
        <w:ind w:left="864" w:right="564"/>
        <w:jc w:val="both"/>
      </w:pPr>
      <w:r>
        <w:rPr/>
        <w:t>Employees’ Compensation Act applies to both employees and employers within public and private sectors of the Federal Republic of Nigeria.</w:t>
      </w:r>
      <w:r>
        <w:rPr>
          <w:vertAlign w:val="superscript"/>
        </w:rPr>
        <w:t>98</w:t>
      </w:r>
      <w:r>
        <w:rPr>
          <w:vertAlign w:val="baseline"/>
        </w:rPr>
        <w:t> However, the Act does not apply to members of the Armed Forces of the Federal Republic of Nigeria except a person employed in a civilian</w:t>
      </w:r>
      <w:r>
        <w:rPr>
          <w:spacing w:val="80"/>
          <w:vertAlign w:val="baseline"/>
        </w:rPr>
        <w:t> </w:t>
      </w:r>
      <w:r>
        <w:rPr>
          <w:vertAlign w:val="baseline"/>
        </w:rPr>
        <w:t>capacity.</w:t>
      </w:r>
      <w:r>
        <w:rPr>
          <w:vertAlign w:val="superscript"/>
        </w:rPr>
        <w:t>99</w:t>
      </w:r>
      <w:r>
        <w:rPr>
          <w:spacing w:val="27"/>
          <w:vertAlign w:val="baseline"/>
        </w:rPr>
        <w:t> </w:t>
      </w:r>
      <w:r>
        <w:rPr>
          <w:vertAlign w:val="baseline"/>
        </w:rPr>
        <w:t>The</w:t>
      </w:r>
      <w:r>
        <w:rPr>
          <w:spacing w:val="28"/>
          <w:vertAlign w:val="baseline"/>
        </w:rPr>
        <w:t> </w:t>
      </w:r>
      <w:r>
        <w:rPr>
          <w:vertAlign w:val="baseline"/>
        </w:rPr>
        <w:t>reason</w:t>
      </w:r>
      <w:r>
        <w:rPr>
          <w:spacing w:val="32"/>
          <w:vertAlign w:val="baseline"/>
        </w:rPr>
        <w:t> </w:t>
      </w:r>
      <w:r>
        <w:rPr>
          <w:vertAlign w:val="baseline"/>
        </w:rPr>
        <w:t>for</w:t>
      </w:r>
      <w:r>
        <w:rPr>
          <w:spacing w:val="29"/>
          <w:vertAlign w:val="baseline"/>
        </w:rPr>
        <w:t> </w:t>
      </w:r>
      <w:r>
        <w:rPr>
          <w:vertAlign w:val="baseline"/>
        </w:rPr>
        <w:t>the</w:t>
      </w:r>
      <w:r>
        <w:rPr>
          <w:spacing w:val="28"/>
          <w:vertAlign w:val="baseline"/>
        </w:rPr>
        <w:t> </w:t>
      </w:r>
      <w:r>
        <w:rPr>
          <w:vertAlign w:val="baseline"/>
        </w:rPr>
        <w:t>exclusion</w:t>
      </w:r>
      <w:r>
        <w:rPr>
          <w:spacing w:val="32"/>
          <w:vertAlign w:val="baseline"/>
        </w:rPr>
        <w:t> </w:t>
      </w:r>
      <w:r>
        <w:rPr>
          <w:vertAlign w:val="baseline"/>
        </w:rPr>
        <w:t>of</w:t>
      </w:r>
      <w:r>
        <w:rPr>
          <w:spacing w:val="34"/>
          <w:vertAlign w:val="baseline"/>
        </w:rPr>
        <w:t> </w:t>
      </w:r>
      <w:r>
        <w:rPr>
          <w:vertAlign w:val="baseline"/>
        </w:rPr>
        <w:t>members</w:t>
      </w:r>
      <w:r>
        <w:rPr>
          <w:spacing w:val="28"/>
          <w:vertAlign w:val="baseline"/>
        </w:rPr>
        <w:t> </w:t>
      </w:r>
      <w:r>
        <w:rPr>
          <w:vertAlign w:val="baseline"/>
        </w:rPr>
        <w:t>of</w:t>
      </w:r>
      <w:r>
        <w:rPr>
          <w:spacing w:val="34"/>
          <w:vertAlign w:val="baseline"/>
        </w:rPr>
        <w:t> </w:t>
      </w:r>
      <w:r>
        <w:rPr>
          <w:vertAlign w:val="baseline"/>
        </w:rPr>
        <w:t>the</w:t>
      </w:r>
      <w:r>
        <w:rPr>
          <w:spacing w:val="28"/>
          <w:vertAlign w:val="baseline"/>
        </w:rPr>
        <w:t> </w:t>
      </w:r>
      <w:r>
        <w:rPr>
          <w:vertAlign w:val="baseline"/>
        </w:rPr>
        <w:t>Armed</w:t>
      </w:r>
      <w:r>
        <w:rPr>
          <w:spacing w:val="32"/>
          <w:vertAlign w:val="baseline"/>
        </w:rPr>
        <w:t> </w:t>
      </w:r>
      <w:r>
        <w:rPr>
          <w:vertAlign w:val="baseline"/>
        </w:rPr>
        <w:t>Forces of the Federal Republic of Nigeria is that, the Armed Forces Act</w:t>
      </w:r>
      <w:r>
        <w:rPr>
          <w:vertAlign w:val="superscript"/>
        </w:rPr>
        <w:t>100</w:t>
      </w:r>
      <w:r>
        <w:rPr>
          <w:vertAlign w:val="baseline"/>
        </w:rPr>
        <w:t> and the Armed Forces Pension Act</w:t>
      </w:r>
      <w:r>
        <w:rPr>
          <w:vertAlign w:val="superscript"/>
        </w:rPr>
        <w:t>101</w:t>
      </w:r>
      <w:r>
        <w:rPr>
          <w:vertAlign w:val="baseline"/>
        </w:rPr>
        <w:t> have provisions for members of the Armed Forces who in actual discharge of their duties and without their own fault</w:t>
      </w:r>
      <w:r>
        <w:rPr>
          <w:spacing w:val="40"/>
          <w:vertAlign w:val="baseline"/>
        </w:rPr>
        <w:t> </w:t>
      </w:r>
      <w:r>
        <w:rPr>
          <w:vertAlign w:val="baseline"/>
        </w:rPr>
        <w:t>are killed, wounded, injured, or suffer illness or mental incapacity.</w:t>
      </w:r>
      <w:r>
        <w:rPr>
          <w:vertAlign w:val="superscript"/>
        </w:rPr>
        <w:t>102</w:t>
      </w:r>
      <w:r>
        <w:rPr>
          <w:vertAlign w:val="baseline"/>
        </w:rPr>
        <w:t> Those employed in civilian capacities are not covered by the Armed Forces Provisions.</w:t>
      </w:r>
      <w:r>
        <w:rPr>
          <w:vertAlign w:val="superscript"/>
        </w:rPr>
        <w:t>103</w:t>
      </w:r>
      <w:r>
        <w:rPr>
          <w:vertAlign w:val="baseline"/>
        </w:rPr>
        <w:t> For example, a Professor in Nigerian Defence Academy is employed</w:t>
      </w:r>
      <w:r>
        <w:rPr>
          <w:spacing w:val="38"/>
          <w:vertAlign w:val="baseline"/>
        </w:rPr>
        <w:t> </w:t>
      </w:r>
      <w:r>
        <w:rPr>
          <w:vertAlign w:val="baseline"/>
        </w:rPr>
        <w:t>in</w:t>
      </w:r>
      <w:r>
        <w:rPr>
          <w:spacing w:val="37"/>
          <w:vertAlign w:val="baseline"/>
        </w:rPr>
        <w:t> </w:t>
      </w:r>
      <w:r>
        <w:rPr>
          <w:vertAlign w:val="baseline"/>
        </w:rPr>
        <w:t>civilian</w:t>
      </w:r>
      <w:r>
        <w:rPr>
          <w:spacing w:val="40"/>
          <w:vertAlign w:val="baseline"/>
        </w:rPr>
        <w:t> </w:t>
      </w:r>
      <w:r>
        <w:rPr>
          <w:vertAlign w:val="baseline"/>
        </w:rPr>
        <w:t>capacity</w:t>
      </w:r>
      <w:r>
        <w:rPr>
          <w:spacing w:val="40"/>
          <w:vertAlign w:val="baseline"/>
        </w:rPr>
        <w:t> </w:t>
      </w:r>
      <w:r>
        <w:rPr>
          <w:vertAlign w:val="baseline"/>
        </w:rPr>
        <w:t>and</w:t>
      </w:r>
      <w:r>
        <w:rPr>
          <w:spacing w:val="38"/>
          <w:vertAlign w:val="baseline"/>
        </w:rPr>
        <w:t> </w:t>
      </w:r>
      <w:r>
        <w:rPr>
          <w:vertAlign w:val="baseline"/>
        </w:rPr>
        <w:t>cannot</w:t>
      </w:r>
      <w:r>
        <w:rPr>
          <w:spacing w:val="37"/>
          <w:vertAlign w:val="baseline"/>
        </w:rPr>
        <w:t> </w:t>
      </w:r>
      <w:r>
        <w:rPr>
          <w:vertAlign w:val="baseline"/>
        </w:rPr>
        <w:t>be covered</w:t>
      </w:r>
      <w:r>
        <w:rPr>
          <w:spacing w:val="38"/>
          <w:vertAlign w:val="baseline"/>
        </w:rPr>
        <w:t> </w:t>
      </w:r>
      <w:r>
        <w:rPr>
          <w:vertAlign w:val="baseline"/>
        </w:rPr>
        <w:t>by</w:t>
      </w:r>
      <w:r>
        <w:rPr>
          <w:spacing w:val="40"/>
          <w:vertAlign w:val="baseline"/>
        </w:rPr>
        <w:t> </w:t>
      </w:r>
      <w:r>
        <w:rPr>
          <w:vertAlign w:val="baseline"/>
        </w:rPr>
        <w:t>the provisions</w:t>
      </w:r>
      <w:r>
        <w:rPr>
          <w:spacing w:val="39"/>
          <w:vertAlign w:val="baseline"/>
        </w:rPr>
        <w:t> </w:t>
      </w:r>
      <w:r>
        <w:rPr>
          <w:vertAlign w:val="baseline"/>
        </w:rPr>
        <w:t>of the Armed Forces but by the provisions of Employees’ Compensation Act. Employees’ Compensation Act defines an employee as;</w:t>
      </w:r>
    </w:p>
    <w:p>
      <w:pPr>
        <w:pStyle w:val="BodyText"/>
        <w:spacing w:line="244" w:lineRule="auto" w:before="15"/>
        <w:ind w:left="1540" w:right="3274"/>
        <w:jc w:val="both"/>
      </w:pPr>
      <w:r>
        <w:rPr/>
        <w:t>A person employed by an employer under oral or written contract of employment whether on a continuous, part-time, temporary, apprenticeship or casual basis and</w:t>
      </w:r>
      <w:r>
        <w:rPr>
          <w:spacing w:val="40"/>
        </w:rPr>
        <w:t> </w:t>
      </w:r>
      <w:r>
        <w:rPr/>
        <w:t>includes</w:t>
      </w:r>
      <w:r>
        <w:rPr>
          <w:spacing w:val="40"/>
        </w:rPr>
        <w:t> </w:t>
      </w:r>
      <w:r>
        <w:rPr/>
        <w:t>a</w:t>
      </w:r>
      <w:r>
        <w:rPr>
          <w:spacing w:val="40"/>
        </w:rPr>
        <w:t> </w:t>
      </w:r>
      <w:r>
        <w:rPr/>
        <w:t>domestic</w:t>
      </w:r>
      <w:r>
        <w:rPr>
          <w:spacing w:val="40"/>
        </w:rPr>
        <w:t> </w:t>
      </w:r>
      <w:r>
        <w:rPr/>
        <w:t>servant who is not a member of the family of the</w:t>
      </w:r>
      <w:r>
        <w:rPr>
          <w:spacing w:val="40"/>
        </w:rPr>
        <w:t> </w:t>
      </w:r>
      <w:r>
        <w:rPr/>
        <w:t>employer including any person employed</w:t>
      </w:r>
      <w:r>
        <w:rPr>
          <w:spacing w:val="80"/>
        </w:rPr>
        <w:t> </w:t>
      </w:r>
      <w:r>
        <w:rPr/>
        <w:t>in</w:t>
      </w:r>
      <w:r>
        <w:rPr>
          <w:spacing w:val="55"/>
          <w:w w:val="150"/>
        </w:rPr>
        <w:t>  </w:t>
      </w:r>
      <w:r>
        <w:rPr/>
        <w:t>the</w:t>
      </w:r>
      <w:r>
        <w:rPr>
          <w:spacing w:val="56"/>
          <w:w w:val="150"/>
        </w:rPr>
        <w:t>  </w:t>
      </w:r>
      <w:r>
        <w:rPr/>
        <w:t>Federal,</w:t>
      </w:r>
      <w:r>
        <w:rPr>
          <w:spacing w:val="56"/>
          <w:w w:val="150"/>
        </w:rPr>
        <w:t>  </w:t>
      </w:r>
      <w:r>
        <w:rPr/>
        <w:t>State</w:t>
      </w:r>
      <w:r>
        <w:rPr>
          <w:spacing w:val="57"/>
          <w:w w:val="150"/>
        </w:rPr>
        <w:t>  </w:t>
      </w:r>
      <w:r>
        <w:rPr/>
        <w:t>and</w:t>
      </w:r>
      <w:r>
        <w:rPr>
          <w:spacing w:val="56"/>
          <w:w w:val="150"/>
        </w:rPr>
        <w:t>  </w:t>
      </w:r>
      <w:r>
        <w:rPr>
          <w:spacing w:val="-4"/>
        </w:rPr>
        <w:t>Local</w:t>
      </w:r>
    </w:p>
    <w:p>
      <w:pPr>
        <w:pStyle w:val="BodyText"/>
        <w:spacing w:before="13"/>
        <w:rPr>
          <w:sz w:val="20"/>
        </w:rPr>
      </w:pPr>
      <w:r>
        <w:rPr/>
        <mc:AlternateContent>
          <mc:Choice Requires="wps">
            <w:drawing>
              <wp:anchor distT="0" distB="0" distL="0" distR="0" allowOverlap="1" layoutInCell="1" locked="0" behindDoc="1" simplePos="0" relativeHeight="487613952">
                <wp:simplePos x="0" y="0"/>
                <wp:positionH relativeFrom="page">
                  <wp:posOffset>1185672</wp:posOffset>
                </wp:positionH>
                <wp:positionV relativeFrom="paragraph">
                  <wp:posOffset>176950</wp:posOffset>
                </wp:positionV>
                <wp:extent cx="1719580" cy="6350"/>
                <wp:effectExtent l="0" t="0" r="0" b="0"/>
                <wp:wrapTopAndBottom/>
                <wp:docPr id="56" name="Graphic 56"/>
                <wp:cNvGraphicFramePr>
                  <a:graphicFrameLocks/>
                </wp:cNvGraphicFramePr>
                <a:graphic>
                  <a:graphicData uri="http://schemas.microsoft.com/office/word/2010/wordprocessingShape">
                    <wps:wsp>
                      <wps:cNvPr id="56" name="Graphic 56"/>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3.933125pt;width:135.360pt;height:.48pt;mso-position-horizontal-relative:page;mso-position-vertical-relative:paragraph;z-index:-15702528;mso-wrap-distance-left:0;mso-wrap-distance-right:0" id="docshape56"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98</w:t>
      </w:r>
      <w:r>
        <w:rPr>
          <w:rFonts w:ascii="Times New Roman"/>
          <w:sz w:val="19"/>
          <w:vertAlign w:val="baseline"/>
        </w:rPr>
        <w:t> Section</w:t>
      </w:r>
      <w:r>
        <w:rPr>
          <w:rFonts w:ascii="Times New Roman"/>
          <w:spacing w:val="1"/>
          <w:sz w:val="19"/>
          <w:vertAlign w:val="baseline"/>
        </w:rPr>
        <w:t> </w:t>
      </w:r>
      <w:r>
        <w:rPr>
          <w:rFonts w:ascii="Times New Roman"/>
          <w:sz w:val="19"/>
          <w:vertAlign w:val="baseline"/>
        </w:rPr>
        <w:t>2</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99</w:t>
      </w:r>
      <w:r>
        <w:rPr>
          <w:rFonts w:ascii="Times New Roman"/>
          <w:sz w:val="19"/>
          <w:vertAlign w:val="baseline"/>
        </w:rPr>
        <w:t> Section</w:t>
      </w:r>
      <w:r>
        <w:rPr>
          <w:rFonts w:ascii="Times New Roman"/>
          <w:spacing w:val="1"/>
          <w:sz w:val="19"/>
          <w:vertAlign w:val="baseline"/>
        </w:rPr>
        <w:t> </w:t>
      </w:r>
      <w:r>
        <w:rPr>
          <w:rFonts w:ascii="Times New Roman"/>
          <w:sz w:val="19"/>
          <w:vertAlign w:val="baseline"/>
        </w:rPr>
        <w:t>3</w:t>
      </w:r>
      <w:r>
        <w:rPr>
          <w:rFonts w:ascii="Times New Roman"/>
          <w:spacing w:val="-7"/>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100</w:t>
      </w:r>
      <w:r>
        <w:rPr>
          <w:rFonts w:ascii="Times New Roman"/>
          <w:spacing w:val="-2"/>
          <w:sz w:val="19"/>
          <w:vertAlign w:val="baseline"/>
        </w:rPr>
        <w:t> </w:t>
      </w:r>
      <w:r>
        <w:rPr>
          <w:rFonts w:ascii="Times New Roman"/>
          <w:sz w:val="19"/>
          <w:vertAlign w:val="baseline"/>
        </w:rPr>
        <w:t>Cap</w:t>
      </w:r>
      <w:r>
        <w:rPr>
          <w:rFonts w:ascii="Times New Roman"/>
          <w:spacing w:val="-9"/>
          <w:sz w:val="19"/>
          <w:vertAlign w:val="baseline"/>
        </w:rPr>
        <w:t> </w:t>
      </w:r>
      <w:r>
        <w:rPr>
          <w:rFonts w:ascii="Times New Roman"/>
          <w:sz w:val="19"/>
          <w:vertAlign w:val="baseline"/>
        </w:rPr>
        <w:t>A20,</w:t>
      </w:r>
      <w:r>
        <w:rPr>
          <w:rFonts w:ascii="Times New Roman"/>
          <w:spacing w:val="-3"/>
          <w:sz w:val="19"/>
          <w:vertAlign w:val="baseline"/>
        </w:rPr>
        <w:t> </w:t>
      </w:r>
      <w:r>
        <w:rPr>
          <w:rFonts w:ascii="Times New Roman"/>
          <w:sz w:val="19"/>
          <w:vertAlign w:val="baseline"/>
        </w:rPr>
        <w:t>Laws</w:t>
      </w:r>
      <w:r>
        <w:rPr>
          <w:rFonts w:ascii="Times New Roman"/>
          <w:spacing w:val="-4"/>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Federation</w:t>
      </w:r>
      <w:r>
        <w:rPr>
          <w:rFonts w:ascii="Times New Roman"/>
          <w:spacing w:val="-6"/>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Nigeria,</w:t>
      </w:r>
      <w:r>
        <w:rPr>
          <w:rFonts w:ascii="Times New Roman"/>
          <w:spacing w:val="-11"/>
          <w:sz w:val="19"/>
          <w:vertAlign w:val="baseline"/>
        </w:rPr>
        <w:t> </w:t>
      </w:r>
      <w:r>
        <w:rPr>
          <w:rFonts w:ascii="Times New Roman"/>
          <w:spacing w:val="-4"/>
          <w:sz w:val="19"/>
          <w:vertAlign w:val="baseline"/>
        </w:rPr>
        <w:t>2004</w:t>
      </w:r>
    </w:p>
    <w:p>
      <w:pPr>
        <w:spacing w:line="217" w:lineRule="exact" w:before="2"/>
        <w:ind w:left="187" w:right="0" w:firstLine="0"/>
        <w:jc w:val="left"/>
        <w:rPr>
          <w:rFonts w:ascii="Times New Roman"/>
          <w:i/>
          <w:sz w:val="19"/>
        </w:rPr>
      </w:pPr>
      <w:r>
        <w:rPr>
          <w:rFonts w:ascii="Times New Roman"/>
          <w:sz w:val="19"/>
          <w:vertAlign w:val="superscript"/>
        </w:rPr>
        <w:t>101</w:t>
      </w:r>
      <w:r>
        <w:rPr>
          <w:rFonts w:ascii="Times New Roman"/>
          <w:spacing w:val="4"/>
          <w:sz w:val="19"/>
          <w:vertAlign w:val="baseline"/>
        </w:rPr>
        <w:t> </w:t>
      </w:r>
      <w:r>
        <w:rPr>
          <w:rFonts w:ascii="Times New Roman"/>
          <w:sz w:val="19"/>
          <w:vertAlign w:val="baseline"/>
        </w:rPr>
        <w:t>Cap</w:t>
      </w:r>
      <w:r>
        <w:rPr>
          <w:rFonts w:ascii="Times New Roman"/>
          <w:spacing w:val="-3"/>
          <w:sz w:val="19"/>
          <w:vertAlign w:val="baseline"/>
        </w:rPr>
        <w:t> </w:t>
      </w:r>
      <w:r>
        <w:rPr>
          <w:rFonts w:ascii="Times New Roman"/>
          <w:sz w:val="19"/>
          <w:vertAlign w:val="baseline"/>
        </w:rPr>
        <w:t>A23</w:t>
      </w:r>
      <w:r>
        <w:rPr>
          <w:rFonts w:ascii="Times New Roman"/>
          <w:spacing w:val="-4"/>
          <w:sz w:val="19"/>
          <w:vertAlign w:val="baseline"/>
        </w:rPr>
        <w:t> </w:t>
      </w:r>
      <w:r>
        <w:rPr>
          <w:rFonts w:ascii="Times New Roman"/>
          <w:i/>
          <w:spacing w:val="-4"/>
          <w:sz w:val="19"/>
          <w:vertAlign w:val="baseline"/>
        </w:rPr>
        <w:t>ibid</w:t>
      </w:r>
    </w:p>
    <w:p>
      <w:pPr>
        <w:spacing w:line="235" w:lineRule="auto" w:before="3"/>
        <w:ind w:left="187" w:right="567" w:firstLine="0"/>
        <w:jc w:val="both"/>
        <w:rPr>
          <w:rFonts w:ascii="Times New Roman"/>
          <w:sz w:val="19"/>
        </w:rPr>
      </w:pPr>
      <w:r>
        <w:rPr>
          <w:rFonts w:ascii="Times New Roman"/>
          <w:sz w:val="19"/>
          <w:vertAlign w:val="superscript"/>
        </w:rPr>
        <w:t>102</w:t>
      </w:r>
      <w:r>
        <w:rPr>
          <w:rFonts w:ascii="Times New Roman"/>
          <w:sz w:val="19"/>
          <w:vertAlign w:val="baseline"/>
        </w:rPr>
        <w:t> See</w:t>
      </w:r>
      <w:r>
        <w:rPr>
          <w:rFonts w:ascii="Times New Roman"/>
          <w:spacing w:val="-1"/>
          <w:sz w:val="19"/>
          <w:vertAlign w:val="baseline"/>
        </w:rPr>
        <w:t> </w:t>
      </w:r>
      <w:r>
        <w:rPr>
          <w:rFonts w:ascii="Times New Roman"/>
          <w:sz w:val="19"/>
          <w:vertAlign w:val="baseline"/>
        </w:rPr>
        <w:t>section 41</w:t>
      </w:r>
      <w:r>
        <w:rPr>
          <w:rFonts w:ascii="Times New Roman"/>
          <w:spacing w:val="-7"/>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Armed</w:t>
      </w:r>
      <w:r>
        <w:rPr>
          <w:rFonts w:ascii="Times New Roman"/>
          <w:spacing w:val="-2"/>
          <w:sz w:val="19"/>
          <w:vertAlign w:val="baseline"/>
        </w:rPr>
        <w:t> </w:t>
      </w:r>
      <w:r>
        <w:rPr>
          <w:rFonts w:ascii="Times New Roman"/>
          <w:sz w:val="19"/>
          <w:vertAlign w:val="baseline"/>
        </w:rPr>
        <w:t>Forces</w:t>
      </w:r>
      <w:r>
        <w:rPr>
          <w:rFonts w:ascii="Times New Roman"/>
          <w:spacing w:val="-1"/>
          <w:sz w:val="19"/>
          <w:vertAlign w:val="baseline"/>
        </w:rPr>
        <w:t> </w:t>
      </w:r>
      <w:r>
        <w:rPr>
          <w:rFonts w:ascii="Times New Roman"/>
          <w:sz w:val="19"/>
          <w:vertAlign w:val="baseline"/>
        </w:rPr>
        <w:t>Act</w:t>
      </w:r>
      <w:r>
        <w:rPr>
          <w:rFonts w:ascii="Times New Roman"/>
          <w:spacing w:val="40"/>
          <w:sz w:val="19"/>
          <w:vertAlign w:val="baseline"/>
        </w:rPr>
        <w:t> </w:t>
      </w:r>
      <w:r>
        <w:rPr>
          <w:rFonts w:ascii="Times New Roman"/>
          <w:i/>
          <w:sz w:val="19"/>
          <w:vertAlign w:val="baseline"/>
        </w:rPr>
        <w:t>Op.cit</w:t>
      </w:r>
      <w:r>
        <w:rPr>
          <w:rFonts w:ascii="Times New Roman"/>
          <w:i/>
          <w:spacing w:val="40"/>
          <w:sz w:val="19"/>
          <w:vertAlign w:val="baseline"/>
        </w:rPr>
        <w:t> </w:t>
      </w:r>
      <w:r>
        <w:rPr>
          <w:rFonts w:ascii="Times New Roman"/>
          <w:sz w:val="19"/>
          <w:vertAlign w:val="baseline"/>
        </w:rPr>
        <w:t>and</w:t>
      </w:r>
      <w:r>
        <w:rPr>
          <w:rFonts w:ascii="Times New Roman"/>
          <w:spacing w:val="-3"/>
          <w:sz w:val="19"/>
          <w:vertAlign w:val="baseline"/>
        </w:rPr>
        <w:t> </w:t>
      </w:r>
      <w:r>
        <w:rPr>
          <w:rFonts w:ascii="Times New Roman"/>
          <w:sz w:val="19"/>
          <w:vertAlign w:val="baseline"/>
        </w:rPr>
        <w:t>Sections</w:t>
      </w:r>
      <w:r>
        <w:rPr>
          <w:rFonts w:ascii="Times New Roman"/>
          <w:spacing w:val="-6"/>
          <w:sz w:val="19"/>
          <w:vertAlign w:val="baseline"/>
        </w:rPr>
        <w:t> </w:t>
      </w:r>
      <w:r>
        <w:rPr>
          <w:rFonts w:ascii="Times New Roman"/>
          <w:sz w:val="19"/>
          <w:vertAlign w:val="baseline"/>
        </w:rPr>
        <w:t>7,</w:t>
      </w:r>
      <w:r>
        <w:rPr>
          <w:rFonts w:ascii="Times New Roman"/>
          <w:spacing w:val="-8"/>
          <w:sz w:val="19"/>
          <w:vertAlign w:val="baseline"/>
        </w:rPr>
        <w:t> </w:t>
      </w:r>
      <w:r>
        <w:rPr>
          <w:rFonts w:ascii="Times New Roman"/>
          <w:sz w:val="19"/>
          <w:vertAlign w:val="baseline"/>
        </w:rPr>
        <w:t>8,</w:t>
      </w:r>
      <w:r>
        <w:rPr>
          <w:rFonts w:ascii="Times New Roman"/>
          <w:spacing w:val="-4"/>
          <w:sz w:val="19"/>
          <w:vertAlign w:val="baseline"/>
        </w:rPr>
        <w:t> </w:t>
      </w:r>
      <w:r>
        <w:rPr>
          <w:rFonts w:ascii="Times New Roman"/>
          <w:sz w:val="19"/>
          <w:vertAlign w:val="baseline"/>
        </w:rPr>
        <w:t>9</w:t>
      </w:r>
      <w:r>
        <w:rPr>
          <w:rFonts w:ascii="Times New Roman"/>
          <w:spacing w:val="-7"/>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Armed</w:t>
      </w:r>
      <w:r>
        <w:rPr>
          <w:rFonts w:ascii="Times New Roman"/>
          <w:spacing w:val="-7"/>
          <w:sz w:val="19"/>
          <w:vertAlign w:val="baseline"/>
        </w:rPr>
        <w:t> </w:t>
      </w:r>
      <w:r>
        <w:rPr>
          <w:rFonts w:ascii="Times New Roman"/>
          <w:sz w:val="19"/>
          <w:vertAlign w:val="baseline"/>
        </w:rPr>
        <w:t>Forces</w:t>
      </w:r>
      <w:r>
        <w:rPr>
          <w:rFonts w:ascii="Times New Roman"/>
          <w:spacing w:val="-1"/>
          <w:sz w:val="19"/>
          <w:vertAlign w:val="baseline"/>
        </w:rPr>
        <w:t> </w:t>
      </w:r>
      <w:r>
        <w:rPr>
          <w:rFonts w:ascii="Times New Roman"/>
          <w:sz w:val="19"/>
          <w:vertAlign w:val="baseline"/>
        </w:rPr>
        <w:t>Pensions</w:t>
      </w:r>
      <w:r>
        <w:rPr>
          <w:rFonts w:ascii="Times New Roman"/>
          <w:spacing w:val="-10"/>
          <w:sz w:val="19"/>
          <w:vertAlign w:val="baseline"/>
        </w:rPr>
        <w:t> </w:t>
      </w:r>
      <w:r>
        <w:rPr>
          <w:rFonts w:ascii="Times New Roman"/>
          <w:sz w:val="19"/>
          <w:vertAlign w:val="baseline"/>
        </w:rPr>
        <w:t>Act </w:t>
      </w:r>
      <w:r>
        <w:rPr>
          <w:rFonts w:ascii="Times New Roman"/>
          <w:i/>
          <w:sz w:val="19"/>
          <w:vertAlign w:val="baseline"/>
        </w:rPr>
        <w:t>Ibid</w:t>
      </w:r>
      <w:r>
        <w:rPr>
          <w:rFonts w:ascii="Times New Roman"/>
          <w:sz w:val="19"/>
          <w:vertAlign w:val="baseline"/>
        </w:rPr>
        <w:t>.</w:t>
      </w:r>
      <w:r>
        <w:rPr>
          <w:rFonts w:ascii="Times New Roman"/>
          <w:spacing w:val="-8"/>
          <w:sz w:val="19"/>
          <w:vertAlign w:val="baseline"/>
        </w:rPr>
        <w:t> </w:t>
      </w:r>
      <w:r>
        <w:rPr>
          <w:rFonts w:ascii="Times New Roman"/>
          <w:sz w:val="19"/>
          <w:vertAlign w:val="baseline"/>
        </w:rPr>
        <w:t>The second</w:t>
      </w:r>
      <w:r>
        <w:rPr>
          <w:rFonts w:ascii="Times New Roman"/>
          <w:spacing w:val="-7"/>
          <w:sz w:val="19"/>
          <w:vertAlign w:val="baseline"/>
        </w:rPr>
        <w:t> </w:t>
      </w:r>
      <w:r>
        <w:rPr>
          <w:rFonts w:ascii="Times New Roman"/>
          <w:sz w:val="19"/>
          <w:vertAlign w:val="baseline"/>
        </w:rPr>
        <w:t>schedule</w:t>
      </w:r>
      <w:r>
        <w:rPr>
          <w:rFonts w:ascii="Times New Roman"/>
          <w:spacing w:val="-10"/>
          <w:sz w:val="19"/>
          <w:vertAlign w:val="baseline"/>
        </w:rPr>
        <w:t> </w:t>
      </w:r>
      <w:r>
        <w:rPr>
          <w:rFonts w:ascii="Times New Roman"/>
          <w:sz w:val="19"/>
          <w:vertAlign w:val="baseline"/>
        </w:rPr>
        <w:t>to</w:t>
      </w:r>
      <w:r>
        <w:rPr>
          <w:rFonts w:ascii="Times New Roman"/>
          <w:spacing w:val="-11"/>
          <w:sz w:val="19"/>
          <w:vertAlign w:val="baseline"/>
        </w:rPr>
        <w:t> </w:t>
      </w:r>
      <w:r>
        <w:rPr>
          <w:rFonts w:ascii="Times New Roman"/>
          <w:sz w:val="19"/>
          <w:vertAlign w:val="baseline"/>
        </w:rPr>
        <w:t>the</w:t>
      </w:r>
      <w:r>
        <w:rPr>
          <w:rFonts w:ascii="Times New Roman"/>
          <w:spacing w:val="-10"/>
          <w:sz w:val="19"/>
          <w:vertAlign w:val="baseline"/>
        </w:rPr>
        <w:t> </w:t>
      </w:r>
      <w:r>
        <w:rPr>
          <w:rFonts w:ascii="Times New Roman"/>
          <w:sz w:val="19"/>
          <w:vertAlign w:val="baseline"/>
        </w:rPr>
        <w:t>Armed</w:t>
      </w:r>
      <w:r>
        <w:rPr>
          <w:rFonts w:ascii="Times New Roman"/>
          <w:spacing w:val="-11"/>
          <w:sz w:val="19"/>
          <w:vertAlign w:val="baseline"/>
        </w:rPr>
        <w:t> </w:t>
      </w:r>
      <w:r>
        <w:rPr>
          <w:rFonts w:ascii="Times New Roman"/>
          <w:sz w:val="19"/>
          <w:vertAlign w:val="baseline"/>
        </w:rPr>
        <w:t>Forces</w:t>
      </w:r>
      <w:r>
        <w:rPr>
          <w:rFonts w:ascii="Times New Roman"/>
          <w:spacing w:val="-10"/>
          <w:sz w:val="19"/>
          <w:vertAlign w:val="baseline"/>
        </w:rPr>
        <w:t> </w:t>
      </w:r>
      <w:r>
        <w:rPr>
          <w:rFonts w:ascii="Times New Roman"/>
          <w:sz w:val="19"/>
          <w:vertAlign w:val="baseline"/>
        </w:rPr>
        <w:t>Pensions</w:t>
      </w:r>
      <w:r>
        <w:rPr>
          <w:rFonts w:ascii="Times New Roman"/>
          <w:spacing w:val="-10"/>
          <w:sz w:val="19"/>
          <w:vertAlign w:val="baseline"/>
        </w:rPr>
        <w:t> </w:t>
      </w:r>
      <w:r>
        <w:rPr>
          <w:rFonts w:ascii="Times New Roman"/>
          <w:sz w:val="19"/>
          <w:vertAlign w:val="baseline"/>
        </w:rPr>
        <w:t>Act</w:t>
      </w:r>
      <w:r>
        <w:rPr>
          <w:rFonts w:ascii="Times New Roman"/>
          <w:spacing w:val="-12"/>
          <w:sz w:val="19"/>
          <w:vertAlign w:val="baseline"/>
        </w:rPr>
        <w:t> </w:t>
      </w:r>
      <w:r>
        <w:rPr>
          <w:rFonts w:ascii="Times New Roman"/>
          <w:i/>
          <w:sz w:val="19"/>
          <w:vertAlign w:val="baseline"/>
        </w:rPr>
        <w:t>Ibid</w:t>
      </w:r>
      <w:r>
        <w:rPr>
          <w:rFonts w:ascii="Times New Roman"/>
          <w:i/>
          <w:spacing w:val="-3"/>
          <w:sz w:val="19"/>
          <w:vertAlign w:val="baseline"/>
        </w:rPr>
        <w:t> </w:t>
      </w:r>
      <w:r>
        <w:rPr>
          <w:rFonts w:ascii="Times New Roman"/>
          <w:sz w:val="19"/>
          <w:vertAlign w:val="baseline"/>
        </w:rPr>
        <w:t>categorizes</w:t>
      </w:r>
      <w:r>
        <w:rPr>
          <w:rFonts w:ascii="Times New Roman"/>
          <w:spacing w:val="-10"/>
          <w:sz w:val="19"/>
          <w:vertAlign w:val="baseline"/>
        </w:rPr>
        <w:t> </w:t>
      </w:r>
      <w:r>
        <w:rPr>
          <w:rFonts w:ascii="Times New Roman"/>
          <w:sz w:val="19"/>
          <w:vertAlign w:val="baseline"/>
        </w:rPr>
        <w:t>injuries</w:t>
      </w:r>
      <w:r>
        <w:rPr>
          <w:rFonts w:ascii="Times New Roman"/>
          <w:spacing w:val="-6"/>
          <w:sz w:val="19"/>
          <w:vertAlign w:val="baseline"/>
        </w:rPr>
        <w:t> </w:t>
      </w:r>
      <w:r>
        <w:rPr>
          <w:rFonts w:ascii="Times New Roman"/>
          <w:sz w:val="19"/>
          <w:vertAlign w:val="baseline"/>
        </w:rPr>
        <w:t>and</w:t>
      </w:r>
      <w:r>
        <w:rPr>
          <w:rFonts w:ascii="Times New Roman"/>
          <w:spacing w:val="-11"/>
          <w:sz w:val="19"/>
          <w:vertAlign w:val="baseline"/>
        </w:rPr>
        <w:t> </w:t>
      </w:r>
      <w:r>
        <w:rPr>
          <w:rFonts w:ascii="Times New Roman"/>
          <w:sz w:val="19"/>
          <w:vertAlign w:val="baseline"/>
        </w:rPr>
        <w:t>disabilities</w:t>
      </w:r>
      <w:r>
        <w:rPr>
          <w:rFonts w:ascii="Times New Roman"/>
          <w:spacing w:val="-10"/>
          <w:sz w:val="19"/>
          <w:vertAlign w:val="baseline"/>
        </w:rPr>
        <w:t> </w:t>
      </w:r>
      <w:r>
        <w:rPr>
          <w:rFonts w:ascii="Times New Roman"/>
          <w:sz w:val="19"/>
          <w:vertAlign w:val="baseline"/>
        </w:rPr>
        <w:t>into</w:t>
      </w:r>
      <w:r>
        <w:rPr>
          <w:rFonts w:ascii="Times New Roman"/>
          <w:spacing w:val="-11"/>
          <w:sz w:val="19"/>
          <w:vertAlign w:val="baseline"/>
        </w:rPr>
        <w:t> </w:t>
      </w:r>
      <w:r>
        <w:rPr>
          <w:rFonts w:ascii="Times New Roman"/>
          <w:sz w:val="19"/>
          <w:vertAlign w:val="baseline"/>
        </w:rPr>
        <w:t>different</w:t>
      </w:r>
      <w:r>
        <w:rPr>
          <w:rFonts w:ascii="Times New Roman"/>
          <w:spacing w:val="-4"/>
          <w:sz w:val="19"/>
          <w:vertAlign w:val="baseline"/>
        </w:rPr>
        <w:t> </w:t>
      </w:r>
      <w:r>
        <w:rPr>
          <w:rFonts w:ascii="Times New Roman"/>
          <w:sz w:val="19"/>
          <w:vertAlign w:val="baseline"/>
        </w:rPr>
        <w:t>classes for the purpose of benefits</w:t>
      </w:r>
    </w:p>
    <w:p>
      <w:pPr>
        <w:spacing w:line="237" w:lineRule="auto" w:before="0"/>
        <w:ind w:left="187" w:right="723" w:firstLine="0"/>
        <w:jc w:val="both"/>
        <w:rPr>
          <w:rFonts w:ascii="Times New Roman" w:hAnsi="Times New Roman"/>
          <w:sz w:val="19"/>
        </w:rPr>
      </w:pPr>
      <w:r>
        <w:rPr>
          <w:rFonts w:ascii="Times New Roman" w:hAnsi="Times New Roman"/>
          <w:sz w:val="19"/>
          <w:vertAlign w:val="superscript"/>
        </w:rPr>
        <w:t>103</w:t>
      </w:r>
      <w:r>
        <w:rPr>
          <w:rFonts w:ascii="Times New Roman" w:hAnsi="Times New Roman"/>
          <w:spacing w:val="-4"/>
          <w:sz w:val="19"/>
          <w:vertAlign w:val="baseline"/>
        </w:rPr>
        <w:t> </w:t>
      </w:r>
      <w:r>
        <w:rPr>
          <w:rFonts w:ascii="Times New Roman" w:hAnsi="Times New Roman"/>
          <w:sz w:val="19"/>
          <w:vertAlign w:val="baseline"/>
        </w:rPr>
        <w:t>See</w:t>
      </w:r>
      <w:r>
        <w:rPr>
          <w:rFonts w:ascii="Times New Roman" w:hAnsi="Times New Roman"/>
          <w:spacing w:val="-4"/>
          <w:sz w:val="19"/>
          <w:vertAlign w:val="baseline"/>
        </w:rPr>
        <w:t> </w:t>
      </w:r>
      <w:r>
        <w:rPr>
          <w:rFonts w:ascii="Times New Roman" w:hAnsi="Times New Roman"/>
          <w:sz w:val="19"/>
          <w:vertAlign w:val="baseline"/>
        </w:rPr>
        <w:t>section</w:t>
      </w:r>
      <w:r>
        <w:rPr>
          <w:rFonts w:ascii="Times New Roman" w:hAnsi="Times New Roman"/>
          <w:spacing w:val="-1"/>
          <w:sz w:val="19"/>
          <w:vertAlign w:val="baseline"/>
        </w:rPr>
        <w:t> </w:t>
      </w:r>
      <w:r>
        <w:rPr>
          <w:rFonts w:ascii="Times New Roman" w:hAnsi="Times New Roman"/>
          <w:sz w:val="19"/>
          <w:vertAlign w:val="baseline"/>
        </w:rPr>
        <w:t>291</w:t>
      </w:r>
      <w:r>
        <w:rPr>
          <w:rFonts w:ascii="Times New Roman" w:hAnsi="Times New Roman"/>
          <w:spacing w:val="-5"/>
          <w:sz w:val="19"/>
          <w:vertAlign w:val="baseline"/>
        </w:rPr>
        <w:t> </w:t>
      </w:r>
      <w:r>
        <w:rPr>
          <w:rFonts w:ascii="Times New Roman" w:hAnsi="Times New Roman"/>
          <w:sz w:val="19"/>
          <w:vertAlign w:val="baseline"/>
        </w:rPr>
        <w:t>of</w:t>
      </w:r>
      <w:r>
        <w:rPr>
          <w:rFonts w:ascii="Times New Roman" w:hAnsi="Times New Roman"/>
          <w:spacing w:val="-7"/>
          <w:sz w:val="19"/>
          <w:vertAlign w:val="baseline"/>
        </w:rPr>
        <w:t> </w:t>
      </w:r>
      <w:r>
        <w:rPr>
          <w:rFonts w:ascii="Times New Roman" w:hAnsi="Times New Roman"/>
          <w:sz w:val="19"/>
          <w:vertAlign w:val="baseline"/>
        </w:rPr>
        <w:t>the</w:t>
      </w:r>
      <w:r>
        <w:rPr>
          <w:rFonts w:ascii="Times New Roman" w:hAnsi="Times New Roman"/>
          <w:spacing w:val="-8"/>
          <w:sz w:val="19"/>
          <w:vertAlign w:val="baseline"/>
        </w:rPr>
        <w:t> </w:t>
      </w:r>
      <w:r>
        <w:rPr>
          <w:rFonts w:ascii="Times New Roman" w:hAnsi="Times New Roman"/>
          <w:sz w:val="19"/>
          <w:vertAlign w:val="baseline"/>
        </w:rPr>
        <w:t>Armed</w:t>
      </w:r>
      <w:r>
        <w:rPr>
          <w:rFonts w:ascii="Times New Roman" w:hAnsi="Times New Roman"/>
          <w:spacing w:val="-1"/>
          <w:sz w:val="19"/>
          <w:vertAlign w:val="baseline"/>
        </w:rPr>
        <w:t> </w:t>
      </w:r>
      <w:r>
        <w:rPr>
          <w:rFonts w:ascii="Times New Roman" w:hAnsi="Times New Roman"/>
          <w:sz w:val="19"/>
          <w:vertAlign w:val="baseline"/>
        </w:rPr>
        <w:t>Forces</w:t>
      </w:r>
      <w:r>
        <w:rPr>
          <w:rFonts w:ascii="Times New Roman" w:hAnsi="Times New Roman"/>
          <w:spacing w:val="-8"/>
          <w:sz w:val="19"/>
          <w:vertAlign w:val="baseline"/>
        </w:rPr>
        <w:t> </w:t>
      </w:r>
      <w:r>
        <w:rPr>
          <w:rFonts w:ascii="Times New Roman" w:hAnsi="Times New Roman"/>
          <w:sz w:val="19"/>
          <w:vertAlign w:val="baseline"/>
        </w:rPr>
        <w:t>Act</w:t>
      </w:r>
      <w:r>
        <w:rPr>
          <w:rFonts w:ascii="Times New Roman" w:hAnsi="Times New Roman"/>
          <w:spacing w:val="-3"/>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z w:val="19"/>
          <w:vertAlign w:val="baseline"/>
        </w:rPr>
        <w:t>cit</w:t>
      </w:r>
      <w:r>
        <w:rPr>
          <w:rFonts w:ascii="Times New Roman" w:hAnsi="Times New Roman"/>
          <w:i/>
          <w:spacing w:val="31"/>
          <w:sz w:val="19"/>
          <w:vertAlign w:val="baseline"/>
        </w:rPr>
        <w:t> </w:t>
      </w:r>
      <w:r>
        <w:rPr>
          <w:rFonts w:ascii="Times New Roman" w:hAnsi="Times New Roman"/>
          <w:sz w:val="19"/>
          <w:vertAlign w:val="baseline"/>
        </w:rPr>
        <w:t>which</w:t>
      </w:r>
      <w:r>
        <w:rPr>
          <w:rFonts w:ascii="Times New Roman" w:hAnsi="Times New Roman"/>
          <w:spacing w:val="-6"/>
          <w:sz w:val="19"/>
          <w:vertAlign w:val="baseline"/>
        </w:rPr>
        <w:t> </w:t>
      </w:r>
      <w:r>
        <w:rPr>
          <w:rFonts w:ascii="Times New Roman" w:hAnsi="Times New Roman"/>
          <w:sz w:val="19"/>
          <w:vertAlign w:val="baseline"/>
        </w:rPr>
        <w:t>defines</w:t>
      </w:r>
      <w:r>
        <w:rPr>
          <w:rFonts w:ascii="Times New Roman" w:hAnsi="Times New Roman"/>
          <w:spacing w:val="-4"/>
          <w:sz w:val="19"/>
          <w:vertAlign w:val="baseline"/>
        </w:rPr>
        <w:t> </w:t>
      </w:r>
      <w:r>
        <w:rPr>
          <w:rFonts w:ascii="Times New Roman" w:hAnsi="Times New Roman"/>
          <w:sz w:val="19"/>
          <w:vertAlign w:val="baseline"/>
        </w:rPr>
        <w:t>“member of</w:t>
      </w:r>
      <w:r>
        <w:rPr>
          <w:rFonts w:ascii="Times New Roman" w:hAnsi="Times New Roman"/>
          <w:spacing w:val="-11"/>
          <w:sz w:val="19"/>
          <w:vertAlign w:val="baseline"/>
        </w:rPr>
        <w:t> </w:t>
      </w:r>
      <w:r>
        <w:rPr>
          <w:rFonts w:ascii="Times New Roman" w:hAnsi="Times New Roman"/>
          <w:sz w:val="19"/>
          <w:vertAlign w:val="baseline"/>
        </w:rPr>
        <w:t>the</w:t>
      </w:r>
      <w:r>
        <w:rPr>
          <w:rFonts w:ascii="Times New Roman" w:hAnsi="Times New Roman"/>
          <w:spacing w:val="-8"/>
          <w:sz w:val="19"/>
          <w:vertAlign w:val="baseline"/>
        </w:rPr>
        <w:t> </w:t>
      </w:r>
      <w:r>
        <w:rPr>
          <w:rFonts w:ascii="Times New Roman" w:hAnsi="Times New Roman"/>
          <w:sz w:val="19"/>
          <w:vertAlign w:val="baseline"/>
        </w:rPr>
        <w:t>Armed</w:t>
      </w:r>
      <w:r>
        <w:rPr>
          <w:rFonts w:ascii="Times New Roman" w:hAnsi="Times New Roman"/>
          <w:spacing w:val="-5"/>
          <w:sz w:val="19"/>
          <w:vertAlign w:val="baseline"/>
        </w:rPr>
        <w:t> </w:t>
      </w:r>
      <w:r>
        <w:rPr>
          <w:rFonts w:ascii="Times New Roman" w:hAnsi="Times New Roman"/>
          <w:sz w:val="19"/>
          <w:vertAlign w:val="baseline"/>
        </w:rPr>
        <w:t>Forces”</w:t>
      </w:r>
      <w:r>
        <w:rPr>
          <w:rFonts w:ascii="Times New Roman" w:hAnsi="Times New Roman"/>
          <w:spacing w:val="-5"/>
          <w:sz w:val="19"/>
          <w:vertAlign w:val="baseline"/>
        </w:rPr>
        <w:t> </w:t>
      </w:r>
      <w:r>
        <w:rPr>
          <w:rFonts w:ascii="Times New Roman" w:hAnsi="Times New Roman"/>
          <w:sz w:val="19"/>
          <w:vertAlign w:val="baseline"/>
        </w:rPr>
        <w:t>to</w:t>
      </w:r>
      <w:r>
        <w:rPr>
          <w:rFonts w:ascii="Times New Roman" w:hAnsi="Times New Roman"/>
          <w:spacing w:val="-12"/>
          <w:sz w:val="19"/>
          <w:vertAlign w:val="baseline"/>
        </w:rPr>
        <w:t> </w:t>
      </w:r>
      <w:r>
        <w:rPr>
          <w:rFonts w:ascii="Times New Roman" w:hAnsi="Times New Roman"/>
          <w:sz w:val="19"/>
          <w:vertAlign w:val="baseline"/>
        </w:rPr>
        <w:t>mean</w:t>
      </w:r>
      <w:r>
        <w:rPr>
          <w:rFonts w:ascii="Times New Roman" w:hAnsi="Times New Roman"/>
          <w:spacing w:val="-5"/>
          <w:sz w:val="19"/>
          <w:vertAlign w:val="baseline"/>
        </w:rPr>
        <w:t> </w:t>
      </w:r>
      <w:r>
        <w:rPr>
          <w:rFonts w:ascii="Times New Roman" w:hAnsi="Times New Roman"/>
          <w:sz w:val="19"/>
          <w:vertAlign w:val="baseline"/>
        </w:rPr>
        <w:t>“an officer, soldier, rating or aircraftman as the case may be”</w:t>
      </w:r>
    </w:p>
    <w:p>
      <w:pPr>
        <w:spacing w:after="0" w:line="237" w:lineRule="auto"/>
        <w:jc w:val="both"/>
        <w:rPr>
          <w:rFonts w:ascii="Times New Roman" w:hAnsi="Times New Roman"/>
          <w:sz w:val="19"/>
        </w:rPr>
        <w:sectPr>
          <w:pgSz w:w="12240" w:h="15840"/>
          <w:pgMar w:header="0" w:footer="1009" w:top="1260" w:bottom="1200" w:left="1680" w:right="1320"/>
        </w:sectPr>
      </w:pPr>
    </w:p>
    <w:p>
      <w:pPr>
        <w:pStyle w:val="BodyText"/>
        <w:spacing w:line="244" w:lineRule="auto" w:before="94"/>
        <w:ind w:left="1540" w:right="3276"/>
        <w:jc w:val="both"/>
      </w:pPr>
      <w:r>
        <w:rPr/>
        <w:t>Government and any of the government agencies and in the formal and informal sectors of the economy.</w:t>
      </w:r>
      <w:r>
        <w:rPr>
          <w:vertAlign w:val="superscript"/>
        </w:rPr>
        <w:t>104</w:t>
      </w:r>
    </w:p>
    <w:p>
      <w:pPr>
        <w:pStyle w:val="BodyText"/>
        <w:spacing w:before="5"/>
      </w:pPr>
    </w:p>
    <w:p>
      <w:pPr>
        <w:pStyle w:val="BodyText"/>
        <w:ind w:left="528"/>
      </w:pPr>
      <w:r>
        <w:rPr/>
        <w:t>The</w:t>
      </w:r>
      <w:r>
        <w:rPr>
          <w:spacing w:val="2"/>
        </w:rPr>
        <w:t> </w:t>
      </w:r>
      <w:r>
        <w:rPr/>
        <w:t>following</w:t>
      </w:r>
      <w:r>
        <w:rPr>
          <w:spacing w:val="6"/>
        </w:rPr>
        <w:t> </w:t>
      </w:r>
      <w:r>
        <w:rPr/>
        <w:t>can</w:t>
      </w:r>
      <w:r>
        <w:rPr>
          <w:spacing w:val="5"/>
        </w:rPr>
        <w:t> </w:t>
      </w:r>
      <w:r>
        <w:rPr/>
        <w:t>be</w:t>
      </w:r>
      <w:r>
        <w:rPr>
          <w:spacing w:val="3"/>
        </w:rPr>
        <w:t> </w:t>
      </w:r>
      <w:r>
        <w:rPr/>
        <w:t>deduced</w:t>
      </w:r>
      <w:r>
        <w:rPr>
          <w:spacing w:val="6"/>
        </w:rPr>
        <w:t> </w:t>
      </w:r>
      <w:r>
        <w:rPr/>
        <w:t>from</w:t>
      </w:r>
      <w:r>
        <w:rPr>
          <w:spacing w:val="10"/>
        </w:rPr>
        <w:t> </w:t>
      </w:r>
      <w:r>
        <w:rPr/>
        <w:t>the</w:t>
      </w:r>
      <w:r>
        <w:rPr>
          <w:spacing w:val="3"/>
        </w:rPr>
        <w:t> </w:t>
      </w:r>
      <w:r>
        <w:rPr>
          <w:spacing w:val="-2"/>
        </w:rPr>
        <w:t>foregoing:</w:t>
      </w:r>
    </w:p>
    <w:p>
      <w:pPr>
        <w:pStyle w:val="BodyText"/>
        <w:spacing w:before="11"/>
      </w:pPr>
    </w:p>
    <w:p>
      <w:pPr>
        <w:pStyle w:val="ListParagraph"/>
        <w:numPr>
          <w:ilvl w:val="2"/>
          <w:numId w:val="9"/>
        </w:numPr>
        <w:tabs>
          <w:tab w:pos="1204" w:val="left" w:leader="none"/>
        </w:tabs>
        <w:spacing w:line="491" w:lineRule="auto" w:before="0" w:after="0"/>
        <w:ind w:left="1204" w:right="571" w:hanging="677"/>
        <w:jc w:val="both"/>
        <w:rPr>
          <w:sz w:val="23"/>
        </w:rPr>
      </w:pPr>
      <w:r>
        <w:rPr>
          <w:sz w:val="23"/>
        </w:rPr>
        <w:t>members of the Armed Forces of the Federal</w:t>
      </w:r>
      <w:r>
        <w:rPr>
          <w:spacing w:val="40"/>
          <w:sz w:val="23"/>
        </w:rPr>
        <w:t> </w:t>
      </w:r>
      <w:r>
        <w:rPr>
          <w:sz w:val="23"/>
        </w:rPr>
        <w:t>Republic of Nigeria are excluded from the provision of the Act. However, those employed in civilian capacities with the Armed Forces are covered by the Act.</w:t>
      </w:r>
    </w:p>
    <w:p>
      <w:pPr>
        <w:pStyle w:val="ListParagraph"/>
        <w:numPr>
          <w:ilvl w:val="2"/>
          <w:numId w:val="9"/>
        </w:numPr>
        <w:tabs>
          <w:tab w:pos="1202" w:val="left" w:leader="none"/>
          <w:tab w:pos="1204" w:val="left" w:leader="none"/>
        </w:tabs>
        <w:spacing w:line="489" w:lineRule="auto" w:before="0" w:after="0"/>
        <w:ind w:left="1204" w:right="563" w:hanging="677"/>
        <w:jc w:val="both"/>
        <w:rPr>
          <w:sz w:val="23"/>
        </w:rPr>
      </w:pPr>
      <w:r>
        <w:rPr>
          <w:sz w:val="23"/>
        </w:rPr>
        <w:t>domestic servants who are members of the family of the employer are not covered by the Act</w:t>
      </w:r>
    </w:p>
    <w:p>
      <w:pPr>
        <w:pStyle w:val="ListParagraph"/>
        <w:numPr>
          <w:ilvl w:val="2"/>
          <w:numId w:val="9"/>
        </w:numPr>
        <w:tabs>
          <w:tab w:pos="1204" w:val="left" w:leader="none"/>
        </w:tabs>
        <w:spacing w:line="489" w:lineRule="auto" w:before="2" w:after="0"/>
        <w:ind w:left="1204" w:right="568" w:hanging="677"/>
        <w:jc w:val="both"/>
        <w:rPr>
          <w:sz w:val="23"/>
        </w:rPr>
      </w:pPr>
      <w:r>
        <w:rPr>
          <w:sz w:val="23"/>
        </w:rPr>
        <w:t>members of the family of employers employed in other capacities as</w:t>
      </w:r>
      <w:r>
        <w:rPr>
          <w:spacing w:val="40"/>
          <w:sz w:val="23"/>
        </w:rPr>
        <w:t> </w:t>
      </w:r>
      <w:r>
        <w:rPr>
          <w:sz w:val="23"/>
        </w:rPr>
        <w:t>spelt out in the Act other than in domestic service, are covered by the</w:t>
      </w:r>
      <w:r>
        <w:rPr>
          <w:spacing w:val="40"/>
          <w:sz w:val="23"/>
        </w:rPr>
        <w:t> </w:t>
      </w:r>
      <w:r>
        <w:rPr>
          <w:spacing w:val="-4"/>
          <w:sz w:val="23"/>
        </w:rPr>
        <w:t>Act</w:t>
      </w:r>
    </w:p>
    <w:p>
      <w:pPr>
        <w:pStyle w:val="ListParagraph"/>
        <w:numPr>
          <w:ilvl w:val="2"/>
          <w:numId w:val="9"/>
        </w:numPr>
        <w:tabs>
          <w:tab w:pos="1202" w:val="left" w:leader="none"/>
          <w:tab w:pos="1204" w:val="left" w:leader="none"/>
        </w:tabs>
        <w:spacing w:line="489" w:lineRule="auto" w:before="0" w:after="0"/>
        <w:ind w:left="1204" w:right="569" w:hanging="677"/>
        <w:jc w:val="both"/>
        <w:rPr>
          <w:sz w:val="23"/>
        </w:rPr>
      </w:pPr>
      <w:r>
        <w:rPr>
          <w:sz w:val="23"/>
        </w:rPr>
        <w:t>an employment contract for the purpose of the Act , could either be in writing or made orally</w:t>
      </w:r>
    </w:p>
    <w:p>
      <w:pPr>
        <w:pStyle w:val="ListParagraph"/>
        <w:numPr>
          <w:ilvl w:val="2"/>
          <w:numId w:val="9"/>
        </w:numPr>
        <w:tabs>
          <w:tab w:pos="862" w:val="left" w:leader="none"/>
          <w:tab w:pos="1204" w:val="left" w:leader="none"/>
        </w:tabs>
        <w:spacing w:line="484" w:lineRule="auto" w:before="5" w:after="0"/>
        <w:ind w:left="1204" w:right="570" w:hanging="677"/>
        <w:jc w:val="both"/>
        <w:rPr>
          <w:sz w:val="23"/>
        </w:rPr>
      </w:pPr>
      <w:r>
        <w:rPr>
          <w:sz w:val="23"/>
        </w:rPr>
        <w:t>employment for the purpose of the Act could be on continuous, part-time, temporary, apprenticeship or casual basis</w:t>
      </w:r>
    </w:p>
    <w:p>
      <w:pPr>
        <w:pStyle w:val="ListParagraph"/>
        <w:numPr>
          <w:ilvl w:val="2"/>
          <w:numId w:val="9"/>
        </w:numPr>
        <w:tabs>
          <w:tab w:pos="1452" w:val="left" w:leader="none"/>
          <w:tab w:pos="1454" w:val="left" w:leader="none"/>
        </w:tabs>
        <w:spacing w:line="489" w:lineRule="auto" w:before="11" w:after="0"/>
        <w:ind w:left="1454" w:right="568" w:hanging="591"/>
        <w:jc w:val="both"/>
        <w:rPr>
          <w:sz w:val="23"/>
        </w:rPr>
      </w:pPr>
      <w:r>
        <w:rPr>
          <w:sz w:val="23"/>
        </w:rPr>
        <w:t>the employees covered by the Act could be in the service of the Federal,</w:t>
      </w:r>
      <w:r>
        <w:rPr>
          <w:spacing w:val="40"/>
          <w:sz w:val="23"/>
        </w:rPr>
        <w:t> </w:t>
      </w:r>
      <w:r>
        <w:rPr>
          <w:sz w:val="23"/>
        </w:rPr>
        <w:t>State, Local</w:t>
      </w:r>
      <w:r>
        <w:rPr>
          <w:spacing w:val="40"/>
          <w:sz w:val="23"/>
        </w:rPr>
        <w:t> </w:t>
      </w:r>
      <w:r>
        <w:rPr>
          <w:sz w:val="23"/>
        </w:rPr>
        <w:t>Government</w:t>
      </w:r>
      <w:r>
        <w:rPr>
          <w:spacing w:val="40"/>
          <w:sz w:val="23"/>
        </w:rPr>
        <w:t> </w:t>
      </w:r>
      <w:r>
        <w:rPr>
          <w:sz w:val="23"/>
        </w:rPr>
        <w:t>and</w:t>
      </w:r>
      <w:r>
        <w:rPr>
          <w:spacing w:val="40"/>
          <w:sz w:val="23"/>
        </w:rPr>
        <w:t> </w:t>
      </w:r>
      <w:r>
        <w:rPr>
          <w:sz w:val="23"/>
        </w:rPr>
        <w:t>any</w:t>
      </w:r>
      <w:r>
        <w:rPr>
          <w:spacing w:val="40"/>
          <w:sz w:val="23"/>
        </w:rPr>
        <w:t> </w:t>
      </w:r>
      <w:r>
        <w:rPr>
          <w:sz w:val="23"/>
        </w:rPr>
        <w:t>of</w:t>
      </w:r>
      <w:r>
        <w:rPr>
          <w:spacing w:val="40"/>
          <w:sz w:val="23"/>
        </w:rPr>
        <w:t> </w:t>
      </w:r>
      <w:r>
        <w:rPr>
          <w:sz w:val="23"/>
        </w:rPr>
        <w:t>the</w:t>
      </w:r>
      <w:r>
        <w:rPr>
          <w:spacing w:val="40"/>
          <w:sz w:val="23"/>
        </w:rPr>
        <w:t> </w:t>
      </w:r>
      <w:r>
        <w:rPr>
          <w:sz w:val="23"/>
        </w:rPr>
        <w:t>government </w:t>
      </w:r>
      <w:r>
        <w:rPr>
          <w:spacing w:val="-2"/>
          <w:sz w:val="23"/>
        </w:rPr>
        <w:t>agencies</w:t>
      </w:r>
    </w:p>
    <w:p>
      <w:pPr>
        <w:pStyle w:val="ListParagraph"/>
        <w:numPr>
          <w:ilvl w:val="2"/>
          <w:numId w:val="9"/>
        </w:numPr>
        <w:tabs>
          <w:tab w:pos="1452" w:val="left" w:leader="none"/>
          <w:tab w:pos="1454" w:val="left" w:leader="none"/>
        </w:tabs>
        <w:spacing w:line="494" w:lineRule="auto" w:before="1" w:after="0"/>
        <w:ind w:left="1454" w:right="566" w:hanging="677"/>
        <w:jc w:val="both"/>
        <w:rPr>
          <w:sz w:val="23"/>
        </w:rPr>
      </w:pPr>
      <w:r>
        <w:rPr>
          <w:sz w:val="23"/>
        </w:rPr>
        <w:t>The employees covered by the Act could be in the formal or informal sector of the economy.</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02"/>
        <w:rPr>
          <w:sz w:val="20"/>
        </w:rPr>
      </w:pPr>
      <w:r>
        <w:rPr/>
        <mc:AlternateContent>
          <mc:Choice Requires="wps">
            <w:drawing>
              <wp:anchor distT="0" distB="0" distL="0" distR="0" allowOverlap="1" layoutInCell="1" locked="0" behindDoc="1" simplePos="0" relativeHeight="487614464">
                <wp:simplePos x="0" y="0"/>
                <wp:positionH relativeFrom="page">
                  <wp:posOffset>1185672</wp:posOffset>
                </wp:positionH>
                <wp:positionV relativeFrom="paragraph">
                  <wp:posOffset>297003</wp:posOffset>
                </wp:positionV>
                <wp:extent cx="1719580" cy="6350"/>
                <wp:effectExtent l="0" t="0" r="0" b="0"/>
                <wp:wrapTopAndBottom/>
                <wp:docPr id="57" name="Graphic 57"/>
                <wp:cNvGraphicFramePr>
                  <a:graphicFrameLocks/>
                </wp:cNvGraphicFramePr>
                <a:graphic>
                  <a:graphicData uri="http://schemas.microsoft.com/office/word/2010/wordprocessingShape">
                    <wps:wsp>
                      <wps:cNvPr id="57" name="Graphic 57"/>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3.386114pt;width:135.360pt;height:.48pt;mso-position-horizontal-relative:page;mso-position-vertical-relative:paragraph;z-index:-15702016;mso-wrap-distance-left:0;mso-wrap-distance-right:0" id="docshape57" filled="true" fillcolor="#000000" stroked="false">
                <v:fill type="solid"/>
                <w10:wrap type="topAndBottom"/>
              </v:rect>
            </w:pict>
          </mc:Fallback>
        </mc:AlternateContent>
      </w:r>
    </w:p>
    <w:p>
      <w:pPr>
        <w:spacing w:before="91"/>
        <w:ind w:left="187" w:right="0" w:firstLine="0"/>
        <w:jc w:val="left"/>
        <w:rPr>
          <w:rFonts w:ascii="Times New Roman" w:hAnsi="Times New Roman"/>
          <w:i/>
          <w:sz w:val="19"/>
        </w:rPr>
      </w:pPr>
      <w:r>
        <w:rPr>
          <w:rFonts w:ascii="Times New Roman" w:hAnsi="Times New Roman"/>
          <w:sz w:val="19"/>
          <w:vertAlign w:val="superscript"/>
        </w:rPr>
        <w:t>104</w:t>
      </w:r>
      <w:r>
        <w:rPr>
          <w:rFonts w:ascii="Times New Roman" w:hAnsi="Times New Roman"/>
          <w:spacing w:val="-8"/>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73</w:t>
      </w:r>
      <w:r>
        <w:rPr>
          <w:rFonts w:ascii="Times New Roman" w:hAnsi="Times New Roman"/>
          <w:spacing w:val="-5"/>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Employees’</w:t>
      </w:r>
      <w:r>
        <w:rPr>
          <w:rFonts w:ascii="Times New Roman" w:hAnsi="Times New Roman"/>
          <w:spacing w:val="-10"/>
          <w:sz w:val="19"/>
          <w:vertAlign w:val="baseline"/>
        </w:rPr>
        <w:t> </w:t>
      </w:r>
      <w:r>
        <w:rPr>
          <w:rFonts w:ascii="Times New Roman" w:hAnsi="Times New Roman"/>
          <w:sz w:val="19"/>
          <w:vertAlign w:val="baseline"/>
        </w:rPr>
        <w:t>Compensation</w:t>
      </w:r>
      <w:r>
        <w:rPr>
          <w:rFonts w:ascii="Times New Roman" w:hAnsi="Times New Roman"/>
          <w:spacing w:val="-9"/>
          <w:sz w:val="19"/>
          <w:vertAlign w:val="baseline"/>
        </w:rPr>
        <w:t> </w:t>
      </w:r>
      <w:r>
        <w:rPr>
          <w:rFonts w:ascii="Times New Roman" w:hAnsi="Times New Roman"/>
          <w:sz w:val="19"/>
          <w:vertAlign w:val="baseline"/>
        </w:rPr>
        <w:t>Act</w:t>
      </w:r>
      <w:r>
        <w:rPr>
          <w:rFonts w:ascii="Times New Roman" w:hAnsi="Times New Roman"/>
          <w:spacing w:val="-6"/>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i/>
          <w:sz w:val="19"/>
          <w:vertAlign w:val="baseline"/>
        </w:rPr>
        <w:t>op</w:t>
      </w:r>
      <w:r>
        <w:rPr>
          <w:rFonts w:ascii="Times New Roman" w:hAnsi="Times New Roman"/>
          <w:i/>
          <w:spacing w:val="-9"/>
          <w:sz w:val="19"/>
          <w:vertAlign w:val="baseline"/>
        </w:rPr>
        <w:t> </w:t>
      </w:r>
      <w:r>
        <w:rPr>
          <w:rFonts w:ascii="Times New Roman" w:hAnsi="Times New Roman"/>
          <w:i/>
          <w:spacing w:val="-5"/>
          <w:sz w:val="19"/>
          <w:vertAlign w:val="baseline"/>
        </w:rPr>
        <w:t>cit</w:t>
      </w:r>
    </w:p>
    <w:p>
      <w:pPr>
        <w:spacing w:after="0"/>
        <w:jc w:val="left"/>
        <w:rPr>
          <w:rFonts w:ascii="Times New Roman" w:hAnsi="Times New Roman"/>
          <w:sz w:val="19"/>
        </w:rPr>
        <w:sectPr>
          <w:pgSz w:w="12240" w:h="15840"/>
          <w:pgMar w:header="0" w:footer="1009" w:top="1260" w:bottom="1200" w:left="1680" w:right="1320"/>
        </w:sectPr>
      </w:pPr>
    </w:p>
    <w:p>
      <w:pPr>
        <w:pStyle w:val="ListParagraph"/>
        <w:numPr>
          <w:ilvl w:val="2"/>
          <w:numId w:val="9"/>
        </w:numPr>
        <w:tabs>
          <w:tab w:pos="1454" w:val="left" w:leader="none"/>
        </w:tabs>
        <w:spacing w:line="489" w:lineRule="auto" w:before="94" w:after="0"/>
        <w:ind w:left="1454" w:right="572" w:hanging="591"/>
        <w:jc w:val="both"/>
        <w:rPr>
          <w:sz w:val="23"/>
        </w:rPr>
      </w:pPr>
      <w:r>
        <w:rPr>
          <w:sz w:val="23"/>
        </w:rPr>
        <w:t>The employees’ compensation scheme covers both employees and employers within the public and private sectors of the Federal</w:t>
      </w:r>
      <w:r>
        <w:rPr>
          <w:spacing w:val="80"/>
          <w:sz w:val="23"/>
        </w:rPr>
        <w:t> </w:t>
      </w:r>
      <w:r>
        <w:rPr>
          <w:sz w:val="23"/>
        </w:rPr>
        <w:t>Republic of Nigeria.</w:t>
      </w:r>
    </w:p>
    <w:p>
      <w:pPr>
        <w:pStyle w:val="BodyText"/>
        <w:spacing w:before="10"/>
      </w:pPr>
    </w:p>
    <w:p>
      <w:pPr>
        <w:pStyle w:val="BodyText"/>
        <w:spacing w:line="489" w:lineRule="auto"/>
        <w:ind w:left="864" w:right="566"/>
        <w:jc w:val="both"/>
      </w:pPr>
      <w:r>
        <w:rPr/>
        <w:t>As to who is a member of the family of the employer, the Act has failed to provide any definition. The meaning of the phrase “members of the family</w:t>
      </w:r>
      <w:r>
        <w:rPr>
          <w:spacing w:val="80"/>
        </w:rPr>
        <w:t> </w:t>
      </w:r>
      <w:r>
        <w:rPr/>
        <w:t>of employer” has to be provided by the Act so as to save the court the unnecessary headache of interpretation which may even defeat the course</w:t>
      </w:r>
      <w:r>
        <w:rPr>
          <w:spacing w:val="40"/>
        </w:rPr>
        <w:t> </w:t>
      </w:r>
      <w:r>
        <w:rPr/>
        <w:t>of</w:t>
      </w:r>
      <w:r>
        <w:rPr>
          <w:spacing w:val="40"/>
        </w:rPr>
        <w:t> </w:t>
      </w:r>
      <w:r>
        <w:rPr/>
        <w:t>justice.</w:t>
      </w:r>
      <w:r>
        <w:rPr>
          <w:spacing w:val="40"/>
        </w:rPr>
        <w:t> </w:t>
      </w:r>
      <w:r>
        <w:rPr/>
        <w:t>“Members</w:t>
      </w:r>
      <w:r>
        <w:rPr>
          <w:spacing w:val="40"/>
        </w:rPr>
        <w:t> </w:t>
      </w:r>
      <w:r>
        <w:rPr/>
        <w:t>of</w:t>
      </w:r>
      <w:r>
        <w:rPr>
          <w:spacing w:val="40"/>
        </w:rPr>
        <w:t> </w:t>
      </w:r>
      <w:r>
        <w:rPr/>
        <w:t>the</w:t>
      </w:r>
      <w:r>
        <w:rPr>
          <w:spacing w:val="40"/>
        </w:rPr>
        <w:t> </w:t>
      </w:r>
      <w:r>
        <w:rPr/>
        <w:t>family</w:t>
      </w:r>
      <w:r>
        <w:rPr>
          <w:spacing w:val="40"/>
        </w:rPr>
        <w:t> </w:t>
      </w:r>
      <w:r>
        <w:rPr/>
        <w:t>of</w:t>
      </w:r>
      <w:r>
        <w:rPr>
          <w:spacing w:val="40"/>
        </w:rPr>
        <w:t> </w:t>
      </w:r>
      <w:r>
        <w:rPr/>
        <w:t>employers”</w:t>
      </w:r>
      <w:r>
        <w:rPr>
          <w:spacing w:val="40"/>
        </w:rPr>
        <w:t> </w:t>
      </w:r>
      <w:r>
        <w:rPr/>
        <w:t>could</w:t>
      </w:r>
      <w:r>
        <w:rPr>
          <w:spacing w:val="40"/>
        </w:rPr>
        <w:t> </w:t>
      </w:r>
      <w:r>
        <w:rPr/>
        <w:t>mean</w:t>
      </w:r>
      <w:r>
        <w:rPr>
          <w:spacing w:val="40"/>
        </w:rPr>
        <w:t> </w:t>
      </w:r>
      <w:r>
        <w:rPr/>
        <w:t>the employer’s spouse or spouses and their biological or adopted children. This is</w:t>
      </w:r>
      <w:r>
        <w:rPr>
          <w:spacing w:val="40"/>
        </w:rPr>
        <w:t> </w:t>
      </w:r>
      <w:r>
        <w:rPr/>
        <w:t>because</w:t>
      </w:r>
      <w:r>
        <w:rPr>
          <w:spacing w:val="40"/>
        </w:rPr>
        <w:t> </w:t>
      </w:r>
      <w:r>
        <w:rPr/>
        <w:t>the</w:t>
      </w:r>
      <w:r>
        <w:rPr>
          <w:spacing w:val="40"/>
        </w:rPr>
        <w:t> </w:t>
      </w:r>
      <w:r>
        <w:rPr/>
        <w:t>extended</w:t>
      </w:r>
      <w:r>
        <w:rPr>
          <w:spacing w:val="40"/>
        </w:rPr>
        <w:t> </w:t>
      </w:r>
      <w:r>
        <w:rPr/>
        <w:t>family</w:t>
      </w:r>
      <w:r>
        <w:rPr>
          <w:spacing w:val="40"/>
        </w:rPr>
        <w:t> </w:t>
      </w:r>
      <w:r>
        <w:rPr/>
        <w:t>system</w:t>
      </w:r>
      <w:r>
        <w:rPr>
          <w:spacing w:val="40"/>
        </w:rPr>
        <w:t> </w:t>
      </w:r>
      <w:r>
        <w:rPr/>
        <w:t>in</w:t>
      </w:r>
      <w:r>
        <w:rPr>
          <w:spacing w:val="40"/>
        </w:rPr>
        <w:t> </w:t>
      </w:r>
      <w:r>
        <w:rPr/>
        <w:t>Africa</w:t>
      </w:r>
      <w:r>
        <w:rPr>
          <w:spacing w:val="40"/>
        </w:rPr>
        <w:t> </w:t>
      </w:r>
      <w:r>
        <w:rPr/>
        <w:t>makes</w:t>
      </w:r>
      <w:r>
        <w:rPr>
          <w:spacing w:val="40"/>
        </w:rPr>
        <w:t> </w:t>
      </w:r>
      <w:r>
        <w:rPr/>
        <w:t>it</w:t>
      </w:r>
      <w:r>
        <w:rPr>
          <w:spacing w:val="40"/>
        </w:rPr>
        <w:t> </w:t>
      </w:r>
      <w:r>
        <w:rPr/>
        <w:t>difficult</w:t>
      </w:r>
      <w:r>
        <w:rPr>
          <w:spacing w:val="40"/>
        </w:rPr>
        <w:t> </w:t>
      </w:r>
      <w:r>
        <w:rPr/>
        <w:t>to</w:t>
      </w:r>
      <w:r>
        <w:rPr>
          <w:spacing w:val="40"/>
        </w:rPr>
        <w:t> </w:t>
      </w:r>
      <w:r>
        <w:rPr/>
        <w:t>say who is not a “member of the family.” Where for example a person</w:t>
      </w:r>
      <w:r>
        <w:rPr>
          <w:spacing w:val="16"/>
        </w:rPr>
        <w:t> </w:t>
      </w:r>
      <w:r>
        <w:rPr/>
        <w:t>employs</w:t>
      </w:r>
      <w:r>
        <w:rPr>
          <w:spacing w:val="40"/>
        </w:rPr>
        <w:t> </w:t>
      </w:r>
      <w:r>
        <w:rPr/>
        <w:t>a distant relative as a domestic servant, probably for security reasons, the Act should cover such an employee.</w:t>
      </w:r>
    </w:p>
    <w:p>
      <w:pPr>
        <w:pStyle w:val="BodyText"/>
        <w:spacing w:before="11"/>
      </w:pPr>
    </w:p>
    <w:p>
      <w:pPr>
        <w:pStyle w:val="BodyText"/>
        <w:spacing w:line="491" w:lineRule="auto"/>
        <w:ind w:left="187" w:right="570"/>
        <w:jc w:val="both"/>
      </w:pPr>
      <w:r>
        <w:rPr/>
        <w:t>The next issue is the definition of an ‘employer’, under the Act. The definition proffered is that, an employer: “Includes any individual, body corporate, Federal, State or Local Govmrnment or any government agencies who has entered into a contract of employment to employ any other person as an employee or as an apprentice.”</w:t>
      </w:r>
      <w:r>
        <w:rPr>
          <w:vertAlign w:val="superscript"/>
        </w:rPr>
        <w:t>105</w:t>
      </w:r>
      <w:r>
        <w:rPr>
          <w:spacing w:val="80"/>
          <w:vertAlign w:val="baseline"/>
        </w:rPr>
        <w:t> </w:t>
      </w:r>
      <w:r>
        <w:rPr>
          <w:vertAlign w:val="baseline"/>
        </w:rPr>
        <w:t>This</w:t>
      </w:r>
      <w:r>
        <w:rPr>
          <w:spacing w:val="40"/>
          <w:vertAlign w:val="baseline"/>
        </w:rPr>
        <w:t> </w:t>
      </w:r>
      <w:r>
        <w:rPr>
          <w:vertAlign w:val="baseline"/>
        </w:rPr>
        <w:t>definition</w:t>
      </w:r>
      <w:r>
        <w:rPr>
          <w:spacing w:val="40"/>
          <w:vertAlign w:val="baseline"/>
        </w:rPr>
        <w:t> </w:t>
      </w:r>
      <w:r>
        <w:rPr>
          <w:vertAlign w:val="baseline"/>
        </w:rPr>
        <w:t>is</w:t>
      </w:r>
      <w:r>
        <w:rPr>
          <w:spacing w:val="40"/>
          <w:vertAlign w:val="baseline"/>
        </w:rPr>
        <w:t> </w:t>
      </w:r>
      <w:r>
        <w:rPr>
          <w:vertAlign w:val="baseline"/>
        </w:rPr>
        <w:t>in-exhaustive.</w:t>
      </w:r>
      <w:r>
        <w:rPr>
          <w:spacing w:val="40"/>
          <w:vertAlign w:val="baseline"/>
        </w:rPr>
        <w:t> </w:t>
      </w:r>
      <w:r>
        <w:rPr>
          <w:vertAlign w:val="baseline"/>
        </w:rPr>
        <w:t>This</w:t>
      </w:r>
      <w:r>
        <w:rPr>
          <w:spacing w:val="40"/>
          <w:vertAlign w:val="baseline"/>
        </w:rPr>
        <w:t> </w:t>
      </w:r>
      <w:r>
        <w:rPr>
          <w:vertAlign w:val="baseline"/>
        </w:rPr>
        <w:t>is</w:t>
      </w:r>
      <w:r>
        <w:rPr>
          <w:spacing w:val="40"/>
          <w:vertAlign w:val="baseline"/>
        </w:rPr>
        <w:t> </w:t>
      </w:r>
      <w:r>
        <w:rPr>
          <w:vertAlign w:val="baseline"/>
        </w:rPr>
        <w:t>because</w:t>
      </w:r>
      <w:r>
        <w:rPr>
          <w:spacing w:val="40"/>
          <w:vertAlign w:val="baseline"/>
        </w:rPr>
        <w:t> </w:t>
      </w:r>
      <w:r>
        <w:rPr>
          <w:vertAlign w:val="baseline"/>
        </w:rPr>
        <w:t>the</w:t>
      </w:r>
      <w:r>
        <w:rPr>
          <w:spacing w:val="40"/>
          <w:vertAlign w:val="baseline"/>
        </w:rPr>
        <w:t> </w:t>
      </w:r>
      <w:r>
        <w:rPr>
          <w:vertAlign w:val="baseline"/>
        </w:rPr>
        <w:t>word “includes” suggests that the definition is not restricted</w:t>
      </w:r>
      <w:r>
        <w:rPr>
          <w:spacing w:val="40"/>
          <w:vertAlign w:val="baseline"/>
        </w:rPr>
        <w:t> </w:t>
      </w:r>
      <w:r>
        <w:rPr>
          <w:vertAlign w:val="baseline"/>
        </w:rPr>
        <w:t>to only the classes of</w:t>
      </w:r>
      <w:r>
        <w:rPr>
          <w:spacing w:val="40"/>
          <w:vertAlign w:val="baseline"/>
        </w:rPr>
        <w:t> </w:t>
      </w:r>
      <w:r>
        <w:rPr>
          <w:vertAlign w:val="baseline"/>
        </w:rPr>
        <w:t>people</w:t>
      </w:r>
      <w:r>
        <w:rPr>
          <w:spacing w:val="18"/>
          <w:vertAlign w:val="baseline"/>
        </w:rPr>
        <w:t> </w:t>
      </w:r>
      <w:r>
        <w:rPr>
          <w:vertAlign w:val="baseline"/>
        </w:rPr>
        <w:t>mentioned.</w:t>
      </w:r>
      <w:r>
        <w:rPr>
          <w:spacing w:val="28"/>
          <w:vertAlign w:val="baseline"/>
        </w:rPr>
        <w:t> </w:t>
      </w:r>
      <w:r>
        <w:rPr>
          <w:vertAlign w:val="baseline"/>
        </w:rPr>
        <w:t>It</w:t>
      </w:r>
      <w:r>
        <w:rPr>
          <w:spacing w:val="24"/>
          <w:vertAlign w:val="baseline"/>
        </w:rPr>
        <w:t> </w:t>
      </w:r>
      <w:r>
        <w:rPr>
          <w:vertAlign w:val="baseline"/>
        </w:rPr>
        <w:t>is</w:t>
      </w:r>
      <w:r>
        <w:rPr>
          <w:spacing w:val="22"/>
          <w:vertAlign w:val="baseline"/>
        </w:rPr>
        <w:t> </w:t>
      </w:r>
      <w:r>
        <w:rPr>
          <w:vertAlign w:val="baseline"/>
        </w:rPr>
        <w:t>therefore</w:t>
      </w:r>
      <w:r>
        <w:rPr>
          <w:spacing w:val="28"/>
          <w:vertAlign w:val="baseline"/>
        </w:rPr>
        <w:t> </w:t>
      </w:r>
      <w:r>
        <w:rPr>
          <w:vertAlign w:val="baseline"/>
        </w:rPr>
        <w:t>good</w:t>
      </w:r>
      <w:r>
        <w:rPr>
          <w:spacing w:val="31"/>
          <w:vertAlign w:val="baseline"/>
        </w:rPr>
        <w:t> </w:t>
      </w:r>
      <w:r>
        <w:rPr>
          <w:vertAlign w:val="baseline"/>
        </w:rPr>
        <w:t>to</w:t>
      </w:r>
      <w:r>
        <w:rPr>
          <w:spacing w:val="23"/>
          <w:vertAlign w:val="baseline"/>
        </w:rPr>
        <w:t> </w:t>
      </w:r>
      <w:r>
        <w:rPr>
          <w:vertAlign w:val="baseline"/>
        </w:rPr>
        <w:t>have</w:t>
      </w:r>
      <w:r>
        <w:rPr>
          <w:spacing w:val="18"/>
          <w:vertAlign w:val="baseline"/>
        </w:rPr>
        <w:t> </w:t>
      </w:r>
      <w:r>
        <w:rPr>
          <w:vertAlign w:val="baseline"/>
        </w:rPr>
        <w:t>recourse</w:t>
      </w:r>
      <w:r>
        <w:rPr>
          <w:spacing w:val="22"/>
          <w:vertAlign w:val="baseline"/>
        </w:rPr>
        <w:t> </w:t>
      </w:r>
      <w:r>
        <w:rPr>
          <w:vertAlign w:val="baseline"/>
        </w:rPr>
        <w:t>to</w:t>
      </w:r>
      <w:r>
        <w:rPr>
          <w:spacing w:val="23"/>
          <w:vertAlign w:val="baseline"/>
        </w:rPr>
        <w:t> </w:t>
      </w:r>
      <w:r>
        <w:rPr>
          <w:vertAlign w:val="baseline"/>
        </w:rPr>
        <w:t>section</w:t>
      </w:r>
      <w:r>
        <w:rPr>
          <w:spacing w:val="25"/>
          <w:vertAlign w:val="baseline"/>
        </w:rPr>
        <w:t> </w:t>
      </w:r>
      <w:r>
        <w:rPr>
          <w:vertAlign w:val="baseline"/>
        </w:rPr>
        <w:t>91</w:t>
      </w:r>
      <w:r>
        <w:rPr>
          <w:spacing w:val="28"/>
          <w:vertAlign w:val="baseline"/>
        </w:rPr>
        <w:t> </w:t>
      </w:r>
      <w:r>
        <w:rPr>
          <w:vertAlign w:val="baseline"/>
        </w:rPr>
        <w:t>of</w:t>
      </w:r>
      <w:r>
        <w:rPr>
          <w:spacing w:val="23"/>
          <w:vertAlign w:val="baseline"/>
        </w:rPr>
        <w:t> </w:t>
      </w:r>
      <w:r>
        <w:rPr>
          <w:vertAlign w:val="baseline"/>
        </w:rPr>
        <w:t>Labour</w:t>
      </w:r>
    </w:p>
    <w:p>
      <w:pPr>
        <w:spacing w:after="0" w:line="491" w:lineRule="auto"/>
        <w:jc w:val="both"/>
        <w:sectPr>
          <w:footerReference w:type="default" r:id="rId13"/>
          <w:pgSz w:w="12240" w:h="15840"/>
          <w:pgMar w:header="0" w:footer="1499" w:top="1260" w:bottom="1680" w:left="1680" w:right="1320"/>
        </w:sectPr>
      </w:pPr>
    </w:p>
    <w:p>
      <w:pPr>
        <w:pStyle w:val="BodyText"/>
        <w:spacing w:line="489" w:lineRule="auto" w:before="114"/>
        <w:ind w:left="187" w:right="568"/>
        <w:jc w:val="both"/>
      </w:pPr>
      <w:r>
        <w:rPr/>
        <w:t>Act</w:t>
      </w:r>
      <w:r>
        <w:rPr>
          <w:vertAlign w:val="superscript"/>
        </w:rPr>
        <w:t>106</w:t>
      </w:r>
      <w:r>
        <w:rPr>
          <w:vertAlign w:val="baseline"/>
        </w:rPr>
        <w:t> which defines employer as ‘any person who has entered into a contract of employment</w:t>
      </w:r>
      <w:r>
        <w:rPr>
          <w:spacing w:val="40"/>
          <w:vertAlign w:val="baseline"/>
        </w:rPr>
        <w:t> </w:t>
      </w:r>
      <w:r>
        <w:rPr>
          <w:vertAlign w:val="baseline"/>
        </w:rPr>
        <w:t>to</w:t>
      </w:r>
      <w:r>
        <w:rPr>
          <w:spacing w:val="40"/>
          <w:vertAlign w:val="baseline"/>
        </w:rPr>
        <w:t> </w:t>
      </w:r>
      <w:r>
        <w:rPr>
          <w:vertAlign w:val="baseline"/>
        </w:rPr>
        <w:t>any</w:t>
      </w:r>
      <w:r>
        <w:rPr>
          <w:spacing w:val="40"/>
          <w:vertAlign w:val="baseline"/>
        </w:rPr>
        <w:t> </w:t>
      </w:r>
      <w:r>
        <w:rPr>
          <w:vertAlign w:val="baseline"/>
        </w:rPr>
        <w:t>other</w:t>
      </w:r>
      <w:r>
        <w:rPr>
          <w:spacing w:val="40"/>
          <w:vertAlign w:val="baseline"/>
        </w:rPr>
        <w:t> </w:t>
      </w:r>
      <w:r>
        <w:rPr>
          <w:vertAlign w:val="baseline"/>
        </w:rPr>
        <w:t>person</w:t>
      </w:r>
      <w:r>
        <w:rPr>
          <w:spacing w:val="40"/>
          <w:vertAlign w:val="baseline"/>
        </w:rPr>
        <w:t> </w:t>
      </w:r>
      <w:r>
        <w:rPr>
          <w:vertAlign w:val="baseline"/>
        </w:rPr>
        <w:t>and includes the</w:t>
      </w:r>
      <w:r>
        <w:rPr>
          <w:spacing w:val="40"/>
          <w:vertAlign w:val="baseline"/>
        </w:rPr>
        <w:t> </w:t>
      </w:r>
      <w:r>
        <w:rPr>
          <w:vertAlign w:val="baseline"/>
        </w:rPr>
        <w:t>agent,</w:t>
      </w:r>
      <w:r>
        <w:rPr>
          <w:spacing w:val="40"/>
          <w:vertAlign w:val="baseline"/>
        </w:rPr>
        <w:t> </w:t>
      </w:r>
      <w:r>
        <w:rPr>
          <w:vertAlign w:val="baseline"/>
        </w:rPr>
        <w:t>manager or factor</w:t>
      </w:r>
      <w:r>
        <w:rPr>
          <w:spacing w:val="40"/>
          <w:vertAlign w:val="baseline"/>
        </w:rPr>
        <w:t> </w:t>
      </w:r>
      <w:r>
        <w:rPr>
          <w:vertAlign w:val="baseline"/>
        </w:rPr>
        <w:t>of that</w:t>
      </w:r>
      <w:r>
        <w:rPr>
          <w:spacing w:val="40"/>
          <w:vertAlign w:val="baseline"/>
        </w:rPr>
        <w:t> </w:t>
      </w:r>
      <w:r>
        <w:rPr>
          <w:vertAlign w:val="baseline"/>
        </w:rPr>
        <w:t>first</w:t>
      </w:r>
      <w:r>
        <w:rPr>
          <w:spacing w:val="40"/>
          <w:vertAlign w:val="baseline"/>
        </w:rPr>
        <w:t> </w:t>
      </w:r>
      <w:r>
        <w:rPr>
          <w:vertAlign w:val="baseline"/>
        </w:rPr>
        <w:t>mentioned</w:t>
      </w:r>
      <w:r>
        <w:rPr>
          <w:spacing w:val="40"/>
          <w:vertAlign w:val="baseline"/>
        </w:rPr>
        <w:t> </w:t>
      </w:r>
      <w:r>
        <w:rPr>
          <w:vertAlign w:val="baseline"/>
        </w:rPr>
        <w:t>person</w:t>
      </w:r>
      <w:r>
        <w:rPr>
          <w:spacing w:val="40"/>
          <w:vertAlign w:val="baseline"/>
        </w:rPr>
        <w:t> </w:t>
      </w:r>
      <w:r>
        <w:rPr>
          <w:vertAlign w:val="baseline"/>
        </w:rPr>
        <w:t>or</w:t>
      </w:r>
      <w:r>
        <w:rPr>
          <w:spacing w:val="40"/>
          <w:vertAlign w:val="baseline"/>
        </w:rPr>
        <w:t> </w:t>
      </w:r>
      <w:r>
        <w:rPr>
          <w:vertAlign w:val="baseline"/>
        </w:rPr>
        <w:t>personal</w:t>
      </w:r>
      <w:r>
        <w:rPr>
          <w:spacing w:val="40"/>
          <w:vertAlign w:val="baseline"/>
        </w:rPr>
        <w:t> </w:t>
      </w:r>
      <w:r>
        <w:rPr>
          <w:vertAlign w:val="baseline"/>
        </w:rPr>
        <w:t>representatives</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deceased employer.’ These two definitions clearly delineate who is an employer for the purpose of the Act. The reason why recourse is had to Labour Act is that the Employees’ Compensation Act allows for it by using the word “includes” in its definition</w:t>
      </w:r>
      <w:r>
        <w:rPr>
          <w:spacing w:val="40"/>
          <w:vertAlign w:val="baseline"/>
        </w:rPr>
        <w:t> </w:t>
      </w:r>
      <w:r>
        <w:rPr>
          <w:vertAlign w:val="baseline"/>
        </w:rPr>
        <w:t>of</w:t>
      </w:r>
      <w:r>
        <w:rPr>
          <w:spacing w:val="40"/>
          <w:vertAlign w:val="baseline"/>
        </w:rPr>
        <w:t> </w:t>
      </w:r>
      <w:r>
        <w:rPr>
          <w:vertAlign w:val="baseline"/>
        </w:rPr>
        <w:t>an</w:t>
      </w:r>
      <w:r>
        <w:rPr>
          <w:spacing w:val="40"/>
          <w:vertAlign w:val="baseline"/>
        </w:rPr>
        <w:t> </w:t>
      </w:r>
      <w:r>
        <w:rPr>
          <w:vertAlign w:val="baseline"/>
        </w:rPr>
        <w:t>employee,</w:t>
      </w:r>
      <w:r>
        <w:rPr>
          <w:spacing w:val="40"/>
          <w:vertAlign w:val="baseline"/>
        </w:rPr>
        <w:t> </w:t>
      </w:r>
      <w:r>
        <w:rPr>
          <w:vertAlign w:val="baseline"/>
        </w:rPr>
        <w:t>otherwise</w:t>
      </w:r>
      <w:r>
        <w:rPr>
          <w:spacing w:val="40"/>
          <w:vertAlign w:val="baseline"/>
        </w:rPr>
        <w:t> </w:t>
      </w:r>
      <w:r>
        <w:rPr>
          <w:vertAlign w:val="baseline"/>
        </w:rPr>
        <w:t>one</w:t>
      </w:r>
      <w:r>
        <w:rPr>
          <w:spacing w:val="40"/>
          <w:vertAlign w:val="baseline"/>
        </w:rPr>
        <w:t> </w:t>
      </w:r>
      <w:r>
        <w:rPr>
          <w:vertAlign w:val="baseline"/>
        </w:rPr>
        <w:t>will</w:t>
      </w:r>
      <w:r>
        <w:rPr>
          <w:spacing w:val="40"/>
          <w:vertAlign w:val="baseline"/>
        </w:rPr>
        <w:t> </w:t>
      </w:r>
      <w:r>
        <w:rPr>
          <w:vertAlign w:val="baseline"/>
        </w:rPr>
        <w:t>be</w:t>
      </w:r>
      <w:r>
        <w:rPr>
          <w:spacing w:val="40"/>
          <w:vertAlign w:val="baseline"/>
        </w:rPr>
        <w:t> </w:t>
      </w:r>
      <w:r>
        <w:rPr>
          <w:vertAlign w:val="baseline"/>
        </w:rPr>
        <w:t>left</w:t>
      </w:r>
      <w:r>
        <w:rPr>
          <w:spacing w:val="40"/>
          <w:vertAlign w:val="baseline"/>
        </w:rPr>
        <w:t> </w:t>
      </w:r>
      <w:r>
        <w:rPr>
          <w:vertAlign w:val="baseline"/>
        </w:rPr>
        <w:t>with</w:t>
      </w:r>
      <w:r>
        <w:rPr>
          <w:spacing w:val="40"/>
          <w:vertAlign w:val="baseline"/>
        </w:rPr>
        <w:t> </w:t>
      </w:r>
      <w:r>
        <w:rPr>
          <w:vertAlign w:val="baseline"/>
        </w:rPr>
        <w:t>no</w:t>
      </w:r>
      <w:r>
        <w:rPr>
          <w:spacing w:val="40"/>
          <w:vertAlign w:val="baseline"/>
        </w:rPr>
        <w:t> </w:t>
      </w:r>
      <w:r>
        <w:rPr>
          <w:vertAlign w:val="baseline"/>
        </w:rPr>
        <w:t>option</w:t>
      </w:r>
      <w:r>
        <w:rPr>
          <w:spacing w:val="40"/>
          <w:vertAlign w:val="baseline"/>
        </w:rPr>
        <w:t> </w:t>
      </w:r>
      <w:r>
        <w:rPr>
          <w:vertAlign w:val="baseline"/>
        </w:rPr>
        <w:t>than</w:t>
      </w:r>
      <w:r>
        <w:rPr>
          <w:spacing w:val="40"/>
          <w:vertAlign w:val="baseline"/>
        </w:rPr>
        <w:t> </w:t>
      </w:r>
      <w:r>
        <w:rPr>
          <w:vertAlign w:val="baseline"/>
        </w:rPr>
        <w:t>to accept the definition as conclusive in scope. Therefore any employer not covered by either or both provisions, is not under any obligation under the Act. Also, the categories of employees expressly excluded by the Act cannot claim any benefit under the Act. Uvieghara had cause to make a statement in relation</w:t>
      </w:r>
      <w:r>
        <w:rPr>
          <w:spacing w:val="40"/>
          <w:vertAlign w:val="baseline"/>
        </w:rPr>
        <w:t> </w:t>
      </w:r>
      <w:r>
        <w:rPr>
          <w:vertAlign w:val="baseline"/>
        </w:rPr>
        <w:t>to this as</w:t>
      </w:r>
      <w:r>
        <w:rPr>
          <w:spacing w:val="40"/>
          <w:vertAlign w:val="baseline"/>
        </w:rPr>
        <w:t> </w:t>
      </w:r>
      <w:r>
        <w:rPr>
          <w:spacing w:val="-2"/>
          <w:vertAlign w:val="baseline"/>
        </w:rPr>
        <w:t>thus:</w:t>
      </w:r>
    </w:p>
    <w:p>
      <w:pPr>
        <w:pStyle w:val="BodyText"/>
        <w:spacing w:line="244" w:lineRule="auto" w:before="10"/>
        <w:ind w:left="864" w:right="1585"/>
        <w:jc w:val="both"/>
      </w:pPr>
      <w:r>
        <w:rPr/>
        <w:t>… although statutory regulation also applies within the common law relation of employer and employee, it does not follow that a particular labour statute applies to every employee at common law. Each statute determines those employees to whom it may apply.</w:t>
      </w:r>
      <w:r>
        <w:rPr>
          <w:spacing w:val="18"/>
        </w:rPr>
        <w:t> </w:t>
      </w:r>
      <w:r>
        <w:rPr/>
        <w:t>An employee</w:t>
      </w:r>
      <w:r>
        <w:rPr>
          <w:spacing w:val="18"/>
        </w:rPr>
        <w:t> </w:t>
      </w:r>
      <w:r>
        <w:rPr/>
        <w:t>who does</w:t>
      </w:r>
      <w:r>
        <w:rPr>
          <w:spacing w:val="18"/>
        </w:rPr>
        <w:t> </w:t>
      </w:r>
      <w:r>
        <w:rPr/>
        <w:t>not fall</w:t>
      </w:r>
      <w:r>
        <w:rPr>
          <w:spacing w:val="21"/>
        </w:rPr>
        <w:t> </w:t>
      </w:r>
      <w:r>
        <w:rPr/>
        <w:t>within a given definition in a</w:t>
      </w:r>
      <w:r>
        <w:rPr>
          <w:spacing w:val="18"/>
        </w:rPr>
        <w:t> </w:t>
      </w:r>
      <w:r>
        <w:rPr/>
        <w:t>statute</w:t>
      </w:r>
      <w:r>
        <w:rPr>
          <w:spacing w:val="22"/>
        </w:rPr>
        <w:t> </w:t>
      </w:r>
      <w:r>
        <w:rPr/>
        <w:t>or</w:t>
      </w:r>
      <w:r>
        <w:rPr>
          <w:spacing w:val="23"/>
        </w:rPr>
        <w:t> </w:t>
      </w:r>
      <w:r>
        <w:rPr/>
        <w:t>who</w:t>
      </w:r>
      <w:r>
        <w:rPr>
          <w:spacing w:val="18"/>
        </w:rPr>
        <w:t> </w:t>
      </w:r>
      <w:r>
        <w:rPr/>
        <w:t>is</w:t>
      </w:r>
      <w:r>
        <w:rPr>
          <w:spacing w:val="22"/>
        </w:rPr>
        <w:t> </w:t>
      </w:r>
      <w:r>
        <w:rPr/>
        <w:t>expressly</w:t>
      </w:r>
      <w:r>
        <w:rPr>
          <w:spacing w:val="24"/>
        </w:rPr>
        <w:t> </w:t>
      </w:r>
      <w:r>
        <w:rPr/>
        <w:t>excluded</w:t>
      </w:r>
      <w:r>
        <w:rPr>
          <w:spacing w:val="21"/>
        </w:rPr>
        <w:t> </w:t>
      </w:r>
      <w:r>
        <w:rPr/>
        <w:t>by</w:t>
      </w:r>
      <w:r>
        <w:rPr>
          <w:spacing w:val="19"/>
        </w:rPr>
        <w:t> </w:t>
      </w:r>
      <w:r>
        <w:rPr/>
        <w:t>a</w:t>
      </w:r>
      <w:r>
        <w:rPr>
          <w:spacing w:val="22"/>
        </w:rPr>
        <w:t> </w:t>
      </w:r>
      <w:r>
        <w:rPr/>
        <w:t>statute</w:t>
      </w:r>
      <w:r>
        <w:rPr>
          <w:spacing w:val="22"/>
        </w:rPr>
        <w:t> </w:t>
      </w:r>
      <w:r>
        <w:rPr/>
        <w:t>cannot</w:t>
      </w:r>
      <w:r>
        <w:rPr>
          <w:spacing w:val="19"/>
        </w:rPr>
        <w:t> </w:t>
      </w:r>
      <w:r>
        <w:rPr/>
        <w:t>claim a benefit under the statute nor can be made liable under it …</w:t>
      </w:r>
      <w:r>
        <w:rPr>
          <w:vertAlign w:val="superscript"/>
        </w:rPr>
        <w:t>107</w:t>
      </w:r>
    </w:p>
    <w:p>
      <w:pPr>
        <w:pStyle w:val="BodyText"/>
      </w:pPr>
    </w:p>
    <w:p>
      <w:pPr>
        <w:pStyle w:val="BodyText"/>
        <w:spacing w:before="16"/>
      </w:pPr>
    </w:p>
    <w:p>
      <w:pPr>
        <w:pStyle w:val="BodyText"/>
        <w:spacing w:line="491" w:lineRule="auto"/>
        <w:ind w:left="187" w:right="572"/>
        <w:jc w:val="both"/>
      </w:pPr>
      <w:r>
        <w:rPr/>
        <w:t>However,</w:t>
      </w:r>
      <w:r>
        <w:rPr>
          <w:spacing w:val="40"/>
        </w:rPr>
        <w:t> </w:t>
      </w:r>
      <w:r>
        <w:rPr/>
        <w:t>an</w:t>
      </w:r>
      <w:r>
        <w:rPr>
          <w:spacing w:val="40"/>
        </w:rPr>
        <w:t> </w:t>
      </w:r>
      <w:r>
        <w:rPr/>
        <w:t>employer</w:t>
      </w:r>
      <w:r>
        <w:rPr>
          <w:spacing w:val="40"/>
        </w:rPr>
        <w:t> </w:t>
      </w:r>
      <w:r>
        <w:rPr/>
        <w:t>could</w:t>
      </w:r>
      <w:r>
        <w:rPr>
          <w:spacing w:val="40"/>
        </w:rPr>
        <w:t> </w:t>
      </w:r>
      <w:r>
        <w:rPr/>
        <w:t>be</w:t>
      </w:r>
      <w:r>
        <w:rPr>
          <w:spacing w:val="40"/>
        </w:rPr>
        <w:t> </w:t>
      </w:r>
      <w:r>
        <w:rPr/>
        <w:t>under</w:t>
      </w:r>
      <w:r>
        <w:rPr>
          <w:spacing w:val="40"/>
        </w:rPr>
        <w:t> </w:t>
      </w:r>
      <w:r>
        <w:rPr/>
        <w:t>an</w:t>
      </w:r>
      <w:r>
        <w:rPr>
          <w:spacing w:val="40"/>
        </w:rPr>
        <w:t> </w:t>
      </w:r>
      <w:r>
        <w:rPr/>
        <w:t>obligation</w:t>
      </w:r>
      <w:r>
        <w:rPr>
          <w:spacing w:val="40"/>
        </w:rPr>
        <w:t> </w:t>
      </w:r>
      <w:r>
        <w:rPr/>
        <w:t>in</w:t>
      </w:r>
      <w:r>
        <w:rPr>
          <w:spacing w:val="40"/>
        </w:rPr>
        <w:t> </w:t>
      </w:r>
      <w:r>
        <w:rPr/>
        <w:t>respect</w:t>
      </w:r>
      <w:r>
        <w:rPr>
          <w:spacing w:val="40"/>
        </w:rPr>
        <w:t> </w:t>
      </w:r>
      <w:r>
        <w:rPr/>
        <w:t>to</w:t>
      </w:r>
      <w:r>
        <w:rPr>
          <w:spacing w:val="40"/>
        </w:rPr>
        <w:t> </w:t>
      </w:r>
      <w:r>
        <w:rPr/>
        <w:t>some employees only. For example, the Nigerian Army will be liable under the Act in respect of its employees who are in civilian capacities but not those in military capacity.</w:t>
      </w:r>
      <w:r>
        <w:rPr>
          <w:vertAlign w:val="superscript"/>
        </w:rPr>
        <w:t>108</w:t>
      </w:r>
      <w:r>
        <w:rPr>
          <w:spacing w:val="37"/>
          <w:vertAlign w:val="baseline"/>
        </w:rPr>
        <w:t> </w:t>
      </w:r>
      <w:r>
        <w:rPr>
          <w:vertAlign w:val="baseline"/>
        </w:rPr>
        <w:t>Except</w:t>
      </w:r>
      <w:r>
        <w:rPr>
          <w:spacing w:val="40"/>
          <w:vertAlign w:val="baseline"/>
        </w:rPr>
        <w:t> </w:t>
      </w:r>
      <w:r>
        <w:rPr>
          <w:vertAlign w:val="baseline"/>
        </w:rPr>
        <w:t>as</w:t>
      </w:r>
      <w:r>
        <w:rPr>
          <w:spacing w:val="38"/>
          <w:vertAlign w:val="baseline"/>
        </w:rPr>
        <w:t> </w:t>
      </w:r>
      <w:r>
        <w:rPr>
          <w:vertAlign w:val="baseline"/>
        </w:rPr>
        <w:t>expressly</w:t>
      </w:r>
      <w:r>
        <w:rPr>
          <w:spacing w:val="39"/>
          <w:vertAlign w:val="baseline"/>
        </w:rPr>
        <w:t> </w:t>
      </w:r>
      <w:r>
        <w:rPr>
          <w:vertAlign w:val="baseline"/>
        </w:rPr>
        <w:t>excluded</w:t>
      </w:r>
      <w:r>
        <w:rPr>
          <w:spacing w:val="37"/>
          <w:vertAlign w:val="baseline"/>
        </w:rPr>
        <w:t> </w:t>
      </w:r>
      <w:r>
        <w:rPr>
          <w:vertAlign w:val="baseline"/>
        </w:rPr>
        <w:t>by</w:t>
      </w:r>
      <w:r>
        <w:rPr>
          <w:spacing w:val="40"/>
          <w:vertAlign w:val="baseline"/>
        </w:rPr>
        <w:t> </w:t>
      </w:r>
      <w:r>
        <w:rPr>
          <w:vertAlign w:val="baseline"/>
        </w:rPr>
        <w:t>the</w:t>
      </w:r>
      <w:r>
        <w:rPr>
          <w:spacing w:val="39"/>
          <w:vertAlign w:val="baseline"/>
        </w:rPr>
        <w:t> </w:t>
      </w:r>
      <w:r>
        <w:rPr>
          <w:vertAlign w:val="baseline"/>
        </w:rPr>
        <w:t>Act,</w:t>
      </w:r>
      <w:r>
        <w:rPr>
          <w:spacing w:val="41"/>
          <w:vertAlign w:val="baseline"/>
        </w:rPr>
        <w:t> </w:t>
      </w:r>
      <w:r>
        <w:rPr>
          <w:vertAlign w:val="baseline"/>
        </w:rPr>
        <w:t>its</w:t>
      </w:r>
      <w:r>
        <w:rPr>
          <w:spacing w:val="38"/>
          <w:vertAlign w:val="baseline"/>
        </w:rPr>
        <w:t> </w:t>
      </w:r>
      <w:r>
        <w:rPr>
          <w:vertAlign w:val="baseline"/>
        </w:rPr>
        <w:t>provisions</w:t>
      </w:r>
      <w:r>
        <w:rPr>
          <w:spacing w:val="38"/>
          <w:vertAlign w:val="baseline"/>
        </w:rPr>
        <w:t> </w:t>
      </w:r>
      <w:r>
        <w:rPr>
          <w:vertAlign w:val="baseline"/>
        </w:rPr>
        <w:t>apply</w:t>
      </w:r>
      <w:r>
        <w:rPr>
          <w:spacing w:val="39"/>
          <w:vertAlign w:val="baseline"/>
        </w:rPr>
        <w:t> </w:t>
      </w:r>
      <w:r>
        <w:rPr>
          <w:vertAlign w:val="baseline"/>
        </w:rPr>
        <w:t>to</w:t>
      </w:r>
      <w:r>
        <w:rPr>
          <w:spacing w:val="38"/>
          <w:vertAlign w:val="baseline"/>
        </w:rPr>
        <w:t> </w:t>
      </w:r>
      <w:r>
        <w:rPr>
          <w:spacing w:val="-5"/>
          <w:vertAlign w:val="baseline"/>
        </w:rPr>
        <w:t>all</w:t>
      </w:r>
    </w:p>
    <w:p>
      <w:pPr>
        <w:pStyle w:val="BodyText"/>
        <w:rPr>
          <w:sz w:val="20"/>
        </w:rPr>
      </w:pPr>
    </w:p>
    <w:p>
      <w:pPr>
        <w:pStyle w:val="BodyText"/>
        <w:spacing w:before="212"/>
        <w:rPr>
          <w:sz w:val="20"/>
        </w:rPr>
      </w:pPr>
      <w:r>
        <w:rPr/>
        <mc:AlternateContent>
          <mc:Choice Requires="wps">
            <w:drawing>
              <wp:anchor distT="0" distB="0" distL="0" distR="0" allowOverlap="1" layoutInCell="1" locked="0" behindDoc="1" simplePos="0" relativeHeight="487614976">
                <wp:simplePos x="0" y="0"/>
                <wp:positionH relativeFrom="page">
                  <wp:posOffset>1185672</wp:posOffset>
                </wp:positionH>
                <wp:positionV relativeFrom="paragraph">
                  <wp:posOffset>303176</wp:posOffset>
                </wp:positionV>
                <wp:extent cx="1719580" cy="6350"/>
                <wp:effectExtent l="0" t="0" r="0" b="0"/>
                <wp:wrapTopAndBottom/>
                <wp:docPr id="62" name="Graphic 62"/>
                <wp:cNvGraphicFramePr>
                  <a:graphicFrameLocks/>
                </wp:cNvGraphicFramePr>
                <a:graphic>
                  <a:graphicData uri="http://schemas.microsoft.com/office/word/2010/wordprocessingShape">
                    <wps:wsp>
                      <wps:cNvPr id="62" name="Graphic 62"/>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3.872149pt;width:135.360pt;height:.48pt;mso-position-horizontal-relative:page;mso-position-vertical-relative:paragraph;z-index:-15701504;mso-wrap-distance-left:0;mso-wrap-distance-right:0" id="docshape62" filled="true" fillcolor="#000000" stroked="false">
                <v:fill type="solid"/>
                <w10:wrap type="topAndBottom"/>
              </v:rect>
            </w:pict>
          </mc:Fallback>
        </mc:AlternateContent>
      </w:r>
    </w:p>
    <w:p>
      <w:pPr>
        <w:spacing w:line="217" w:lineRule="exact" w:before="91"/>
        <w:ind w:left="187" w:right="0" w:firstLine="0"/>
        <w:jc w:val="left"/>
        <w:rPr>
          <w:rFonts w:ascii="Times New Roman"/>
          <w:sz w:val="19"/>
        </w:rPr>
      </w:pPr>
      <w:r>
        <w:rPr>
          <w:rFonts w:ascii="Times New Roman"/>
          <w:sz w:val="19"/>
          <w:vertAlign w:val="superscript"/>
        </w:rPr>
        <w:t>106</w:t>
      </w:r>
      <w:r>
        <w:rPr>
          <w:rFonts w:ascii="Times New Roman"/>
          <w:spacing w:val="-1"/>
          <w:sz w:val="19"/>
          <w:vertAlign w:val="baseline"/>
        </w:rPr>
        <w:t> </w:t>
      </w:r>
      <w:r>
        <w:rPr>
          <w:rFonts w:ascii="Times New Roman"/>
          <w:sz w:val="19"/>
          <w:vertAlign w:val="baseline"/>
        </w:rPr>
        <w:t>Cap</w:t>
      </w:r>
      <w:r>
        <w:rPr>
          <w:rFonts w:ascii="Times New Roman"/>
          <w:spacing w:val="-8"/>
          <w:sz w:val="19"/>
          <w:vertAlign w:val="baseline"/>
        </w:rPr>
        <w:t> </w:t>
      </w:r>
      <w:r>
        <w:rPr>
          <w:rFonts w:ascii="Times New Roman"/>
          <w:sz w:val="19"/>
          <w:vertAlign w:val="baseline"/>
        </w:rPr>
        <w:t>L1</w:t>
      </w:r>
      <w:r>
        <w:rPr>
          <w:rFonts w:ascii="Times New Roman"/>
          <w:spacing w:val="-4"/>
          <w:sz w:val="19"/>
          <w:vertAlign w:val="baseline"/>
        </w:rPr>
        <w:t> </w:t>
      </w:r>
      <w:r>
        <w:rPr>
          <w:rFonts w:ascii="Times New Roman"/>
          <w:sz w:val="19"/>
          <w:vertAlign w:val="baseline"/>
        </w:rPr>
        <w:t>Laws</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Federation</w:t>
      </w:r>
      <w:r>
        <w:rPr>
          <w:rFonts w:ascii="Times New Roman"/>
          <w:spacing w:val="-4"/>
          <w:sz w:val="19"/>
          <w:vertAlign w:val="baseline"/>
        </w:rPr>
        <w:t> </w:t>
      </w:r>
      <w:r>
        <w:rPr>
          <w:rFonts w:ascii="Times New Roman"/>
          <w:sz w:val="19"/>
          <w:vertAlign w:val="baseline"/>
        </w:rPr>
        <w:t>of</w:t>
      </w:r>
      <w:r>
        <w:rPr>
          <w:rFonts w:ascii="Times New Roman"/>
          <w:spacing w:val="-10"/>
          <w:sz w:val="19"/>
          <w:vertAlign w:val="baseline"/>
        </w:rPr>
        <w:t> </w:t>
      </w:r>
      <w:r>
        <w:rPr>
          <w:rFonts w:ascii="Times New Roman"/>
          <w:sz w:val="19"/>
          <w:vertAlign w:val="baseline"/>
        </w:rPr>
        <w:t>Nigeria,</w:t>
      </w:r>
      <w:r>
        <w:rPr>
          <w:rFonts w:ascii="Times New Roman"/>
          <w:spacing w:val="-5"/>
          <w:sz w:val="19"/>
          <w:vertAlign w:val="baseline"/>
        </w:rPr>
        <w:t> </w:t>
      </w:r>
      <w:r>
        <w:rPr>
          <w:rFonts w:ascii="Times New Roman"/>
          <w:spacing w:val="-4"/>
          <w:sz w:val="19"/>
          <w:vertAlign w:val="baseline"/>
        </w:rPr>
        <w:t>2004</w:t>
      </w:r>
    </w:p>
    <w:p>
      <w:pPr>
        <w:spacing w:line="216" w:lineRule="exact" w:before="0"/>
        <w:ind w:left="187" w:right="0" w:firstLine="0"/>
        <w:jc w:val="left"/>
        <w:rPr>
          <w:rFonts w:ascii="Times New Roman"/>
          <w:sz w:val="19"/>
        </w:rPr>
      </w:pPr>
      <w:r>
        <w:rPr>
          <w:rFonts w:ascii="Times New Roman"/>
          <w:sz w:val="19"/>
          <w:vertAlign w:val="superscript"/>
        </w:rPr>
        <w:t>107</w:t>
      </w:r>
      <w:r>
        <w:rPr>
          <w:rFonts w:ascii="Times New Roman"/>
          <w:spacing w:val="-7"/>
          <w:sz w:val="19"/>
          <w:vertAlign w:val="baseline"/>
        </w:rPr>
        <w:t> </w:t>
      </w:r>
      <w:r>
        <w:rPr>
          <w:rFonts w:ascii="Times New Roman"/>
          <w:sz w:val="19"/>
          <w:vertAlign w:val="baseline"/>
        </w:rPr>
        <w:t>Uvieghara,</w:t>
      </w:r>
      <w:r>
        <w:rPr>
          <w:rFonts w:ascii="Times New Roman"/>
          <w:spacing w:val="-10"/>
          <w:sz w:val="19"/>
          <w:vertAlign w:val="baseline"/>
        </w:rPr>
        <w:t> </w:t>
      </w:r>
      <w:r>
        <w:rPr>
          <w:rFonts w:ascii="Times New Roman"/>
          <w:sz w:val="19"/>
          <w:vertAlign w:val="baseline"/>
        </w:rPr>
        <w:t>E.E.,</w:t>
      </w:r>
      <w:r>
        <w:rPr>
          <w:rFonts w:ascii="Times New Roman"/>
          <w:spacing w:val="-10"/>
          <w:sz w:val="19"/>
          <w:vertAlign w:val="baseline"/>
        </w:rPr>
        <w:t> </w:t>
      </w:r>
      <w:r>
        <w:rPr>
          <w:rFonts w:ascii="Times New Roman"/>
          <w:sz w:val="19"/>
          <w:u w:val="single"/>
          <w:vertAlign w:val="baseline"/>
        </w:rPr>
        <w:t>Labour</w:t>
      </w:r>
      <w:r>
        <w:rPr>
          <w:rFonts w:ascii="Times New Roman"/>
          <w:spacing w:val="-3"/>
          <w:sz w:val="19"/>
          <w:u w:val="single"/>
          <w:vertAlign w:val="baseline"/>
        </w:rPr>
        <w:t> </w:t>
      </w:r>
      <w:r>
        <w:rPr>
          <w:rFonts w:ascii="Times New Roman"/>
          <w:sz w:val="19"/>
          <w:u w:val="single"/>
          <w:vertAlign w:val="baseline"/>
        </w:rPr>
        <w:t>Law</w:t>
      </w:r>
      <w:r>
        <w:rPr>
          <w:rFonts w:ascii="Times New Roman"/>
          <w:spacing w:val="-12"/>
          <w:sz w:val="19"/>
          <w:u w:val="single"/>
          <w:vertAlign w:val="baseline"/>
        </w:rPr>
        <w:t> </w:t>
      </w:r>
      <w:r>
        <w:rPr>
          <w:rFonts w:ascii="Times New Roman"/>
          <w:sz w:val="19"/>
          <w:u w:val="single"/>
          <w:vertAlign w:val="baseline"/>
        </w:rPr>
        <w:t>in</w:t>
      </w:r>
      <w:r>
        <w:rPr>
          <w:rFonts w:ascii="Times New Roman"/>
          <w:spacing w:val="-9"/>
          <w:sz w:val="19"/>
          <w:u w:val="single"/>
          <w:vertAlign w:val="baseline"/>
        </w:rPr>
        <w:t> </w:t>
      </w:r>
      <w:r>
        <w:rPr>
          <w:rFonts w:ascii="Times New Roman"/>
          <w:sz w:val="19"/>
          <w:u w:val="single"/>
          <w:vertAlign w:val="baseline"/>
        </w:rPr>
        <w:t>Nigeria</w:t>
      </w:r>
      <w:r>
        <w:rPr>
          <w:rFonts w:ascii="Times New Roman"/>
          <w:sz w:val="19"/>
          <w:vertAlign w:val="baseline"/>
        </w:rPr>
        <w:t>,</w:t>
      </w:r>
      <w:r>
        <w:rPr>
          <w:rFonts w:ascii="Times New Roman"/>
          <w:spacing w:val="-12"/>
          <w:sz w:val="19"/>
          <w:vertAlign w:val="baseline"/>
        </w:rPr>
        <w:t> </w:t>
      </w:r>
      <w:r>
        <w:rPr>
          <w:rFonts w:ascii="Times New Roman"/>
          <w:sz w:val="19"/>
          <w:vertAlign w:val="baseline"/>
        </w:rPr>
        <w:t>Malthouse,</w:t>
      </w:r>
      <w:r>
        <w:rPr>
          <w:rFonts w:ascii="Times New Roman"/>
          <w:spacing w:val="-6"/>
          <w:sz w:val="19"/>
          <w:vertAlign w:val="baseline"/>
        </w:rPr>
        <w:t> </w:t>
      </w:r>
      <w:r>
        <w:rPr>
          <w:rFonts w:ascii="Times New Roman"/>
          <w:sz w:val="19"/>
          <w:vertAlign w:val="baseline"/>
        </w:rPr>
        <w:t>Press</w:t>
      </w:r>
      <w:r>
        <w:rPr>
          <w:rFonts w:ascii="Times New Roman"/>
          <w:spacing w:val="-8"/>
          <w:sz w:val="19"/>
          <w:vertAlign w:val="baseline"/>
        </w:rPr>
        <w:t> </w:t>
      </w:r>
      <w:r>
        <w:rPr>
          <w:rFonts w:ascii="Times New Roman"/>
          <w:sz w:val="19"/>
          <w:vertAlign w:val="baseline"/>
        </w:rPr>
        <w:t>Ltd,</w:t>
      </w:r>
      <w:r>
        <w:rPr>
          <w:rFonts w:ascii="Times New Roman"/>
          <w:spacing w:val="-10"/>
          <w:sz w:val="19"/>
          <w:vertAlign w:val="baseline"/>
        </w:rPr>
        <w:t> </w:t>
      </w:r>
      <w:r>
        <w:rPr>
          <w:rFonts w:ascii="Times New Roman"/>
          <w:sz w:val="19"/>
          <w:vertAlign w:val="baseline"/>
        </w:rPr>
        <w:t>Ikeja,</w:t>
      </w:r>
      <w:r>
        <w:rPr>
          <w:rFonts w:ascii="Times New Roman"/>
          <w:spacing w:val="-10"/>
          <w:sz w:val="19"/>
          <w:vertAlign w:val="baseline"/>
        </w:rPr>
        <w:t> </w:t>
      </w:r>
      <w:r>
        <w:rPr>
          <w:rFonts w:ascii="Times New Roman"/>
          <w:sz w:val="19"/>
          <w:vertAlign w:val="baseline"/>
        </w:rPr>
        <w:t>Lagos</w:t>
      </w:r>
      <w:r>
        <w:rPr>
          <w:rFonts w:ascii="Times New Roman"/>
          <w:spacing w:val="-11"/>
          <w:sz w:val="19"/>
          <w:vertAlign w:val="baseline"/>
        </w:rPr>
        <w:t> </w:t>
      </w:r>
      <w:r>
        <w:rPr>
          <w:rFonts w:ascii="Times New Roman"/>
          <w:sz w:val="19"/>
          <w:vertAlign w:val="baseline"/>
        </w:rPr>
        <w:t>(2001)</w:t>
      </w:r>
      <w:r>
        <w:rPr>
          <w:rFonts w:ascii="Times New Roman"/>
          <w:spacing w:val="-11"/>
          <w:sz w:val="19"/>
          <w:vertAlign w:val="baseline"/>
        </w:rPr>
        <w:t> </w:t>
      </w:r>
      <w:r>
        <w:rPr>
          <w:rFonts w:ascii="Times New Roman"/>
          <w:sz w:val="19"/>
          <w:vertAlign w:val="baseline"/>
        </w:rPr>
        <w:t>p.</w:t>
      </w:r>
      <w:r>
        <w:rPr>
          <w:rFonts w:ascii="Times New Roman"/>
          <w:spacing w:val="-7"/>
          <w:sz w:val="19"/>
          <w:vertAlign w:val="baseline"/>
        </w:rPr>
        <w:t> </w:t>
      </w:r>
      <w:r>
        <w:rPr>
          <w:rFonts w:ascii="Times New Roman"/>
          <w:spacing w:val="-5"/>
          <w:sz w:val="19"/>
          <w:vertAlign w:val="baseline"/>
        </w:rPr>
        <w:t>11</w:t>
      </w:r>
    </w:p>
    <w:p>
      <w:pPr>
        <w:spacing w:line="217" w:lineRule="exact" w:before="0"/>
        <w:ind w:left="187" w:right="0" w:firstLine="0"/>
        <w:jc w:val="left"/>
        <w:rPr>
          <w:rFonts w:ascii="Times New Roman"/>
          <w:i/>
          <w:sz w:val="19"/>
        </w:rPr>
      </w:pPr>
      <w:r>
        <w:rPr>
          <w:rFonts w:ascii="Times New Roman"/>
          <w:sz w:val="19"/>
          <w:vertAlign w:val="superscript"/>
        </w:rPr>
        <w:t>108</w:t>
      </w:r>
      <w:r>
        <w:rPr>
          <w:rFonts w:ascii="Times New Roman"/>
          <w:spacing w:val="-1"/>
          <w:sz w:val="19"/>
          <w:vertAlign w:val="baseline"/>
        </w:rPr>
        <w:t> </w:t>
      </w:r>
      <w:r>
        <w:rPr>
          <w:rFonts w:ascii="Times New Roman"/>
          <w:sz w:val="19"/>
          <w:vertAlign w:val="baseline"/>
        </w:rPr>
        <w:t>See</w:t>
      </w:r>
      <w:r>
        <w:rPr>
          <w:rFonts w:ascii="Times New Roman"/>
          <w:spacing w:val="-2"/>
          <w:sz w:val="19"/>
          <w:vertAlign w:val="baseline"/>
        </w:rPr>
        <w:t> </w:t>
      </w:r>
      <w:r>
        <w:rPr>
          <w:rFonts w:ascii="Times New Roman"/>
          <w:sz w:val="19"/>
          <w:vertAlign w:val="baseline"/>
        </w:rPr>
        <w:t>sec|yon</w:t>
      </w:r>
      <w:r>
        <w:rPr>
          <w:rFonts w:ascii="Times New Roman"/>
          <w:spacing w:val="-1"/>
          <w:sz w:val="19"/>
          <w:vertAlign w:val="baseline"/>
        </w:rPr>
        <w:t> </w:t>
      </w:r>
      <w:r>
        <w:rPr>
          <w:rFonts w:ascii="Times New Roman"/>
          <w:sz w:val="19"/>
          <w:vertAlign w:val="baseline"/>
        </w:rPr>
        <w:t>3</w:t>
      </w:r>
      <w:r>
        <w:rPr>
          <w:rFonts w:ascii="Times New Roman"/>
          <w:spacing w:val="-9"/>
          <w:sz w:val="19"/>
          <w:vertAlign w:val="baseline"/>
        </w:rPr>
        <w:t> </w:t>
      </w:r>
      <w:r>
        <w:rPr>
          <w:rFonts w:ascii="Times New Roman"/>
          <w:i/>
          <w:sz w:val="19"/>
          <w:vertAlign w:val="baseline"/>
        </w:rPr>
        <w:t>op</w:t>
      </w:r>
      <w:r>
        <w:rPr>
          <w:rFonts w:ascii="Times New Roman"/>
          <w:i/>
          <w:spacing w:val="-4"/>
          <w:sz w:val="19"/>
          <w:vertAlign w:val="baseline"/>
        </w:rPr>
        <w:t> </w:t>
      </w:r>
      <w:r>
        <w:rPr>
          <w:rFonts w:ascii="Times New Roman"/>
          <w:i/>
          <w:spacing w:val="-5"/>
          <w:sz w:val="19"/>
          <w:vertAlign w:val="baseline"/>
        </w:rPr>
        <w:t>cit</w:t>
      </w:r>
    </w:p>
    <w:p>
      <w:pPr>
        <w:spacing w:after="0" w:line="217" w:lineRule="exact"/>
        <w:jc w:val="left"/>
        <w:rPr>
          <w:rFonts w:ascii="Times New Roman"/>
          <w:sz w:val="19"/>
        </w:rPr>
        <w:sectPr>
          <w:footerReference w:type="default" r:id="rId14"/>
          <w:pgSz w:w="12240" w:h="15840"/>
          <w:pgMar w:header="0" w:footer="1009" w:top="1240" w:bottom="1200" w:left="1680" w:right="1320"/>
        </w:sectPr>
      </w:pPr>
    </w:p>
    <w:p>
      <w:pPr>
        <w:pStyle w:val="BodyText"/>
        <w:tabs>
          <w:tab w:pos="1487" w:val="left" w:leader="none"/>
          <w:tab w:pos="2073" w:val="left" w:leader="none"/>
          <w:tab w:pos="3335" w:val="left" w:leader="none"/>
          <w:tab w:pos="4160" w:val="left" w:leader="none"/>
          <w:tab w:pos="4697" w:val="left" w:leader="none"/>
          <w:tab w:pos="5508" w:val="left" w:leader="none"/>
          <w:tab w:pos="6093" w:val="left" w:leader="none"/>
          <w:tab w:pos="7930" w:val="left" w:leader="none"/>
          <w:tab w:pos="8338" w:val="left" w:leader="none"/>
        </w:tabs>
        <w:spacing w:line="489" w:lineRule="auto" w:before="94"/>
        <w:ind w:left="187" w:right="569"/>
      </w:pPr>
      <w:r>
        <w:rPr>
          <w:spacing w:val="-2"/>
        </w:rPr>
        <w:t>employees</w:t>
      </w:r>
      <w:r>
        <w:rPr/>
        <w:tab/>
      </w:r>
      <w:r>
        <w:rPr>
          <w:spacing w:val="-4"/>
        </w:rPr>
        <w:t>and</w:t>
      </w:r>
      <w:r>
        <w:rPr/>
        <w:tab/>
      </w:r>
      <w:r>
        <w:rPr>
          <w:spacing w:val="-2"/>
        </w:rPr>
        <w:t>employers</w:t>
      </w:r>
      <w:r>
        <w:rPr/>
        <w:tab/>
      </w:r>
      <w:r>
        <w:rPr>
          <w:spacing w:val="-2"/>
        </w:rPr>
        <w:t>within</w:t>
      </w:r>
      <w:r>
        <w:rPr/>
        <w:tab/>
      </w:r>
      <w:r>
        <w:rPr>
          <w:spacing w:val="-4"/>
        </w:rPr>
        <w:t>the</w:t>
      </w:r>
      <w:r>
        <w:rPr/>
        <w:tab/>
      </w:r>
      <w:r>
        <w:rPr>
          <w:spacing w:val="-2"/>
        </w:rPr>
        <w:t>public</w:t>
      </w:r>
      <w:r>
        <w:rPr/>
        <w:tab/>
      </w:r>
      <w:r>
        <w:rPr>
          <w:spacing w:val="-4"/>
        </w:rPr>
        <w:t>and</w:t>
      </w:r>
      <w:r>
        <w:rPr/>
        <w:tab/>
        <w:t>private</w:t>
      </w:r>
      <w:r>
        <w:rPr>
          <w:spacing w:val="80"/>
        </w:rPr>
        <w:t> </w:t>
      </w:r>
      <w:r>
        <w:rPr/>
        <w:t>sectors</w:t>
        <w:tab/>
      </w:r>
      <w:r>
        <w:rPr>
          <w:spacing w:val="-6"/>
        </w:rPr>
        <w:t>of</w:t>
      </w:r>
      <w:r>
        <w:rPr/>
        <w:tab/>
      </w:r>
      <w:r>
        <w:rPr>
          <w:spacing w:val="-4"/>
        </w:rPr>
        <w:t>the </w:t>
      </w:r>
      <w:r>
        <w:rPr>
          <w:spacing w:val="-2"/>
        </w:rPr>
        <w:t>economy.</w:t>
      </w:r>
      <w:r>
        <w:rPr>
          <w:spacing w:val="-2"/>
          <w:vertAlign w:val="superscript"/>
        </w:rPr>
        <w:t>109</w:t>
      </w:r>
    </w:p>
    <w:p>
      <w:pPr>
        <w:pStyle w:val="BodyText"/>
        <w:spacing w:before="5"/>
      </w:pPr>
    </w:p>
    <w:p>
      <w:pPr>
        <w:pStyle w:val="BodyText"/>
        <w:ind w:left="864"/>
        <w:jc w:val="both"/>
      </w:pPr>
      <w:r>
        <w:rPr/>
        <w:t>The</w:t>
      </w:r>
      <w:r>
        <w:rPr>
          <w:spacing w:val="3"/>
        </w:rPr>
        <w:t> </w:t>
      </w:r>
      <w:r>
        <w:rPr/>
        <w:t>objectives</w:t>
      </w:r>
      <w:r>
        <w:rPr>
          <w:spacing w:val="4"/>
        </w:rPr>
        <w:t> </w:t>
      </w:r>
      <w:r>
        <w:rPr/>
        <w:t>of</w:t>
      </w:r>
      <w:r>
        <w:rPr>
          <w:spacing w:val="5"/>
        </w:rPr>
        <w:t> </w:t>
      </w:r>
      <w:r>
        <w:rPr/>
        <w:t>the</w:t>
      </w:r>
      <w:r>
        <w:rPr>
          <w:spacing w:val="4"/>
        </w:rPr>
        <w:t> </w:t>
      </w:r>
      <w:r>
        <w:rPr/>
        <w:t>Act</w:t>
      </w:r>
      <w:r>
        <w:rPr>
          <w:spacing w:val="6"/>
        </w:rPr>
        <w:t> </w:t>
      </w:r>
      <w:r>
        <w:rPr/>
        <w:t>are</w:t>
      </w:r>
      <w:r>
        <w:rPr>
          <w:spacing w:val="4"/>
        </w:rPr>
        <w:t> </w:t>
      </w:r>
      <w:r>
        <w:rPr>
          <w:spacing w:val="-5"/>
        </w:rPr>
        <w:t>to:</w:t>
      </w:r>
    </w:p>
    <w:p>
      <w:pPr>
        <w:pStyle w:val="BodyText"/>
        <w:spacing w:before="16"/>
      </w:pPr>
    </w:p>
    <w:p>
      <w:pPr>
        <w:pStyle w:val="ListParagraph"/>
        <w:numPr>
          <w:ilvl w:val="0"/>
          <w:numId w:val="12"/>
        </w:numPr>
        <w:tabs>
          <w:tab w:pos="1452" w:val="left" w:leader="none"/>
          <w:tab w:pos="1454" w:val="left" w:leader="none"/>
        </w:tabs>
        <w:spacing w:line="489" w:lineRule="auto" w:before="0" w:after="0"/>
        <w:ind w:left="1454" w:right="572" w:hanging="677"/>
        <w:jc w:val="both"/>
        <w:rPr>
          <w:sz w:val="23"/>
        </w:rPr>
      </w:pPr>
      <w:r>
        <w:rPr>
          <w:sz w:val="23"/>
        </w:rPr>
        <w:t>provide for an open and fair system of guaranteed and adequate compensation for all employees or their dependants for any death, injury, disease or disability arising out of or in the course of </w:t>
      </w:r>
      <w:r>
        <w:rPr>
          <w:spacing w:val="-2"/>
          <w:sz w:val="23"/>
        </w:rPr>
        <w:t>employment</w:t>
      </w:r>
      <w:r>
        <w:rPr>
          <w:spacing w:val="-2"/>
          <w:sz w:val="23"/>
          <w:vertAlign w:val="superscript"/>
        </w:rPr>
        <w:t>110</w:t>
      </w:r>
    </w:p>
    <w:p>
      <w:pPr>
        <w:pStyle w:val="ListParagraph"/>
        <w:numPr>
          <w:ilvl w:val="0"/>
          <w:numId w:val="12"/>
        </w:numPr>
        <w:tabs>
          <w:tab w:pos="1538" w:val="left" w:leader="none"/>
          <w:tab w:pos="1540" w:val="left" w:leader="none"/>
        </w:tabs>
        <w:spacing w:line="494" w:lineRule="auto" w:before="1" w:after="0"/>
        <w:ind w:left="1540" w:right="569" w:hanging="677"/>
        <w:jc w:val="both"/>
        <w:rPr>
          <w:sz w:val="23"/>
        </w:rPr>
      </w:pPr>
      <w:r>
        <w:rPr>
          <w:sz w:val="23"/>
        </w:rPr>
        <w:t>provide rehabilitation to employees with work related disabilities as provided in the Act</w:t>
      </w:r>
      <w:r>
        <w:rPr>
          <w:sz w:val="23"/>
          <w:vertAlign w:val="superscript"/>
        </w:rPr>
        <w:t>111</w:t>
      </w:r>
    </w:p>
    <w:p>
      <w:pPr>
        <w:pStyle w:val="ListParagraph"/>
        <w:numPr>
          <w:ilvl w:val="0"/>
          <w:numId w:val="12"/>
        </w:numPr>
        <w:tabs>
          <w:tab w:pos="1538" w:val="left" w:leader="none"/>
          <w:tab w:pos="1540" w:val="left" w:leader="none"/>
        </w:tabs>
        <w:spacing w:line="494" w:lineRule="auto" w:before="0" w:after="0"/>
        <w:ind w:left="1540" w:right="568" w:hanging="677"/>
        <w:jc w:val="both"/>
        <w:rPr>
          <w:sz w:val="23"/>
        </w:rPr>
      </w:pPr>
      <w:r>
        <w:rPr>
          <w:sz w:val="23"/>
        </w:rPr>
        <w:t>establish</w:t>
      </w:r>
      <w:r>
        <w:rPr>
          <w:spacing w:val="40"/>
          <w:sz w:val="23"/>
        </w:rPr>
        <w:t> </w:t>
      </w:r>
      <w:r>
        <w:rPr>
          <w:sz w:val="23"/>
        </w:rPr>
        <w:t>and</w:t>
      </w:r>
      <w:r>
        <w:rPr>
          <w:spacing w:val="40"/>
          <w:sz w:val="23"/>
        </w:rPr>
        <w:t> </w:t>
      </w:r>
      <w:r>
        <w:rPr>
          <w:sz w:val="23"/>
        </w:rPr>
        <w:t>maintain</w:t>
      </w:r>
      <w:r>
        <w:rPr>
          <w:spacing w:val="40"/>
          <w:sz w:val="23"/>
        </w:rPr>
        <w:t> </w:t>
      </w:r>
      <w:r>
        <w:rPr>
          <w:sz w:val="23"/>
        </w:rPr>
        <w:t>a</w:t>
      </w:r>
      <w:r>
        <w:rPr>
          <w:spacing w:val="40"/>
          <w:sz w:val="23"/>
        </w:rPr>
        <w:t> </w:t>
      </w:r>
      <w:r>
        <w:rPr>
          <w:sz w:val="23"/>
        </w:rPr>
        <w:t>solvent</w:t>
      </w:r>
      <w:r>
        <w:rPr>
          <w:spacing w:val="40"/>
          <w:sz w:val="23"/>
        </w:rPr>
        <w:t> </w:t>
      </w:r>
      <w:r>
        <w:rPr>
          <w:sz w:val="23"/>
        </w:rPr>
        <w:t>compensation</w:t>
      </w:r>
      <w:r>
        <w:rPr>
          <w:spacing w:val="40"/>
          <w:sz w:val="23"/>
        </w:rPr>
        <w:t> </w:t>
      </w:r>
      <w:r>
        <w:rPr>
          <w:sz w:val="23"/>
        </w:rPr>
        <w:t>fund,</w:t>
      </w:r>
      <w:r>
        <w:rPr>
          <w:spacing w:val="40"/>
          <w:sz w:val="23"/>
        </w:rPr>
        <w:t> </w:t>
      </w:r>
      <w:r>
        <w:rPr>
          <w:sz w:val="23"/>
        </w:rPr>
        <w:t>managed</w:t>
      </w:r>
      <w:r>
        <w:rPr>
          <w:spacing w:val="40"/>
          <w:sz w:val="23"/>
        </w:rPr>
        <w:t> </w:t>
      </w:r>
      <w:r>
        <w:rPr>
          <w:sz w:val="23"/>
        </w:rPr>
        <w:t>in the</w:t>
      </w:r>
      <w:r>
        <w:rPr>
          <w:spacing w:val="40"/>
          <w:sz w:val="23"/>
        </w:rPr>
        <w:t> </w:t>
      </w:r>
      <w:r>
        <w:rPr>
          <w:sz w:val="23"/>
        </w:rPr>
        <w:t>interest of employees and employer</w:t>
      </w:r>
      <w:r>
        <w:rPr>
          <w:sz w:val="23"/>
          <w:vertAlign w:val="superscript"/>
        </w:rPr>
        <w:t>112</w:t>
      </w:r>
    </w:p>
    <w:p>
      <w:pPr>
        <w:pStyle w:val="ListParagraph"/>
        <w:numPr>
          <w:ilvl w:val="0"/>
          <w:numId w:val="12"/>
        </w:numPr>
        <w:tabs>
          <w:tab w:pos="1540" w:val="left" w:leader="none"/>
        </w:tabs>
        <w:spacing w:line="271" w:lineRule="exact" w:before="0" w:after="0"/>
        <w:ind w:left="1540" w:right="0" w:hanging="676"/>
        <w:jc w:val="left"/>
        <w:rPr>
          <w:sz w:val="23"/>
        </w:rPr>
      </w:pPr>
      <w:r>
        <w:rPr>
          <w:sz w:val="23"/>
        </w:rPr>
        <w:t>provide</w:t>
      </w:r>
      <w:r>
        <w:rPr>
          <w:spacing w:val="5"/>
          <w:sz w:val="23"/>
        </w:rPr>
        <w:t> </w:t>
      </w:r>
      <w:r>
        <w:rPr>
          <w:sz w:val="23"/>
        </w:rPr>
        <w:t>for</w:t>
      </w:r>
      <w:r>
        <w:rPr>
          <w:spacing w:val="7"/>
          <w:sz w:val="23"/>
        </w:rPr>
        <w:t> </w:t>
      </w:r>
      <w:r>
        <w:rPr>
          <w:sz w:val="23"/>
        </w:rPr>
        <w:t>fair</w:t>
      </w:r>
      <w:r>
        <w:rPr>
          <w:spacing w:val="7"/>
          <w:sz w:val="23"/>
        </w:rPr>
        <w:t> </w:t>
      </w:r>
      <w:r>
        <w:rPr>
          <w:sz w:val="23"/>
        </w:rPr>
        <w:t>and</w:t>
      </w:r>
      <w:r>
        <w:rPr>
          <w:spacing w:val="10"/>
          <w:sz w:val="23"/>
        </w:rPr>
        <w:t> </w:t>
      </w:r>
      <w:r>
        <w:rPr>
          <w:sz w:val="23"/>
        </w:rPr>
        <w:t>adequate</w:t>
      </w:r>
      <w:r>
        <w:rPr>
          <w:spacing w:val="6"/>
          <w:sz w:val="23"/>
        </w:rPr>
        <w:t> </w:t>
      </w:r>
      <w:r>
        <w:rPr>
          <w:sz w:val="23"/>
        </w:rPr>
        <w:t>assessments</w:t>
      </w:r>
      <w:r>
        <w:rPr>
          <w:spacing w:val="6"/>
          <w:sz w:val="23"/>
        </w:rPr>
        <w:t> </w:t>
      </w:r>
      <w:r>
        <w:rPr>
          <w:sz w:val="23"/>
        </w:rPr>
        <w:t>for</w:t>
      </w:r>
      <w:r>
        <w:rPr>
          <w:spacing w:val="7"/>
          <w:sz w:val="23"/>
        </w:rPr>
        <w:t> </w:t>
      </w:r>
      <w:r>
        <w:rPr>
          <w:sz w:val="23"/>
        </w:rPr>
        <w:t>employers</w:t>
      </w:r>
      <w:r>
        <w:rPr>
          <w:spacing w:val="13"/>
          <w:sz w:val="23"/>
        </w:rPr>
        <w:t> </w:t>
      </w:r>
      <w:r>
        <w:rPr>
          <w:spacing w:val="-5"/>
          <w:sz w:val="23"/>
          <w:vertAlign w:val="superscript"/>
        </w:rPr>
        <w:t>113</w:t>
      </w:r>
    </w:p>
    <w:p>
      <w:pPr>
        <w:pStyle w:val="BodyText"/>
        <w:spacing w:before="4"/>
      </w:pPr>
    </w:p>
    <w:p>
      <w:pPr>
        <w:pStyle w:val="ListParagraph"/>
        <w:numPr>
          <w:ilvl w:val="0"/>
          <w:numId w:val="12"/>
        </w:numPr>
        <w:tabs>
          <w:tab w:pos="1538" w:val="left" w:leader="none"/>
          <w:tab w:pos="1540" w:val="left" w:leader="none"/>
        </w:tabs>
        <w:spacing w:line="484" w:lineRule="auto" w:before="0" w:after="0"/>
        <w:ind w:left="1540" w:right="573" w:hanging="677"/>
        <w:jc w:val="both"/>
        <w:rPr>
          <w:sz w:val="23"/>
        </w:rPr>
      </w:pPr>
      <w:r>
        <w:rPr>
          <w:sz w:val="23"/>
        </w:rPr>
        <w:t>provide an appeal procedure that is simple, fair and accessible, with minimal delays;</w:t>
      </w:r>
      <w:r>
        <w:rPr>
          <w:sz w:val="23"/>
          <w:vertAlign w:val="superscript"/>
        </w:rPr>
        <w:t>114</w:t>
      </w:r>
      <w:r>
        <w:rPr>
          <w:sz w:val="23"/>
          <w:vertAlign w:val="baseline"/>
        </w:rPr>
        <w:t> and</w:t>
      </w:r>
    </w:p>
    <w:p>
      <w:pPr>
        <w:pStyle w:val="ListParagraph"/>
        <w:numPr>
          <w:ilvl w:val="0"/>
          <w:numId w:val="12"/>
        </w:numPr>
        <w:tabs>
          <w:tab w:pos="1454" w:val="left" w:leader="none"/>
        </w:tabs>
        <w:spacing w:line="489" w:lineRule="auto" w:before="12" w:after="0"/>
        <w:ind w:left="1454" w:right="567" w:hanging="591"/>
        <w:jc w:val="both"/>
        <w:rPr>
          <w:sz w:val="23"/>
        </w:rPr>
      </w:pPr>
      <w:r>
        <w:rPr>
          <w:sz w:val="23"/>
        </w:rPr>
        <w:t>combine efforts and resources of relevant stakeholders for the prevention of workplace disabilities, including the enforcement of occupational safety and health standards.</w:t>
      </w:r>
      <w:r>
        <w:rPr>
          <w:sz w:val="23"/>
          <w:vertAlign w:val="superscript"/>
        </w:rPr>
        <w:t>115</w:t>
      </w:r>
    </w:p>
    <w:p>
      <w:pPr>
        <w:pStyle w:val="BodyText"/>
        <w:spacing w:line="489" w:lineRule="auto"/>
        <w:ind w:left="864" w:right="578"/>
        <w:jc w:val="both"/>
      </w:pPr>
      <w:r>
        <w:rPr/>
        <w:t>The Act must be guided by the spirit and letters of the above provision otherwise it can be challenged, by any person whose interest is at stake.</w:t>
      </w:r>
      <w:r>
        <w:rPr>
          <w:vertAlign w:val="superscript"/>
        </w:rPr>
        <w:t>116</w:t>
      </w:r>
    </w:p>
    <w:p>
      <w:pPr>
        <w:pStyle w:val="BodyText"/>
        <w:spacing w:before="161"/>
        <w:rPr>
          <w:sz w:val="20"/>
        </w:rPr>
      </w:pPr>
      <w:r>
        <w:rPr/>
        <mc:AlternateContent>
          <mc:Choice Requires="wps">
            <w:drawing>
              <wp:anchor distT="0" distB="0" distL="0" distR="0" allowOverlap="1" layoutInCell="1" locked="0" behindDoc="1" simplePos="0" relativeHeight="487615488">
                <wp:simplePos x="0" y="0"/>
                <wp:positionH relativeFrom="page">
                  <wp:posOffset>1185672</wp:posOffset>
                </wp:positionH>
                <wp:positionV relativeFrom="paragraph">
                  <wp:posOffset>271290</wp:posOffset>
                </wp:positionV>
                <wp:extent cx="1719580" cy="6350"/>
                <wp:effectExtent l="0" t="0" r="0" b="0"/>
                <wp:wrapTopAndBottom/>
                <wp:docPr id="64" name="Graphic 64"/>
                <wp:cNvGraphicFramePr>
                  <a:graphicFrameLocks/>
                </wp:cNvGraphicFramePr>
                <a:graphic>
                  <a:graphicData uri="http://schemas.microsoft.com/office/word/2010/wordprocessingShape">
                    <wps:wsp>
                      <wps:cNvPr id="64" name="Graphic 64"/>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1.361431pt;width:135.360pt;height:.48pt;mso-position-horizontal-relative:page;mso-position-vertical-relative:paragraph;z-index:-15700992;mso-wrap-distance-left:0;mso-wrap-distance-right:0" id="docshape64" filled="true" fillcolor="#000000" stroked="false">
                <v:fill type="solid"/>
                <w10:wrap type="topAndBottom"/>
              </v:rect>
            </w:pict>
          </mc:Fallback>
        </mc:AlternateContent>
      </w:r>
    </w:p>
    <w:p>
      <w:pPr>
        <w:spacing w:before="96"/>
        <w:ind w:left="187" w:right="0" w:firstLine="0"/>
        <w:jc w:val="left"/>
        <w:rPr>
          <w:rFonts w:ascii="Times New Roman"/>
          <w:i/>
          <w:sz w:val="19"/>
        </w:rPr>
      </w:pPr>
      <w:r>
        <w:rPr>
          <w:rFonts w:ascii="Times New Roman"/>
          <w:sz w:val="19"/>
          <w:vertAlign w:val="superscript"/>
        </w:rPr>
        <w:t>109</w:t>
      </w:r>
      <w:r>
        <w:rPr>
          <w:rFonts w:ascii="Times New Roman"/>
          <w:spacing w:val="1"/>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w:t>
      </w:r>
      <w:r>
        <w:rPr>
          <w:rFonts w:ascii="Times New Roman"/>
          <w:spacing w:val="-7"/>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110</w:t>
      </w:r>
      <w:r>
        <w:rPr>
          <w:rFonts w:ascii="Times New Roman"/>
          <w:spacing w:val="1"/>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w:t>
      </w:r>
      <w:r>
        <w:rPr>
          <w:rFonts w:ascii="Times New Roman"/>
          <w:spacing w:val="-7"/>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111</w:t>
      </w:r>
      <w:r>
        <w:rPr>
          <w:rFonts w:ascii="Times New Roman"/>
          <w:spacing w:val="11"/>
          <w:sz w:val="19"/>
          <w:vertAlign w:val="baseline"/>
        </w:rPr>
        <w:t> </w:t>
      </w:r>
      <w:r>
        <w:rPr>
          <w:rFonts w:ascii="Times New Roman"/>
          <w:i/>
          <w:spacing w:val="-4"/>
          <w:sz w:val="19"/>
          <w:vertAlign w:val="baseline"/>
        </w:rPr>
        <w:t>Ibid</w:t>
      </w:r>
    </w:p>
    <w:p>
      <w:pPr>
        <w:spacing w:line="203" w:lineRule="exact" w:before="0"/>
        <w:ind w:left="187" w:right="0" w:firstLine="0"/>
        <w:jc w:val="left"/>
        <w:rPr>
          <w:rFonts w:ascii="Times New Roman"/>
          <w:i/>
          <w:sz w:val="19"/>
        </w:rPr>
      </w:pPr>
      <w:r>
        <w:rPr>
          <w:rFonts w:ascii="Times New Roman"/>
          <w:sz w:val="19"/>
          <w:vertAlign w:val="superscript"/>
        </w:rPr>
        <w:t>112</w:t>
      </w:r>
      <w:r>
        <w:rPr>
          <w:rFonts w:ascii="Times New Roman"/>
          <w:spacing w:val="11"/>
          <w:sz w:val="19"/>
          <w:vertAlign w:val="baseline"/>
        </w:rPr>
        <w:t> </w:t>
      </w:r>
      <w:r>
        <w:rPr>
          <w:rFonts w:ascii="Times New Roman"/>
          <w:i/>
          <w:spacing w:val="-4"/>
          <w:sz w:val="19"/>
          <w:vertAlign w:val="baseline"/>
        </w:rPr>
        <w:t>Ibid</w:t>
      </w:r>
    </w:p>
    <w:p>
      <w:pPr>
        <w:spacing w:line="126" w:lineRule="exact" w:before="0"/>
        <w:ind w:left="187" w:right="0" w:firstLine="0"/>
        <w:jc w:val="left"/>
        <w:rPr>
          <w:rFonts w:ascii="Times New Roman"/>
          <w:sz w:val="12"/>
        </w:rPr>
      </w:pPr>
      <w:r>
        <w:rPr>
          <w:rFonts w:ascii="Times New Roman"/>
          <w:spacing w:val="-2"/>
          <w:sz w:val="12"/>
        </w:rPr>
        <w:t>113??Ibid</w:t>
      </w:r>
    </w:p>
    <w:p>
      <w:pPr>
        <w:spacing w:line="235" w:lineRule="auto" w:before="80"/>
        <w:ind w:left="187" w:right="8328" w:firstLine="0"/>
        <w:jc w:val="left"/>
        <w:rPr>
          <w:rFonts w:ascii="Times New Roman"/>
          <w:i/>
          <w:sz w:val="19"/>
        </w:rPr>
      </w:pPr>
      <w:r>
        <w:rPr>
          <w:rFonts w:ascii="Times New Roman"/>
          <w:spacing w:val="-2"/>
          <w:sz w:val="12"/>
        </w:rPr>
        <w:t>114??</w:t>
      </w:r>
      <w:r>
        <w:rPr>
          <w:rFonts w:ascii="Times New Roman"/>
          <w:i/>
          <w:spacing w:val="-2"/>
          <w:position w:val="-8"/>
          <w:sz w:val="19"/>
        </w:rPr>
        <w:t>ibid </w:t>
      </w:r>
      <w:r>
        <w:rPr>
          <w:rFonts w:ascii="Times New Roman"/>
          <w:position w:val="-8"/>
          <w:sz w:val="19"/>
          <w:vertAlign w:val="superscript"/>
        </w:rPr>
        <w:t>115</w:t>
      </w:r>
      <w:r>
        <w:rPr>
          <w:rFonts w:ascii="Times New Roman"/>
          <w:position w:val="-8"/>
          <w:sz w:val="19"/>
          <w:vertAlign w:val="baseline"/>
        </w:rPr>
        <w:t> </w:t>
      </w:r>
      <w:r>
        <w:rPr>
          <w:rFonts w:ascii="Times New Roman"/>
          <w:i/>
          <w:sz w:val="19"/>
          <w:vertAlign w:val="baseline"/>
        </w:rPr>
        <w:t>ibid</w:t>
      </w:r>
    </w:p>
    <w:p>
      <w:pPr>
        <w:spacing w:after="0" w:line="235" w:lineRule="auto"/>
        <w:jc w:val="left"/>
        <w:rPr>
          <w:rFonts w:ascii="Times New Roman"/>
          <w:sz w:val="19"/>
        </w:rPr>
        <w:sectPr>
          <w:footerReference w:type="default" r:id="rId15"/>
          <w:pgSz w:w="12240" w:h="15840"/>
          <w:pgMar w:header="0" w:footer="1009" w:top="1260" w:bottom="1200" w:left="1680" w:right="1320"/>
          <w:pgNumType w:start="47"/>
        </w:sectPr>
      </w:pPr>
    </w:p>
    <w:p>
      <w:pPr>
        <w:pStyle w:val="BodyText"/>
        <w:spacing w:line="491" w:lineRule="auto" w:before="77"/>
        <w:ind w:left="187" w:right="567"/>
        <w:jc w:val="both"/>
      </w:pPr>
      <w:r>
        <w:rPr/>
        <w:t>The</w:t>
      </w:r>
      <w:r>
        <w:rPr>
          <w:spacing w:val="40"/>
        </w:rPr>
        <w:t> </w:t>
      </w:r>
      <w:r>
        <w:rPr/>
        <w:t>Act</w:t>
      </w:r>
      <w:r>
        <w:rPr>
          <w:spacing w:val="40"/>
        </w:rPr>
        <w:t> </w:t>
      </w:r>
      <w:r>
        <w:rPr/>
        <w:t>provides</w:t>
      </w:r>
      <w:r>
        <w:rPr>
          <w:spacing w:val="40"/>
        </w:rPr>
        <w:t> </w:t>
      </w:r>
      <w:r>
        <w:rPr/>
        <w:t>enormous</w:t>
      </w:r>
      <w:r>
        <w:rPr>
          <w:spacing w:val="40"/>
        </w:rPr>
        <w:t> </w:t>
      </w:r>
      <w:r>
        <w:rPr/>
        <w:t>powers</w:t>
      </w:r>
      <w:r>
        <w:rPr>
          <w:spacing w:val="40"/>
        </w:rPr>
        <w:t> </w:t>
      </w:r>
      <w:r>
        <w:rPr/>
        <w:t>for</w:t>
      </w:r>
      <w:r>
        <w:rPr>
          <w:spacing w:val="40"/>
        </w:rPr>
        <w:t> </w:t>
      </w:r>
      <w:r>
        <w:rPr/>
        <w:t>Nigeria</w:t>
      </w:r>
      <w:r>
        <w:rPr>
          <w:spacing w:val="40"/>
        </w:rPr>
        <w:t> </w:t>
      </w:r>
      <w:r>
        <w:rPr/>
        <w:t>Social</w:t>
      </w:r>
      <w:r>
        <w:rPr>
          <w:spacing w:val="40"/>
        </w:rPr>
        <w:t> </w:t>
      </w:r>
      <w:r>
        <w:rPr/>
        <w:t>Insurance</w:t>
      </w:r>
      <w:r>
        <w:rPr>
          <w:spacing w:val="40"/>
        </w:rPr>
        <w:t> </w:t>
      </w:r>
      <w:r>
        <w:rPr/>
        <w:t>Fund Management</w:t>
      </w:r>
      <w:r>
        <w:rPr>
          <w:spacing w:val="40"/>
        </w:rPr>
        <w:t> </w:t>
      </w:r>
      <w:r>
        <w:rPr/>
        <w:t>Board</w:t>
      </w:r>
      <w:r>
        <w:rPr>
          <w:spacing w:val="40"/>
        </w:rPr>
        <w:t> </w:t>
      </w:r>
      <w:r>
        <w:rPr/>
        <w:t>referred</w:t>
      </w:r>
      <w:r>
        <w:rPr>
          <w:spacing w:val="40"/>
        </w:rPr>
        <w:t> </w:t>
      </w:r>
      <w:r>
        <w:rPr/>
        <w:t>to</w:t>
      </w:r>
      <w:r>
        <w:rPr>
          <w:spacing w:val="40"/>
        </w:rPr>
        <w:t> </w:t>
      </w:r>
      <w:r>
        <w:rPr/>
        <w:t>in</w:t>
      </w:r>
      <w:r>
        <w:rPr>
          <w:spacing w:val="40"/>
        </w:rPr>
        <w:t> </w:t>
      </w:r>
      <w:r>
        <w:rPr/>
        <w:t>the</w:t>
      </w:r>
      <w:r>
        <w:rPr>
          <w:spacing w:val="40"/>
        </w:rPr>
        <w:t> </w:t>
      </w:r>
      <w:r>
        <w:rPr/>
        <w:t>Act</w:t>
      </w:r>
      <w:r>
        <w:rPr>
          <w:spacing w:val="40"/>
        </w:rPr>
        <w:t> </w:t>
      </w:r>
      <w:r>
        <w:rPr/>
        <w:t>as</w:t>
      </w:r>
      <w:r>
        <w:rPr>
          <w:spacing w:val="40"/>
        </w:rPr>
        <w:t> </w:t>
      </w:r>
      <w:r>
        <w:rPr/>
        <w:t>“the</w:t>
      </w:r>
      <w:r>
        <w:rPr>
          <w:spacing w:val="40"/>
        </w:rPr>
        <w:t> </w:t>
      </w:r>
      <w:r>
        <w:rPr/>
        <w:t>Board.”</w:t>
      </w:r>
      <w:r>
        <w:rPr>
          <w:vertAlign w:val="superscript"/>
        </w:rPr>
        <w:t>117</w:t>
      </w:r>
      <w:r>
        <w:rPr>
          <w:vertAlign w:val="baseline"/>
        </w:rPr>
        <w:t>These</w:t>
      </w:r>
      <w:r>
        <w:rPr>
          <w:spacing w:val="40"/>
          <w:vertAlign w:val="baseline"/>
        </w:rPr>
        <w:t> </w:t>
      </w:r>
      <w:r>
        <w:rPr>
          <w:vertAlign w:val="baseline"/>
        </w:rPr>
        <w:t>statutory powers constitute the fulcrum upon which the Board relies on to carry out the objectives of the Act.</w:t>
      </w:r>
    </w:p>
    <w:p>
      <w:pPr>
        <w:pStyle w:val="BodyText"/>
        <w:spacing w:line="489" w:lineRule="auto" w:before="277"/>
        <w:ind w:left="187" w:right="568"/>
        <w:jc w:val="both"/>
      </w:pPr>
      <w:r>
        <w:rPr/>
        <w:t>In the first place, the Board has the power of implementing the provisions of the Act and the power to implement the Fund established under the Act.</w:t>
      </w:r>
      <w:r>
        <w:rPr>
          <w:vertAlign w:val="superscript"/>
        </w:rPr>
        <w:t>118</w:t>
      </w:r>
      <w:r>
        <w:rPr>
          <w:vertAlign w:val="baseline"/>
        </w:rPr>
        <w:t> The Fund here means employees’ compensation fund into which it shall be credited all moneys, funds or contributions by the employers for adequate compensation to employees or their dependants for any death, injury disability or disease arising</w:t>
      </w:r>
      <w:r>
        <w:rPr>
          <w:spacing w:val="80"/>
          <w:vertAlign w:val="baseline"/>
        </w:rPr>
        <w:t> </w:t>
      </w:r>
      <w:r>
        <w:rPr>
          <w:vertAlign w:val="baseline"/>
        </w:rPr>
        <w:t>out of or in</w:t>
      </w:r>
      <w:r>
        <w:rPr>
          <w:spacing w:val="40"/>
          <w:vertAlign w:val="baseline"/>
        </w:rPr>
        <w:t> </w:t>
      </w:r>
      <w:r>
        <w:rPr>
          <w:vertAlign w:val="baseline"/>
        </w:rPr>
        <w:t>the course</w:t>
      </w:r>
      <w:r>
        <w:rPr>
          <w:spacing w:val="40"/>
          <w:vertAlign w:val="baseline"/>
        </w:rPr>
        <w:t> </w:t>
      </w:r>
      <w:r>
        <w:rPr>
          <w:vertAlign w:val="baseline"/>
        </w:rPr>
        <w:t>of employment.</w:t>
      </w:r>
      <w:r>
        <w:rPr>
          <w:vertAlign w:val="superscript"/>
        </w:rPr>
        <w:t>119</w:t>
      </w:r>
      <w:r>
        <w:rPr>
          <w:vertAlign w:val="baseline"/>
        </w:rPr>
        <w:t> The Board</w:t>
      </w:r>
      <w:r>
        <w:rPr>
          <w:spacing w:val="40"/>
          <w:vertAlign w:val="baseline"/>
        </w:rPr>
        <w:t> </w:t>
      </w:r>
      <w:r>
        <w:rPr>
          <w:vertAlign w:val="baseline"/>
        </w:rPr>
        <w:t>is</w:t>
      </w:r>
      <w:r>
        <w:rPr>
          <w:spacing w:val="40"/>
          <w:vertAlign w:val="baseline"/>
        </w:rPr>
        <w:t> </w:t>
      </w:r>
      <w:r>
        <w:rPr>
          <w:vertAlign w:val="baseline"/>
        </w:rPr>
        <w:t>thus</w:t>
      </w:r>
      <w:r>
        <w:rPr>
          <w:spacing w:val="40"/>
          <w:vertAlign w:val="baseline"/>
        </w:rPr>
        <w:t> </w:t>
      </w:r>
      <w:r>
        <w:rPr>
          <w:vertAlign w:val="baseline"/>
        </w:rPr>
        <w:t>empowered to manage the contributions called ‘the Fund.’</w:t>
      </w:r>
      <w:r>
        <w:rPr>
          <w:vertAlign w:val="superscript"/>
        </w:rPr>
        <w:t>120</w:t>
      </w:r>
    </w:p>
    <w:p>
      <w:pPr>
        <w:pStyle w:val="BodyText"/>
        <w:spacing w:before="15"/>
      </w:pPr>
    </w:p>
    <w:p>
      <w:pPr>
        <w:pStyle w:val="BodyText"/>
        <w:spacing w:line="489" w:lineRule="auto" w:before="1"/>
        <w:ind w:left="187" w:right="570"/>
        <w:jc w:val="both"/>
      </w:pPr>
      <w:r>
        <w:rPr/>
        <w:t>Also, the Board is empowered by the Act to formulate policies for the administration of the Fund.</w:t>
      </w:r>
      <w:r>
        <w:rPr>
          <w:vertAlign w:val="superscript"/>
        </w:rPr>
        <w:t>121</w:t>
      </w:r>
      <w:r>
        <w:rPr>
          <w:vertAlign w:val="baseline"/>
        </w:rPr>
        <w:t> The Board can make policies that will bring about good</w:t>
      </w:r>
      <w:r>
        <w:rPr>
          <w:spacing w:val="40"/>
          <w:vertAlign w:val="baseline"/>
        </w:rPr>
        <w:t> </w:t>
      </w:r>
      <w:r>
        <w:rPr>
          <w:vertAlign w:val="baseline"/>
        </w:rPr>
        <w:t>administration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Fund.</w:t>
      </w:r>
      <w:r>
        <w:rPr>
          <w:spacing w:val="40"/>
          <w:vertAlign w:val="baseline"/>
        </w:rPr>
        <w:t> </w:t>
      </w:r>
      <w:r>
        <w:rPr>
          <w:vertAlign w:val="baseline"/>
        </w:rPr>
        <w:t>Here,</w:t>
      </w:r>
      <w:r>
        <w:rPr>
          <w:spacing w:val="40"/>
          <w:vertAlign w:val="baseline"/>
        </w:rPr>
        <w:t> </w:t>
      </w:r>
      <w:r>
        <w:rPr>
          <w:vertAlign w:val="baseline"/>
        </w:rPr>
        <w:t>trust</w:t>
      </w:r>
      <w:r>
        <w:rPr>
          <w:spacing w:val="40"/>
          <w:vertAlign w:val="baseline"/>
        </w:rPr>
        <w:t> </w:t>
      </w:r>
      <w:r>
        <w:rPr>
          <w:vertAlign w:val="baseline"/>
        </w:rPr>
        <w:t>exists</w:t>
      </w:r>
      <w:r>
        <w:rPr>
          <w:spacing w:val="40"/>
          <w:vertAlign w:val="baseline"/>
        </w:rPr>
        <w:t> </w:t>
      </w:r>
      <w:r>
        <w:rPr>
          <w:vertAlign w:val="baseline"/>
        </w:rPr>
        <w:t>for</w:t>
      </w:r>
      <w:r>
        <w:rPr>
          <w:spacing w:val="40"/>
          <w:vertAlign w:val="baseline"/>
        </w:rPr>
        <w:t> </w:t>
      </w:r>
      <w:r>
        <w:rPr>
          <w:vertAlign w:val="baseline"/>
        </w:rPr>
        <w:t>the</w:t>
      </w:r>
      <w:r>
        <w:rPr>
          <w:spacing w:val="40"/>
          <w:vertAlign w:val="baseline"/>
        </w:rPr>
        <w:t> </w:t>
      </w:r>
      <w:r>
        <w:rPr>
          <w:vertAlign w:val="baseline"/>
        </w:rPr>
        <w:t>benefit</w:t>
      </w:r>
      <w:r>
        <w:rPr>
          <w:spacing w:val="40"/>
          <w:vertAlign w:val="baseline"/>
        </w:rPr>
        <w:t> </w:t>
      </w:r>
      <w:r>
        <w:rPr>
          <w:vertAlign w:val="baseline"/>
        </w:rPr>
        <w:t>of </w:t>
      </w:r>
      <w:r>
        <w:rPr>
          <w:spacing w:val="-2"/>
          <w:vertAlign w:val="baseline"/>
        </w:rPr>
        <w:t>employees.</w:t>
      </w:r>
      <w:r>
        <w:rPr>
          <w:spacing w:val="-2"/>
          <w:vertAlign w:val="superscript"/>
        </w:rPr>
        <w:t>122</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21"/>
        <w:rPr>
          <w:sz w:val="20"/>
        </w:rPr>
      </w:pPr>
      <w:r>
        <w:rPr/>
        <mc:AlternateContent>
          <mc:Choice Requires="wps">
            <w:drawing>
              <wp:anchor distT="0" distB="0" distL="0" distR="0" allowOverlap="1" layoutInCell="1" locked="0" behindDoc="1" simplePos="0" relativeHeight="487616000">
                <wp:simplePos x="0" y="0"/>
                <wp:positionH relativeFrom="page">
                  <wp:posOffset>1185672</wp:posOffset>
                </wp:positionH>
                <wp:positionV relativeFrom="paragraph">
                  <wp:posOffset>309347</wp:posOffset>
                </wp:positionV>
                <wp:extent cx="5389245" cy="6350"/>
                <wp:effectExtent l="0" t="0" r="0" b="0"/>
                <wp:wrapTopAndBottom/>
                <wp:docPr id="65" name="Graphic 65"/>
                <wp:cNvGraphicFramePr>
                  <a:graphicFrameLocks/>
                </wp:cNvGraphicFramePr>
                <a:graphic>
                  <a:graphicData uri="http://schemas.microsoft.com/office/word/2010/wordprocessingShape">
                    <wps:wsp>
                      <wps:cNvPr id="65" name="Graphic 65"/>
                      <wps:cNvSpPr/>
                      <wps:spPr>
                        <a:xfrm>
                          <a:off x="0" y="0"/>
                          <a:ext cx="5389245" cy="6350"/>
                        </a:xfrm>
                        <a:custGeom>
                          <a:avLst/>
                          <a:gdLst/>
                          <a:ahLst/>
                          <a:cxnLst/>
                          <a:rect l="l" t="t" r="r" b="b"/>
                          <a:pathLst>
                            <a:path w="5389245" h="6350">
                              <a:moveTo>
                                <a:pt x="5388863" y="0"/>
                              </a:moveTo>
                              <a:lnTo>
                                <a:pt x="0" y="0"/>
                              </a:lnTo>
                              <a:lnTo>
                                <a:pt x="0" y="6096"/>
                              </a:lnTo>
                              <a:lnTo>
                                <a:pt x="5388863" y="6096"/>
                              </a:lnTo>
                              <a:lnTo>
                                <a:pt x="538886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4.358047pt;width:424.32pt;height:.48pt;mso-position-horizontal-relative:page;mso-position-vertical-relative:paragraph;z-index:-15700480;mso-wrap-distance-left:0;mso-wrap-distance-right:0" id="docshape65" filled="true" fillcolor="#000000" stroked="false">
                <v:fill type="solid"/>
                <w10:wrap type="topAndBottom"/>
              </v:rect>
            </w:pict>
          </mc:Fallback>
        </mc:AlternateContent>
      </w:r>
    </w:p>
    <w:p>
      <w:pPr>
        <w:spacing w:line="237" w:lineRule="auto" w:before="98"/>
        <w:ind w:left="187" w:right="563" w:firstLine="0"/>
        <w:jc w:val="left"/>
        <w:rPr>
          <w:rFonts w:ascii="Times New Roman" w:hAnsi="Times New Roman"/>
          <w:sz w:val="19"/>
        </w:rPr>
      </w:pPr>
      <w:r>
        <w:rPr>
          <w:rFonts w:ascii="Times New Roman" w:hAnsi="Times New Roman"/>
          <w:sz w:val="19"/>
          <w:vertAlign w:val="superscript"/>
        </w:rPr>
        <w:t>116</w:t>
      </w:r>
      <w:r>
        <w:rPr>
          <w:rFonts w:ascii="Times New Roman" w:hAnsi="Times New Roman"/>
          <w:sz w:val="19"/>
          <w:vertAlign w:val="baseline"/>
        </w:rPr>
        <w:t> See</w:t>
      </w:r>
      <w:r>
        <w:rPr>
          <w:rFonts w:ascii="Times New Roman" w:hAnsi="Times New Roman"/>
          <w:spacing w:val="-4"/>
          <w:sz w:val="19"/>
          <w:vertAlign w:val="baseline"/>
        </w:rPr>
        <w:t> </w:t>
      </w:r>
      <w:r>
        <w:rPr>
          <w:rFonts w:ascii="Times New Roman" w:hAnsi="Times New Roman"/>
          <w:i/>
          <w:sz w:val="19"/>
          <w:vertAlign w:val="baseline"/>
        </w:rPr>
        <w:t>A.G</w:t>
      </w:r>
      <w:r>
        <w:rPr>
          <w:rFonts w:ascii="Times New Roman" w:hAnsi="Times New Roman"/>
          <w:i/>
          <w:spacing w:val="-7"/>
          <w:sz w:val="19"/>
          <w:vertAlign w:val="baseline"/>
        </w:rPr>
        <w:t> </w:t>
      </w:r>
      <w:r>
        <w:rPr>
          <w:rFonts w:ascii="Times New Roman" w:hAnsi="Times New Roman"/>
          <w:i/>
          <w:sz w:val="19"/>
          <w:vertAlign w:val="baseline"/>
        </w:rPr>
        <w:t>Ondo</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7"/>
          <w:sz w:val="19"/>
          <w:vertAlign w:val="baseline"/>
        </w:rPr>
        <w:t> </w:t>
      </w:r>
      <w:r>
        <w:rPr>
          <w:rFonts w:ascii="Times New Roman" w:hAnsi="Times New Roman"/>
          <w:i/>
          <w:sz w:val="19"/>
          <w:vertAlign w:val="baseline"/>
        </w:rPr>
        <w:t>Federation</w:t>
      </w:r>
      <w:r>
        <w:rPr>
          <w:rFonts w:ascii="Times New Roman" w:hAnsi="Times New Roman"/>
          <w:i/>
          <w:spacing w:val="-8"/>
          <w:sz w:val="19"/>
          <w:vertAlign w:val="baseline"/>
        </w:rPr>
        <w:t> </w:t>
      </w:r>
      <w:r>
        <w:rPr>
          <w:rFonts w:ascii="Times New Roman" w:hAnsi="Times New Roman"/>
          <w:sz w:val="19"/>
          <w:vertAlign w:val="baseline"/>
        </w:rPr>
        <w:t>(2002)</w:t>
      </w:r>
      <w:r>
        <w:rPr>
          <w:rFonts w:ascii="Times New Roman" w:hAnsi="Times New Roman"/>
          <w:spacing w:val="-6"/>
          <w:sz w:val="19"/>
          <w:vertAlign w:val="baseline"/>
        </w:rPr>
        <w:t> </w:t>
      </w:r>
      <w:r>
        <w:rPr>
          <w:rFonts w:ascii="Times New Roman" w:hAnsi="Times New Roman"/>
          <w:sz w:val="19"/>
          <w:vertAlign w:val="baseline"/>
        </w:rPr>
        <w:t>9</w:t>
      </w:r>
      <w:r>
        <w:rPr>
          <w:rFonts w:ascii="Times New Roman" w:hAnsi="Times New Roman"/>
          <w:spacing w:val="-8"/>
          <w:sz w:val="19"/>
          <w:vertAlign w:val="baseline"/>
        </w:rPr>
        <w:t> </w:t>
      </w:r>
      <w:r>
        <w:rPr>
          <w:rFonts w:ascii="Times New Roman" w:hAnsi="Times New Roman"/>
          <w:sz w:val="19"/>
          <w:vertAlign w:val="baseline"/>
        </w:rPr>
        <w:t>NWLR(Pt</w:t>
      </w:r>
      <w:r>
        <w:rPr>
          <w:rFonts w:ascii="Times New Roman" w:hAnsi="Times New Roman"/>
          <w:spacing w:val="-5"/>
          <w:sz w:val="19"/>
          <w:vertAlign w:val="baseline"/>
        </w:rPr>
        <w:t> </w:t>
      </w:r>
      <w:r>
        <w:rPr>
          <w:rFonts w:ascii="Times New Roman" w:hAnsi="Times New Roman"/>
          <w:sz w:val="19"/>
          <w:vertAlign w:val="baseline"/>
        </w:rPr>
        <w:t>772)</w:t>
      </w:r>
      <w:r>
        <w:rPr>
          <w:rFonts w:ascii="Times New Roman" w:hAnsi="Times New Roman"/>
          <w:spacing w:val="-2"/>
          <w:sz w:val="19"/>
          <w:vertAlign w:val="baseline"/>
        </w:rPr>
        <w:t> </w:t>
      </w:r>
      <w:r>
        <w:rPr>
          <w:rFonts w:ascii="Times New Roman" w:hAnsi="Times New Roman"/>
          <w:sz w:val="19"/>
          <w:vertAlign w:val="baseline"/>
        </w:rPr>
        <w:t>241</w:t>
      </w:r>
      <w:r>
        <w:rPr>
          <w:rFonts w:ascii="Times New Roman" w:hAnsi="Times New Roman"/>
          <w:spacing w:val="39"/>
          <w:sz w:val="19"/>
          <w:vertAlign w:val="baseline"/>
        </w:rPr>
        <w:t> </w:t>
      </w:r>
      <w:r>
        <w:rPr>
          <w:rFonts w:ascii="Times New Roman" w:hAnsi="Times New Roman"/>
          <w:sz w:val="19"/>
          <w:vertAlign w:val="baseline"/>
        </w:rPr>
        <w:t>where</w:t>
      </w:r>
      <w:r>
        <w:rPr>
          <w:rFonts w:ascii="Times New Roman" w:hAnsi="Times New Roman"/>
          <w:spacing w:val="-12"/>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Supreme</w:t>
      </w:r>
      <w:r>
        <w:rPr>
          <w:rFonts w:ascii="Times New Roman" w:hAnsi="Times New Roman"/>
          <w:spacing w:val="-12"/>
          <w:sz w:val="19"/>
          <w:vertAlign w:val="baseline"/>
        </w:rPr>
        <w:t> </w:t>
      </w:r>
      <w:r>
        <w:rPr>
          <w:rFonts w:ascii="Times New Roman" w:hAnsi="Times New Roman"/>
          <w:sz w:val="19"/>
          <w:vertAlign w:val="baseline"/>
        </w:rPr>
        <w:t>Court</w:t>
      </w:r>
      <w:r>
        <w:rPr>
          <w:rFonts w:ascii="Times New Roman" w:hAnsi="Times New Roman"/>
          <w:spacing w:val="-1"/>
          <w:sz w:val="19"/>
          <w:vertAlign w:val="baseline"/>
        </w:rPr>
        <w:t> </w:t>
      </w:r>
      <w:r>
        <w:rPr>
          <w:rFonts w:ascii="Times New Roman" w:hAnsi="Times New Roman"/>
          <w:sz w:val="19"/>
          <w:vertAlign w:val="baseline"/>
        </w:rPr>
        <w:t>said</w:t>
      </w:r>
      <w:r>
        <w:rPr>
          <w:rFonts w:ascii="Times New Roman" w:hAnsi="Times New Roman"/>
          <w:spacing w:val="-8"/>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court should adopt such construction as will promote general legislative purpose…’</w:t>
      </w:r>
    </w:p>
    <w:p>
      <w:pPr>
        <w:spacing w:line="216" w:lineRule="exact" w:before="0"/>
        <w:ind w:left="187" w:right="0" w:firstLine="0"/>
        <w:jc w:val="left"/>
        <w:rPr>
          <w:rFonts w:ascii="Times New Roman" w:hAnsi="Times New Roman"/>
          <w:i/>
          <w:sz w:val="19"/>
        </w:rPr>
      </w:pPr>
      <w:r>
        <w:rPr>
          <w:rFonts w:ascii="Times New Roman" w:hAnsi="Times New Roman"/>
          <w:sz w:val="19"/>
          <w:vertAlign w:val="superscript"/>
        </w:rPr>
        <w:t>117</w:t>
      </w:r>
      <w:r>
        <w:rPr>
          <w:rFonts w:ascii="Times New Roman" w:hAnsi="Times New Roman"/>
          <w:spacing w:val="-2"/>
          <w:sz w:val="19"/>
          <w:vertAlign w:val="baseline"/>
        </w:rPr>
        <w:t> </w:t>
      </w:r>
      <w:r>
        <w:rPr>
          <w:rFonts w:ascii="Times New Roman" w:hAnsi="Times New Roman"/>
          <w:sz w:val="19"/>
          <w:vertAlign w:val="baseline"/>
        </w:rPr>
        <w:t>Section</w:t>
      </w:r>
      <w:r>
        <w:rPr>
          <w:rFonts w:ascii="Times New Roman" w:hAnsi="Times New Roman"/>
          <w:spacing w:val="-2"/>
          <w:sz w:val="19"/>
          <w:vertAlign w:val="baseline"/>
        </w:rPr>
        <w:t> </w:t>
      </w:r>
      <w:r>
        <w:rPr>
          <w:rFonts w:ascii="Times New Roman" w:hAnsi="Times New Roman"/>
          <w:sz w:val="19"/>
          <w:vertAlign w:val="baseline"/>
        </w:rPr>
        <w:t>2</w:t>
      </w:r>
      <w:r>
        <w:rPr>
          <w:rFonts w:ascii="Times New Roman" w:hAnsi="Times New Roman"/>
          <w:spacing w:val="-9"/>
          <w:sz w:val="19"/>
          <w:vertAlign w:val="baseline"/>
        </w:rPr>
        <w:t> </w:t>
      </w:r>
      <w:r>
        <w:rPr>
          <w:rFonts w:ascii="Times New Roman" w:hAnsi="Times New Roman"/>
          <w:sz w:val="19"/>
          <w:vertAlign w:val="baseline"/>
        </w:rPr>
        <w:t>(2)</w:t>
      </w:r>
      <w:r>
        <w:rPr>
          <w:rFonts w:ascii="Times New Roman" w:hAnsi="Times New Roman"/>
          <w:spacing w:val="-12"/>
          <w:sz w:val="19"/>
          <w:vertAlign w:val="baseline"/>
        </w:rPr>
        <w:t> </w:t>
      </w:r>
      <w:r>
        <w:rPr>
          <w:rFonts w:ascii="Times New Roman" w:hAnsi="Times New Roman"/>
          <w:sz w:val="19"/>
          <w:vertAlign w:val="baseline"/>
        </w:rPr>
        <w:t>of</w:t>
      </w:r>
      <w:r>
        <w:rPr>
          <w:rFonts w:ascii="Times New Roman" w:hAnsi="Times New Roman"/>
          <w:spacing w:val="34"/>
          <w:sz w:val="19"/>
          <w:vertAlign w:val="baseline"/>
        </w:rPr>
        <w:t> </w:t>
      </w:r>
      <w:r>
        <w:rPr>
          <w:rFonts w:ascii="Times New Roman" w:hAnsi="Times New Roman"/>
          <w:sz w:val="19"/>
          <w:vertAlign w:val="baseline"/>
        </w:rPr>
        <w:t>Employees’</w:t>
      </w:r>
      <w:r>
        <w:rPr>
          <w:rFonts w:ascii="Times New Roman" w:hAnsi="Times New Roman"/>
          <w:spacing w:val="-7"/>
          <w:sz w:val="19"/>
          <w:vertAlign w:val="baseline"/>
        </w:rPr>
        <w:t> </w:t>
      </w:r>
      <w:r>
        <w:rPr>
          <w:rFonts w:ascii="Times New Roman" w:hAnsi="Times New Roman"/>
          <w:sz w:val="19"/>
          <w:vertAlign w:val="baseline"/>
        </w:rPr>
        <w:t>Compensation</w:t>
      </w:r>
      <w:r>
        <w:rPr>
          <w:rFonts w:ascii="Times New Roman" w:hAnsi="Times New Roman"/>
          <w:spacing w:val="35"/>
          <w:sz w:val="19"/>
          <w:vertAlign w:val="baseline"/>
        </w:rPr>
        <w:t> </w:t>
      </w:r>
      <w:r>
        <w:rPr>
          <w:rFonts w:ascii="Times New Roman" w:hAnsi="Times New Roman"/>
          <w:sz w:val="19"/>
          <w:vertAlign w:val="baseline"/>
        </w:rPr>
        <w:t>Act</w:t>
      </w:r>
      <w:r>
        <w:rPr>
          <w:rFonts w:ascii="Times New Roman" w:hAnsi="Times New Roman"/>
          <w:spacing w:val="-8"/>
          <w:sz w:val="19"/>
          <w:vertAlign w:val="baseline"/>
        </w:rPr>
        <w:t> </w:t>
      </w:r>
      <w:r>
        <w:rPr>
          <w:rFonts w:ascii="Times New Roman" w:hAnsi="Times New Roman"/>
          <w:i/>
          <w:sz w:val="19"/>
          <w:vertAlign w:val="baseline"/>
        </w:rPr>
        <w:t>op</w:t>
      </w:r>
      <w:r>
        <w:rPr>
          <w:rFonts w:ascii="Times New Roman" w:hAnsi="Times New Roman"/>
          <w:i/>
          <w:spacing w:val="-10"/>
          <w:sz w:val="19"/>
          <w:vertAlign w:val="baseline"/>
        </w:rPr>
        <w:t> </w:t>
      </w:r>
      <w:r>
        <w:rPr>
          <w:rFonts w:ascii="Times New Roman" w:hAnsi="Times New Roman"/>
          <w:i/>
          <w:spacing w:val="-5"/>
          <w:sz w:val="19"/>
          <w:vertAlign w:val="baseline"/>
        </w:rPr>
        <w:t>cit</w:t>
      </w:r>
    </w:p>
    <w:p>
      <w:pPr>
        <w:spacing w:line="217" w:lineRule="exact" w:before="2"/>
        <w:ind w:left="187" w:right="0" w:firstLine="0"/>
        <w:jc w:val="left"/>
        <w:rPr>
          <w:rFonts w:ascii="Times New Roman"/>
          <w:i/>
          <w:sz w:val="19"/>
        </w:rPr>
      </w:pPr>
      <w:r>
        <w:rPr>
          <w:rFonts w:ascii="Times New Roman"/>
          <w:i/>
          <w:sz w:val="19"/>
          <w:vertAlign w:val="superscript"/>
        </w:rPr>
        <w:t>118</w:t>
      </w:r>
      <w:r>
        <w:rPr>
          <w:rFonts w:ascii="Times New Roman"/>
          <w:i/>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119</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56</w:t>
      </w:r>
      <w:r>
        <w:rPr>
          <w:rFonts w:ascii="Times New Roman"/>
          <w:spacing w:val="-5"/>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120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57</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121</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31(a</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hAnsi="Times New Roman"/>
          <w:sz w:val="19"/>
        </w:rPr>
      </w:pPr>
      <w:r>
        <w:rPr>
          <w:rFonts w:ascii="Times New Roman" w:hAnsi="Times New Roman"/>
          <w:sz w:val="19"/>
          <w:vertAlign w:val="superscript"/>
        </w:rPr>
        <w:t>122</w:t>
      </w:r>
      <w:r>
        <w:rPr>
          <w:rFonts w:ascii="Times New Roman" w:hAnsi="Times New Roman"/>
          <w:spacing w:val="-3"/>
          <w:sz w:val="19"/>
          <w:vertAlign w:val="baseline"/>
        </w:rPr>
        <w:t> </w:t>
      </w:r>
      <w:r>
        <w:rPr>
          <w:rFonts w:ascii="Times New Roman" w:hAnsi="Times New Roman"/>
          <w:sz w:val="19"/>
          <w:vertAlign w:val="baseline"/>
        </w:rPr>
        <w:t>See</w:t>
      </w:r>
      <w:r>
        <w:rPr>
          <w:rFonts w:ascii="Times New Roman" w:hAnsi="Times New Roman"/>
          <w:spacing w:val="-6"/>
          <w:sz w:val="19"/>
          <w:vertAlign w:val="baseline"/>
        </w:rPr>
        <w:t> </w:t>
      </w:r>
      <w:r>
        <w:rPr>
          <w:rFonts w:ascii="Times New Roman" w:hAnsi="Times New Roman"/>
          <w:sz w:val="19"/>
          <w:vertAlign w:val="baseline"/>
        </w:rPr>
        <w:t>Bone,</w:t>
      </w:r>
      <w:r>
        <w:rPr>
          <w:rFonts w:ascii="Times New Roman" w:hAnsi="Times New Roman"/>
          <w:spacing w:val="-4"/>
          <w:sz w:val="19"/>
          <w:vertAlign w:val="baseline"/>
        </w:rPr>
        <w:t> </w:t>
      </w:r>
      <w:r>
        <w:rPr>
          <w:rFonts w:ascii="Times New Roman" w:hAnsi="Times New Roman"/>
          <w:sz w:val="19"/>
          <w:vertAlign w:val="baseline"/>
        </w:rPr>
        <w:t>S.</w:t>
      </w:r>
      <w:r>
        <w:rPr>
          <w:rFonts w:ascii="Times New Roman" w:hAnsi="Times New Roman"/>
          <w:spacing w:val="-8"/>
          <w:sz w:val="19"/>
          <w:vertAlign w:val="baseline"/>
        </w:rPr>
        <w:t> </w:t>
      </w:r>
      <w:r>
        <w:rPr>
          <w:rFonts w:ascii="Times New Roman" w:hAnsi="Times New Roman"/>
          <w:sz w:val="19"/>
          <w:vertAlign w:val="baseline"/>
        </w:rPr>
        <w:t>et</w:t>
      </w:r>
      <w:r>
        <w:rPr>
          <w:rFonts w:ascii="Times New Roman" w:hAnsi="Times New Roman"/>
          <w:spacing w:val="-8"/>
          <w:sz w:val="19"/>
          <w:vertAlign w:val="baseline"/>
        </w:rPr>
        <w:t> </w:t>
      </w:r>
      <w:r>
        <w:rPr>
          <w:rFonts w:ascii="Times New Roman" w:hAnsi="Times New Roman"/>
          <w:sz w:val="19"/>
          <w:vertAlign w:val="baseline"/>
        </w:rPr>
        <w:t>al</w:t>
      </w:r>
      <w:r>
        <w:rPr>
          <w:rFonts w:ascii="Times New Roman" w:hAnsi="Times New Roman"/>
          <w:spacing w:val="-4"/>
          <w:sz w:val="19"/>
          <w:vertAlign w:val="baseline"/>
        </w:rPr>
        <w:t> </w:t>
      </w:r>
      <w:r>
        <w:rPr>
          <w:rFonts w:ascii="Times New Roman" w:hAnsi="Times New Roman"/>
          <w:sz w:val="19"/>
          <w:u w:val="single"/>
          <w:vertAlign w:val="baseline"/>
        </w:rPr>
        <w:t>Osborn’s</w:t>
      </w:r>
      <w:r>
        <w:rPr>
          <w:rFonts w:ascii="Times New Roman" w:hAnsi="Times New Roman"/>
          <w:spacing w:val="-6"/>
          <w:sz w:val="19"/>
          <w:u w:val="single"/>
          <w:vertAlign w:val="baseline"/>
        </w:rPr>
        <w:t> </w:t>
      </w:r>
      <w:r>
        <w:rPr>
          <w:rFonts w:ascii="Times New Roman" w:hAnsi="Times New Roman"/>
          <w:sz w:val="19"/>
          <w:u w:val="single"/>
          <w:vertAlign w:val="baseline"/>
        </w:rPr>
        <w:t>Concise</w:t>
      </w:r>
      <w:r>
        <w:rPr>
          <w:rFonts w:ascii="Times New Roman" w:hAnsi="Times New Roman"/>
          <w:spacing w:val="-10"/>
          <w:sz w:val="19"/>
          <w:u w:val="single"/>
          <w:vertAlign w:val="baseline"/>
        </w:rPr>
        <w:t> </w:t>
      </w:r>
      <w:r>
        <w:rPr>
          <w:rFonts w:ascii="Times New Roman" w:hAnsi="Times New Roman"/>
          <w:sz w:val="19"/>
          <w:u w:val="single"/>
          <w:vertAlign w:val="baseline"/>
        </w:rPr>
        <w:t>Law</w:t>
      </w:r>
      <w:r>
        <w:rPr>
          <w:rFonts w:ascii="Times New Roman" w:hAnsi="Times New Roman"/>
          <w:spacing w:val="-10"/>
          <w:sz w:val="19"/>
          <w:u w:val="single"/>
          <w:vertAlign w:val="baseline"/>
        </w:rPr>
        <w:t> </w:t>
      </w:r>
      <w:r>
        <w:rPr>
          <w:rFonts w:ascii="Times New Roman" w:hAnsi="Times New Roman"/>
          <w:sz w:val="19"/>
          <w:u w:val="single"/>
          <w:vertAlign w:val="baseline"/>
        </w:rPr>
        <w:t>Dictionary</w:t>
      </w:r>
      <w:r>
        <w:rPr>
          <w:rFonts w:ascii="Times New Roman" w:hAnsi="Times New Roman"/>
          <w:sz w:val="19"/>
          <w:vertAlign w:val="baseline"/>
        </w:rPr>
        <w:t>,</w:t>
      </w:r>
      <w:r>
        <w:rPr>
          <w:rFonts w:ascii="Times New Roman" w:hAnsi="Times New Roman"/>
          <w:spacing w:val="-4"/>
          <w:sz w:val="19"/>
          <w:vertAlign w:val="baseline"/>
        </w:rPr>
        <w:t> </w:t>
      </w:r>
      <w:r>
        <w:rPr>
          <w:rFonts w:ascii="Times New Roman" w:hAnsi="Times New Roman"/>
          <w:sz w:val="19"/>
          <w:vertAlign w:val="baseline"/>
        </w:rPr>
        <w:t>Ninth</w:t>
      </w:r>
      <w:r>
        <w:rPr>
          <w:rFonts w:ascii="Times New Roman" w:hAnsi="Times New Roman"/>
          <w:spacing w:val="-11"/>
          <w:sz w:val="19"/>
          <w:vertAlign w:val="baseline"/>
        </w:rPr>
        <w:t> </w:t>
      </w:r>
      <w:r>
        <w:rPr>
          <w:rFonts w:ascii="Times New Roman" w:hAnsi="Times New Roman"/>
          <w:sz w:val="19"/>
          <w:vertAlign w:val="baseline"/>
        </w:rPr>
        <w:t>Edition,</w:t>
      </w:r>
      <w:r>
        <w:rPr>
          <w:rFonts w:ascii="Times New Roman" w:hAnsi="Times New Roman"/>
          <w:spacing w:val="-8"/>
          <w:sz w:val="19"/>
          <w:vertAlign w:val="baseline"/>
        </w:rPr>
        <w:t> </w:t>
      </w:r>
      <w:r>
        <w:rPr>
          <w:rFonts w:ascii="Times New Roman" w:hAnsi="Times New Roman"/>
          <w:sz w:val="19"/>
          <w:vertAlign w:val="baseline"/>
        </w:rPr>
        <w:t>Sweet</w:t>
      </w:r>
      <w:r>
        <w:rPr>
          <w:rFonts w:ascii="Times New Roman" w:hAnsi="Times New Roman"/>
          <w:spacing w:val="-8"/>
          <w:sz w:val="19"/>
          <w:vertAlign w:val="baseline"/>
        </w:rPr>
        <w:t> </w:t>
      </w:r>
      <w:r>
        <w:rPr>
          <w:rFonts w:ascii="Times New Roman" w:hAnsi="Times New Roman"/>
          <w:sz w:val="19"/>
          <w:vertAlign w:val="baseline"/>
        </w:rPr>
        <w:t>and</w:t>
      </w:r>
      <w:r>
        <w:rPr>
          <w:rFonts w:ascii="Times New Roman" w:hAnsi="Times New Roman"/>
          <w:spacing w:val="-11"/>
          <w:sz w:val="19"/>
          <w:vertAlign w:val="baseline"/>
        </w:rPr>
        <w:t> </w:t>
      </w:r>
      <w:r>
        <w:rPr>
          <w:rFonts w:ascii="Times New Roman" w:hAnsi="Times New Roman"/>
          <w:sz w:val="19"/>
          <w:vertAlign w:val="baseline"/>
        </w:rPr>
        <w:t>Maxwell,</w:t>
      </w:r>
      <w:r>
        <w:rPr>
          <w:rFonts w:ascii="Times New Roman" w:hAnsi="Times New Roman"/>
          <w:spacing w:val="-8"/>
          <w:sz w:val="19"/>
          <w:vertAlign w:val="baseline"/>
        </w:rPr>
        <w:t> </w:t>
      </w:r>
      <w:r>
        <w:rPr>
          <w:rFonts w:ascii="Times New Roman" w:hAnsi="Times New Roman"/>
          <w:sz w:val="19"/>
          <w:vertAlign w:val="baseline"/>
        </w:rPr>
        <w:t>London</w:t>
      </w:r>
      <w:r>
        <w:rPr>
          <w:rFonts w:ascii="Times New Roman" w:hAnsi="Times New Roman"/>
          <w:spacing w:val="-6"/>
          <w:sz w:val="19"/>
          <w:vertAlign w:val="baseline"/>
        </w:rPr>
        <w:t> </w:t>
      </w:r>
      <w:r>
        <w:rPr>
          <w:rFonts w:ascii="Times New Roman" w:hAnsi="Times New Roman"/>
          <w:sz w:val="19"/>
          <w:vertAlign w:val="baseline"/>
        </w:rPr>
        <w:t>(2001)</w:t>
      </w:r>
      <w:r>
        <w:rPr>
          <w:rFonts w:ascii="Times New Roman" w:hAnsi="Times New Roman"/>
          <w:spacing w:val="-9"/>
          <w:sz w:val="19"/>
          <w:vertAlign w:val="baseline"/>
        </w:rPr>
        <w:t> </w:t>
      </w:r>
      <w:r>
        <w:rPr>
          <w:rFonts w:ascii="Times New Roman" w:hAnsi="Times New Roman"/>
          <w:sz w:val="19"/>
          <w:vertAlign w:val="baseline"/>
        </w:rPr>
        <w:t>p. 387 where trust is explained as being for the benefit of the beneficiaries</w:t>
      </w:r>
    </w:p>
    <w:p>
      <w:pPr>
        <w:spacing w:after="0" w:line="237" w:lineRule="auto"/>
        <w:jc w:val="left"/>
        <w:rPr>
          <w:rFonts w:ascii="Times New Roman" w:hAnsi="Times New Roman"/>
          <w:sz w:val="19"/>
        </w:rPr>
        <w:sectPr>
          <w:pgSz w:w="12240" w:h="15840"/>
          <w:pgMar w:header="0" w:footer="1009" w:top="1560" w:bottom="1200" w:left="1680" w:right="1320"/>
        </w:sectPr>
      </w:pPr>
    </w:p>
    <w:p>
      <w:pPr>
        <w:pStyle w:val="BodyText"/>
        <w:spacing w:line="489" w:lineRule="auto" w:before="94"/>
        <w:ind w:left="187" w:right="569"/>
        <w:jc w:val="both"/>
      </w:pPr>
      <w:r>
        <w:rPr/>
        <w:t>Where there is need to invest any money in the Fund, it is the Board that has the power to approve such amount needed for investment.</w:t>
      </w:r>
      <w:r>
        <w:rPr>
          <w:vertAlign w:val="superscript"/>
        </w:rPr>
        <w:t>123</w:t>
      </w:r>
      <w:r>
        <w:rPr>
          <w:vertAlign w:val="baseline"/>
        </w:rPr>
        <w:t> It |xerefore means that the Board can approve any amount for the purpose of investment.</w:t>
      </w:r>
    </w:p>
    <w:p>
      <w:pPr>
        <w:pStyle w:val="BodyText"/>
        <w:spacing w:before="10"/>
      </w:pPr>
    </w:p>
    <w:p>
      <w:pPr>
        <w:pStyle w:val="BodyText"/>
        <w:spacing w:line="489" w:lineRule="auto"/>
        <w:ind w:left="1540" w:right="565"/>
        <w:jc w:val="both"/>
      </w:pPr>
      <w:r>
        <w:rPr/>
        <w:t>The Board has powers to fix the terms and conditions of service including</w:t>
      </w:r>
      <w:r>
        <w:rPr>
          <w:spacing w:val="36"/>
        </w:rPr>
        <w:t> </w:t>
      </w:r>
      <w:r>
        <w:rPr/>
        <w:t>remuneration</w:t>
      </w:r>
      <w:r>
        <w:rPr>
          <w:spacing w:val="35"/>
        </w:rPr>
        <w:t> </w:t>
      </w:r>
      <w:r>
        <w:rPr/>
        <w:t>of</w:t>
      </w:r>
      <w:r>
        <w:rPr>
          <w:spacing w:val="38"/>
        </w:rPr>
        <w:t> </w:t>
      </w:r>
      <w:r>
        <w:rPr/>
        <w:t>employees</w:t>
      </w:r>
      <w:r>
        <w:rPr>
          <w:spacing w:val="37"/>
        </w:rPr>
        <w:t> </w:t>
      </w:r>
      <w:r>
        <w:rPr/>
        <w:t>of</w:t>
      </w:r>
      <w:r>
        <w:rPr>
          <w:spacing w:val="38"/>
        </w:rPr>
        <w:t> </w:t>
      </w:r>
      <w:r>
        <w:rPr/>
        <w:t>the</w:t>
      </w:r>
      <w:r>
        <w:rPr>
          <w:spacing w:val="33"/>
        </w:rPr>
        <w:t> </w:t>
      </w:r>
      <w:r>
        <w:rPr/>
        <w:t>Fund.</w:t>
      </w:r>
      <w:r>
        <w:rPr>
          <w:vertAlign w:val="superscript"/>
        </w:rPr>
        <w:t>124</w:t>
      </w:r>
      <w:r>
        <w:rPr>
          <w:spacing w:val="37"/>
          <w:vertAlign w:val="baseline"/>
        </w:rPr>
        <w:t> </w:t>
      </w:r>
      <w:r>
        <w:rPr>
          <w:vertAlign w:val="baseline"/>
        </w:rPr>
        <w:t>A</w:t>
      </w:r>
      <w:r>
        <w:rPr>
          <w:spacing w:val="30"/>
          <w:vertAlign w:val="baseline"/>
        </w:rPr>
        <w:t> </w:t>
      </w:r>
      <w:r>
        <w:rPr>
          <w:vertAlign w:val="baseline"/>
        </w:rPr>
        <w:t>careful</w:t>
      </w:r>
      <w:r>
        <w:rPr>
          <w:spacing w:val="36"/>
          <w:vertAlign w:val="baseline"/>
        </w:rPr>
        <w:t> </w:t>
      </w:r>
      <w:r>
        <w:rPr>
          <w:vertAlign w:val="baseline"/>
        </w:rPr>
        <w:t>look at</w:t>
      </w:r>
      <w:r>
        <w:rPr>
          <w:spacing w:val="25"/>
          <w:vertAlign w:val="baseline"/>
        </w:rPr>
        <w:t> </w:t>
      </w:r>
      <w:r>
        <w:rPr>
          <w:vertAlign w:val="baseline"/>
        </w:rPr>
        <w:t>the</w:t>
      </w:r>
      <w:r>
        <w:rPr>
          <w:spacing w:val="28"/>
          <w:vertAlign w:val="baseline"/>
        </w:rPr>
        <w:t> </w:t>
      </w:r>
      <w:r>
        <w:rPr>
          <w:vertAlign w:val="baseline"/>
        </w:rPr>
        <w:t>Act</w:t>
      </w:r>
      <w:r>
        <w:rPr>
          <w:spacing w:val="25"/>
          <w:vertAlign w:val="baseline"/>
        </w:rPr>
        <w:t> </w:t>
      </w:r>
      <w:r>
        <w:rPr>
          <w:vertAlign w:val="baseline"/>
        </w:rPr>
        <w:t>reveals that</w:t>
      </w:r>
      <w:r>
        <w:rPr>
          <w:spacing w:val="25"/>
          <w:vertAlign w:val="baseline"/>
        </w:rPr>
        <w:t> </w:t>
      </w:r>
      <w:r>
        <w:rPr>
          <w:vertAlign w:val="baseline"/>
        </w:rPr>
        <w:t>employees</w:t>
      </w:r>
      <w:r>
        <w:rPr>
          <w:spacing w:val="28"/>
          <w:vertAlign w:val="baseline"/>
        </w:rPr>
        <w:t> </w:t>
      </w:r>
      <w:r>
        <w:rPr>
          <w:vertAlign w:val="baseline"/>
        </w:rPr>
        <w:t>of</w:t>
      </w:r>
      <w:r>
        <w:rPr>
          <w:spacing w:val="29"/>
          <w:vertAlign w:val="baseline"/>
        </w:rPr>
        <w:t> </w:t>
      </w:r>
      <w:r>
        <w:rPr>
          <w:vertAlign w:val="baseline"/>
        </w:rPr>
        <w:t>‘the Fund’</w:t>
      </w:r>
      <w:r>
        <w:rPr>
          <w:spacing w:val="25"/>
          <w:vertAlign w:val="baseline"/>
        </w:rPr>
        <w:t> </w:t>
      </w:r>
      <w:r>
        <w:rPr>
          <w:vertAlign w:val="baseline"/>
        </w:rPr>
        <w:t>here are employees of</w:t>
      </w:r>
      <w:r>
        <w:rPr>
          <w:spacing w:val="31"/>
          <w:vertAlign w:val="baseline"/>
        </w:rPr>
        <w:t> </w:t>
      </w:r>
      <w:r>
        <w:rPr>
          <w:vertAlign w:val="baseline"/>
        </w:rPr>
        <w:t>the Board.</w:t>
      </w:r>
      <w:r>
        <w:rPr>
          <w:vertAlign w:val="superscript"/>
        </w:rPr>
        <w:t>125</w:t>
      </w:r>
      <w:r>
        <w:rPr>
          <w:vertAlign w:val="baseline"/>
        </w:rPr>
        <w:t> If this is the</w:t>
      </w:r>
      <w:r>
        <w:rPr>
          <w:spacing w:val="31"/>
          <w:vertAlign w:val="baseline"/>
        </w:rPr>
        <w:t> </w:t>
      </w:r>
      <w:r>
        <w:rPr>
          <w:vertAlign w:val="baseline"/>
        </w:rPr>
        <w:t>case, it is therefore</w:t>
      </w:r>
      <w:r>
        <w:rPr>
          <w:spacing w:val="31"/>
          <w:vertAlign w:val="baseline"/>
        </w:rPr>
        <w:t> </w:t>
      </w:r>
      <w:r>
        <w:rPr>
          <w:vertAlign w:val="baseline"/>
        </w:rPr>
        <w:t>alarming that</w:t>
      </w:r>
      <w:r>
        <w:rPr>
          <w:spacing w:val="33"/>
          <w:vertAlign w:val="baseline"/>
        </w:rPr>
        <w:t> </w:t>
      </w:r>
      <w:r>
        <w:rPr>
          <w:vertAlign w:val="baseline"/>
        </w:rPr>
        <w:t>the Act gives the Board, the latitude of fixing remuneration for its employees from the trust money of which it is the trustee. It will create</w:t>
      </w:r>
      <w:r>
        <w:rPr>
          <w:spacing w:val="40"/>
          <w:vertAlign w:val="baseline"/>
        </w:rPr>
        <w:t> </w:t>
      </w:r>
      <w:r>
        <w:rPr>
          <w:vertAlign w:val="baseline"/>
        </w:rPr>
        <w:t>a</w:t>
      </w:r>
      <w:r>
        <w:rPr>
          <w:spacing w:val="40"/>
          <w:vertAlign w:val="baseline"/>
        </w:rPr>
        <w:t> </w:t>
      </w:r>
      <w:r>
        <w:rPr>
          <w:vertAlign w:val="baseline"/>
        </w:rPr>
        <w:t>situation</w:t>
      </w:r>
      <w:r>
        <w:rPr>
          <w:spacing w:val="40"/>
          <w:vertAlign w:val="baseline"/>
        </w:rPr>
        <w:t> </w:t>
      </w:r>
      <w:r>
        <w:rPr>
          <w:vertAlign w:val="baseline"/>
        </w:rPr>
        <w:t>where</w:t>
      </w:r>
      <w:r>
        <w:rPr>
          <w:spacing w:val="40"/>
          <w:vertAlign w:val="baseline"/>
        </w:rPr>
        <w:t> </w:t>
      </w:r>
      <w:r>
        <w:rPr>
          <w:vertAlign w:val="baseline"/>
        </w:rPr>
        <w:t>the</w:t>
      </w:r>
      <w:r>
        <w:rPr>
          <w:spacing w:val="40"/>
          <w:vertAlign w:val="baseline"/>
        </w:rPr>
        <w:t> </w:t>
      </w:r>
      <w:r>
        <w:rPr>
          <w:vertAlign w:val="baseline"/>
        </w:rPr>
        <w:t>interest</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“trustee”</w:t>
      </w:r>
      <w:r>
        <w:rPr>
          <w:spacing w:val="40"/>
          <w:vertAlign w:val="baseline"/>
        </w:rPr>
        <w:t> </w:t>
      </w:r>
      <w:r>
        <w:rPr>
          <w:vertAlign w:val="baseline"/>
        </w:rPr>
        <w:t>will</w:t>
      </w:r>
      <w:r>
        <w:rPr>
          <w:spacing w:val="40"/>
          <w:vertAlign w:val="baseline"/>
        </w:rPr>
        <w:t> </w:t>
      </w:r>
      <w:r>
        <w:rPr>
          <w:vertAlign w:val="baseline"/>
        </w:rPr>
        <w:t>conflict with the interest of the beneficiary.</w:t>
      </w:r>
    </w:p>
    <w:p>
      <w:pPr>
        <w:pStyle w:val="BodyText"/>
        <w:spacing w:line="489" w:lineRule="auto" w:before="5"/>
        <w:ind w:left="244" w:right="562" w:firstLine="57"/>
        <w:jc w:val="both"/>
      </w:pPr>
      <w:r>
        <w:rPr/>
        <w:t>It is the responsibility of the Board to formulate policies and strategies for assessment of compensation. This also includes rehabilitation and welfare of injured employees or those employees who contract occupational diseases at the workplace or in the course of employment.</w:t>
      </w:r>
      <w:r>
        <w:rPr>
          <w:vertAlign w:val="superscript"/>
        </w:rPr>
        <w:t>126</w:t>
      </w:r>
      <w:r>
        <w:rPr>
          <w:vertAlign w:val="baseline"/>
        </w:rPr>
        <w:t> The Board can here, make expenditures</w:t>
      </w:r>
      <w:r>
        <w:rPr>
          <w:spacing w:val="40"/>
          <w:vertAlign w:val="baseline"/>
        </w:rPr>
        <w:t> </w:t>
      </w:r>
      <w:r>
        <w:rPr>
          <w:vertAlign w:val="baseline"/>
        </w:rPr>
        <w:t>that</w:t>
      </w:r>
      <w:r>
        <w:rPr>
          <w:spacing w:val="40"/>
          <w:vertAlign w:val="baseline"/>
        </w:rPr>
        <w:t> </w:t>
      </w:r>
      <w:r>
        <w:rPr>
          <w:vertAlign w:val="baseline"/>
        </w:rPr>
        <w:t>it</w:t>
      </w:r>
      <w:r>
        <w:rPr>
          <w:spacing w:val="40"/>
          <w:vertAlign w:val="baseline"/>
        </w:rPr>
        <w:t> </w:t>
      </w:r>
      <w:r>
        <w:rPr>
          <w:vertAlign w:val="baseline"/>
        </w:rPr>
        <w:t>considers</w:t>
      </w:r>
      <w:r>
        <w:rPr>
          <w:spacing w:val="40"/>
          <w:vertAlign w:val="baseline"/>
        </w:rPr>
        <w:t> </w:t>
      </w:r>
      <w:r>
        <w:rPr>
          <w:vertAlign w:val="baseline"/>
        </w:rPr>
        <w:t>necessary</w:t>
      </w:r>
      <w:r>
        <w:rPr>
          <w:spacing w:val="40"/>
          <w:vertAlign w:val="baseline"/>
        </w:rPr>
        <w:t> </w:t>
      </w:r>
      <w:r>
        <w:rPr>
          <w:vertAlign w:val="baseline"/>
        </w:rPr>
        <w:t>in</w:t>
      </w:r>
      <w:r>
        <w:rPr>
          <w:spacing w:val="40"/>
          <w:vertAlign w:val="baseline"/>
        </w:rPr>
        <w:t> </w:t>
      </w:r>
      <w:r>
        <w:rPr>
          <w:vertAlign w:val="baseline"/>
        </w:rPr>
        <w:t>getting</w:t>
      </w:r>
      <w:r>
        <w:rPr>
          <w:spacing w:val="40"/>
          <w:vertAlign w:val="baseline"/>
        </w:rPr>
        <w:t> </w:t>
      </w:r>
      <w:r>
        <w:rPr>
          <w:vertAlign w:val="baseline"/>
        </w:rPr>
        <w:t>an</w:t>
      </w:r>
      <w:r>
        <w:rPr>
          <w:spacing w:val="40"/>
          <w:vertAlign w:val="baseline"/>
        </w:rPr>
        <w:t> </w:t>
      </w:r>
      <w:r>
        <w:rPr>
          <w:vertAlign w:val="baseline"/>
        </w:rPr>
        <w:t>injured</w:t>
      </w:r>
      <w:r>
        <w:rPr>
          <w:spacing w:val="40"/>
          <w:vertAlign w:val="baseline"/>
        </w:rPr>
        <w:t> </w:t>
      </w:r>
      <w:r>
        <w:rPr>
          <w:vertAlign w:val="baseline"/>
        </w:rPr>
        <w:t>person</w:t>
      </w:r>
      <w:r>
        <w:rPr>
          <w:spacing w:val="40"/>
          <w:vertAlign w:val="baseline"/>
        </w:rPr>
        <w:t> </w:t>
      </w:r>
      <w:r>
        <w:rPr>
          <w:vertAlign w:val="baseline"/>
        </w:rPr>
        <w:t>back</w:t>
      </w:r>
      <w:r>
        <w:rPr>
          <w:spacing w:val="40"/>
          <w:vertAlign w:val="baseline"/>
        </w:rPr>
        <w:t> </w:t>
      </w:r>
      <w:r>
        <w:rPr>
          <w:vertAlign w:val="baseline"/>
        </w:rPr>
        <w:t>to work or try to lessen or remove any disability.</w:t>
      </w:r>
      <w:r>
        <w:rPr>
          <w:vertAlign w:val="superscript"/>
        </w:rPr>
        <w:t>127</w:t>
      </w:r>
    </w:p>
    <w:p>
      <w:pPr>
        <w:pStyle w:val="BodyText"/>
        <w:spacing w:before="11"/>
      </w:pPr>
    </w:p>
    <w:p>
      <w:pPr>
        <w:pStyle w:val="BodyText"/>
        <w:spacing w:line="494" w:lineRule="auto"/>
        <w:ind w:left="302" w:right="568"/>
        <w:jc w:val="both"/>
      </w:pPr>
      <w:r>
        <w:rPr/>
        <w:t>For the purposes of carrying out official duties under the Act, and under any regulation</w:t>
      </w:r>
      <w:r>
        <w:rPr>
          <w:spacing w:val="22"/>
        </w:rPr>
        <w:t> </w:t>
      </w:r>
      <w:r>
        <w:rPr/>
        <w:t>or</w:t>
      </w:r>
      <w:r>
        <w:rPr>
          <w:spacing w:val="29"/>
        </w:rPr>
        <w:t> </w:t>
      </w:r>
      <w:r>
        <w:rPr/>
        <w:t>any</w:t>
      </w:r>
      <w:r>
        <w:rPr>
          <w:spacing w:val="22"/>
        </w:rPr>
        <w:t> </w:t>
      </w:r>
      <w:r>
        <w:rPr/>
        <w:t>enactment,</w:t>
      </w:r>
      <w:r>
        <w:rPr>
          <w:spacing w:val="24"/>
        </w:rPr>
        <w:t> </w:t>
      </w:r>
      <w:r>
        <w:rPr/>
        <w:t>an</w:t>
      </w:r>
      <w:r>
        <w:rPr>
          <w:spacing w:val="27"/>
        </w:rPr>
        <w:t> </w:t>
      </w:r>
      <w:r>
        <w:rPr/>
        <w:t>officer</w:t>
      </w:r>
      <w:r>
        <w:rPr>
          <w:spacing w:val="21"/>
        </w:rPr>
        <w:t> </w:t>
      </w:r>
      <w:r>
        <w:rPr/>
        <w:t>of</w:t>
      </w:r>
      <w:r>
        <w:rPr>
          <w:spacing w:val="20"/>
        </w:rPr>
        <w:t> </w:t>
      </w:r>
      <w:r>
        <w:rPr/>
        <w:t>the</w:t>
      </w:r>
      <w:r>
        <w:rPr>
          <w:spacing w:val="24"/>
        </w:rPr>
        <w:t> </w:t>
      </w:r>
      <w:r>
        <w:rPr/>
        <w:t>Board</w:t>
      </w:r>
      <w:r>
        <w:rPr>
          <w:spacing w:val="23"/>
        </w:rPr>
        <w:t> </w:t>
      </w:r>
      <w:r>
        <w:rPr/>
        <w:t>has</w:t>
      </w:r>
      <w:r>
        <w:rPr>
          <w:spacing w:val="25"/>
        </w:rPr>
        <w:t> </w:t>
      </w:r>
      <w:r>
        <w:rPr/>
        <w:t>the</w:t>
      </w:r>
      <w:r>
        <w:rPr>
          <w:spacing w:val="24"/>
        </w:rPr>
        <w:t> </w:t>
      </w:r>
      <w:r>
        <w:rPr/>
        <w:t>power</w:t>
      </w:r>
      <w:r>
        <w:rPr>
          <w:spacing w:val="26"/>
        </w:rPr>
        <w:t> </w:t>
      </w:r>
      <w:r>
        <w:rPr/>
        <w:t>to</w:t>
      </w:r>
      <w:r>
        <w:rPr>
          <w:spacing w:val="20"/>
        </w:rPr>
        <w:t> </w:t>
      </w:r>
      <w:r>
        <w:rPr/>
        <w:t>enter</w:t>
      </w:r>
      <w:r>
        <w:rPr>
          <w:spacing w:val="25"/>
        </w:rPr>
        <w:t> </w:t>
      </w:r>
      <w:r>
        <w:rPr>
          <w:spacing w:val="-5"/>
        </w:rPr>
        <w:t>in</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7616512">
                <wp:simplePos x="0" y="0"/>
                <wp:positionH relativeFrom="page">
                  <wp:posOffset>1185672</wp:posOffset>
                </wp:positionH>
                <wp:positionV relativeFrom="paragraph">
                  <wp:posOffset>205620</wp:posOffset>
                </wp:positionV>
                <wp:extent cx="1719580" cy="6350"/>
                <wp:effectExtent l="0" t="0" r="0" b="0"/>
                <wp:wrapTopAndBottom/>
                <wp:docPr id="66" name="Graphic 66"/>
                <wp:cNvGraphicFramePr>
                  <a:graphicFrameLocks/>
                </wp:cNvGraphicFramePr>
                <a:graphic>
                  <a:graphicData uri="http://schemas.microsoft.com/office/word/2010/wordprocessingShape">
                    <wps:wsp>
                      <wps:cNvPr id="66" name="Graphic 66"/>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6.190624pt;width:135.360pt;height:.48pt;mso-position-horizontal-relative:page;mso-position-vertical-relative:paragraph;z-index:-15699968;mso-wrap-distance-left:0;mso-wrap-distance-right:0" id="docshape66"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123</w:t>
      </w:r>
      <w:r>
        <w:rPr>
          <w:rFonts w:ascii="Times New Roman"/>
          <w:spacing w:val="-3"/>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31(b</w:t>
      </w:r>
      <w:r>
        <w:rPr>
          <w:rFonts w:ascii="Times New Roman"/>
          <w:i/>
          <w:sz w:val="19"/>
          <w:vertAlign w:val="baseline"/>
        </w:rPr>
        <w:t>)</w:t>
      </w:r>
      <w:r>
        <w:rPr>
          <w:rFonts w:ascii="Times New Roman"/>
          <w:i/>
          <w:spacing w:val="-9"/>
          <w:sz w:val="19"/>
          <w:vertAlign w:val="baseline"/>
        </w:rPr>
        <w:t> </w:t>
      </w:r>
      <w:r>
        <w:rPr>
          <w:rFonts w:ascii="Times New Roman"/>
          <w:i/>
          <w:sz w:val="19"/>
          <w:vertAlign w:val="baseline"/>
        </w:rPr>
        <w:t>op.</w:t>
      </w:r>
      <w:r>
        <w:rPr>
          <w:rFonts w:ascii="Times New Roman"/>
          <w:i/>
          <w:spacing w:val="-7"/>
          <w:sz w:val="19"/>
          <w:vertAlign w:val="baseline"/>
        </w:rPr>
        <w:t> </w:t>
      </w:r>
      <w:r>
        <w:rPr>
          <w:rFonts w:ascii="Times New Roman"/>
          <w:i/>
          <w:spacing w:val="-5"/>
          <w:sz w:val="19"/>
          <w:vertAlign w:val="baseline"/>
        </w:rPr>
        <w:t>cit</w:t>
      </w:r>
    </w:p>
    <w:p>
      <w:pPr>
        <w:spacing w:line="214" w:lineRule="exact" w:before="0"/>
        <w:ind w:left="187" w:right="0" w:firstLine="0"/>
        <w:jc w:val="left"/>
        <w:rPr>
          <w:rFonts w:ascii="Times New Roman"/>
          <w:i/>
          <w:sz w:val="19"/>
        </w:rPr>
      </w:pPr>
      <w:r>
        <w:rPr>
          <w:rFonts w:ascii="Times New Roman"/>
          <w:sz w:val="19"/>
          <w:vertAlign w:val="superscript"/>
        </w:rPr>
        <w:t>124</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31(C</w:t>
      </w:r>
      <w:r>
        <w:rPr>
          <w:rFonts w:ascii="Times New Roman"/>
          <w:i/>
          <w:sz w:val="19"/>
          <w:vertAlign w:val="baseline"/>
        </w:rPr>
        <w:t>)</w:t>
      </w:r>
      <w:r>
        <w:rPr>
          <w:rFonts w:ascii="Times New Roman"/>
          <w:i/>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125</w:t>
      </w:r>
      <w:r>
        <w:rPr>
          <w:rFonts w:ascii="Times New Roman"/>
          <w:spacing w:val="-2"/>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sections</w:t>
      </w:r>
      <w:r>
        <w:rPr>
          <w:rFonts w:ascii="Times New Roman"/>
          <w:spacing w:val="-9"/>
          <w:sz w:val="19"/>
          <w:vertAlign w:val="baseline"/>
        </w:rPr>
        <w:t> </w:t>
      </w:r>
      <w:r>
        <w:rPr>
          <w:rFonts w:ascii="Times New Roman"/>
          <w:sz w:val="19"/>
          <w:vertAlign w:val="baseline"/>
        </w:rPr>
        <w:t>56</w:t>
      </w:r>
      <w:r>
        <w:rPr>
          <w:rFonts w:ascii="Times New Roman"/>
          <w:spacing w:val="-9"/>
          <w:sz w:val="19"/>
          <w:vertAlign w:val="baseline"/>
        </w:rPr>
        <w:t> </w:t>
      </w:r>
      <w:r>
        <w:rPr>
          <w:rFonts w:ascii="Times New Roman"/>
          <w:sz w:val="19"/>
          <w:vertAlign w:val="baseline"/>
        </w:rPr>
        <w:t>and</w:t>
      </w:r>
      <w:r>
        <w:rPr>
          <w:rFonts w:ascii="Times New Roman"/>
          <w:spacing w:val="-5"/>
          <w:sz w:val="19"/>
          <w:vertAlign w:val="baseline"/>
        </w:rPr>
        <w:t> </w:t>
      </w:r>
      <w:r>
        <w:rPr>
          <w:rFonts w:ascii="Times New Roman"/>
          <w:sz w:val="19"/>
          <w:vertAlign w:val="baseline"/>
        </w:rPr>
        <w:t>57</w:t>
      </w:r>
      <w:r>
        <w:rPr>
          <w:rFonts w:ascii="Times New Roman"/>
          <w:spacing w:val="-10"/>
          <w:sz w:val="19"/>
          <w:vertAlign w:val="baseline"/>
        </w:rPr>
        <w:t> </w:t>
      </w:r>
      <w:r>
        <w:rPr>
          <w:rFonts w:ascii="Times New Roman"/>
          <w:i/>
          <w:sz w:val="19"/>
          <w:vertAlign w:val="baseline"/>
        </w:rPr>
        <w:t>ibid</w:t>
      </w:r>
      <w:r>
        <w:rPr>
          <w:rFonts w:ascii="Times New Roman"/>
          <w:i/>
          <w:spacing w:val="-6"/>
          <w:sz w:val="19"/>
          <w:vertAlign w:val="baseline"/>
        </w:rPr>
        <w:t> </w:t>
      </w:r>
      <w:r>
        <w:rPr>
          <w:rFonts w:ascii="Times New Roman"/>
          <w:sz w:val="19"/>
          <w:vertAlign w:val="baseline"/>
        </w:rPr>
        <w:t>which</w:t>
      </w:r>
      <w:r>
        <w:rPr>
          <w:rFonts w:ascii="Times New Roman"/>
          <w:spacing w:val="-2"/>
          <w:sz w:val="19"/>
          <w:vertAlign w:val="baseline"/>
        </w:rPr>
        <w:t> </w:t>
      </w:r>
      <w:r>
        <w:rPr>
          <w:rFonts w:ascii="Times New Roman"/>
          <w:sz w:val="19"/>
          <w:vertAlign w:val="baseline"/>
        </w:rPr>
        <w:t>empower</w:t>
      </w:r>
      <w:r>
        <w:rPr>
          <w:rFonts w:ascii="Times New Roman"/>
          <w:spacing w:val="-3"/>
          <w:sz w:val="19"/>
          <w:vertAlign w:val="baseline"/>
        </w:rPr>
        <w:t> </w:t>
      </w:r>
      <w:r>
        <w:rPr>
          <w:rFonts w:ascii="Times New Roman"/>
          <w:sz w:val="19"/>
          <w:vertAlign w:val="baseline"/>
        </w:rPr>
        <w:t>the</w:t>
      </w:r>
      <w:r>
        <w:rPr>
          <w:rFonts w:ascii="Times New Roman"/>
          <w:spacing w:val="-4"/>
          <w:sz w:val="19"/>
          <w:vertAlign w:val="baseline"/>
        </w:rPr>
        <w:t> </w:t>
      </w:r>
      <w:r>
        <w:rPr>
          <w:rFonts w:ascii="Times New Roman"/>
          <w:sz w:val="19"/>
          <w:vertAlign w:val="baseline"/>
        </w:rPr>
        <w:t>Board</w:t>
      </w:r>
      <w:r>
        <w:rPr>
          <w:rFonts w:ascii="Times New Roman"/>
          <w:spacing w:val="-10"/>
          <w:sz w:val="19"/>
          <w:vertAlign w:val="baseline"/>
        </w:rPr>
        <w:t> </w:t>
      </w:r>
      <w:r>
        <w:rPr>
          <w:rFonts w:ascii="Times New Roman"/>
          <w:sz w:val="19"/>
          <w:vertAlign w:val="baseline"/>
        </w:rPr>
        <w:t>to</w:t>
      </w:r>
      <w:r>
        <w:rPr>
          <w:rFonts w:ascii="Times New Roman"/>
          <w:spacing w:val="-9"/>
          <w:sz w:val="19"/>
          <w:vertAlign w:val="baseline"/>
        </w:rPr>
        <w:t> </w:t>
      </w:r>
      <w:r>
        <w:rPr>
          <w:rFonts w:ascii="Times New Roman"/>
          <w:sz w:val="19"/>
          <w:vertAlign w:val="baseline"/>
        </w:rPr>
        <w:t>Manage</w:t>
      </w:r>
      <w:r>
        <w:rPr>
          <w:rFonts w:ascii="Times New Roman"/>
          <w:spacing w:val="-8"/>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Fund</w:t>
      </w:r>
    </w:p>
    <w:p>
      <w:pPr>
        <w:spacing w:line="216" w:lineRule="exact" w:before="0"/>
        <w:ind w:left="187" w:right="0" w:firstLine="0"/>
        <w:jc w:val="left"/>
        <w:rPr>
          <w:rFonts w:ascii="Times New Roman"/>
          <w:i/>
          <w:sz w:val="19"/>
        </w:rPr>
      </w:pPr>
      <w:r>
        <w:rPr>
          <w:rFonts w:ascii="Times New Roman"/>
          <w:sz w:val="19"/>
          <w:vertAlign w:val="superscript"/>
        </w:rPr>
        <w:t>126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31(d)</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127</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16</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302" w:right="565"/>
        <w:jc w:val="both"/>
      </w:pPr>
      <w:r>
        <w:rPr/>
        <w:t>any workplace at any time with or without warrant or notice.</w:t>
      </w:r>
      <w:r>
        <w:rPr>
          <w:vertAlign w:val="superscript"/>
        </w:rPr>
        <w:t>128</w:t>
      </w:r>
      <w:r>
        <w:rPr>
          <w:vertAlign w:val="baseline"/>
        </w:rPr>
        <w:t> It is the view of the</w:t>
      </w:r>
      <w:r>
        <w:rPr>
          <w:spacing w:val="40"/>
          <w:vertAlign w:val="baseline"/>
        </w:rPr>
        <w:t> </w:t>
      </w:r>
      <w:r>
        <w:rPr>
          <w:vertAlign w:val="baseline"/>
        </w:rPr>
        <w:t>researcher</w:t>
      </w:r>
      <w:r>
        <w:rPr>
          <w:spacing w:val="40"/>
          <w:vertAlign w:val="baseline"/>
        </w:rPr>
        <w:t> </w:t>
      </w:r>
      <w:r>
        <w:rPr>
          <w:vertAlign w:val="baseline"/>
        </w:rPr>
        <w:t>that</w:t>
      </w:r>
      <w:r>
        <w:rPr>
          <w:spacing w:val="40"/>
          <w:vertAlign w:val="baseline"/>
        </w:rPr>
        <w:t> </w:t>
      </w:r>
      <w:r>
        <w:rPr>
          <w:vertAlign w:val="baseline"/>
        </w:rPr>
        <w:t>the</w:t>
      </w:r>
      <w:r>
        <w:rPr>
          <w:spacing w:val="40"/>
          <w:vertAlign w:val="baseline"/>
        </w:rPr>
        <w:t> </w:t>
      </w:r>
      <w:r>
        <w:rPr>
          <w:vertAlign w:val="baseline"/>
        </w:rPr>
        <w:t>phrase</w:t>
      </w:r>
      <w:r>
        <w:rPr>
          <w:spacing w:val="40"/>
          <w:vertAlign w:val="baseline"/>
        </w:rPr>
        <w:t> </w:t>
      </w:r>
      <w:r>
        <w:rPr>
          <w:vertAlign w:val="baseline"/>
        </w:rPr>
        <w:t>“anytime”</w:t>
      </w:r>
      <w:r>
        <w:rPr>
          <w:spacing w:val="40"/>
          <w:vertAlign w:val="baseline"/>
        </w:rPr>
        <w:t> </w:t>
      </w:r>
      <w:r>
        <w:rPr>
          <w:vertAlign w:val="baseline"/>
        </w:rPr>
        <w:t>in</w:t>
      </w:r>
      <w:r>
        <w:rPr>
          <w:spacing w:val="40"/>
          <w:vertAlign w:val="baseline"/>
        </w:rPr>
        <w:t> </w:t>
      </w:r>
      <w:r>
        <w:rPr>
          <w:vertAlign w:val="baseline"/>
        </w:rPr>
        <w:t>such</w:t>
      </w:r>
      <w:r>
        <w:rPr>
          <w:spacing w:val="40"/>
          <w:vertAlign w:val="baseline"/>
        </w:rPr>
        <w:t> </w:t>
      </w:r>
      <w:r>
        <w:rPr>
          <w:vertAlign w:val="baseline"/>
        </w:rPr>
        <w:t>provision</w:t>
      </w:r>
      <w:r>
        <w:rPr>
          <w:spacing w:val="40"/>
          <w:vertAlign w:val="baseline"/>
        </w:rPr>
        <w:t> </w:t>
      </w:r>
      <w:r>
        <w:rPr>
          <w:vertAlign w:val="baseline"/>
        </w:rPr>
        <w:t>is</w:t>
      </w:r>
      <w:r>
        <w:rPr>
          <w:spacing w:val="40"/>
          <w:vertAlign w:val="baseline"/>
        </w:rPr>
        <w:t> </w:t>
      </w:r>
      <w:r>
        <w:rPr>
          <w:vertAlign w:val="baseline"/>
        </w:rPr>
        <w:t>likely</w:t>
      </w:r>
      <w:r>
        <w:rPr>
          <w:spacing w:val="40"/>
          <w:vertAlign w:val="baseline"/>
        </w:rPr>
        <w:t> </w:t>
      </w:r>
      <w:r>
        <w:rPr>
          <w:vertAlign w:val="baseline"/>
        </w:rPr>
        <w:t>to</w:t>
      </w:r>
      <w:r>
        <w:rPr>
          <w:spacing w:val="40"/>
          <w:vertAlign w:val="baseline"/>
        </w:rPr>
        <w:t> </w:t>
      </w:r>
      <w:r>
        <w:rPr>
          <w:vertAlign w:val="baseline"/>
        </w:rPr>
        <w:t>be abused.</w:t>
      </w:r>
      <w:r>
        <w:rPr>
          <w:spacing w:val="80"/>
          <w:vertAlign w:val="baseline"/>
        </w:rPr>
        <w:t> </w:t>
      </w:r>
      <w:r>
        <w:rPr>
          <w:vertAlign w:val="baseline"/>
        </w:rPr>
        <w:t>It means that the Board can enter in the midnight and require the security</w:t>
      </w:r>
      <w:r>
        <w:rPr>
          <w:spacing w:val="40"/>
          <w:vertAlign w:val="baseline"/>
        </w:rPr>
        <w:t> </w:t>
      </w:r>
      <w:r>
        <w:rPr>
          <w:vertAlign w:val="baseline"/>
        </w:rPr>
        <w:t>officer</w:t>
      </w:r>
      <w:r>
        <w:rPr>
          <w:spacing w:val="40"/>
          <w:vertAlign w:val="baseline"/>
        </w:rPr>
        <w:t> </w:t>
      </w:r>
      <w:r>
        <w:rPr>
          <w:vertAlign w:val="baseline"/>
        </w:rPr>
        <w:t>of</w:t>
      </w:r>
      <w:r>
        <w:rPr>
          <w:spacing w:val="40"/>
          <w:vertAlign w:val="baseline"/>
        </w:rPr>
        <w:t> </w:t>
      </w:r>
      <w:r>
        <w:rPr>
          <w:vertAlign w:val="baseline"/>
        </w:rPr>
        <w:t>any</w:t>
      </w:r>
      <w:r>
        <w:rPr>
          <w:spacing w:val="40"/>
          <w:vertAlign w:val="baseline"/>
        </w:rPr>
        <w:t> </w:t>
      </w:r>
      <w:r>
        <w:rPr>
          <w:vertAlign w:val="baseline"/>
        </w:rPr>
        <w:t>organisation</w:t>
      </w:r>
      <w:r>
        <w:rPr>
          <w:spacing w:val="40"/>
          <w:vertAlign w:val="baseline"/>
        </w:rPr>
        <w:t> </w:t>
      </w:r>
      <w:r>
        <w:rPr>
          <w:vertAlign w:val="baseline"/>
        </w:rPr>
        <w:t>to</w:t>
      </w:r>
      <w:r>
        <w:rPr>
          <w:spacing w:val="40"/>
          <w:vertAlign w:val="baseline"/>
        </w:rPr>
        <w:t> </w:t>
      </w:r>
      <w:r>
        <w:rPr>
          <w:vertAlign w:val="baseline"/>
        </w:rPr>
        <w:t>surrender</w:t>
      </w:r>
      <w:r>
        <w:rPr>
          <w:spacing w:val="40"/>
          <w:vertAlign w:val="baseline"/>
        </w:rPr>
        <w:t> </w:t>
      </w:r>
      <w:r>
        <w:rPr>
          <w:vertAlign w:val="baseline"/>
        </w:rPr>
        <w:t>the</w:t>
      </w:r>
      <w:r>
        <w:rPr>
          <w:spacing w:val="40"/>
          <w:vertAlign w:val="baseline"/>
        </w:rPr>
        <w:t> </w:t>
      </w:r>
      <w:r>
        <w:rPr>
          <w:vertAlign w:val="baseline"/>
        </w:rPr>
        <w:t>keys</w:t>
      </w:r>
      <w:r>
        <w:rPr>
          <w:spacing w:val="40"/>
          <w:vertAlign w:val="baseline"/>
        </w:rPr>
        <w:t> </w:t>
      </w:r>
      <w:r>
        <w:rPr>
          <w:vertAlign w:val="baseline"/>
        </w:rPr>
        <w:t>to</w:t>
      </w:r>
      <w:r>
        <w:rPr>
          <w:spacing w:val="40"/>
          <w:vertAlign w:val="baseline"/>
        </w:rPr>
        <w:t> </w:t>
      </w:r>
      <w:r>
        <w:rPr>
          <w:vertAlign w:val="baseline"/>
        </w:rPr>
        <w:t>where</w:t>
      </w:r>
      <w:r>
        <w:rPr>
          <w:spacing w:val="40"/>
          <w:vertAlign w:val="baseline"/>
        </w:rPr>
        <w:t> </w:t>
      </w:r>
      <w:r>
        <w:rPr>
          <w:vertAlign w:val="baseline"/>
        </w:rPr>
        <w:t>some sensitive documents of any organisation is, for the purpose of inspection? This is too great a power and much likely to be abused by the Board.</w:t>
      </w:r>
    </w:p>
    <w:p>
      <w:pPr>
        <w:pStyle w:val="BodyText"/>
        <w:spacing w:before="10"/>
      </w:pPr>
    </w:p>
    <w:p>
      <w:pPr>
        <w:pStyle w:val="BodyText"/>
        <w:spacing w:line="489" w:lineRule="auto"/>
        <w:ind w:left="302" w:right="564"/>
        <w:jc w:val="both"/>
      </w:pPr>
      <w:r>
        <w:rPr/>
        <w:t>Also, the Board also has the power to require any employer not to disturb any records</w:t>
      </w:r>
      <w:r>
        <w:rPr>
          <w:spacing w:val="28"/>
        </w:rPr>
        <w:t> </w:t>
      </w:r>
      <w:r>
        <w:rPr/>
        <w:t>for</w:t>
      </w:r>
      <w:r>
        <w:rPr>
          <w:spacing w:val="33"/>
        </w:rPr>
        <w:t> </w:t>
      </w:r>
      <w:r>
        <w:rPr/>
        <w:t>a</w:t>
      </w:r>
      <w:r>
        <w:rPr>
          <w:spacing w:val="29"/>
        </w:rPr>
        <w:t> </w:t>
      </w:r>
      <w:r>
        <w:rPr/>
        <w:t>reasonable</w:t>
      </w:r>
      <w:r>
        <w:rPr>
          <w:spacing w:val="28"/>
        </w:rPr>
        <w:t> </w:t>
      </w:r>
      <w:r>
        <w:rPr/>
        <w:t>time</w:t>
      </w:r>
      <w:r>
        <w:rPr>
          <w:spacing w:val="28"/>
        </w:rPr>
        <w:t> </w:t>
      </w:r>
      <w:r>
        <w:rPr/>
        <w:t>for</w:t>
      </w:r>
      <w:r>
        <w:rPr>
          <w:spacing w:val="33"/>
        </w:rPr>
        <w:t> </w:t>
      </w:r>
      <w:r>
        <w:rPr/>
        <w:t>the</w:t>
      </w:r>
      <w:r>
        <w:rPr>
          <w:spacing w:val="28"/>
        </w:rPr>
        <w:t> </w:t>
      </w:r>
      <w:r>
        <w:rPr/>
        <w:t>purpose</w:t>
      </w:r>
      <w:r>
        <w:rPr>
          <w:spacing w:val="28"/>
        </w:rPr>
        <w:t> </w:t>
      </w:r>
      <w:r>
        <w:rPr/>
        <w:t>of</w:t>
      </w:r>
      <w:r>
        <w:rPr>
          <w:spacing w:val="33"/>
        </w:rPr>
        <w:t> </w:t>
      </w:r>
      <w:r>
        <w:rPr/>
        <w:t>carrying</w:t>
      </w:r>
      <w:r>
        <w:rPr>
          <w:spacing w:val="31"/>
        </w:rPr>
        <w:t> </w:t>
      </w:r>
      <w:r>
        <w:rPr/>
        <w:t>out</w:t>
      </w:r>
      <w:r>
        <w:rPr>
          <w:spacing w:val="30"/>
        </w:rPr>
        <w:t> </w:t>
      </w:r>
      <w:r>
        <w:rPr/>
        <w:t>any</w:t>
      </w:r>
      <w:r>
        <w:rPr>
          <w:spacing w:val="35"/>
        </w:rPr>
        <w:t> </w:t>
      </w:r>
      <w:r>
        <w:rPr/>
        <w:t>investigation or enquiry.</w:t>
      </w:r>
      <w:r>
        <w:rPr>
          <w:vertAlign w:val="superscript"/>
        </w:rPr>
        <w:t>129</w:t>
      </w:r>
      <w:r>
        <w:rPr>
          <w:vertAlign w:val="baseline"/>
        </w:rPr>
        <w:t> The phrase, ‘reasonable time’ is not defined by the Act. It is important</w:t>
      </w:r>
      <w:r>
        <w:rPr>
          <w:spacing w:val="34"/>
          <w:vertAlign w:val="baseline"/>
        </w:rPr>
        <w:t> </w:t>
      </w:r>
      <w:r>
        <w:rPr>
          <w:vertAlign w:val="baseline"/>
        </w:rPr>
        <w:t>that</w:t>
      </w:r>
      <w:r>
        <w:rPr>
          <w:spacing w:val="28"/>
          <w:vertAlign w:val="baseline"/>
        </w:rPr>
        <w:t> </w:t>
      </w:r>
      <w:r>
        <w:rPr>
          <w:vertAlign w:val="baseline"/>
        </w:rPr>
        <w:t>reasonable</w:t>
      </w:r>
      <w:r>
        <w:rPr>
          <w:spacing w:val="37"/>
          <w:vertAlign w:val="baseline"/>
        </w:rPr>
        <w:t> </w:t>
      </w:r>
      <w:r>
        <w:rPr>
          <w:vertAlign w:val="baseline"/>
        </w:rPr>
        <w:t>time</w:t>
      </w:r>
      <w:r>
        <w:rPr>
          <w:spacing w:val="31"/>
          <w:vertAlign w:val="baseline"/>
        </w:rPr>
        <w:t> </w:t>
      </w:r>
      <w:r>
        <w:rPr>
          <w:vertAlign w:val="baseline"/>
        </w:rPr>
        <w:t>be</w:t>
      </w:r>
      <w:r>
        <w:rPr>
          <w:spacing w:val="31"/>
          <w:vertAlign w:val="baseline"/>
        </w:rPr>
        <w:t> </w:t>
      </w:r>
      <w:r>
        <w:rPr>
          <w:vertAlign w:val="baseline"/>
        </w:rPr>
        <w:t>defined</w:t>
      </w:r>
      <w:r>
        <w:rPr>
          <w:spacing w:val="40"/>
          <w:vertAlign w:val="baseline"/>
        </w:rPr>
        <w:t> </w:t>
      </w:r>
      <w:r>
        <w:rPr>
          <w:vertAlign w:val="baseline"/>
        </w:rPr>
        <w:t>to</w:t>
      </w:r>
      <w:r>
        <w:rPr>
          <w:spacing w:val="33"/>
          <w:vertAlign w:val="baseline"/>
        </w:rPr>
        <w:t> </w:t>
      </w:r>
      <w:r>
        <w:rPr>
          <w:vertAlign w:val="baseline"/>
        </w:rPr>
        <w:t>avoid</w:t>
      </w:r>
      <w:r>
        <w:rPr>
          <w:spacing w:val="35"/>
          <w:vertAlign w:val="baseline"/>
        </w:rPr>
        <w:t> </w:t>
      </w:r>
      <w:r>
        <w:rPr>
          <w:vertAlign w:val="baseline"/>
        </w:rPr>
        <w:t>confusion</w:t>
      </w:r>
      <w:r>
        <w:rPr>
          <w:spacing w:val="35"/>
          <w:vertAlign w:val="baseline"/>
        </w:rPr>
        <w:t> </w:t>
      </w:r>
      <w:r>
        <w:rPr>
          <w:vertAlign w:val="baseline"/>
        </w:rPr>
        <w:t>and</w:t>
      </w:r>
      <w:r>
        <w:rPr>
          <w:spacing w:val="35"/>
          <w:vertAlign w:val="baseline"/>
        </w:rPr>
        <w:t> </w:t>
      </w:r>
      <w:r>
        <w:rPr>
          <w:vertAlign w:val="baseline"/>
        </w:rPr>
        <w:t>arbitrariness in the discharge of the duties of the Board. There is no idea about what ‘reasonable time’ means in the Act.</w:t>
      </w:r>
      <w:r>
        <w:rPr>
          <w:vertAlign w:val="superscript"/>
        </w:rPr>
        <w:t>130</w:t>
      </w:r>
    </w:p>
    <w:p>
      <w:pPr>
        <w:pStyle w:val="BodyText"/>
        <w:spacing w:before="16"/>
      </w:pPr>
    </w:p>
    <w:p>
      <w:pPr>
        <w:pStyle w:val="BodyText"/>
        <w:spacing w:line="489" w:lineRule="auto"/>
        <w:ind w:left="302" w:right="570"/>
        <w:jc w:val="both"/>
      </w:pPr>
      <w:r>
        <w:rPr/>
        <w:t>Another power of the Board in terms of enforcement is that it can require the production of any license, document, record or report from any employer or employee so as to inspect or examine same.</w:t>
      </w:r>
      <w:r>
        <w:rPr>
          <w:vertAlign w:val="superscript"/>
        </w:rPr>
        <w:t>131</w:t>
      </w:r>
      <w:r>
        <w:rPr>
          <w:spacing w:val="40"/>
          <w:vertAlign w:val="baseline"/>
        </w:rPr>
        <w:t> </w:t>
      </w:r>
      <w:r>
        <w:rPr>
          <w:vertAlign w:val="baseline"/>
        </w:rPr>
        <w:t>The law requires that any inspection, examination to be carried out by the Board must be assisted by a police</w:t>
      </w:r>
      <w:r>
        <w:rPr>
          <w:spacing w:val="31"/>
          <w:vertAlign w:val="baseline"/>
        </w:rPr>
        <w:t> </w:t>
      </w:r>
      <w:r>
        <w:rPr>
          <w:vertAlign w:val="baseline"/>
        </w:rPr>
        <w:t>officer</w:t>
      </w:r>
      <w:r>
        <w:rPr>
          <w:spacing w:val="32"/>
          <w:vertAlign w:val="baseline"/>
        </w:rPr>
        <w:t> </w:t>
      </w:r>
      <w:r>
        <w:rPr>
          <w:vertAlign w:val="baseline"/>
        </w:rPr>
        <w:t>or</w:t>
      </w:r>
      <w:r>
        <w:rPr>
          <w:spacing w:val="32"/>
          <w:vertAlign w:val="baseline"/>
        </w:rPr>
        <w:t> </w:t>
      </w:r>
      <w:r>
        <w:rPr>
          <w:vertAlign w:val="baseline"/>
        </w:rPr>
        <w:t>other</w:t>
      </w:r>
      <w:r>
        <w:rPr>
          <w:spacing w:val="36"/>
          <w:vertAlign w:val="baseline"/>
        </w:rPr>
        <w:t> </w:t>
      </w:r>
      <w:r>
        <w:rPr>
          <w:vertAlign w:val="baseline"/>
        </w:rPr>
        <w:t>persons</w:t>
      </w:r>
      <w:r>
        <w:rPr>
          <w:spacing w:val="35"/>
          <w:vertAlign w:val="baseline"/>
        </w:rPr>
        <w:t> </w:t>
      </w:r>
      <w:r>
        <w:rPr>
          <w:vertAlign w:val="baseline"/>
        </w:rPr>
        <w:t>having</w:t>
      </w:r>
      <w:r>
        <w:rPr>
          <w:spacing w:val="40"/>
          <w:vertAlign w:val="baseline"/>
        </w:rPr>
        <w:t> </w:t>
      </w:r>
      <w:r>
        <w:rPr>
          <w:vertAlign w:val="baseline"/>
        </w:rPr>
        <w:t>special</w:t>
      </w:r>
      <w:r>
        <w:rPr>
          <w:spacing w:val="34"/>
          <w:vertAlign w:val="baseline"/>
        </w:rPr>
        <w:t> </w:t>
      </w:r>
      <w:r>
        <w:rPr>
          <w:vertAlign w:val="baseline"/>
        </w:rPr>
        <w:t>expert</w:t>
      </w:r>
      <w:r>
        <w:rPr>
          <w:spacing w:val="39"/>
          <w:vertAlign w:val="baseline"/>
        </w:rPr>
        <w:t> </w:t>
      </w:r>
      <w:r>
        <w:rPr>
          <w:vertAlign w:val="baseline"/>
        </w:rPr>
        <w:t>or</w:t>
      </w:r>
      <w:r>
        <w:rPr>
          <w:spacing w:val="36"/>
          <w:vertAlign w:val="baseline"/>
        </w:rPr>
        <w:t> </w:t>
      </w:r>
      <w:r>
        <w:rPr>
          <w:vertAlign w:val="baseline"/>
        </w:rPr>
        <w:t>professional</w:t>
      </w:r>
      <w:r>
        <w:rPr>
          <w:spacing w:val="34"/>
          <w:vertAlign w:val="baseline"/>
        </w:rPr>
        <w:t> </w:t>
      </w:r>
      <w:r>
        <w:rPr>
          <w:vertAlign w:val="baseline"/>
        </w:rPr>
        <w:t>knowledge of</w:t>
      </w:r>
      <w:r>
        <w:rPr>
          <w:spacing w:val="61"/>
          <w:vertAlign w:val="baseline"/>
        </w:rPr>
        <w:t> </w:t>
      </w:r>
      <w:r>
        <w:rPr>
          <w:vertAlign w:val="baseline"/>
        </w:rPr>
        <w:t>the</w:t>
      </w:r>
      <w:r>
        <w:rPr>
          <w:spacing w:val="61"/>
          <w:vertAlign w:val="baseline"/>
        </w:rPr>
        <w:t> </w:t>
      </w:r>
      <w:r>
        <w:rPr>
          <w:vertAlign w:val="baseline"/>
        </w:rPr>
        <w:t>matter.</w:t>
      </w:r>
      <w:r>
        <w:rPr>
          <w:vertAlign w:val="superscript"/>
        </w:rPr>
        <w:t>132</w:t>
      </w:r>
      <w:r>
        <w:rPr>
          <w:spacing w:val="60"/>
          <w:vertAlign w:val="baseline"/>
        </w:rPr>
        <w:t> </w:t>
      </w:r>
      <w:r>
        <w:rPr>
          <w:vertAlign w:val="baseline"/>
        </w:rPr>
        <w:t>The</w:t>
      </w:r>
      <w:r>
        <w:rPr>
          <w:spacing w:val="56"/>
          <w:vertAlign w:val="baseline"/>
        </w:rPr>
        <w:t> </w:t>
      </w:r>
      <w:r>
        <w:rPr>
          <w:vertAlign w:val="baseline"/>
        </w:rPr>
        <w:t>report</w:t>
      </w:r>
      <w:r>
        <w:rPr>
          <w:spacing w:val="58"/>
          <w:vertAlign w:val="baseline"/>
        </w:rPr>
        <w:t> </w:t>
      </w:r>
      <w:r>
        <w:rPr>
          <w:vertAlign w:val="baseline"/>
        </w:rPr>
        <w:t>of</w:t>
      </w:r>
      <w:r>
        <w:rPr>
          <w:spacing w:val="61"/>
          <w:vertAlign w:val="baseline"/>
        </w:rPr>
        <w:t> </w:t>
      </w:r>
      <w:r>
        <w:rPr>
          <w:vertAlign w:val="baseline"/>
        </w:rPr>
        <w:t>such</w:t>
      </w:r>
      <w:r>
        <w:rPr>
          <w:spacing w:val="63"/>
          <w:vertAlign w:val="baseline"/>
        </w:rPr>
        <w:t> </w:t>
      </w:r>
      <w:r>
        <w:rPr>
          <w:vertAlign w:val="baseline"/>
        </w:rPr>
        <w:t>inspection</w:t>
      </w:r>
      <w:r>
        <w:rPr>
          <w:spacing w:val="58"/>
          <w:vertAlign w:val="baseline"/>
        </w:rPr>
        <w:t> </w:t>
      </w:r>
      <w:r>
        <w:rPr>
          <w:vertAlign w:val="baseline"/>
        </w:rPr>
        <w:t>shall</w:t>
      </w:r>
      <w:r>
        <w:rPr>
          <w:spacing w:val="59"/>
          <w:vertAlign w:val="baseline"/>
        </w:rPr>
        <w:t> </w:t>
      </w:r>
      <w:r>
        <w:rPr>
          <w:vertAlign w:val="baseline"/>
        </w:rPr>
        <w:t>be</w:t>
      </w:r>
      <w:r>
        <w:rPr>
          <w:spacing w:val="56"/>
          <w:vertAlign w:val="baseline"/>
        </w:rPr>
        <w:t> </w:t>
      </w:r>
      <w:r>
        <w:rPr>
          <w:vertAlign w:val="baseline"/>
        </w:rPr>
        <w:t>the</w:t>
      </w:r>
      <w:r>
        <w:rPr>
          <w:spacing w:val="56"/>
          <w:vertAlign w:val="baseline"/>
        </w:rPr>
        <w:t> </w:t>
      </w:r>
      <w:r>
        <w:rPr>
          <w:vertAlign w:val="baseline"/>
        </w:rPr>
        <w:t>property</w:t>
      </w:r>
      <w:r>
        <w:rPr>
          <w:spacing w:val="63"/>
          <w:vertAlign w:val="baseline"/>
        </w:rPr>
        <w:t> </w:t>
      </w:r>
      <w:r>
        <w:rPr>
          <w:vertAlign w:val="baseline"/>
        </w:rPr>
        <w:t>of</w:t>
      </w:r>
      <w:r>
        <w:rPr>
          <w:spacing w:val="67"/>
          <w:vertAlign w:val="baseline"/>
        </w:rPr>
        <w:t> </w:t>
      </w:r>
      <w:r>
        <w:rPr>
          <w:vertAlign w:val="baseline"/>
        </w:rPr>
        <w:t>the</w:t>
      </w:r>
    </w:p>
    <w:p>
      <w:pPr>
        <w:pStyle w:val="BodyText"/>
        <w:rPr>
          <w:sz w:val="20"/>
        </w:rPr>
      </w:pPr>
    </w:p>
    <w:p>
      <w:pPr>
        <w:pStyle w:val="BodyText"/>
        <w:spacing w:before="203"/>
        <w:rPr>
          <w:sz w:val="20"/>
        </w:rPr>
      </w:pPr>
      <w:r>
        <w:rPr/>
        <mc:AlternateContent>
          <mc:Choice Requires="wps">
            <w:drawing>
              <wp:anchor distT="0" distB="0" distL="0" distR="0" allowOverlap="1" layoutInCell="1" locked="0" behindDoc="1" simplePos="0" relativeHeight="487617024">
                <wp:simplePos x="0" y="0"/>
                <wp:positionH relativeFrom="page">
                  <wp:posOffset>1185672</wp:posOffset>
                </wp:positionH>
                <wp:positionV relativeFrom="paragraph">
                  <wp:posOffset>297977</wp:posOffset>
                </wp:positionV>
                <wp:extent cx="1719580" cy="6350"/>
                <wp:effectExtent l="0" t="0" r="0" b="0"/>
                <wp:wrapTopAndBottom/>
                <wp:docPr id="67" name="Graphic 67"/>
                <wp:cNvGraphicFramePr>
                  <a:graphicFrameLocks/>
                </wp:cNvGraphicFramePr>
                <a:graphic>
                  <a:graphicData uri="http://schemas.microsoft.com/office/word/2010/wordprocessingShape">
                    <wps:wsp>
                      <wps:cNvPr id="67" name="Graphic 67"/>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3.462812pt;width:135.360pt;height:.48pt;mso-position-horizontal-relative:page;mso-position-vertical-relative:paragraph;z-index:-15699456;mso-wrap-distance-left:0;mso-wrap-distance-right:0" id="docshape67" filled="true" fillcolor="#000000" stroked="false">
                <v:fill type="solid"/>
                <w10:wrap type="topAndBottom"/>
              </v:rect>
            </w:pict>
          </mc:Fallback>
        </mc:AlternateContent>
      </w:r>
    </w:p>
    <w:p>
      <w:pPr>
        <w:spacing w:before="96"/>
        <w:ind w:left="187" w:right="0" w:firstLine="0"/>
        <w:jc w:val="left"/>
        <w:rPr>
          <w:rFonts w:ascii="Times New Roman"/>
          <w:i/>
          <w:sz w:val="19"/>
        </w:rPr>
      </w:pPr>
      <w:r>
        <w:rPr>
          <w:rFonts w:ascii="Times New Roman"/>
          <w:sz w:val="19"/>
          <w:vertAlign w:val="superscript"/>
        </w:rPr>
        <w:t>128</w:t>
      </w:r>
      <w:r>
        <w:rPr>
          <w:rFonts w:ascii="Times New Roman"/>
          <w:spacing w:val="-2"/>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54</w:t>
      </w:r>
      <w:r>
        <w:rPr>
          <w:rFonts w:ascii="Times New Roman"/>
          <w:spacing w:val="-2"/>
          <w:sz w:val="19"/>
          <w:vertAlign w:val="baseline"/>
        </w:rPr>
        <w:t> </w:t>
      </w:r>
      <w:r>
        <w:rPr>
          <w:rFonts w:ascii="Times New Roman"/>
          <w:sz w:val="19"/>
          <w:vertAlign w:val="baseline"/>
        </w:rPr>
        <w:t>(a</w:t>
      </w:r>
      <w:r>
        <w:rPr>
          <w:rFonts w:ascii="Times New Roman"/>
          <w:i/>
          <w:sz w:val="19"/>
          <w:vertAlign w:val="baseline"/>
        </w:rPr>
        <w:t>)</w:t>
      </w:r>
      <w:r>
        <w:rPr>
          <w:rFonts w:ascii="Times New Roman"/>
          <w:i/>
          <w:spacing w:val="-11"/>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129</w:t>
      </w:r>
      <w:r>
        <w:rPr>
          <w:rFonts w:ascii="Times New Roman"/>
          <w:spacing w:val="-4"/>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54(f</w:t>
      </w:r>
      <w:r>
        <w:rPr>
          <w:rFonts w:ascii="Times New Roman"/>
          <w:i/>
          <w:sz w:val="19"/>
          <w:vertAlign w:val="baseline"/>
        </w:rPr>
        <w:t>)</w:t>
      </w:r>
      <w:r>
        <w:rPr>
          <w:rFonts w:ascii="Times New Roman"/>
          <w:i/>
          <w:spacing w:val="-11"/>
          <w:sz w:val="19"/>
          <w:vertAlign w:val="baseline"/>
        </w:rPr>
        <w:t> </w:t>
      </w:r>
      <w:r>
        <w:rPr>
          <w:rFonts w:ascii="Times New Roman"/>
          <w:i/>
          <w:spacing w:val="-4"/>
          <w:sz w:val="19"/>
          <w:vertAlign w:val="baseline"/>
        </w:rPr>
        <w:t>ibid</w:t>
      </w:r>
    </w:p>
    <w:p>
      <w:pPr>
        <w:spacing w:line="235" w:lineRule="auto" w:before="3"/>
        <w:ind w:left="187" w:right="661" w:firstLine="0"/>
        <w:jc w:val="left"/>
        <w:rPr>
          <w:rFonts w:ascii="Times New Roman"/>
          <w:sz w:val="19"/>
        </w:rPr>
      </w:pPr>
      <w:r>
        <w:rPr>
          <w:rFonts w:ascii="Times New Roman"/>
          <w:sz w:val="19"/>
          <w:vertAlign w:val="superscript"/>
        </w:rPr>
        <w:t>130</w:t>
      </w:r>
      <w:r>
        <w:rPr>
          <w:rFonts w:ascii="Times New Roman"/>
          <w:sz w:val="19"/>
          <w:vertAlign w:val="baseline"/>
        </w:rPr>
        <w:t> See for example, section 35 (5) of</w:t>
      </w:r>
      <w:r>
        <w:rPr>
          <w:rFonts w:ascii="Times New Roman"/>
          <w:spacing w:val="-4"/>
          <w:sz w:val="19"/>
          <w:vertAlign w:val="baseline"/>
        </w:rPr>
        <w:t> </w:t>
      </w:r>
      <w:r>
        <w:rPr>
          <w:rFonts w:ascii="Times New Roman"/>
          <w:sz w:val="19"/>
          <w:vertAlign w:val="baseline"/>
        </w:rPr>
        <w:t>the Constitution of the</w:t>
      </w:r>
      <w:r>
        <w:rPr>
          <w:rFonts w:ascii="Times New Roman"/>
          <w:spacing w:val="-1"/>
          <w:sz w:val="19"/>
          <w:vertAlign w:val="baseline"/>
        </w:rPr>
        <w:t> </w:t>
      </w:r>
      <w:r>
        <w:rPr>
          <w:rFonts w:ascii="Times New Roman"/>
          <w:sz w:val="19"/>
          <w:vertAlign w:val="baseline"/>
        </w:rPr>
        <w:t>Federal Republic</w:t>
      </w:r>
      <w:r>
        <w:rPr>
          <w:rFonts w:ascii="Times New Roman"/>
          <w:spacing w:val="-1"/>
          <w:sz w:val="19"/>
          <w:vertAlign w:val="baseline"/>
        </w:rPr>
        <w:t> </w:t>
      </w:r>
      <w:r>
        <w:rPr>
          <w:rFonts w:ascii="Times New Roman"/>
          <w:sz w:val="19"/>
          <w:vertAlign w:val="baseline"/>
        </w:rPr>
        <w:t>of Nigeria 1999</w:t>
      </w:r>
      <w:r>
        <w:rPr>
          <w:rFonts w:ascii="Times New Roman"/>
          <w:spacing w:val="-2"/>
          <w:sz w:val="19"/>
          <w:vertAlign w:val="baseline"/>
        </w:rPr>
        <w:t> </w:t>
      </w:r>
      <w:r>
        <w:rPr>
          <w:rFonts w:ascii="Times New Roman"/>
          <w:sz w:val="19"/>
          <w:vertAlign w:val="baseline"/>
        </w:rPr>
        <w:t>as</w:t>
      </w:r>
      <w:r>
        <w:rPr>
          <w:rFonts w:ascii="Times New Roman"/>
          <w:spacing w:val="-1"/>
          <w:sz w:val="19"/>
          <w:vertAlign w:val="baseline"/>
        </w:rPr>
        <w:t> </w:t>
      </w:r>
      <w:r>
        <w:rPr>
          <w:rFonts w:ascii="Times New Roman"/>
          <w:sz w:val="19"/>
          <w:vertAlign w:val="baseline"/>
        </w:rPr>
        <w:t>(amended) which</w:t>
      </w:r>
      <w:r>
        <w:rPr>
          <w:rFonts w:ascii="Times New Roman"/>
          <w:spacing w:val="-8"/>
          <w:sz w:val="19"/>
          <w:vertAlign w:val="baseline"/>
        </w:rPr>
        <w:t> </w:t>
      </w:r>
      <w:r>
        <w:rPr>
          <w:rFonts w:ascii="Times New Roman"/>
          <w:sz w:val="19"/>
          <w:vertAlign w:val="baseline"/>
        </w:rPr>
        <w:t>defines</w:t>
      </w:r>
      <w:r>
        <w:rPr>
          <w:rFonts w:ascii="Times New Roman"/>
          <w:spacing w:val="-9"/>
          <w:sz w:val="19"/>
          <w:vertAlign w:val="baseline"/>
        </w:rPr>
        <w:t> </w:t>
      </w:r>
      <w:r>
        <w:rPr>
          <w:rFonts w:ascii="Times New Roman"/>
          <w:sz w:val="19"/>
          <w:vertAlign w:val="baseline"/>
        </w:rPr>
        <w:t>what</w:t>
      </w:r>
      <w:r>
        <w:rPr>
          <w:rFonts w:ascii="Times New Roman"/>
          <w:spacing w:val="-11"/>
          <w:sz w:val="19"/>
          <w:vertAlign w:val="baseline"/>
        </w:rPr>
        <w:t> </w:t>
      </w:r>
      <w:r>
        <w:rPr>
          <w:rFonts w:ascii="Times New Roman"/>
          <w:sz w:val="19"/>
          <w:vertAlign w:val="baseline"/>
        </w:rPr>
        <w:t>reasonable</w:t>
      </w:r>
      <w:r>
        <w:rPr>
          <w:rFonts w:ascii="Times New Roman"/>
          <w:spacing w:val="-9"/>
          <w:sz w:val="19"/>
          <w:vertAlign w:val="baseline"/>
        </w:rPr>
        <w:t> </w:t>
      </w:r>
      <w:r>
        <w:rPr>
          <w:rFonts w:ascii="Times New Roman"/>
          <w:sz w:val="19"/>
          <w:vertAlign w:val="baseline"/>
        </w:rPr>
        <w:t>time</w:t>
      </w:r>
      <w:r>
        <w:rPr>
          <w:rFonts w:ascii="Times New Roman"/>
          <w:spacing w:val="-4"/>
          <w:sz w:val="19"/>
          <w:vertAlign w:val="baseline"/>
        </w:rPr>
        <w:t> </w:t>
      </w:r>
      <w:r>
        <w:rPr>
          <w:rFonts w:ascii="Times New Roman"/>
          <w:sz w:val="19"/>
          <w:vertAlign w:val="baseline"/>
        </w:rPr>
        <w:t>means,</w:t>
      </w:r>
      <w:r>
        <w:rPr>
          <w:rFonts w:ascii="Times New Roman"/>
          <w:spacing w:val="-3"/>
          <w:sz w:val="19"/>
          <w:vertAlign w:val="baseline"/>
        </w:rPr>
        <w:t> </w:t>
      </w:r>
      <w:r>
        <w:rPr>
          <w:rFonts w:ascii="Times New Roman"/>
          <w:sz w:val="19"/>
          <w:vertAlign w:val="baseline"/>
        </w:rPr>
        <w:t>when</w:t>
      </w:r>
      <w:r>
        <w:rPr>
          <w:rFonts w:ascii="Times New Roman"/>
          <w:spacing w:val="-6"/>
          <w:sz w:val="19"/>
          <w:vertAlign w:val="baseline"/>
        </w:rPr>
        <w:t> </w:t>
      </w:r>
      <w:r>
        <w:rPr>
          <w:rFonts w:ascii="Times New Roman"/>
          <w:sz w:val="19"/>
          <w:vertAlign w:val="baseline"/>
        </w:rPr>
        <w:t>it</w:t>
      </w:r>
      <w:r>
        <w:rPr>
          <w:rFonts w:ascii="Times New Roman"/>
          <w:spacing w:val="-7"/>
          <w:sz w:val="19"/>
          <w:vertAlign w:val="baseline"/>
        </w:rPr>
        <w:t> </w:t>
      </w:r>
      <w:r>
        <w:rPr>
          <w:rFonts w:ascii="Times New Roman"/>
          <w:sz w:val="19"/>
          <w:vertAlign w:val="baseline"/>
        </w:rPr>
        <w:t>has</w:t>
      </w:r>
      <w:r>
        <w:rPr>
          <w:rFonts w:ascii="Times New Roman"/>
          <w:spacing w:val="-8"/>
          <w:sz w:val="19"/>
          <w:vertAlign w:val="baseline"/>
        </w:rPr>
        <w:t> </w:t>
      </w:r>
      <w:r>
        <w:rPr>
          <w:rFonts w:ascii="Times New Roman"/>
          <w:sz w:val="19"/>
          <w:vertAlign w:val="baseline"/>
        </w:rPr>
        <w:t>to</w:t>
      </w:r>
      <w:r>
        <w:rPr>
          <w:rFonts w:ascii="Times New Roman"/>
          <w:spacing w:val="-10"/>
          <w:sz w:val="19"/>
          <w:vertAlign w:val="baseline"/>
        </w:rPr>
        <w:t> </w:t>
      </w:r>
      <w:r>
        <w:rPr>
          <w:rFonts w:ascii="Times New Roman"/>
          <w:sz w:val="19"/>
          <w:vertAlign w:val="baseline"/>
        </w:rPr>
        <w:t>do</w:t>
      </w:r>
      <w:r>
        <w:rPr>
          <w:rFonts w:ascii="Times New Roman"/>
          <w:spacing w:val="-10"/>
          <w:sz w:val="19"/>
          <w:vertAlign w:val="baseline"/>
        </w:rPr>
        <w:t> </w:t>
      </w:r>
      <w:r>
        <w:rPr>
          <w:rFonts w:ascii="Times New Roman"/>
          <w:sz w:val="19"/>
          <w:vertAlign w:val="baseline"/>
        </w:rPr>
        <w:t>with</w:t>
      </w:r>
      <w:r>
        <w:rPr>
          <w:rFonts w:ascii="Times New Roman"/>
          <w:spacing w:val="-2"/>
          <w:sz w:val="19"/>
          <w:vertAlign w:val="baseline"/>
        </w:rPr>
        <w:t> </w:t>
      </w:r>
      <w:r>
        <w:rPr>
          <w:rFonts w:ascii="Times New Roman"/>
          <w:sz w:val="19"/>
          <w:vertAlign w:val="baseline"/>
        </w:rPr>
        <w:t>detention</w:t>
      </w:r>
      <w:r>
        <w:rPr>
          <w:rFonts w:ascii="Times New Roman"/>
          <w:spacing w:val="-6"/>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any</w:t>
      </w:r>
      <w:r>
        <w:rPr>
          <w:rFonts w:ascii="Times New Roman"/>
          <w:spacing w:val="-12"/>
          <w:sz w:val="19"/>
          <w:vertAlign w:val="baseline"/>
        </w:rPr>
        <w:t> </w:t>
      </w:r>
      <w:r>
        <w:rPr>
          <w:rFonts w:ascii="Times New Roman"/>
          <w:sz w:val="19"/>
          <w:vertAlign w:val="baseline"/>
        </w:rPr>
        <w:t>suspect</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charging</w:t>
      </w:r>
      <w:r>
        <w:rPr>
          <w:rFonts w:ascii="Times New Roman"/>
          <w:spacing w:val="-5"/>
          <w:sz w:val="19"/>
          <w:vertAlign w:val="baseline"/>
        </w:rPr>
        <w:t> </w:t>
      </w:r>
      <w:r>
        <w:rPr>
          <w:rFonts w:ascii="Times New Roman"/>
          <w:sz w:val="19"/>
          <w:vertAlign w:val="baseline"/>
        </w:rPr>
        <w:t>same to a court of competent jurisdiction</w:t>
      </w:r>
    </w:p>
    <w:p>
      <w:pPr>
        <w:spacing w:line="215" w:lineRule="exact" w:before="0"/>
        <w:ind w:left="187" w:right="0" w:firstLine="0"/>
        <w:jc w:val="left"/>
        <w:rPr>
          <w:rFonts w:ascii="Times New Roman"/>
          <w:i/>
          <w:sz w:val="19"/>
        </w:rPr>
      </w:pPr>
      <w:r>
        <w:rPr>
          <w:rFonts w:ascii="Times New Roman"/>
          <w:sz w:val="19"/>
          <w:vertAlign w:val="superscript"/>
        </w:rPr>
        <w:t>131</w:t>
      </w:r>
      <w:r>
        <w:rPr>
          <w:rFonts w:ascii="Times New Roman"/>
          <w:spacing w:val="-2"/>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54 (b)</w:t>
      </w:r>
      <w:r>
        <w:rPr>
          <w:rFonts w:ascii="Times New Roman"/>
          <w:spacing w:val="-7"/>
          <w:sz w:val="19"/>
          <w:vertAlign w:val="baseline"/>
        </w:rPr>
        <w:t> </w:t>
      </w:r>
      <w:r>
        <w:rPr>
          <w:rFonts w:ascii="Times New Roman"/>
          <w:i/>
          <w:sz w:val="19"/>
          <w:vertAlign w:val="baseline"/>
        </w:rPr>
        <w:t>op</w:t>
      </w:r>
      <w:r>
        <w:rPr>
          <w:rFonts w:ascii="Times New Roman"/>
          <w:i/>
          <w:spacing w:val="-12"/>
          <w:sz w:val="19"/>
          <w:vertAlign w:val="baseline"/>
        </w:rPr>
        <w:t> </w:t>
      </w:r>
      <w:r>
        <w:rPr>
          <w:rFonts w:ascii="Times New Roman"/>
          <w:i/>
          <w:spacing w:val="-5"/>
          <w:sz w:val="19"/>
          <w:vertAlign w:val="baseline"/>
        </w:rPr>
        <w:t>cit</w:t>
      </w:r>
    </w:p>
    <w:p>
      <w:pPr>
        <w:spacing w:line="217" w:lineRule="exact" w:before="0"/>
        <w:ind w:left="187" w:right="0" w:firstLine="0"/>
        <w:jc w:val="left"/>
        <w:rPr>
          <w:rFonts w:ascii="Times New Roman"/>
          <w:i/>
          <w:sz w:val="19"/>
        </w:rPr>
      </w:pPr>
      <w:r>
        <w:rPr>
          <w:rFonts w:ascii="Times New Roman"/>
          <w:sz w:val="19"/>
          <w:vertAlign w:val="superscript"/>
        </w:rPr>
        <w:t>132</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2"/>
          <w:sz w:val="19"/>
          <w:vertAlign w:val="baseline"/>
        </w:rPr>
        <w:t> </w:t>
      </w:r>
      <w:r>
        <w:rPr>
          <w:rFonts w:ascii="Times New Roman"/>
          <w:sz w:val="19"/>
          <w:vertAlign w:val="baseline"/>
        </w:rPr>
        <w:t>(d</w:t>
      </w:r>
      <w:r>
        <w:rPr>
          <w:rFonts w:ascii="Times New Roman"/>
          <w:i/>
          <w:sz w:val="19"/>
          <w:vertAlign w:val="baseline"/>
        </w:rPr>
        <w:t>)</w:t>
      </w:r>
      <w:r>
        <w:rPr>
          <w:rFonts w:ascii="Times New Roman"/>
          <w:i/>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114"/>
        <w:ind w:left="302" w:right="567"/>
        <w:jc w:val="both"/>
      </w:pPr>
      <w:r>
        <w:rPr/>
        <w:t>Board and the Board must keep it in confidence.</w:t>
      </w:r>
      <w:r>
        <w:rPr>
          <w:vertAlign w:val="superscript"/>
        </w:rPr>
        <w:t>133</w:t>
      </w:r>
      <w:r>
        <w:rPr>
          <w:vertAlign w:val="baseline"/>
        </w:rPr>
        <w:t> It is the view of the</w:t>
      </w:r>
      <w:r>
        <w:rPr>
          <w:spacing w:val="80"/>
          <w:vertAlign w:val="baseline"/>
        </w:rPr>
        <w:t> </w:t>
      </w:r>
      <w:r>
        <w:rPr>
          <w:vertAlign w:val="baseline"/>
        </w:rPr>
        <w:t>researcher</w:t>
      </w:r>
      <w:r>
        <w:rPr>
          <w:spacing w:val="40"/>
          <w:vertAlign w:val="baseline"/>
        </w:rPr>
        <w:t> </w:t>
      </w:r>
      <w:r>
        <w:rPr>
          <w:vertAlign w:val="baseline"/>
        </w:rPr>
        <w:t>that</w:t>
      </w:r>
      <w:r>
        <w:rPr>
          <w:spacing w:val="31"/>
          <w:vertAlign w:val="baseline"/>
        </w:rPr>
        <w:t> </w:t>
      </w:r>
      <w:r>
        <w:rPr>
          <w:vertAlign w:val="baseline"/>
        </w:rPr>
        <w:t>any</w:t>
      </w:r>
      <w:r>
        <w:rPr>
          <w:spacing w:val="37"/>
          <w:vertAlign w:val="baseline"/>
        </w:rPr>
        <w:t> </w:t>
      </w:r>
      <w:r>
        <w:rPr>
          <w:vertAlign w:val="baseline"/>
        </w:rPr>
        <w:t>report</w:t>
      </w:r>
      <w:r>
        <w:rPr>
          <w:spacing w:val="37"/>
          <w:vertAlign w:val="baseline"/>
        </w:rPr>
        <w:t> </w:t>
      </w:r>
      <w:r>
        <w:rPr>
          <w:vertAlign w:val="baseline"/>
        </w:rPr>
        <w:t>emanating</w:t>
      </w:r>
      <w:r>
        <w:rPr>
          <w:spacing w:val="33"/>
          <w:vertAlign w:val="baseline"/>
        </w:rPr>
        <w:t> </w:t>
      </w:r>
      <w:r>
        <w:rPr>
          <w:vertAlign w:val="baseline"/>
        </w:rPr>
        <w:t>from</w:t>
      </w:r>
      <w:r>
        <w:rPr>
          <w:spacing w:val="33"/>
          <w:vertAlign w:val="baseline"/>
        </w:rPr>
        <w:t> </w:t>
      </w:r>
      <w:r>
        <w:rPr>
          <w:vertAlign w:val="baseline"/>
        </w:rPr>
        <w:t>any</w:t>
      </w:r>
      <w:r>
        <w:rPr>
          <w:spacing w:val="31"/>
          <w:vertAlign w:val="baseline"/>
        </w:rPr>
        <w:t> </w:t>
      </w:r>
      <w:r>
        <w:rPr>
          <w:vertAlign w:val="baseline"/>
        </w:rPr>
        <w:t>inspection</w:t>
      </w:r>
      <w:r>
        <w:rPr>
          <w:spacing w:val="37"/>
          <w:vertAlign w:val="baseline"/>
        </w:rPr>
        <w:t> </w:t>
      </w:r>
      <w:r>
        <w:rPr>
          <w:vertAlign w:val="baseline"/>
        </w:rPr>
        <w:t>of</w:t>
      </w:r>
      <w:r>
        <w:rPr>
          <w:spacing w:val="30"/>
          <w:vertAlign w:val="baseline"/>
        </w:rPr>
        <w:t> </w:t>
      </w:r>
      <w:r>
        <w:rPr>
          <w:vertAlign w:val="baseline"/>
        </w:rPr>
        <w:t>the</w:t>
      </w:r>
      <w:r>
        <w:rPr>
          <w:spacing w:val="35"/>
          <w:vertAlign w:val="baseline"/>
        </w:rPr>
        <w:t> </w:t>
      </w:r>
      <w:r>
        <w:rPr>
          <w:vertAlign w:val="baseline"/>
        </w:rPr>
        <w:t>Board</w:t>
      </w:r>
      <w:r>
        <w:rPr>
          <w:spacing w:val="33"/>
          <w:vertAlign w:val="baseline"/>
        </w:rPr>
        <w:t> </w:t>
      </w:r>
      <w:r>
        <w:rPr>
          <w:vertAlign w:val="baseline"/>
        </w:rPr>
        <w:t>should be made known to the affected employee or employer. To simply say that “It</w:t>
      </w:r>
      <w:r>
        <w:rPr>
          <w:spacing w:val="40"/>
          <w:vertAlign w:val="baseline"/>
        </w:rPr>
        <w:t> </w:t>
      </w:r>
      <w:r>
        <w:rPr>
          <w:vertAlign w:val="baseline"/>
        </w:rPr>
        <w:t>shall be the property of the Board and shall be held in confidence” suggests that even the affected employer may not be informed of the report of any enquiry or inspection that concerns the said employer. This may not encourage</w:t>
      </w:r>
      <w:r>
        <w:rPr>
          <w:spacing w:val="40"/>
          <w:vertAlign w:val="baseline"/>
        </w:rPr>
        <w:t> </w:t>
      </w:r>
      <w:r>
        <w:rPr>
          <w:vertAlign w:val="baseline"/>
        </w:rPr>
        <w:t>transparency.</w:t>
      </w:r>
      <w:r>
        <w:rPr>
          <w:spacing w:val="40"/>
          <w:vertAlign w:val="baseline"/>
        </w:rPr>
        <w:t> </w:t>
      </w:r>
      <w:r>
        <w:rPr>
          <w:vertAlign w:val="baseline"/>
        </w:rPr>
        <w:t>It</w:t>
      </w:r>
      <w:r>
        <w:rPr>
          <w:spacing w:val="40"/>
          <w:vertAlign w:val="baseline"/>
        </w:rPr>
        <w:t> </w:t>
      </w:r>
      <w:r>
        <w:rPr>
          <w:vertAlign w:val="baseline"/>
        </w:rPr>
        <w:t>will</w:t>
      </w:r>
      <w:r>
        <w:rPr>
          <w:spacing w:val="40"/>
          <w:vertAlign w:val="baseline"/>
        </w:rPr>
        <w:t> </w:t>
      </w:r>
      <w:r>
        <w:rPr>
          <w:vertAlign w:val="baseline"/>
        </w:rPr>
        <w:t>be</w:t>
      </w:r>
      <w:r>
        <w:rPr>
          <w:spacing w:val="40"/>
          <w:vertAlign w:val="baseline"/>
        </w:rPr>
        <w:t> </w:t>
      </w:r>
      <w:r>
        <w:rPr>
          <w:vertAlign w:val="baseline"/>
        </w:rPr>
        <w:t>better</w:t>
      </w:r>
      <w:r>
        <w:rPr>
          <w:spacing w:val="40"/>
          <w:vertAlign w:val="baseline"/>
        </w:rPr>
        <w:t> </w:t>
      </w:r>
      <w:r>
        <w:rPr>
          <w:vertAlign w:val="baseline"/>
        </w:rPr>
        <w:t>if</w:t>
      </w:r>
      <w:r>
        <w:rPr>
          <w:spacing w:val="40"/>
          <w:vertAlign w:val="baseline"/>
        </w:rPr>
        <w:t> </w:t>
      </w:r>
      <w:r>
        <w:rPr>
          <w:vertAlign w:val="baseline"/>
        </w:rPr>
        <w:t>report</w:t>
      </w:r>
      <w:r>
        <w:rPr>
          <w:spacing w:val="40"/>
          <w:vertAlign w:val="baseline"/>
        </w:rPr>
        <w:t> </w:t>
      </w:r>
      <w:r>
        <w:rPr>
          <w:vertAlign w:val="baseline"/>
        </w:rPr>
        <w:t>concerning</w:t>
      </w:r>
      <w:r>
        <w:rPr>
          <w:spacing w:val="40"/>
          <w:vertAlign w:val="baseline"/>
        </w:rPr>
        <w:t> </w:t>
      </w:r>
      <w:r>
        <w:rPr>
          <w:vertAlign w:val="baseline"/>
        </w:rPr>
        <w:t>an</w:t>
      </w:r>
      <w:r>
        <w:rPr>
          <w:spacing w:val="40"/>
          <w:vertAlign w:val="baseline"/>
        </w:rPr>
        <w:t> </w:t>
      </w:r>
      <w:r>
        <w:rPr>
          <w:vertAlign w:val="baseline"/>
        </w:rPr>
        <w:t>individual</w:t>
      </w:r>
      <w:r>
        <w:rPr>
          <w:spacing w:val="40"/>
          <w:vertAlign w:val="baseline"/>
        </w:rPr>
        <w:t> </w:t>
      </w:r>
      <w:r>
        <w:rPr>
          <w:vertAlign w:val="baseline"/>
        </w:rPr>
        <w:t>is communicated to the affected person so as to afford the person the opportunity</w:t>
      </w:r>
      <w:r>
        <w:rPr>
          <w:spacing w:val="40"/>
          <w:vertAlign w:val="baseline"/>
        </w:rPr>
        <w:t> </w:t>
      </w:r>
      <w:r>
        <w:rPr>
          <w:vertAlign w:val="baseline"/>
        </w:rPr>
        <w:t>of challenging such report in time when pieces of evidence are available and not </w:t>
      </w:r>
      <w:r>
        <w:rPr>
          <w:spacing w:val="-2"/>
          <w:vertAlign w:val="baseline"/>
        </w:rPr>
        <w:t>lost.</w:t>
      </w:r>
    </w:p>
    <w:p>
      <w:pPr>
        <w:pStyle w:val="BodyText"/>
        <w:spacing w:before="15"/>
      </w:pPr>
    </w:p>
    <w:p>
      <w:pPr>
        <w:pStyle w:val="BodyText"/>
        <w:spacing w:line="489" w:lineRule="auto"/>
        <w:ind w:left="302" w:right="568"/>
        <w:jc w:val="both"/>
      </w:pPr>
      <w:r>
        <w:rPr/>
        <w:t>For the purpose of making copies or extract of any document record or report,</w:t>
      </w:r>
      <w:r>
        <w:rPr>
          <w:spacing w:val="40"/>
        </w:rPr>
        <w:t> </w:t>
      </w:r>
      <w:r>
        <w:rPr/>
        <w:t>the Board has the power to remove any of such records, provided it is promptly returned.</w:t>
      </w:r>
      <w:r>
        <w:rPr>
          <w:vertAlign w:val="superscript"/>
        </w:rPr>
        <w:t>134</w:t>
      </w:r>
      <w:r>
        <w:rPr>
          <w:vertAlign w:val="baseline"/>
        </w:rPr>
        <w:t> By this provision, the employers or employees do not have any information to hide as regards records needed by the Board in implementing the provisions of the Act. Enquiries can also be made by the Board, of any person</w:t>
      </w:r>
      <w:r>
        <w:rPr>
          <w:spacing w:val="40"/>
          <w:vertAlign w:val="baseline"/>
        </w:rPr>
        <w:t> </w:t>
      </w:r>
      <w:r>
        <w:rPr>
          <w:vertAlign w:val="baseline"/>
        </w:rPr>
        <w:t>who is or was in a workplace rather separate or in the presence of any other person who may be relevant to the inspection, examination or enquiry.</w:t>
      </w:r>
      <w:r>
        <w:rPr>
          <w:vertAlign w:val="superscript"/>
        </w:rPr>
        <w:t>135</w:t>
      </w:r>
    </w:p>
    <w:p>
      <w:pPr>
        <w:pStyle w:val="BodyText"/>
        <w:spacing w:before="11"/>
      </w:pPr>
    </w:p>
    <w:p>
      <w:pPr>
        <w:pStyle w:val="BodyText"/>
        <w:spacing w:line="491" w:lineRule="auto"/>
        <w:ind w:left="302" w:right="571"/>
        <w:jc w:val="both"/>
      </w:pPr>
      <w:r>
        <w:rPr/>
        <w:t>A good appreciation of the nature and scope of employees’ compensation discussed</w:t>
      </w:r>
      <w:r>
        <w:rPr>
          <w:spacing w:val="40"/>
        </w:rPr>
        <w:t> </w:t>
      </w:r>
      <w:r>
        <w:rPr/>
        <w:t>this</w:t>
      </w:r>
      <w:r>
        <w:rPr>
          <w:spacing w:val="40"/>
        </w:rPr>
        <w:t> </w:t>
      </w:r>
      <w:r>
        <w:rPr/>
        <w:t>chapter</w:t>
      </w:r>
      <w:r>
        <w:rPr>
          <w:spacing w:val="40"/>
        </w:rPr>
        <w:t> </w:t>
      </w:r>
      <w:r>
        <w:rPr/>
        <w:t>is</w:t>
      </w:r>
      <w:r>
        <w:rPr>
          <w:spacing w:val="40"/>
        </w:rPr>
        <w:t> </w:t>
      </w:r>
      <w:r>
        <w:rPr/>
        <w:t>very</w:t>
      </w:r>
      <w:r>
        <w:rPr>
          <w:spacing w:val="40"/>
        </w:rPr>
        <w:t> </w:t>
      </w:r>
      <w:r>
        <w:rPr/>
        <w:t>important</w:t>
      </w:r>
      <w:r>
        <w:rPr>
          <w:spacing w:val="40"/>
        </w:rPr>
        <w:t> </w:t>
      </w:r>
      <w:r>
        <w:rPr/>
        <w:t>.This</w:t>
      </w:r>
      <w:r>
        <w:rPr>
          <w:spacing w:val="40"/>
        </w:rPr>
        <w:t> </w:t>
      </w:r>
      <w:r>
        <w:rPr/>
        <w:t>is</w:t>
      </w:r>
      <w:r>
        <w:rPr>
          <w:spacing w:val="40"/>
        </w:rPr>
        <w:t> </w:t>
      </w:r>
      <w:r>
        <w:rPr/>
        <w:t>because,</w:t>
      </w:r>
      <w:r>
        <w:rPr>
          <w:spacing w:val="40"/>
        </w:rPr>
        <w:t> </w:t>
      </w:r>
      <w:r>
        <w:rPr/>
        <w:t>it</w:t>
      </w:r>
      <w:r>
        <w:rPr>
          <w:spacing w:val="40"/>
        </w:rPr>
        <w:t> </w:t>
      </w:r>
      <w:r>
        <w:rPr/>
        <w:t>is</w:t>
      </w:r>
      <w:r>
        <w:rPr>
          <w:spacing w:val="40"/>
        </w:rPr>
        <w:t> </w:t>
      </w:r>
      <w:r>
        <w:rPr/>
        <w:t>the</w:t>
      </w:r>
      <w:r>
        <w:rPr>
          <w:spacing w:val="40"/>
        </w:rPr>
        <w:t> </w:t>
      </w:r>
      <w:r>
        <w:rPr/>
        <w:t>threshold upon which a good understanding of the remaining chapters rests.</w:t>
      </w:r>
    </w:p>
    <w:p>
      <w:pPr>
        <w:pStyle w:val="BodyText"/>
        <w:spacing w:before="173"/>
        <w:rPr>
          <w:sz w:val="20"/>
        </w:rPr>
      </w:pPr>
      <w:r>
        <w:rPr/>
        <mc:AlternateContent>
          <mc:Choice Requires="wps">
            <w:drawing>
              <wp:anchor distT="0" distB="0" distL="0" distR="0" allowOverlap="1" layoutInCell="1" locked="0" behindDoc="1" simplePos="0" relativeHeight="487617536">
                <wp:simplePos x="0" y="0"/>
                <wp:positionH relativeFrom="page">
                  <wp:posOffset>1185672</wp:posOffset>
                </wp:positionH>
                <wp:positionV relativeFrom="paragraph">
                  <wp:posOffset>278419</wp:posOffset>
                </wp:positionV>
                <wp:extent cx="1719580" cy="6350"/>
                <wp:effectExtent l="0" t="0" r="0" b="0"/>
                <wp:wrapTopAndBottom/>
                <wp:docPr id="68" name="Graphic 68"/>
                <wp:cNvGraphicFramePr>
                  <a:graphicFrameLocks/>
                </wp:cNvGraphicFramePr>
                <a:graphic>
                  <a:graphicData uri="http://schemas.microsoft.com/office/word/2010/wordprocessingShape">
                    <wps:wsp>
                      <wps:cNvPr id="68" name="Graphic 6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1.922792pt;width:135.360pt;height:.48pt;mso-position-horizontal-relative:page;mso-position-vertical-relative:paragraph;z-index:-15698944;mso-wrap-distance-left:0;mso-wrap-distance-right:0" id="docshape68"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133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54(g</w:t>
      </w:r>
      <w:r>
        <w:rPr>
          <w:rFonts w:ascii="Times New Roman"/>
          <w:spacing w:val="-6"/>
          <w:sz w:val="19"/>
          <w:vertAlign w:val="baseline"/>
        </w:rPr>
        <w:t> </w:t>
      </w:r>
      <w:r>
        <w:rPr>
          <w:rFonts w:ascii="Times New Roman"/>
          <w:spacing w:val="-2"/>
          <w:sz w:val="19"/>
          <w:vertAlign w:val="baseline"/>
        </w:rPr>
        <w:t>)</w:t>
      </w:r>
      <w:r>
        <w:rPr>
          <w:rFonts w:ascii="Times New Roman"/>
          <w:i/>
          <w:spacing w:val="-2"/>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134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3"/>
          <w:sz w:val="19"/>
          <w:vertAlign w:val="baseline"/>
        </w:rPr>
        <w:t> </w:t>
      </w:r>
      <w:r>
        <w:rPr>
          <w:rFonts w:ascii="Times New Roman"/>
          <w:sz w:val="19"/>
          <w:vertAlign w:val="baseline"/>
        </w:rPr>
        <w:t>(C)</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i/>
          <w:sz w:val="19"/>
          <w:vertAlign w:val="superscript"/>
        </w:rPr>
        <w:t>135</w:t>
      </w:r>
      <w:r>
        <w:rPr>
          <w:rFonts w:ascii="Times New Roman"/>
          <w:i/>
          <w:spacing w:val="-2"/>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54</w:t>
      </w:r>
      <w:r>
        <w:rPr>
          <w:rFonts w:ascii="Times New Roman"/>
          <w:spacing w:val="-2"/>
          <w:sz w:val="19"/>
          <w:vertAlign w:val="baseline"/>
        </w:rPr>
        <w:t> </w:t>
      </w:r>
      <w:r>
        <w:rPr>
          <w:rFonts w:ascii="Times New Roman"/>
          <w:sz w:val="19"/>
          <w:vertAlign w:val="baseline"/>
        </w:rPr>
        <w:t>(e)</w:t>
      </w:r>
      <w:r>
        <w:rPr>
          <w:rFonts w:ascii="Times New Roman"/>
          <w:spacing w:val="-12"/>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Heading2"/>
        <w:spacing w:before="94"/>
        <w:ind w:left="307" w:right="680"/>
        <w:jc w:val="center"/>
      </w:pPr>
      <w:r>
        <w:rPr/>
        <w:t>CHAPTER</w:t>
      </w:r>
      <w:r>
        <w:rPr>
          <w:spacing w:val="12"/>
        </w:rPr>
        <w:t> </w:t>
      </w:r>
      <w:r>
        <w:rPr>
          <w:spacing w:val="-2"/>
        </w:rPr>
        <w:t>THREE</w:t>
      </w:r>
    </w:p>
    <w:p>
      <w:pPr>
        <w:pStyle w:val="BodyText"/>
        <w:spacing w:before="11"/>
        <w:rPr>
          <w:b/>
        </w:rPr>
      </w:pPr>
    </w:p>
    <w:p>
      <w:pPr>
        <w:pStyle w:val="Heading3"/>
        <w:spacing w:line="489" w:lineRule="auto"/>
        <w:ind w:left="326" w:right="636" w:firstLine="0"/>
        <w:jc w:val="center"/>
      </w:pPr>
      <w:r>
        <w:rPr/>
        <w:t>Analysis of the Legal Framework for Employees’ Compensation in </w:t>
      </w:r>
      <w:r>
        <w:rPr>
          <w:spacing w:val="-2"/>
        </w:rPr>
        <w:t>Nigeria</w:t>
      </w:r>
    </w:p>
    <w:p>
      <w:pPr>
        <w:pStyle w:val="Heading3"/>
        <w:numPr>
          <w:ilvl w:val="1"/>
          <w:numId w:val="13"/>
        </w:numPr>
        <w:tabs>
          <w:tab w:pos="863" w:val="left" w:leader="none"/>
        </w:tabs>
        <w:spacing w:line="240" w:lineRule="auto" w:before="0" w:after="0"/>
        <w:ind w:left="863" w:right="0" w:hanging="676"/>
        <w:jc w:val="left"/>
      </w:pPr>
      <w:bookmarkStart w:name="_TOC_250020" w:id="10"/>
      <w:bookmarkEnd w:id="10"/>
      <w:r>
        <w:rPr>
          <w:spacing w:val="-2"/>
        </w:rPr>
        <w:t>Introduction</w:t>
      </w:r>
    </w:p>
    <w:p>
      <w:pPr>
        <w:pStyle w:val="BodyText"/>
        <w:spacing w:before="16"/>
        <w:rPr>
          <w:b/>
        </w:rPr>
      </w:pPr>
    </w:p>
    <w:p>
      <w:pPr>
        <w:pStyle w:val="BodyText"/>
        <w:spacing w:line="489" w:lineRule="auto"/>
        <w:ind w:left="864" w:right="562"/>
        <w:jc w:val="both"/>
      </w:pPr>
      <w:r>
        <w:rPr/>
        <w:t>This</w:t>
      </w:r>
      <w:r>
        <w:rPr>
          <w:spacing w:val="40"/>
        </w:rPr>
        <w:t> </w:t>
      </w:r>
      <w:r>
        <w:rPr/>
        <w:t>chapter</w:t>
      </w:r>
      <w:r>
        <w:rPr>
          <w:spacing w:val="40"/>
        </w:rPr>
        <w:t> </w:t>
      </w:r>
      <w:r>
        <w:rPr/>
        <w:t>discusses</w:t>
      </w:r>
      <w:r>
        <w:rPr>
          <w:spacing w:val="40"/>
        </w:rPr>
        <w:t> </w:t>
      </w:r>
      <w:r>
        <w:rPr/>
        <w:t>the</w:t>
      </w:r>
      <w:r>
        <w:rPr>
          <w:spacing w:val="40"/>
        </w:rPr>
        <w:t> </w:t>
      </w:r>
      <w:r>
        <w:rPr/>
        <w:t>legal</w:t>
      </w:r>
      <w:r>
        <w:rPr>
          <w:spacing w:val="40"/>
        </w:rPr>
        <w:t> </w:t>
      </w:r>
      <w:r>
        <w:rPr/>
        <w:t>framework</w:t>
      </w:r>
      <w:r>
        <w:rPr>
          <w:spacing w:val="40"/>
        </w:rPr>
        <w:t> </w:t>
      </w:r>
      <w:r>
        <w:rPr/>
        <w:t>for</w:t>
      </w:r>
      <w:r>
        <w:rPr>
          <w:spacing w:val="40"/>
        </w:rPr>
        <w:t> </w:t>
      </w:r>
      <w:r>
        <w:rPr/>
        <w:t>employees’</w:t>
      </w:r>
      <w:r>
        <w:rPr>
          <w:spacing w:val="40"/>
        </w:rPr>
        <w:t> </w:t>
      </w:r>
      <w:r>
        <w:rPr/>
        <w:t>compensation in</w:t>
      </w:r>
      <w:r>
        <w:rPr>
          <w:spacing w:val="40"/>
        </w:rPr>
        <w:t> </w:t>
      </w:r>
      <w:r>
        <w:rPr/>
        <w:t>Nigeria.</w:t>
      </w:r>
      <w:r>
        <w:rPr>
          <w:spacing w:val="40"/>
        </w:rPr>
        <w:t> </w:t>
      </w:r>
      <w:r>
        <w:rPr/>
        <w:t>Although there are different</w:t>
      </w:r>
      <w:r>
        <w:rPr>
          <w:spacing w:val="40"/>
        </w:rPr>
        <w:t> </w:t>
      </w:r>
      <w:r>
        <w:rPr/>
        <w:t>sources of</w:t>
      </w:r>
      <w:r>
        <w:rPr>
          <w:spacing w:val="40"/>
        </w:rPr>
        <w:t> </w:t>
      </w:r>
      <w:r>
        <w:rPr/>
        <w:t>law</w:t>
      </w:r>
      <w:r>
        <w:rPr>
          <w:spacing w:val="40"/>
        </w:rPr>
        <w:t> </w:t>
      </w:r>
      <w:r>
        <w:rPr/>
        <w:t>in</w:t>
      </w:r>
      <w:r>
        <w:rPr>
          <w:spacing w:val="40"/>
        </w:rPr>
        <w:t> </w:t>
      </w:r>
      <w:r>
        <w:rPr/>
        <w:t>Nigeria, employees’ compensation in Nigeria is governed by only statutes and case law. As it has already been pointed out in the preceding chapters, Employees’ Compensation Act</w:t>
      </w:r>
      <w:r>
        <w:rPr>
          <w:vertAlign w:val="superscript"/>
        </w:rPr>
        <w:t>136</w:t>
      </w:r>
      <w:r>
        <w:rPr>
          <w:vertAlign w:val="baseline"/>
        </w:rPr>
        <w:t> is the principal Act governing</w:t>
      </w:r>
      <w:r>
        <w:rPr>
          <w:spacing w:val="80"/>
          <w:vertAlign w:val="baseline"/>
        </w:rPr>
        <w:t> </w:t>
      </w:r>
      <w:r>
        <w:rPr>
          <w:vertAlign w:val="baseline"/>
        </w:rPr>
        <w:t>compensation for work-related injuries and disabilities for all employees working in civil capacities in Nigeria. For an employee to be entitled to compensation</w:t>
      </w:r>
      <w:r>
        <w:rPr>
          <w:spacing w:val="36"/>
          <w:vertAlign w:val="baseline"/>
        </w:rPr>
        <w:t> </w:t>
      </w:r>
      <w:r>
        <w:rPr>
          <w:vertAlign w:val="baseline"/>
        </w:rPr>
        <w:t>under</w:t>
      </w:r>
      <w:r>
        <w:rPr>
          <w:spacing w:val="34"/>
          <w:vertAlign w:val="baseline"/>
        </w:rPr>
        <w:t> </w:t>
      </w:r>
      <w:r>
        <w:rPr>
          <w:vertAlign w:val="baseline"/>
        </w:rPr>
        <w:t>the</w:t>
      </w:r>
      <w:r>
        <w:rPr>
          <w:spacing w:val="34"/>
          <w:vertAlign w:val="baseline"/>
        </w:rPr>
        <w:t> </w:t>
      </w:r>
      <w:r>
        <w:rPr>
          <w:vertAlign w:val="baseline"/>
        </w:rPr>
        <w:t>Act,</w:t>
      </w:r>
      <w:r>
        <w:rPr>
          <w:spacing w:val="38"/>
          <w:vertAlign w:val="baseline"/>
        </w:rPr>
        <w:t> </w:t>
      </w:r>
      <w:r>
        <w:rPr>
          <w:vertAlign w:val="baseline"/>
        </w:rPr>
        <w:t>the</w:t>
      </w:r>
      <w:r>
        <w:rPr>
          <w:spacing w:val="40"/>
          <w:vertAlign w:val="baseline"/>
        </w:rPr>
        <w:t> </w:t>
      </w:r>
      <w:r>
        <w:rPr>
          <w:vertAlign w:val="baseline"/>
        </w:rPr>
        <w:t>employee’s</w:t>
      </w:r>
      <w:r>
        <w:rPr>
          <w:spacing w:val="38"/>
          <w:vertAlign w:val="baseline"/>
        </w:rPr>
        <w:t> </w:t>
      </w:r>
      <w:r>
        <w:rPr>
          <w:vertAlign w:val="baseline"/>
        </w:rPr>
        <w:t>claim</w:t>
      </w:r>
      <w:r>
        <w:rPr>
          <w:spacing w:val="37"/>
          <w:vertAlign w:val="baseline"/>
        </w:rPr>
        <w:t> </w:t>
      </w:r>
      <w:r>
        <w:rPr>
          <w:vertAlign w:val="baseline"/>
        </w:rPr>
        <w:t>must</w:t>
      </w:r>
      <w:r>
        <w:rPr>
          <w:spacing w:val="36"/>
          <w:vertAlign w:val="baseline"/>
        </w:rPr>
        <w:t> </w:t>
      </w:r>
      <w:r>
        <w:rPr>
          <w:vertAlign w:val="baseline"/>
        </w:rPr>
        <w:t>come</w:t>
      </w:r>
      <w:r>
        <w:rPr>
          <w:spacing w:val="34"/>
          <w:vertAlign w:val="baseline"/>
        </w:rPr>
        <w:t> </w:t>
      </w:r>
      <w:r>
        <w:rPr>
          <w:vertAlign w:val="baseline"/>
        </w:rPr>
        <w:t>under</w:t>
      </w:r>
      <w:r>
        <w:rPr>
          <w:spacing w:val="35"/>
          <w:vertAlign w:val="baseline"/>
        </w:rPr>
        <w:t> </w:t>
      </w:r>
      <w:r>
        <w:rPr>
          <w:vertAlign w:val="baseline"/>
        </w:rPr>
        <w:t>any of the grounds recognised by the Act. Also, there are different scales of compensation under the Act, depending on the nature or degree of the ground of compensation. In certain circumstances, the Act offers rehabilitation</w:t>
      </w:r>
      <w:r>
        <w:rPr>
          <w:spacing w:val="40"/>
          <w:vertAlign w:val="baseline"/>
        </w:rPr>
        <w:t> </w:t>
      </w:r>
      <w:r>
        <w:rPr>
          <w:vertAlign w:val="baseline"/>
        </w:rPr>
        <w:t>and</w:t>
      </w:r>
      <w:r>
        <w:rPr>
          <w:spacing w:val="40"/>
          <w:vertAlign w:val="baseline"/>
        </w:rPr>
        <w:t> </w:t>
      </w:r>
      <w:r>
        <w:rPr>
          <w:vertAlign w:val="baseline"/>
        </w:rPr>
        <w:t>other</w:t>
      </w:r>
      <w:r>
        <w:rPr>
          <w:spacing w:val="40"/>
          <w:vertAlign w:val="baseline"/>
        </w:rPr>
        <w:t> </w:t>
      </w:r>
      <w:r>
        <w:rPr>
          <w:vertAlign w:val="baseline"/>
        </w:rPr>
        <w:t>related</w:t>
      </w:r>
      <w:r>
        <w:rPr>
          <w:spacing w:val="40"/>
          <w:vertAlign w:val="baseline"/>
        </w:rPr>
        <w:t> </w:t>
      </w:r>
      <w:r>
        <w:rPr>
          <w:vertAlign w:val="baseline"/>
        </w:rPr>
        <w:t>services</w:t>
      </w:r>
      <w:r>
        <w:rPr>
          <w:spacing w:val="40"/>
          <w:vertAlign w:val="baseline"/>
        </w:rPr>
        <w:t> </w:t>
      </w:r>
      <w:r>
        <w:rPr>
          <w:vertAlign w:val="baseline"/>
        </w:rPr>
        <w:t>to</w:t>
      </w:r>
      <w:r>
        <w:rPr>
          <w:spacing w:val="40"/>
          <w:vertAlign w:val="baseline"/>
        </w:rPr>
        <w:t> </w:t>
      </w:r>
      <w:r>
        <w:rPr>
          <w:vertAlign w:val="baseline"/>
        </w:rPr>
        <w:t>injured</w:t>
      </w:r>
      <w:r>
        <w:rPr>
          <w:spacing w:val="40"/>
          <w:vertAlign w:val="baseline"/>
        </w:rPr>
        <w:t> </w:t>
      </w:r>
      <w:r>
        <w:rPr>
          <w:vertAlign w:val="baseline"/>
        </w:rPr>
        <w:t>employees</w:t>
      </w:r>
      <w:r>
        <w:rPr>
          <w:spacing w:val="40"/>
          <w:vertAlign w:val="baseline"/>
        </w:rPr>
        <w:t> </w:t>
      </w:r>
      <w:r>
        <w:rPr>
          <w:vertAlign w:val="baseline"/>
        </w:rPr>
        <w:t>or dependants</w:t>
      </w:r>
      <w:r>
        <w:rPr>
          <w:spacing w:val="40"/>
          <w:vertAlign w:val="baseline"/>
        </w:rPr>
        <w:t> </w:t>
      </w:r>
      <w:r>
        <w:rPr>
          <w:vertAlign w:val="baseline"/>
        </w:rPr>
        <w:t>of</w:t>
      </w:r>
      <w:r>
        <w:rPr>
          <w:spacing w:val="40"/>
          <w:vertAlign w:val="baseline"/>
        </w:rPr>
        <w:t> </w:t>
      </w:r>
      <w:r>
        <w:rPr>
          <w:vertAlign w:val="baseline"/>
        </w:rPr>
        <w:t>deceased</w:t>
      </w:r>
      <w:r>
        <w:rPr>
          <w:spacing w:val="40"/>
          <w:vertAlign w:val="baseline"/>
        </w:rPr>
        <w:t> </w:t>
      </w:r>
      <w:r>
        <w:rPr>
          <w:vertAlign w:val="baseline"/>
        </w:rPr>
        <w:t>employees.</w:t>
      </w:r>
      <w:r>
        <w:rPr>
          <w:spacing w:val="40"/>
          <w:vertAlign w:val="baseline"/>
        </w:rPr>
        <w:t> </w:t>
      </w:r>
      <w:r>
        <w:rPr>
          <w:vertAlign w:val="baseline"/>
        </w:rPr>
        <w:t>This</w:t>
      </w:r>
      <w:r>
        <w:rPr>
          <w:spacing w:val="40"/>
          <w:vertAlign w:val="baseline"/>
        </w:rPr>
        <w:t> </w:t>
      </w:r>
      <w:r>
        <w:rPr>
          <w:vertAlign w:val="baseline"/>
        </w:rPr>
        <w:t>chapter</w:t>
      </w:r>
      <w:r>
        <w:rPr>
          <w:spacing w:val="40"/>
          <w:vertAlign w:val="baseline"/>
        </w:rPr>
        <w:t> </w:t>
      </w:r>
      <w:r>
        <w:rPr>
          <w:vertAlign w:val="baseline"/>
        </w:rPr>
        <w:t>also</w:t>
      </w:r>
      <w:r>
        <w:rPr>
          <w:spacing w:val="40"/>
          <w:vertAlign w:val="baseline"/>
        </w:rPr>
        <w:t> </w:t>
      </w:r>
      <w:r>
        <w:rPr>
          <w:vertAlign w:val="baseline"/>
        </w:rPr>
        <w:t>considers</w:t>
      </w:r>
      <w:r>
        <w:rPr>
          <w:spacing w:val="40"/>
          <w:vertAlign w:val="baseline"/>
        </w:rPr>
        <w:t> </w:t>
      </w:r>
      <w:r>
        <w:rPr>
          <w:vertAlign w:val="baseline"/>
        </w:rPr>
        <w:t>the various steps and stages in the claim for compensation.</w:t>
      </w:r>
    </w:p>
    <w:p>
      <w:pPr>
        <w:pStyle w:val="BodyText"/>
        <w:spacing w:before="16"/>
      </w:pPr>
    </w:p>
    <w:p>
      <w:pPr>
        <w:pStyle w:val="Heading3"/>
        <w:numPr>
          <w:ilvl w:val="1"/>
          <w:numId w:val="13"/>
        </w:numPr>
        <w:tabs>
          <w:tab w:pos="863" w:val="left" w:leader="none"/>
        </w:tabs>
        <w:spacing w:line="240" w:lineRule="auto" w:before="0" w:after="0"/>
        <w:ind w:left="863" w:right="0" w:hanging="676"/>
        <w:jc w:val="left"/>
      </w:pPr>
      <w:r>
        <w:rPr/>
        <w:t>Grounds</w:t>
      </w:r>
      <w:r>
        <w:rPr>
          <w:spacing w:val="9"/>
        </w:rPr>
        <w:t> </w:t>
      </w:r>
      <w:r>
        <w:rPr/>
        <w:t>for</w:t>
      </w:r>
      <w:r>
        <w:rPr>
          <w:spacing w:val="10"/>
        </w:rPr>
        <w:t> </w:t>
      </w:r>
      <w:r>
        <w:rPr>
          <w:spacing w:val="-2"/>
        </w:rPr>
        <w:t>Compensation</w:t>
      </w:r>
    </w:p>
    <w:p>
      <w:pPr>
        <w:pStyle w:val="BodyText"/>
        <w:spacing w:before="16"/>
        <w:rPr>
          <w:b/>
        </w:rPr>
      </w:pPr>
    </w:p>
    <w:p>
      <w:pPr>
        <w:pStyle w:val="BodyText"/>
        <w:spacing w:line="489" w:lineRule="auto"/>
        <w:ind w:left="864" w:right="570"/>
        <w:jc w:val="both"/>
      </w:pPr>
      <w:r>
        <w:rPr/>
        <w:t>There are basically five grounds for compensation under the Act. These grounds are:</w:t>
      </w:r>
    </w:p>
    <w:p>
      <w:pPr>
        <w:pStyle w:val="BodyText"/>
        <w:rPr>
          <w:sz w:val="20"/>
        </w:rPr>
      </w:pPr>
    </w:p>
    <w:p>
      <w:pPr>
        <w:pStyle w:val="BodyText"/>
        <w:spacing w:before="83"/>
        <w:rPr>
          <w:sz w:val="20"/>
        </w:rPr>
      </w:pPr>
      <w:r>
        <w:rPr/>
        <mc:AlternateContent>
          <mc:Choice Requires="wps">
            <w:drawing>
              <wp:anchor distT="0" distB="0" distL="0" distR="0" allowOverlap="1" layoutInCell="1" locked="0" behindDoc="1" simplePos="0" relativeHeight="487618048">
                <wp:simplePos x="0" y="0"/>
                <wp:positionH relativeFrom="page">
                  <wp:posOffset>1185672</wp:posOffset>
                </wp:positionH>
                <wp:positionV relativeFrom="paragraph">
                  <wp:posOffset>221596</wp:posOffset>
                </wp:positionV>
                <wp:extent cx="1719580" cy="6350"/>
                <wp:effectExtent l="0" t="0" r="0" b="0"/>
                <wp:wrapTopAndBottom/>
                <wp:docPr id="69" name="Graphic 69"/>
                <wp:cNvGraphicFramePr>
                  <a:graphicFrameLocks/>
                </wp:cNvGraphicFramePr>
                <a:graphic>
                  <a:graphicData uri="http://schemas.microsoft.com/office/word/2010/wordprocessingShape">
                    <wps:wsp>
                      <wps:cNvPr id="69" name="Graphic 69"/>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7.448515pt;width:135.360pt;height:.48pt;mso-position-horizontal-relative:page;mso-position-vertical-relative:paragraph;z-index:-15698432;mso-wrap-distance-left:0;mso-wrap-distance-right:0" id="docshape69" filled="true" fillcolor="#000000" stroked="false">
                <v:fill type="solid"/>
                <w10:wrap type="topAndBottom"/>
              </v:rect>
            </w:pict>
          </mc:Fallback>
        </mc:AlternateContent>
      </w:r>
    </w:p>
    <w:p>
      <w:pPr>
        <w:spacing w:before="91"/>
        <w:ind w:left="187" w:right="0" w:firstLine="0"/>
        <w:jc w:val="left"/>
        <w:rPr>
          <w:rFonts w:ascii="Times New Roman"/>
          <w:sz w:val="19"/>
        </w:rPr>
      </w:pPr>
      <w:r>
        <w:rPr>
          <w:rFonts w:ascii="Times New Roman"/>
          <w:sz w:val="19"/>
          <w:vertAlign w:val="superscript"/>
        </w:rPr>
        <w:t>136</w:t>
      </w:r>
      <w:r>
        <w:rPr>
          <w:rFonts w:ascii="Times New Roman"/>
          <w:sz w:val="19"/>
          <w:vertAlign w:val="baseline"/>
        </w:rPr>
        <w:t> No. 13,</w:t>
      </w:r>
      <w:r>
        <w:rPr>
          <w:rFonts w:ascii="Times New Roman"/>
          <w:spacing w:val="-4"/>
          <w:sz w:val="19"/>
          <w:vertAlign w:val="baseline"/>
        </w:rPr>
        <w:t> 2010</w:t>
      </w:r>
    </w:p>
    <w:p>
      <w:pPr>
        <w:spacing w:after="0"/>
        <w:jc w:val="left"/>
        <w:rPr>
          <w:rFonts w:ascii="Times New Roman"/>
          <w:sz w:val="19"/>
        </w:rPr>
        <w:sectPr>
          <w:pgSz w:w="12240" w:h="15840"/>
          <w:pgMar w:header="0" w:footer="1009" w:top="1260" w:bottom="1200" w:left="1680" w:right="1320"/>
        </w:sectPr>
      </w:pPr>
    </w:p>
    <w:p>
      <w:pPr>
        <w:pStyle w:val="ListParagraph"/>
        <w:numPr>
          <w:ilvl w:val="0"/>
          <w:numId w:val="14"/>
        </w:numPr>
        <w:tabs>
          <w:tab w:pos="1540" w:val="left" w:leader="none"/>
        </w:tabs>
        <w:spacing w:line="240" w:lineRule="auto" w:before="114" w:after="0"/>
        <w:ind w:left="1540" w:right="0" w:hanging="676"/>
        <w:jc w:val="left"/>
        <w:rPr>
          <w:sz w:val="23"/>
        </w:rPr>
      </w:pPr>
      <w:r>
        <w:rPr>
          <w:sz w:val="23"/>
        </w:rPr>
        <w:t>mental</w:t>
      </w:r>
      <w:r>
        <w:rPr>
          <w:spacing w:val="4"/>
          <w:sz w:val="23"/>
        </w:rPr>
        <w:t> </w:t>
      </w:r>
      <w:r>
        <w:rPr>
          <w:spacing w:val="-2"/>
          <w:sz w:val="23"/>
        </w:rPr>
        <w:t>stress</w:t>
      </w:r>
      <w:r>
        <w:rPr>
          <w:spacing w:val="-2"/>
          <w:sz w:val="23"/>
          <w:vertAlign w:val="superscript"/>
        </w:rPr>
        <w:t>137</w:t>
      </w:r>
    </w:p>
    <w:p>
      <w:pPr>
        <w:pStyle w:val="BodyText"/>
        <w:spacing w:before="11"/>
      </w:pPr>
    </w:p>
    <w:p>
      <w:pPr>
        <w:pStyle w:val="ListParagraph"/>
        <w:numPr>
          <w:ilvl w:val="0"/>
          <w:numId w:val="14"/>
        </w:numPr>
        <w:tabs>
          <w:tab w:pos="1540" w:val="left" w:leader="none"/>
        </w:tabs>
        <w:spacing w:line="240" w:lineRule="auto" w:before="0" w:after="0"/>
        <w:ind w:left="1540" w:right="0" w:hanging="676"/>
        <w:jc w:val="left"/>
        <w:rPr>
          <w:sz w:val="23"/>
        </w:rPr>
      </w:pPr>
      <w:r>
        <w:rPr>
          <w:sz w:val="23"/>
        </w:rPr>
        <w:t>occupational</w:t>
      </w:r>
      <w:r>
        <w:rPr>
          <w:spacing w:val="10"/>
          <w:sz w:val="23"/>
        </w:rPr>
        <w:t> </w:t>
      </w:r>
      <w:r>
        <w:rPr>
          <w:spacing w:val="-2"/>
          <w:sz w:val="23"/>
        </w:rPr>
        <w:t>diseases</w:t>
      </w:r>
      <w:r>
        <w:rPr>
          <w:spacing w:val="-2"/>
          <w:sz w:val="23"/>
          <w:vertAlign w:val="superscript"/>
        </w:rPr>
        <w:t>138</w:t>
      </w:r>
    </w:p>
    <w:p>
      <w:pPr>
        <w:pStyle w:val="BodyText"/>
        <w:spacing w:before="11"/>
      </w:pPr>
    </w:p>
    <w:p>
      <w:pPr>
        <w:pStyle w:val="ListParagraph"/>
        <w:numPr>
          <w:ilvl w:val="0"/>
          <w:numId w:val="14"/>
        </w:numPr>
        <w:tabs>
          <w:tab w:pos="1540" w:val="left" w:leader="none"/>
        </w:tabs>
        <w:spacing w:line="240" w:lineRule="auto" w:before="0" w:after="0"/>
        <w:ind w:left="1540" w:right="0" w:hanging="676"/>
        <w:jc w:val="left"/>
        <w:rPr>
          <w:sz w:val="23"/>
        </w:rPr>
      </w:pPr>
      <w:r>
        <w:rPr>
          <w:spacing w:val="-2"/>
          <w:sz w:val="23"/>
        </w:rPr>
        <w:t>injury</w:t>
      </w:r>
      <w:r>
        <w:rPr>
          <w:spacing w:val="-2"/>
          <w:sz w:val="23"/>
          <w:vertAlign w:val="superscript"/>
        </w:rPr>
        <w:t>139</w:t>
      </w:r>
    </w:p>
    <w:p>
      <w:pPr>
        <w:pStyle w:val="BodyText"/>
        <w:spacing w:before="11"/>
      </w:pPr>
    </w:p>
    <w:p>
      <w:pPr>
        <w:pStyle w:val="ListParagraph"/>
        <w:numPr>
          <w:ilvl w:val="0"/>
          <w:numId w:val="14"/>
        </w:numPr>
        <w:tabs>
          <w:tab w:pos="1540" w:val="left" w:leader="none"/>
        </w:tabs>
        <w:spacing w:line="240" w:lineRule="auto" w:before="0" w:after="0"/>
        <w:ind w:left="1540" w:right="0" w:hanging="676"/>
        <w:jc w:val="left"/>
        <w:rPr>
          <w:sz w:val="23"/>
        </w:rPr>
      </w:pPr>
      <w:r>
        <w:rPr>
          <w:sz w:val="23"/>
        </w:rPr>
        <w:t>hearing</w:t>
      </w:r>
      <w:r>
        <w:rPr>
          <w:spacing w:val="11"/>
          <w:sz w:val="23"/>
        </w:rPr>
        <w:t> </w:t>
      </w:r>
      <w:r>
        <w:rPr>
          <w:sz w:val="23"/>
        </w:rPr>
        <w:t>impairment</w:t>
      </w:r>
      <w:r>
        <w:rPr>
          <w:sz w:val="23"/>
          <w:vertAlign w:val="superscript"/>
        </w:rPr>
        <w:t>140</w:t>
      </w:r>
      <w:r>
        <w:rPr>
          <w:spacing w:val="6"/>
          <w:sz w:val="23"/>
          <w:vertAlign w:val="baseline"/>
        </w:rPr>
        <w:t> </w:t>
      </w:r>
      <w:r>
        <w:rPr>
          <w:spacing w:val="-5"/>
          <w:sz w:val="23"/>
          <w:vertAlign w:val="baseline"/>
        </w:rPr>
        <w:t>and</w:t>
      </w:r>
    </w:p>
    <w:p>
      <w:pPr>
        <w:pStyle w:val="BodyText"/>
        <w:spacing w:before="16"/>
      </w:pPr>
    </w:p>
    <w:p>
      <w:pPr>
        <w:pStyle w:val="ListParagraph"/>
        <w:numPr>
          <w:ilvl w:val="0"/>
          <w:numId w:val="14"/>
        </w:numPr>
        <w:tabs>
          <w:tab w:pos="1540" w:val="left" w:leader="none"/>
        </w:tabs>
        <w:spacing w:line="240" w:lineRule="auto" w:before="0" w:after="0"/>
        <w:ind w:left="1540" w:right="0" w:hanging="676"/>
        <w:jc w:val="left"/>
        <w:rPr>
          <w:sz w:val="23"/>
        </w:rPr>
      </w:pPr>
      <w:r>
        <w:rPr>
          <w:spacing w:val="-2"/>
          <w:sz w:val="23"/>
        </w:rPr>
        <w:t>death.</w:t>
      </w:r>
      <w:r>
        <w:rPr>
          <w:spacing w:val="-2"/>
          <w:sz w:val="23"/>
          <w:vertAlign w:val="superscript"/>
        </w:rPr>
        <w:t>141</w:t>
      </w:r>
    </w:p>
    <w:p>
      <w:pPr>
        <w:pStyle w:val="BodyText"/>
        <w:spacing w:before="11"/>
      </w:pPr>
    </w:p>
    <w:p>
      <w:pPr>
        <w:pStyle w:val="BodyText"/>
        <w:ind w:left="864"/>
      </w:pPr>
      <w:r>
        <w:rPr/>
        <w:t>These</w:t>
      </w:r>
      <w:r>
        <w:rPr>
          <w:spacing w:val="5"/>
        </w:rPr>
        <w:t> </w:t>
      </w:r>
      <w:r>
        <w:rPr/>
        <w:t>grounds</w:t>
      </w:r>
      <w:r>
        <w:rPr>
          <w:spacing w:val="6"/>
        </w:rPr>
        <w:t> </w:t>
      </w:r>
      <w:r>
        <w:rPr/>
        <w:t>are</w:t>
      </w:r>
      <w:r>
        <w:rPr>
          <w:spacing w:val="6"/>
        </w:rPr>
        <w:t> </w:t>
      </w:r>
      <w:r>
        <w:rPr/>
        <w:t>considered</w:t>
      </w:r>
      <w:r>
        <w:rPr>
          <w:spacing w:val="4"/>
        </w:rPr>
        <w:t> </w:t>
      </w:r>
      <w:r>
        <w:rPr/>
        <w:t>as</w:t>
      </w:r>
      <w:r>
        <w:rPr>
          <w:spacing w:val="6"/>
        </w:rPr>
        <w:t> </w:t>
      </w:r>
      <w:r>
        <w:rPr>
          <w:spacing w:val="-2"/>
        </w:rPr>
        <w:t>follows.</w:t>
      </w:r>
    </w:p>
    <w:p>
      <w:pPr>
        <w:pStyle w:val="BodyText"/>
      </w:pPr>
    </w:p>
    <w:p>
      <w:pPr>
        <w:pStyle w:val="BodyText"/>
        <w:spacing w:before="17"/>
      </w:pPr>
    </w:p>
    <w:p>
      <w:pPr>
        <w:pStyle w:val="Heading3"/>
        <w:numPr>
          <w:ilvl w:val="2"/>
          <w:numId w:val="13"/>
        </w:numPr>
        <w:tabs>
          <w:tab w:pos="860" w:val="left" w:leader="none"/>
        </w:tabs>
        <w:spacing w:line="240" w:lineRule="auto" w:before="0" w:after="0"/>
        <w:ind w:left="860" w:right="0" w:hanging="673"/>
        <w:jc w:val="left"/>
      </w:pPr>
      <w:bookmarkStart w:name="_TOC_250019" w:id="11"/>
      <w:r>
        <w:rPr/>
        <w:t>Mental</w:t>
      </w:r>
      <w:r>
        <w:rPr>
          <w:spacing w:val="5"/>
        </w:rPr>
        <w:t> </w:t>
      </w:r>
      <w:bookmarkEnd w:id="11"/>
      <w:r>
        <w:rPr>
          <w:spacing w:val="-2"/>
        </w:rPr>
        <w:t>Stress</w:t>
      </w:r>
    </w:p>
    <w:p>
      <w:pPr>
        <w:pStyle w:val="BodyText"/>
        <w:spacing w:before="11"/>
        <w:rPr>
          <w:b/>
        </w:rPr>
      </w:pPr>
    </w:p>
    <w:p>
      <w:pPr>
        <w:pStyle w:val="BodyText"/>
        <w:spacing w:line="489" w:lineRule="auto"/>
        <w:ind w:left="864" w:right="566"/>
        <w:jc w:val="both"/>
      </w:pPr>
      <w:r>
        <w:rPr/>
        <w:t>Work-related mental stress is very common amongst employees. For example, it was reported in February 12, 2012 that many lecturers of Obafemi</w:t>
      </w:r>
      <w:r>
        <w:rPr>
          <w:spacing w:val="40"/>
        </w:rPr>
        <w:t> </w:t>
      </w:r>
      <w:r>
        <w:rPr/>
        <w:t>Awolowo</w:t>
      </w:r>
      <w:r>
        <w:rPr>
          <w:spacing w:val="40"/>
        </w:rPr>
        <w:t> </w:t>
      </w:r>
      <w:r>
        <w:rPr/>
        <w:t>University</w:t>
      </w:r>
      <w:r>
        <w:rPr>
          <w:spacing w:val="40"/>
        </w:rPr>
        <w:t> </w:t>
      </w:r>
      <w:r>
        <w:rPr/>
        <w:t>were</w:t>
      </w:r>
      <w:r>
        <w:rPr>
          <w:spacing w:val="40"/>
        </w:rPr>
        <w:t> </w:t>
      </w:r>
      <w:r>
        <w:rPr/>
        <w:t>suffering</w:t>
      </w:r>
      <w:r>
        <w:rPr>
          <w:spacing w:val="40"/>
        </w:rPr>
        <w:t> </w:t>
      </w:r>
      <w:r>
        <w:rPr/>
        <w:t>from</w:t>
      </w:r>
      <w:r>
        <w:rPr>
          <w:spacing w:val="40"/>
        </w:rPr>
        <w:t> </w:t>
      </w:r>
      <w:r>
        <w:rPr/>
        <w:t>mental</w:t>
      </w:r>
      <w:r>
        <w:rPr>
          <w:spacing w:val="40"/>
        </w:rPr>
        <w:t> </w:t>
      </w:r>
      <w:r>
        <w:rPr/>
        <w:t>stress</w:t>
      </w:r>
      <w:r>
        <w:rPr>
          <w:spacing w:val="40"/>
        </w:rPr>
        <w:t> </w:t>
      </w:r>
      <w:r>
        <w:rPr/>
        <w:t>because the school authority denied them leave.</w:t>
      </w:r>
      <w:r>
        <w:rPr>
          <w:vertAlign w:val="superscript"/>
        </w:rPr>
        <w:t>142</w:t>
      </w:r>
      <w:r>
        <w:rPr>
          <w:vertAlign w:val="baseline"/>
        </w:rPr>
        <w:t> Some of the lecturers were reported dead because of stress.</w:t>
      </w:r>
      <w:r>
        <w:rPr>
          <w:vertAlign w:val="superscript"/>
        </w:rPr>
        <w:t>143</w:t>
      </w:r>
    </w:p>
    <w:p>
      <w:pPr>
        <w:pStyle w:val="BodyText"/>
        <w:spacing w:before="15"/>
      </w:pPr>
    </w:p>
    <w:p>
      <w:pPr>
        <w:pStyle w:val="BodyText"/>
        <w:spacing w:line="489" w:lineRule="auto" w:before="1"/>
        <w:ind w:left="864" w:right="569"/>
        <w:jc w:val="both"/>
      </w:pPr>
      <w:r>
        <w:rPr/>
        <w:t>An employee is entitled to compensation for mental stress, where the</w:t>
      </w:r>
      <w:r>
        <w:rPr>
          <w:spacing w:val="40"/>
        </w:rPr>
        <w:t> </w:t>
      </w:r>
      <w:r>
        <w:rPr/>
        <w:t>mental stress is not as a result of an injury for which such employee is otherwise entitled to compensation.</w:t>
      </w:r>
      <w:r>
        <w:rPr>
          <w:vertAlign w:val="superscript"/>
        </w:rPr>
        <w:t>144</w:t>
      </w:r>
      <w:r>
        <w:rPr>
          <w:vertAlign w:val="baseline"/>
        </w:rPr>
        <w:t> The definition of the phrase “mental stress” is not provided in the Act. It is however the view</w:t>
      </w:r>
      <w:r>
        <w:rPr>
          <w:spacing w:val="80"/>
          <w:vertAlign w:val="baseline"/>
        </w:rPr>
        <w:t> </w:t>
      </w:r>
      <w:r>
        <w:rPr>
          <w:vertAlign w:val="baseline"/>
        </w:rPr>
        <w:t>of the writer that mental stress here, will have the meaning given to it in the field of</w:t>
      </w:r>
      <w:r>
        <w:rPr>
          <w:spacing w:val="80"/>
          <w:vertAlign w:val="baseline"/>
        </w:rPr>
        <w:t> </w:t>
      </w:r>
      <w:r>
        <w:rPr>
          <w:vertAlign w:val="baseline"/>
        </w:rPr>
        <w:t>medicine.</w:t>
      </w:r>
      <w:r>
        <w:rPr>
          <w:spacing w:val="47"/>
          <w:vertAlign w:val="baseline"/>
        </w:rPr>
        <w:t> </w:t>
      </w:r>
      <w:r>
        <w:rPr>
          <w:vertAlign w:val="baseline"/>
        </w:rPr>
        <w:t>In</w:t>
      </w:r>
      <w:r>
        <w:rPr>
          <w:spacing w:val="51"/>
          <w:vertAlign w:val="baseline"/>
        </w:rPr>
        <w:t> </w:t>
      </w:r>
      <w:r>
        <w:rPr>
          <w:vertAlign w:val="baseline"/>
        </w:rPr>
        <w:t>medical</w:t>
      </w:r>
      <w:r>
        <w:rPr>
          <w:spacing w:val="56"/>
          <w:vertAlign w:val="baseline"/>
        </w:rPr>
        <w:t> </w:t>
      </w:r>
      <w:r>
        <w:rPr>
          <w:vertAlign w:val="baseline"/>
        </w:rPr>
        <w:t>terms,</w:t>
      </w:r>
      <w:r>
        <w:rPr>
          <w:spacing w:val="48"/>
          <w:vertAlign w:val="baseline"/>
        </w:rPr>
        <w:t> </w:t>
      </w:r>
      <w:r>
        <w:rPr>
          <w:vertAlign w:val="baseline"/>
        </w:rPr>
        <w:t>mental</w:t>
      </w:r>
      <w:r>
        <w:rPr>
          <w:spacing w:val="45"/>
          <w:vertAlign w:val="baseline"/>
        </w:rPr>
        <w:t> </w:t>
      </w:r>
      <w:r>
        <w:rPr>
          <w:vertAlign w:val="baseline"/>
        </w:rPr>
        <w:t>stress</w:t>
      </w:r>
      <w:r>
        <w:rPr>
          <w:spacing w:val="53"/>
          <w:vertAlign w:val="baseline"/>
        </w:rPr>
        <w:t> </w:t>
      </w:r>
      <w:r>
        <w:rPr>
          <w:vertAlign w:val="baseline"/>
        </w:rPr>
        <w:t>is</w:t>
      </w:r>
      <w:r>
        <w:rPr>
          <w:spacing w:val="48"/>
          <w:vertAlign w:val="baseline"/>
        </w:rPr>
        <w:t> </w:t>
      </w:r>
      <w:r>
        <w:rPr>
          <w:vertAlign w:val="baseline"/>
        </w:rPr>
        <w:t>described</w:t>
      </w:r>
      <w:r>
        <w:rPr>
          <w:spacing w:val="52"/>
          <w:vertAlign w:val="baseline"/>
        </w:rPr>
        <w:t> </w:t>
      </w:r>
      <w:r>
        <w:rPr>
          <w:vertAlign w:val="baseline"/>
        </w:rPr>
        <w:t>as</w:t>
      </w:r>
      <w:r>
        <w:rPr>
          <w:spacing w:val="47"/>
          <w:vertAlign w:val="baseline"/>
        </w:rPr>
        <w:t> </w:t>
      </w:r>
      <w:r>
        <w:rPr>
          <w:vertAlign w:val="baseline"/>
        </w:rPr>
        <w:t>a</w:t>
      </w:r>
      <w:r>
        <w:rPr>
          <w:spacing w:val="53"/>
          <w:vertAlign w:val="baseline"/>
        </w:rPr>
        <w:t> </w:t>
      </w:r>
      <w:r>
        <w:rPr>
          <w:vertAlign w:val="baseline"/>
        </w:rPr>
        <w:t>physical</w:t>
      </w:r>
      <w:r>
        <w:rPr>
          <w:spacing w:val="51"/>
          <w:vertAlign w:val="baseline"/>
        </w:rPr>
        <w:t> </w:t>
      </w:r>
      <w:r>
        <w:rPr>
          <w:spacing w:val="-5"/>
          <w:vertAlign w:val="baseline"/>
        </w:rPr>
        <w:t>or</w:t>
      </w:r>
    </w:p>
    <w:p>
      <w:pPr>
        <w:pStyle w:val="BodyText"/>
        <w:spacing w:before="12"/>
        <w:rPr>
          <w:sz w:val="20"/>
        </w:rPr>
      </w:pPr>
      <w:r>
        <w:rPr/>
        <mc:AlternateContent>
          <mc:Choice Requires="wps">
            <w:drawing>
              <wp:anchor distT="0" distB="0" distL="0" distR="0" allowOverlap="1" layoutInCell="1" locked="0" behindDoc="1" simplePos="0" relativeHeight="487618560">
                <wp:simplePos x="0" y="0"/>
                <wp:positionH relativeFrom="page">
                  <wp:posOffset>1185672</wp:posOffset>
                </wp:positionH>
                <wp:positionV relativeFrom="paragraph">
                  <wp:posOffset>176781</wp:posOffset>
                </wp:positionV>
                <wp:extent cx="1719580" cy="6350"/>
                <wp:effectExtent l="0" t="0" r="0" b="0"/>
                <wp:wrapTopAndBottom/>
                <wp:docPr id="70" name="Graphic 70"/>
                <wp:cNvGraphicFramePr>
                  <a:graphicFrameLocks/>
                </wp:cNvGraphicFramePr>
                <a:graphic>
                  <a:graphicData uri="http://schemas.microsoft.com/office/word/2010/wordprocessingShape">
                    <wps:wsp>
                      <wps:cNvPr id="70" name="Graphic 70"/>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3.919765pt;width:135.360pt;height:.48pt;mso-position-horizontal-relative:page;mso-position-vertical-relative:paragraph;z-index:-15697920;mso-wrap-distance-left:0;mso-wrap-distance-right:0" id="docshape70"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137</w:t>
      </w:r>
      <w:r>
        <w:rPr>
          <w:rFonts w:ascii="Times New Roman"/>
          <w:spacing w:val="-9"/>
          <w:sz w:val="19"/>
          <w:vertAlign w:val="baseline"/>
        </w:rPr>
        <w:t> </w:t>
      </w:r>
      <w:r>
        <w:rPr>
          <w:rFonts w:ascii="Times New Roman"/>
          <w:sz w:val="19"/>
          <w:vertAlign w:val="baseline"/>
        </w:rPr>
        <w:t>Section</w:t>
      </w:r>
      <w:r>
        <w:rPr>
          <w:rFonts w:ascii="Times New Roman"/>
          <w:spacing w:val="-5"/>
          <w:sz w:val="19"/>
          <w:vertAlign w:val="baseline"/>
        </w:rPr>
        <w:t> </w:t>
      </w:r>
      <w:r>
        <w:rPr>
          <w:rFonts w:ascii="Times New Roman"/>
          <w:sz w:val="19"/>
          <w:vertAlign w:val="baseline"/>
        </w:rPr>
        <w:t>8</w:t>
      </w:r>
      <w:r>
        <w:rPr>
          <w:rFonts w:ascii="Times New Roman"/>
          <w:spacing w:val="-12"/>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Employees</w:t>
      </w:r>
      <w:r>
        <w:rPr>
          <w:rFonts w:ascii="Times New Roman"/>
          <w:spacing w:val="-8"/>
          <w:sz w:val="19"/>
          <w:vertAlign w:val="baseline"/>
        </w:rPr>
        <w:t> </w:t>
      </w:r>
      <w:r>
        <w:rPr>
          <w:rFonts w:ascii="Times New Roman"/>
          <w:sz w:val="19"/>
          <w:vertAlign w:val="baseline"/>
        </w:rPr>
        <w:t>Compensation</w:t>
      </w:r>
      <w:r>
        <w:rPr>
          <w:rFonts w:ascii="Times New Roman"/>
          <w:spacing w:val="-5"/>
          <w:sz w:val="19"/>
          <w:vertAlign w:val="baseline"/>
        </w:rPr>
        <w:t> </w:t>
      </w:r>
      <w:r>
        <w:rPr>
          <w:rFonts w:ascii="Times New Roman"/>
          <w:sz w:val="19"/>
          <w:vertAlign w:val="baseline"/>
        </w:rPr>
        <w:t>Act,</w:t>
      </w:r>
      <w:r>
        <w:rPr>
          <w:rFonts w:ascii="Times New Roman"/>
          <w:spacing w:val="-9"/>
          <w:sz w:val="19"/>
          <w:vertAlign w:val="baseline"/>
        </w:rPr>
        <w:t> </w:t>
      </w:r>
      <w:r>
        <w:rPr>
          <w:rFonts w:ascii="Times New Roman"/>
          <w:i/>
          <w:sz w:val="19"/>
          <w:vertAlign w:val="baseline"/>
        </w:rPr>
        <w:t>op</w:t>
      </w:r>
      <w:r>
        <w:rPr>
          <w:rFonts w:ascii="Times New Roman"/>
          <w:i/>
          <w:spacing w:val="-12"/>
          <w:sz w:val="19"/>
          <w:vertAlign w:val="baseline"/>
        </w:rPr>
        <w:t> </w:t>
      </w:r>
      <w:r>
        <w:rPr>
          <w:rFonts w:ascii="Times New Roman"/>
          <w:i/>
          <w:spacing w:val="-5"/>
          <w:sz w:val="19"/>
          <w:vertAlign w:val="baseline"/>
        </w:rPr>
        <w:t>cit</w:t>
      </w:r>
    </w:p>
    <w:p>
      <w:pPr>
        <w:spacing w:line="216" w:lineRule="exact" w:before="0"/>
        <w:ind w:left="187" w:right="0" w:firstLine="0"/>
        <w:jc w:val="left"/>
        <w:rPr>
          <w:rFonts w:ascii="Times New Roman"/>
          <w:i/>
          <w:sz w:val="19"/>
        </w:rPr>
      </w:pPr>
      <w:r>
        <w:rPr>
          <w:rFonts w:ascii="Times New Roman"/>
          <w:sz w:val="19"/>
          <w:vertAlign w:val="superscript"/>
        </w:rPr>
        <w:t>138</w:t>
      </w:r>
      <w:r>
        <w:rPr>
          <w:rFonts w:ascii="Times New Roman"/>
          <w:spacing w:val="1"/>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9</w:t>
      </w:r>
      <w:r>
        <w:rPr>
          <w:rFonts w:ascii="Times New Roman"/>
          <w:spacing w:val="-7"/>
          <w:sz w:val="19"/>
          <w:vertAlign w:val="baseline"/>
        </w:rPr>
        <w:t> </w:t>
      </w:r>
      <w:r>
        <w:rPr>
          <w:rFonts w:ascii="Times New Roman"/>
          <w:i/>
          <w:spacing w:val="-4"/>
          <w:sz w:val="19"/>
          <w:vertAlign w:val="baseline"/>
        </w:rPr>
        <w:t>ibid</w:t>
      </w:r>
    </w:p>
    <w:p>
      <w:pPr>
        <w:spacing w:line="217" w:lineRule="exact" w:before="0"/>
        <w:ind w:left="230" w:right="0" w:firstLine="0"/>
        <w:jc w:val="left"/>
        <w:rPr>
          <w:rFonts w:ascii="Times New Roman"/>
          <w:i/>
          <w:sz w:val="19"/>
        </w:rPr>
      </w:pPr>
      <w:r>
        <w:rPr>
          <w:rFonts w:ascii="Times New Roman"/>
          <w:sz w:val="19"/>
          <w:vertAlign w:val="superscript"/>
        </w:rPr>
        <w:t>139</w:t>
      </w:r>
      <w:r>
        <w:rPr>
          <w:rFonts w:ascii="Times New Roman"/>
          <w:spacing w:val="-1"/>
          <w:sz w:val="19"/>
          <w:vertAlign w:val="baseline"/>
        </w:rPr>
        <w:t> </w:t>
      </w:r>
      <w:r>
        <w:rPr>
          <w:rFonts w:ascii="Times New Roman"/>
          <w:sz w:val="19"/>
          <w:vertAlign w:val="baseline"/>
        </w:rPr>
        <w:t>Section</w:t>
      </w:r>
      <w:r>
        <w:rPr>
          <w:rFonts w:ascii="Times New Roman"/>
          <w:spacing w:val="4"/>
          <w:sz w:val="19"/>
          <w:vertAlign w:val="baseline"/>
        </w:rPr>
        <w:t> </w:t>
      </w:r>
      <w:r>
        <w:rPr>
          <w:rFonts w:ascii="Times New Roman"/>
          <w:sz w:val="19"/>
          <w:vertAlign w:val="baseline"/>
        </w:rPr>
        <w:t>7</w:t>
      </w:r>
      <w:r>
        <w:rPr>
          <w:rFonts w:ascii="Times New Roman"/>
          <w:spacing w:val="-5"/>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140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10</w:t>
      </w:r>
      <w:r>
        <w:rPr>
          <w:rFonts w:ascii="Times New Roman"/>
          <w:spacing w:val="-5"/>
          <w:sz w:val="19"/>
          <w:vertAlign w:val="baseline"/>
        </w:rPr>
        <w:t> </w:t>
      </w:r>
      <w:r>
        <w:rPr>
          <w:rFonts w:ascii="Times New Roman"/>
          <w:i/>
          <w:spacing w:val="-2"/>
          <w:sz w:val="19"/>
          <w:vertAlign w:val="baseline"/>
        </w:rPr>
        <w:t>ibidS</w:t>
      </w:r>
    </w:p>
    <w:p>
      <w:pPr>
        <w:spacing w:line="214" w:lineRule="exact" w:before="0"/>
        <w:ind w:left="187" w:right="0" w:firstLine="0"/>
        <w:jc w:val="left"/>
        <w:rPr>
          <w:rFonts w:ascii="Times New Roman"/>
          <w:i/>
          <w:sz w:val="19"/>
        </w:rPr>
      </w:pPr>
      <w:r>
        <w:rPr>
          <w:rFonts w:ascii="Times New Roman"/>
          <w:sz w:val="19"/>
          <w:vertAlign w:val="superscript"/>
        </w:rPr>
        <w:t>141</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w:t>
      </w:r>
      <w:r>
        <w:rPr>
          <w:rFonts w:ascii="Times New Roman"/>
          <w:spacing w:val="-5"/>
          <w:sz w:val="19"/>
          <w:vertAlign w:val="baseline"/>
        </w:rPr>
        <w:t> </w:t>
      </w:r>
      <w:r>
        <w:rPr>
          <w:rFonts w:ascii="Times New Roman"/>
          <w:i/>
          <w:spacing w:val="-4"/>
          <w:sz w:val="19"/>
          <w:vertAlign w:val="baseline"/>
        </w:rPr>
        <w:t>ibid</w:t>
      </w:r>
    </w:p>
    <w:p>
      <w:pPr>
        <w:spacing w:line="237" w:lineRule="auto" w:before="0"/>
        <w:ind w:left="187" w:right="563" w:firstLine="0"/>
        <w:jc w:val="left"/>
        <w:rPr>
          <w:rFonts w:ascii="Times New Roman"/>
          <w:sz w:val="19"/>
        </w:rPr>
      </w:pPr>
      <w:r>
        <w:rPr>
          <w:rFonts w:ascii="Times New Roman"/>
          <w:sz w:val="19"/>
          <w:vertAlign w:val="superscript"/>
        </w:rPr>
        <w:t>142</w:t>
      </w:r>
      <w:r>
        <w:rPr>
          <w:rFonts w:ascii="Times New Roman"/>
          <w:spacing w:val="-3"/>
          <w:sz w:val="19"/>
          <w:vertAlign w:val="baseline"/>
        </w:rPr>
        <w:t> </w:t>
      </w:r>
      <w:r>
        <w:rPr>
          <w:rFonts w:ascii="Times New Roman"/>
          <w:sz w:val="19"/>
          <w:vertAlign w:val="baseline"/>
        </w:rPr>
        <w:t>Dike,</w:t>
      </w:r>
      <w:r>
        <w:rPr>
          <w:rFonts w:ascii="Times New Roman"/>
          <w:spacing w:val="-7"/>
          <w:sz w:val="19"/>
          <w:vertAlign w:val="baseline"/>
        </w:rPr>
        <w:t> </w:t>
      </w:r>
      <w:r>
        <w:rPr>
          <w:rFonts w:ascii="Times New Roman"/>
          <w:sz w:val="19"/>
          <w:vertAlign w:val="baseline"/>
        </w:rPr>
        <w:t>G.</w:t>
      </w:r>
      <w:r>
        <w:rPr>
          <w:rFonts w:ascii="Times New Roman"/>
          <w:spacing w:val="-8"/>
          <w:sz w:val="19"/>
          <w:vertAlign w:val="baseline"/>
        </w:rPr>
        <w:t> </w:t>
      </w:r>
      <w:r>
        <w:rPr>
          <w:rFonts w:ascii="Times New Roman"/>
          <w:i/>
          <w:sz w:val="19"/>
          <w:vertAlign w:val="baseline"/>
        </w:rPr>
        <w:t>Crisis</w:t>
      </w:r>
      <w:r>
        <w:rPr>
          <w:rFonts w:ascii="Times New Roman"/>
          <w:i/>
          <w:spacing w:val="-12"/>
          <w:sz w:val="19"/>
          <w:vertAlign w:val="baseline"/>
        </w:rPr>
        <w:t> </w:t>
      </w:r>
      <w:r>
        <w:rPr>
          <w:rFonts w:ascii="Times New Roman"/>
          <w:i/>
          <w:sz w:val="19"/>
          <w:vertAlign w:val="baseline"/>
        </w:rPr>
        <w:t>Brews</w:t>
      </w:r>
      <w:r>
        <w:rPr>
          <w:rFonts w:ascii="Times New Roman"/>
          <w:i/>
          <w:spacing w:val="-9"/>
          <w:sz w:val="19"/>
          <w:vertAlign w:val="baseline"/>
        </w:rPr>
        <w:t> </w:t>
      </w:r>
      <w:r>
        <w:rPr>
          <w:rFonts w:ascii="Times New Roman"/>
          <w:i/>
          <w:sz w:val="19"/>
          <w:vertAlign w:val="baseline"/>
        </w:rPr>
        <w:t>at</w:t>
      </w:r>
      <w:r>
        <w:rPr>
          <w:rFonts w:ascii="Times New Roman"/>
          <w:i/>
          <w:spacing w:val="-4"/>
          <w:sz w:val="19"/>
          <w:vertAlign w:val="baseline"/>
        </w:rPr>
        <w:t> </w:t>
      </w:r>
      <w:r>
        <w:rPr>
          <w:rFonts w:ascii="Times New Roman"/>
          <w:i/>
          <w:sz w:val="19"/>
          <w:vertAlign w:val="baseline"/>
        </w:rPr>
        <w:t>O.A.U</w:t>
      </w:r>
      <w:r>
        <w:rPr>
          <w:rFonts w:ascii="Times New Roman"/>
          <w:i/>
          <w:spacing w:val="-9"/>
          <w:sz w:val="19"/>
          <w:vertAlign w:val="baseline"/>
        </w:rPr>
        <w:t> </w:t>
      </w:r>
      <w:r>
        <w:rPr>
          <w:rFonts w:ascii="Times New Roman"/>
          <w:i/>
          <w:sz w:val="19"/>
          <w:vertAlign w:val="baseline"/>
        </w:rPr>
        <w:t>as</w:t>
      </w:r>
      <w:r>
        <w:rPr>
          <w:rFonts w:ascii="Times New Roman"/>
          <w:i/>
          <w:spacing w:val="-5"/>
          <w:sz w:val="19"/>
          <w:vertAlign w:val="baseline"/>
        </w:rPr>
        <w:t> </w:t>
      </w:r>
      <w:r>
        <w:rPr>
          <w:rFonts w:ascii="Times New Roman"/>
          <w:i/>
          <w:sz w:val="19"/>
          <w:vertAlign w:val="baseline"/>
        </w:rPr>
        <w:t>Lecturers</w:t>
      </w:r>
      <w:r>
        <w:rPr>
          <w:rFonts w:ascii="Times New Roman"/>
          <w:i/>
          <w:spacing w:val="-9"/>
          <w:sz w:val="19"/>
          <w:vertAlign w:val="baseline"/>
        </w:rPr>
        <w:t> </w:t>
      </w:r>
      <w:r>
        <w:rPr>
          <w:rFonts w:ascii="Times New Roman"/>
          <w:i/>
          <w:sz w:val="19"/>
          <w:vertAlign w:val="baseline"/>
        </w:rPr>
        <w:t>Battle</w:t>
      </w:r>
      <w:r>
        <w:rPr>
          <w:rFonts w:ascii="Times New Roman"/>
          <w:i/>
          <w:spacing w:val="-6"/>
          <w:sz w:val="19"/>
          <w:vertAlign w:val="baseline"/>
        </w:rPr>
        <w:t> </w:t>
      </w:r>
      <w:r>
        <w:rPr>
          <w:rFonts w:ascii="Times New Roman"/>
          <w:i/>
          <w:sz w:val="19"/>
          <w:vertAlign w:val="baseline"/>
        </w:rPr>
        <w:t>Varsity</w:t>
      </w:r>
      <w:r>
        <w:rPr>
          <w:rFonts w:ascii="Times New Roman"/>
          <w:i/>
          <w:spacing w:val="-9"/>
          <w:sz w:val="19"/>
          <w:vertAlign w:val="baseline"/>
        </w:rPr>
        <w:t> </w:t>
      </w:r>
      <w:r>
        <w:rPr>
          <w:rFonts w:ascii="Times New Roman"/>
          <w:i/>
          <w:sz w:val="19"/>
          <w:vertAlign w:val="baseline"/>
        </w:rPr>
        <w:t>Management,</w:t>
      </w:r>
      <w:r>
        <w:rPr>
          <w:rFonts w:ascii="Times New Roman"/>
          <w:i/>
          <w:spacing w:val="-7"/>
          <w:sz w:val="19"/>
          <w:vertAlign w:val="baseline"/>
        </w:rPr>
        <w:t> </w:t>
      </w:r>
      <w:r>
        <w:rPr>
          <w:rFonts w:ascii="Times New Roman"/>
          <w:sz w:val="19"/>
          <w:vertAlign w:val="baseline"/>
        </w:rPr>
        <w:t>Column</w:t>
      </w:r>
      <w:r>
        <w:rPr>
          <w:rFonts w:ascii="Times New Roman"/>
          <w:spacing w:val="-7"/>
          <w:sz w:val="19"/>
          <w:vertAlign w:val="baseline"/>
        </w:rPr>
        <w:t> </w:t>
      </w:r>
      <w:r>
        <w:rPr>
          <w:rFonts w:ascii="Times New Roman"/>
          <w:sz w:val="19"/>
          <w:vertAlign w:val="baseline"/>
        </w:rPr>
        <w:t>2,</w:t>
      </w:r>
      <w:r>
        <w:rPr>
          <w:rFonts w:ascii="Times New Roman"/>
          <w:spacing w:val="-4"/>
          <w:sz w:val="19"/>
          <w:vertAlign w:val="baseline"/>
        </w:rPr>
        <w:t> </w:t>
      </w:r>
      <w:r>
        <w:rPr>
          <w:rFonts w:ascii="Times New Roman"/>
          <w:sz w:val="19"/>
          <w:vertAlign w:val="baseline"/>
        </w:rPr>
        <w:t>Daily</w:t>
      </w:r>
      <w:r>
        <w:rPr>
          <w:rFonts w:ascii="Times New Roman"/>
          <w:spacing w:val="-10"/>
          <w:sz w:val="19"/>
          <w:vertAlign w:val="baseline"/>
        </w:rPr>
        <w:t> </w:t>
      </w:r>
      <w:r>
        <w:rPr>
          <w:rFonts w:ascii="Times New Roman"/>
          <w:sz w:val="19"/>
          <w:vertAlign w:val="baseline"/>
        </w:rPr>
        <w:t>Sun,</w:t>
      </w:r>
      <w:r>
        <w:rPr>
          <w:rFonts w:ascii="Times New Roman"/>
          <w:spacing w:val="-11"/>
          <w:sz w:val="19"/>
          <w:vertAlign w:val="baseline"/>
        </w:rPr>
        <w:t> </w:t>
      </w:r>
      <w:r>
        <w:rPr>
          <w:rFonts w:ascii="Times New Roman"/>
          <w:sz w:val="19"/>
          <w:vertAlign w:val="baseline"/>
        </w:rPr>
        <w:t>Tuesday, February 12, 2012 p.7</w:t>
      </w:r>
    </w:p>
    <w:p>
      <w:pPr>
        <w:spacing w:line="215" w:lineRule="exact" w:before="0"/>
        <w:ind w:left="187" w:right="0" w:firstLine="0"/>
        <w:jc w:val="left"/>
        <w:rPr>
          <w:rFonts w:ascii="Times New Roman"/>
          <w:i/>
          <w:sz w:val="19"/>
        </w:rPr>
      </w:pPr>
      <w:r>
        <w:rPr>
          <w:rFonts w:ascii="Times New Roman"/>
          <w:sz w:val="19"/>
          <w:vertAlign w:val="superscript"/>
        </w:rPr>
        <w:t>143</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hAnsi="Times New Roman"/>
          <w:i/>
          <w:sz w:val="19"/>
        </w:rPr>
      </w:pPr>
      <w:r>
        <w:rPr>
          <w:rFonts w:ascii="Times New Roman" w:hAnsi="Times New Roman"/>
          <w:sz w:val="19"/>
          <w:vertAlign w:val="superscript"/>
        </w:rPr>
        <w:t>144</w:t>
      </w:r>
      <w:r>
        <w:rPr>
          <w:rFonts w:ascii="Times New Roman" w:hAnsi="Times New Roman"/>
          <w:spacing w:val="-10"/>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8(1)</w:t>
      </w:r>
      <w:r>
        <w:rPr>
          <w:rFonts w:ascii="Times New Roman" w:hAnsi="Times New Roman"/>
          <w:spacing w:val="-8"/>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7"/>
          <w:sz w:val="19"/>
          <w:vertAlign w:val="baseline"/>
        </w:rPr>
        <w:t> </w:t>
      </w:r>
      <w:r>
        <w:rPr>
          <w:rFonts w:ascii="Times New Roman" w:hAnsi="Times New Roman"/>
          <w:sz w:val="19"/>
          <w:vertAlign w:val="baseline"/>
        </w:rPr>
        <w:t>Compesation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6"/>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after="0" w:line="217" w:lineRule="exact"/>
        <w:jc w:val="left"/>
        <w:rPr>
          <w:rFonts w:ascii="Times New Roman" w:hAnsi="Times New Roman"/>
          <w:sz w:val="19"/>
        </w:rPr>
        <w:sectPr>
          <w:pgSz w:w="12240" w:h="15840"/>
          <w:pgMar w:header="0" w:footer="1009" w:top="1240" w:bottom="1200" w:left="1680" w:right="1320"/>
        </w:sectPr>
      </w:pPr>
    </w:p>
    <w:p>
      <w:pPr>
        <w:pStyle w:val="BodyText"/>
        <w:spacing w:line="487" w:lineRule="auto" w:before="94"/>
        <w:ind w:left="864" w:right="562"/>
        <w:jc w:val="both"/>
      </w:pPr>
      <w:r>
        <w:rPr/>
        <w:t>psychological stimulus that can produce mental tension or physiological reactions that may lead to illness.</w:t>
      </w:r>
      <w:r>
        <w:rPr>
          <w:vertAlign w:val="superscript"/>
        </w:rPr>
        <w:t>145</w:t>
      </w:r>
      <w:r>
        <w:rPr>
          <w:vertAlign w:val="baseline"/>
        </w:rPr>
        <w:t> When one is under stress, his adrenal gland releases </w:t>
      </w:r>
      <w:r>
        <w:rPr>
          <w:rFonts w:ascii="Verdana" w:hAnsi="Verdana"/>
          <w:i/>
          <w:sz w:val="24"/>
          <w:vertAlign w:val="baseline"/>
        </w:rPr>
        <w:t>corticosteroids</w:t>
      </w:r>
      <w:r>
        <w:rPr>
          <w:rFonts w:ascii="Verdana" w:hAnsi="Verdana"/>
          <w:i/>
          <w:spacing w:val="-4"/>
          <w:sz w:val="24"/>
          <w:vertAlign w:val="baseline"/>
        </w:rPr>
        <w:t> </w:t>
      </w:r>
      <w:r>
        <w:rPr>
          <w:vertAlign w:val="baseline"/>
        </w:rPr>
        <w:t>which are converted to </w:t>
      </w:r>
      <w:r>
        <w:rPr>
          <w:rFonts w:ascii="Verdana" w:hAnsi="Verdana"/>
          <w:i/>
          <w:sz w:val="24"/>
          <w:vertAlign w:val="baseline"/>
        </w:rPr>
        <w:t>cortisol</w:t>
      </w:r>
      <w:r>
        <w:rPr>
          <w:rFonts w:ascii="Verdana" w:hAnsi="Verdana"/>
          <w:i/>
          <w:spacing w:val="-6"/>
          <w:sz w:val="24"/>
          <w:vertAlign w:val="baseline"/>
        </w:rPr>
        <w:t> </w:t>
      </w:r>
      <w:r>
        <w:rPr>
          <w:vertAlign w:val="baseline"/>
        </w:rPr>
        <w:t>leading to immune suppression in the body.</w:t>
      </w:r>
      <w:r>
        <w:rPr>
          <w:vertAlign w:val="superscript"/>
        </w:rPr>
        <w:t>146</w:t>
      </w:r>
      <w:r>
        <w:rPr>
          <w:vertAlign w:val="baseline"/>
        </w:rPr>
        <w:t> This stimulus can be triggered by additional</w:t>
      </w:r>
      <w:r>
        <w:rPr>
          <w:spacing w:val="33"/>
          <w:vertAlign w:val="baseline"/>
        </w:rPr>
        <w:t> </w:t>
      </w:r>
      <w:r>
        <w:rPr>
          <w:vertAlign w:val="baseline"/>
        </w:rPr>
        <w:t>responsibilities in</w:t>
      </w:r>
      <w:r>
        <w:rPr>
          <w:spacing w:val="32"/>
          <w:vertAlign w:val="baseline"/>
        </w:rPr>
        <w:t> </w:t>
      </w:r>
      <w:r>
        <w:rPr>
          <w:vertAlign w:val="baseline"/>
        </w:rPr>
        <w:t>one’s place</w:t>
      </w:r>
      <w:r>
        <w:rPr>
          <w:spacing w:val="35"/>
          <w:vertAlign w:val="baseline"/>
        </w:rPr>
        <w:t> </w:t>
      </w:r>
      <w:r>
        <w:rPr>
          <w:vertAlign w:val="baseline"/>
        </w:rPr>
        <w:t>of</w:t>
      </w:r>
      <w:r>
        <w:rPr>
          <w:spacing w:val="35"/>
          <w:vertAlign w:val="baseline"/>
        </w:rPr>
        <w:t> </w:t>
      </w:r>
      <w:r>
        <w:rPr>
          <w:vertAlign w:val="baseline"/>
        </w:rPr>
        <w:t>work.</w:t>
      </w:r>
      <w:r>
        <w:rPr>
          <w:vertAlign w:val="superscript"/>
        </w:rPr>
        <w:t>147</w:t>
      </w:r>
      <w:r>
        <w:rPr>
          <w:vertAlign w:val="baseline"/>
        </w:rPr>
        <w:t> Mental</w:t>
      </w:r>
      <w:r>
        <w:rPr>
          <w:spacing w:val="33"/>
          <w:vertAlign w:val="baseline"/>
        </w:rPr>
        <w:t> </w:t>
      </w:r>
      <w:r>
        <w:rPr>
          <w:vertAlign w:val="baseline"/>
        </w:rPr>
        <w:t>stress</w:t>
      </w:r>
      <w:r>
        <w:rPr>
          <w:spacing w:val="34"/>
          <w:vertAlign w:val="baseline"/>
        </w:rPr>
        <w:t> </w:t>
      </w:r>
      <w:r>
        <w:rPr>
          <w:vertAlign w:val="baseline"/>
        </w:rPr>
        <w:t>can</w:t>
      </w:r>
      <w:r>
        <w:rPr>
          <w:spacing w:val="33"/>
          <w:vertAlign w:val="baseline"/>
        </w:rPr>
        <w:t> </w:t>
      </w:r>
      <w:r>
        <w:rPr>
          <w:vertAlign w:val="baseline"/>
        </w:rPr>
        <w:t>also be</w:t>
      </w:r>
      <w:r>
        <w:rPr>
          <w:spacing w:val="35"/>
          <w:vertAlign w:val="baseline"/>
        </w:rPr>
        <w:t> </w:t>
      </w:r>
      <w:r>
        <w:rPr>
          <w:vertAlign w:val="baseline"/>
        </w:rPr>
        <w:t>caused</w:t>
      </w:r>
      <w:r>
        <w:rPr>
          <w:spacing w:val="33"/>
          <w:vertAlign w:val="baseline"/>
        </w:rPr>
        <w:t> </w:t>
      </w:r>
      <w:r>
        <w:rPr>
          <w:vertAlign w:val="baseline"/>
        </w:rPr>
        <w:t>when</w:t>
      </w:r>
      <w:r>
        <w:rPr>
          <w:spacing w:val="38"/>
          <w:vertAlign w:val="baseline"/>
        </w:rPr>
        <w:t> </w:t>
      </w:r>
      <w:r>
        <w:rPr>
          <w:vertAlign w:val="baseline"/>
        </w:rPr>
        <w:t>facing</w:t>
      </w:r>
      <w:r>
        <w:rPr>
          <w:spacing w:val="39"/>
          <w:vertAlign w:val="baseline"/>
        </w:rPr>
        <w:t> </w:t>
      </w:r>
      <w:r>
        <w:rPr>
          <w:vertAlign w:val="baseline"/>
        </w:rPr>
        <w:t>large</w:t>
      </w:r>
      <w:r>
        <w:rPr>
          <w:spacing w:val="35"/>
          <w:vertAlign w:val="baseline"/>
        </w:rPr>
        <w:t> </w:t>
      </w:r>
      <w:r>
        <w:rPr>
          <w:vertAlign w:val="baseline"/>
        </w:rPr>
        <w:t>changes</w:t>
      </w:r>
      <w:r>
        <w:rPr>
          <w:spacing w:val="34"/>
          <w:vertAlign w:val="baseline"/>
        </w:rPr>
        <w:t> </w:t>
      </w:r>
      <w:r>
        <w:rPr>
          <w:vertAlign w:val="baseline"/>
        </w:rPr>
        <w:t>in</w:t>
      </w:r>
      <w:r>
        <w:rPr>
          <w:spacing w:val="38"/>
          <w:vertAlign w:val="baseline"/>
        </w:rPr>
        <w:t> </w:t>
      </w:r>
      <w:r>
        <w:rPr>
          <w:vertAlign w:val="baseline"/>
        </w:rPr>
        <w:t>one’s</w:t>
      </w:r>
      <w:r>
        <w:rPr>
          <w:spacing w:val="34"/>
          <w:vertAlign w:val="baseline"/>
        </w:rPr>
        <w:t> </w:t>
      </w:r>
      <w:r>
        <w:rPr>
          <w:vertAlign w:val="baseline"/>
        </w:rPr>
        <w:t>working</w:t>
      </w:r>
      <w:r>
        <w:rPr>
          <w:spacing w:val="39"/>
          <w:vertAlign w:val="baseline"/>
        </w:rPr>
        <w:t> </w:t>
      </w:r>
      <w:r>
        <w:rPr>
          <w:vertAlign w:val="baseline"/>
        </w:rPr>
        <w:t>environment</w:t>
      </w:r>
      <w:r>
        <w:rPr>
          <w:spacing w:val="32"/>
          <w:vertAlign w:val="baseline"/>
        </w:rPr>
        <w:t> </w:t>
      </w:r>
      <w:r>
        <w:rPr>
          <w:vertAlign w:val="baseline"/>
        </w:rPr>
        <w:t>such as a big move, travel or retirement.</w:t>
      </w:r>
      <w:r>
        <w:rPr>
          <w:vertAlign w:val="superscript"/>
        </w:rPr>
        <w:t>148</w:t>
      </w:r>
      <w:r>
        <w:rPr>
          <w:vertAlign w:val="baseline"/>
        </w:rPr>
        <w:t> Other causes of mental stress are health condition of an employee, the death of a loved one, and bad relationship with others.</w:t>
      </w:r>
      <w:r>
        <w:rPr>
          <w:vertAlign w:val="superscript"/>
        </w:rPr>
        <w:t>149</w:t>
      </w:r>
      <w:r>
        <w:rPr>
          <w:vertAlign w:val="baseline"/>
        </w:rPr>
        <w:t> When the mental stress is caused as a result of the employee to change the work, the working conditions of a work organisation in such a way as to unfairly exceed the work ability and capacity of the employee, such situation shall be liable to compensation to the degree as may be determined under any regulation by the Board.</w:t>
      </w:r>
      <w:r>
        <w:rPr>
          <w:vertAlign w:val="superscript"/>
        </w:rPr>
        <w:t>150</w:t>
      </w:r>
    </w:p>
    <w:p>
      <w:pPr>
        <w:pStyle w:val="BodyText"/>
        <w:spacing w:before="23"/>
      </w:pPr>
    </w:p>
    <w:p>
      <w:pPr>
        <w:pStyle w:val="BodyText"/>
        <w:spacing w:line="494" w:lineRule="auto"/>
        <w:ind w:left="864" w:right="568" w:firstLine="72"/>
        <w:jc w:val="both"/>
      </w:pPr>
      <w:r>
        <w:rPr/>
        <w:t>Whatever may be the reason for the mental stress, the following requirements must be fulfilled, for it to be compensable:</w:t>
      </w:r>
    </w:p>
    <w:p>
      <w:pPr>
        <w:pStyle w:val="ListParagraph"/>
        <w:numPr>
          <w:ilvl w:val="3"/>
          <w:numId w:val="13"/>
        </w:numPr>
        <w:tabs>
          <w:tab w:pos="1452" w:val="left" w:leader="none"/>
          <w:tab w:pos="1454" w:val="left" w:leader="none"/>
        </w:tabs>
        <w:spacing w:line="489" w:lineRule="auto" w:before="0" w:after="0"/>
        <w:ind w:left="1454" w:right="569" w:hanging="591"/>
        <w:jc w:val="both"/>
        <w:rPr>
          <w:sz w:val="23"/>
        </w:rPr>
      </w:pPr>
      <w:r>
        <w:rPr>
          <w:sz w:val="23"/>
        </w:rPr>
        <w:t>Mental stress must either be an acute reaction to a sudden and unexpected traumatic event arising out of or in the course of employment or that such an employee is diagnosed by an accredited medical practitioner as suffering from mental stress or physical condition</w:t>
      </w:r>
      <w:r>
        <w:rPr>
          <w:spacing w:val="59"/>
          <w:sz w:val="23"/>
        </w:rPr>
        <w:t> </w:t>
      </w:r>
      <w:r>
        <w:rPr>
          <w:sz w:val="23"/>
        </w:rPr>
        <w:t>amounting</w:t>
      </w:r>
      <w:r>
        <w:rPr>
          <w:spacing w:val="60"/>
          <w:sz w:val="23"/>
        </w:rPr>
        <w:t> </w:t>
      </w:r>
      <w:r>
        <w:rPr>
          <w:sz w:val="23"/>
        </w:rPr>
        <w:t>to</w:t>
      </w:r>
      <w:r>
        <w:rPr>
          <w:spacing w:val="40"/>
          <w:sz w:val="23"/>
        </w:rPr>
        <w:t> </w:t>
      </w:r>
      <w:r>
        <w:rPr>
          <w:sz w:val="23"/>
        </w:rPr>
        <w:t>mental</w:t>
      </w:r>
      <w:r>
        <w:rPr>
          <w:spacing w:val="40"/>
          <w:sz w:val="23"/>
        </w:rPr>
        <w:t> </w:t>
      </w:r>
      <w:r>
        <w:rPr>
          <w:sz w:val="23"/>
        </w:rPr>
        <w:t>stress</w:t>
      </w:r>
      <w:r>
        <w:rPr>
          <w:spacing w:val="62"/>
          <w:sz w:val="23"/>
        </w:rPr>
        <w:t> </w:t>
      </w:r>
      <w:r>
        <w:rPr>
          <w:sz w:val="23"/>
        </w:rPr>
        <w:t>arising</w:t>
      </w:r>
      <w:r>
        <w:rPr>
          <w:spacing w:val="60"/>
          <w:sz w:val="23"/>
        </w:rPr>
        <w:t> </w:t>
      </w:r>
      <w:r>
        <w:rPr>
          <w:sz w:val="23"/>
        </w:rPr>
        <w:t>out</w:t>
      </w:r>
      <w:r>
        <w:rPr>
          <w:spacing w:val="40"/>
          <w:sz w:val="23"/>
        </w:rPr>
        <w:t> </w:t>
      </w:r>
      <w:r>
        <w:rPr>
          <w:sz w:val="23"/>
        </w:rPr>
        <w:t>of</w:t>
      </w:r>
      <w:r>
        <w:rPr>
          <w:spacing w:val="62"/>
          <w:sz w:val="23"/>
        </w:rPr>
        <w:t> </w:t>
      </w:r>
      <w:r>
        <w:rPr>
          <w:sz w:val="23"/>
        </w:rPr>
        <w:t>the</w:t>
      </w:r>
      <w:r>
        <w:rPr>
          <w:spacing w:val="40"/>
          <w:sz w:val="23"/>
        </w:rPr>
        <w:t> </w:t>
      </w:r>
      <w:r>
        <w:rPr>
          <w:sz w:val="23"/>
        </w:rPr>
        <w:t>nature</w:t>
      </w:r>
      <w:r>
        <w:rPr>
          <w:spacing w:val="62"/>
          <w:sz w:val="23"/>
        </w:rPr>
        <w:t> </w:t>
      </w:r>
      <w:r>
        <w:rPr>
          <w:sz w:val="23"/>
        </w:rPr>
        <w:t>of</w:t>
      </w:r>
    </w:p>
    <w:p>
      <w:pPr>
        <w:pStyle w:val="BodyText"/>
        <w:spacing w:before="10"/>
        <w:rPr>
          <w:sz w:val="3"/>
        </w:rPr>
      </w:pPr>
      <w:r>
        <w:rPr/>
        <mc:AlternateContent>
          <mc:Choice Requires="wps">
            <w:drawing>
              <wp:anchor distT="0" distB="0" distL="0" distR="0" allowOverlap="1" layoutInCell="1" locked="0" behindDoc="1" simplePos="0" relativeHeight="487619072">
                <wp:simplePos x="0" y="0"/>
                <wp:positionH relativeFrom="page">
                  <wp:posOffset>1185672</wp:posOffset>
                </wp:positionH>
                <wp:positionV relativeFrom="paragraph">
                  <wp:posOffset>45110</wp:posOffset>
                </wp:positionV>
                <wp:extent cx="1719580" cy="6350"/>
                <wp:effectExtent l="0" t="0" r="0" b="0"/>
                <wp:wrapTopAndBottom/>
                <wp:docPr id="71" name="Graphic 71"/>
                <wp:cNvGraphicFramePr>
                  <a:graphicFrameLocks/>
                </wp:cNvGraphicFramePr>
                <a:graphic>
                  <a:graphicData uri="http://schemas.microsoft.com/office/word/2010/wordprocessingShape">
                    <wps:wsp>
                      <wps:cNvPr id="71" name="Graphic 71"/>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3.552012pt;width:135.360pt;height:.48pt;mso-position-horizontal-relative:page;mso-position-vertical-relative:paragraph;z-index:-15697408;mso-wrap-distance-left:0;mso-wrap-distance-right:0" id="docshape71" filled="true" fillcolor="#000000" stroked="false">
                <v:fill type="solid"/>
                <w10:wrap type="topAndBottom"/>
              </v:rect>
            </w:pict>
          </mc:Fallback>
        </mc:AlternateContent>
      </w:r>
    </w:p>
    <w:p>
      <w:pPr>
        <w:spacing w:line="217" w:lineRule="exact" w:before="101"/>
        <w:ind w:left="187" w:right="0" w:firstLine="0"/>
        <w:jc w:val="left"/>
        <w:rPr>
          <w:rFonts w:ascii="Times New Roman"/>
          <w:sz w:val="19"/>
        </w:rPr>
      </w:pPr>
      <w:r>
        <w:rPr>
          <w:rFonts w:ascii="Times New Roman"/>
          <w:spacing w:val="-2"/>
          <w:sz w:val="19"/>
          <w:vertAlign w:val="superscript"/>
        </w:rPr>
        <w:t>145??</w:t>
      </w:r>
      <w:r>
        <w:rPr>
          <w:rFonts w:ascii="Times New Roman"/>
          <w:color w:val="0000FF"/>
          <w:spacing w:val="-2"/>
          <w:sz w:val="19"/>
          <w:u w:val="single" w:color="0000FF"/>
          <w:vertAlign w:val="baseline"/>
        </w:rPr>
        <w:t>http://www.fatfreekitchen.com\stress-</w:t>
      </w:r>
      <w:r>
        <w:rPr>
          <w:rFonts w:ascii="Times New Roman"/>
          <w:color w:val="0000FF"/>
          <w:spacing w:val="60"/>
          <w:sz w:val="19"/>
          <w:vertAlign w:val="baseline"/>
        </w:rPr>
        <w:t> </w:t>
      </w:r>
      <w:r>
        <w:rPr>
          <w:rFonts w:ascii="Times New Roman"/>
          <w:spacing w:val="-2"/>
          <w:sz w:val="19"/>
          <w:vertAlign w:val="baseline"/>
        </w:rPr>
        <w:t>April</w:t>
      </w:r>
      <w:r>
        <w:rPr>
          <w:rFonts w:ascii="Times New Roman"/>
          <w:spacing w:val="12"/>
          <w:sz w:val="19"/>
          <w:vertAlign w:val="baseline"/>
        </w:rPr>
        <w:t> </w:t>
      </w:r>
      <w:r>
        <w:rPr>
          <w:rFonts w:ascii="Times New Roman"/>
          <w:spacing w:val="-2"/>
          <w:sz w:val="19"/>
          <w:vertAlign w:val="baseline"/>
        </w:rPr>
        <w:t>2,</w:t>
      </w:r>
      <w:r>
        <w:rPr>
          <w:rFonts w:ascii="Times New Roman"/>
          <w:spacing w:val="7"/>
          <w:sz w:val="19"/>
          <w:vertAlign w:val="baseline"/>
        </w:rPr>
        <w:t> </w:t>
      </w:r>
      <w:r>
        <w:rPr>
          <w:rFonts w:ascii="Times New Roman"/>
          <w:spacing w:val="-2"/>
          <w:sz w:val="19"/>
          <w:vertAlign w:val="baseline"/>
        </w:rPr>
        <w:t>2012</w:t>
      </w:r>
      <w:r>
        <w:rPr>
          <w:rFonts w:ascii="Times New Roman"/>
          <w:spacing w:val="2"/>
          <w:sz w:val="19"/>
          <w:vertAlign w:val="baseline"/>
        </w:rPr>
        <w:t> </w:t>
      </w:r>
      <w:r>
        <w:rPr>
          <w:rFonts w:ascii="Times New Roman"/>
          <w:spacing w:val="-2"/>
          <w:sz w:val="19"/>
          <w:vertAlign w:val="baseline"/>
        </w:rPr>
        <w:t>-7:20pm</w:t>
      </w:r>
    </w:p>
    <w:p>
      <w:pPr>
        <w:spacing w:line="214" w:lineRule="exact" w:before="0"/>
        <w:ind w:left="187" w:right="0" w:firstLine="0"/>
        <w:jc w:val="left"/>
        <w:rPr>
          <w:rFonts w:ascii="Times New Roman"/>
          <w:i/>
          <w:sz w:val="19"/>
        </w:rPr>
      </w:pPr>
      <w:r>
        <w:rPr>
          <w:rFonts w:ascii="Times New Roman"/>
          <w:sz w:val="19"/>
          <w:vertAlign w:val="superscript"/>
        </w:rPr>
        <w:t>146</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147</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pacing w:val="-2"/>
          <w:sz w:val="19"/>
          <w:vertAlign w:val="superscript"/>
        </w:rPr>
        <w:t>148</w:t>
      </w:r>
      <w:r>
        <w:rPr>
          <w:rFonts w:ascii="Times New Roman"/>
          <w:spacing w:val="8"/>
          <w:sz w:val="19"/>
          <w:vertAlign w:val="baseline"/>
        </w:rPr>
        <w:t> </w:t>
      </w:r>
      <w:hyperlink r:id="rId16">
        <w:r>
          <w:rPr>
            <w:rFonts w:ascii="Times New Roman"/>
            <w:color w:val="0000FF"/>
            <w:spacing w:val="-2"/>
            <w:sz w:val="19"/>
            <w:u w:val="single" w:color="0000FF"/>
            <w:vertAlign w:val="baseline"/>
          </w:rPr>
          <w:t>http://www.livestrong.com/article/155766-five-commoncausesof-sress-</w:t>
        </w:r>
        <w:r>
          <w:rPr>
            <w:rFonts w:ascii="Times New Roman"/>
            <w:color w:val="0000FF"/>
            <w:spacing w:val="64"/>
            <w:sz w:val="19"/>
            <w:u w:val="single" w:color="0000FF"/>
            <w:vertAlign w:val="baseline"/>
          </w:rPr>
          <w:t> </w:t>
        </w:r>
        <w:r>
          <w:rPr>
            <w:rFonts w:ascii="Times New Roman"/>
            <w:color w:val="0000FF"/>
            <w:spacing w:val="-2"/>
            <w:sz w:val="19"/>
            <w:u w:val="single" w:color="0000FF"/>
            <w:vertAlign w:val="baseline"/>
          </w:rPr>
          <w:t>April</w:t>
        </w:r>
        <w:r>
          <w:rPr>
            <w:rFonts w:ascii="Times New Roman"/>
            <w:color w:val="0000FF"/>
            <w:spacing w:val="2"/>
            <w:sz w:val="19"/>
            <w:u w:val="single" w:color="0000FF"/>
            <w:vertAlign w:val="baseline"/>
          </w:rPr>
          <w:t> </w:t>
        </w:r>
        <w:r>
          <w:rPr>
            <w:rFonts w:ascii="Times New Roman"/>
            <w:color w:val="0000FF"/>
            <w:spacing w:val="-2"/>
            <w:sz w:val="19"/>
            <w:u w:val="single" w:color="0000FF"/>
            <w:vertAlign w:val="baseline"/>
          </w:rPr>
          <w:t>2</w:t>
        </w:r>
        <w:r>
          <w:rPr>
            <w:rFonts w:ascii="Times New Roman"/>
            <w:spacing w:val="-2"/>
            <w:sz w:val="19"/>
            <w:vertAlign w:val="baseline"/>
          </w:rPr>
          <w:t>,</w:t>
        </w:r>
      </w:hyperlink>
      <w:r>
        <w:rPr>
          <w:rFonts w:ascii="Times New Roman"/>
          <w:spacing w:val="7"/>
          <w:sz w:val="19"/>
          <w:vertAlign w:val="baseline"/>
        </w:rPr>
        <w:t> </w:t>
      </w:r>
      <w:r>
        <w:rPr>
          <w:rFonts w:ascii="Times New Roman"/>
          <w:spacing w:val="-2"/>
          <w:sz w:val="19"/>
          <w:vertAlign w:val="baseline"/>
        </w:rPr>
        <w:t>2012</w:t>
      </w:r>
      <w:r>
        <w:rPr>
          <w:rFonts w:ascii="Times New Roman"/>
          <w:spacing w:val="3"/>
          <w:sz w:val="19"/>
          <w:vertAlign w:val="baseline"/>
        </w:rPr>
        <w:t> </w:t>
      </w:r>
      <w:r>
        <w:rPr>
          <w:rFonts w:ascii="Times New Roman"/>
          <w:spacing w:val="-2"/>
          <w:sz w:val="19"/>
          <w:vertAlign w:val="baseline"/>
        </w:rPr>
        <w:t>-7:35pm</w:t>
      </w:r>
    </w:p>
    <w:p>
      <w:pPr>
        <w:spacing w:line="216" w:lineRule="exact" w:before="0"/>
        <w:ind w:left="187" w:right="0" w:firstLine="0"/>
        <w:jc w:val="left"/>
        <w:rPr>
          <w:rFonts w:ascii="Times New Roman"/>
          <w:i/>
          <w:sz w:val="19"/>
        </w:rPr>
      </w:pPr>
      <w:r>
        <w:rPr>
          <w:rFonts w:ascii="Times New Roman"/>
          <w:sz w:val="19"/>
          <w:vertAlign w:val="superscript"/>
        </w:rPr>
        <w:t>149</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hAnsi="Times New Roman"/>
          <w:i/>
          <w:sz w:val="19"/>
        </w:rPr>
      </w:pPr>
      <w:r>
        <w:rPr>
          <w:rFonts w:ascii="Times New Roman" w:hAnsi="Times New Roman"/>
          <w:sz w:val="19"/>
          <w:vertAlign w:val="superscript"/>
        </w:rPr>
        <w:t>150</w:t>
      </w:r>
      <w:r>
        <w:rPr>
          <w:rFonts w:ascii="Times New Roman" w:hAnsi="Times New Roman"/>
          <w:spacing w:val="-10"/>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8(2)</w:t>
      </w:r>
      <w:r>
        <w:rPr>
          <w:rFonts w:ascii="Times New Roman" w:hAnsi="Times New Roman"/>
          <w:spacing w:val="-7"/>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8"/>
          <w:sz w:val="19"/>
          <w:vertAlign w:val="baseline"/>
        </w:rPr>
        <w:t> </w:t>
      </w:r>
      <w:r>
        <w:rPr>
          <w:rFonts w:ascii="Times New Roman" w:hAnsi="Times New Roman"/>
          <w:sz w:val="19"/>
          <w:vertAlign w:val="baseline"/>
        </w:rPr>
        <w:t>Compensation</w:t>
      </w:r>
      <w:r>
        <w:rPr>
          <w:rFonts w:ascii="Times New Roman" w:hAnsi="Times New Roman"/>
          <w:spacing w:val="-9"/>
          <w:sz w:val="19"/>
          <w:vertAlign w:val="baseline"/>
        </w:rPr>
        <w:t> </w:t>
      </w:r>
      <w:r>
        <w:rPr>
          <w:rFonts w:ascii="Times New Roman" w:hAnsi="Times New Roman"/>
          <w:sz w:val="19"/>
          <w:vertAlign w:val="baseline"/>
        </w:rPr>
        <w:t>Act</w:t>
      </w:r>
      <w:r>
        <w:rPr>
          <w:rFonts w:ascii="Times New Roman" w:hAnsi="Times New Roman"/>
          <w:spacing w:val="-10"/>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after="0" w:line="217"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94"/>
        <w:ind w:left="1454" w:right="569"/>
        <w:jc w:val="both"/>
      </w:pPr>
      <w:r>
        <w:rPr/>
        <w:t>work or the occurrence of any event in the course of the employee’s </w:t>
      </w:r>
      <w:r>
        <w:rPr>
          <w:spacing w:val="-2"/>
        </w:rPr>
        <w:t>employment.</w:t>
      </w:r>
      <w:r>
        <w:rPr>
          <w:spacing w:val="-2"/>
          <w:vertAlign w:val="superscript"/>
        </w:rPr>
        <w:t>151</w:t>
      </w:r>
    </w:p>
    <w:p>
      <w:pPr>
        <w:pStyle w:val="ListParagraph"/>
        <w:numPr>
          <w:ilvl w:val="3"/>
          <w:numId w:val="13"/>
        </w:numPr>
        <w:tabs>
          <w:tab w:pos="1537" w:val="left" w:leader="none"/>
          <w:tab w:pos="1540" w:val="left" w:leader="none"/>
        </w:tabs>
        <w:spacing w:line="491" w:lineRule="auto" w:before="0" w:after="0"/>
        <w:ind w:left="1540" w:right="560" w:hanging="764"/>
        <w:jc w:val="both"/>
        <w:rPr>
          <w:sz w:val="23"/>
        </w:rPr>
      </w:pPr>
      <w:r>
        <w:rPr>
          <w:sz w:val="23"/>
        </w:rPr>
        <w:t>The mental stress should not result from any injury for which the employee is otherwise entitled to compensation.</w:t>
      </w:r>
      <w:r>
        <w:rPr>
          <w:sz w:val="23"/>
          <w:vertAlign w:val="superscript"/>
        </w:rPr>
        <w:t>152</w:t>
      </w:r>
      <w:r>
        <w:rPr>
          <w:sz w:val="23"/>
          <w:vertAlign w:val="baseline"/>
        </w:rPr>
        <w:t> It means, the employee cannot be compensated for mental stress where</w:t>
      </w:r>
      <w:r>
        <w:rPr>
          <w:spacing w:val="40"/>
          <w:sz w:val="23"/>
          <w:vertAlign w:val="baseline"/>
        </w:rPr>
        <w:t> </w:t>
      </w:r>
      <w:r>
        <w:rPr>
          <w:sz w:val="23"/>
          <w:vertAlign w:val="baseline"/>
        </w:rPr>
        <w:t>the</w:t>
      </w:r>
      <w:r>
        <w:rPr>
          <w:spacing w:val="40"/>
          <w:sz w:val="23"/>
          <w:vertAlign w:val="baseline"/>
        </w:rPr>
        <w:t> </w:t>
      </w:r>
      <w:r>
        <w:rPr>
          <w:sz w:val="23"/>
          <w:vertAlign w:val="baseline"/>
        </w:rPr>
        <w:t>mental stress was caused by an injury for which the employee is entitled to compensation.</w:t>
      </w:r>
      <w:r>
        <w:rPr>
          <w:sz w:val="23"/>
          <w:vertAlign w:val="superscript"/>
        </w:rPr>
        <w:t>153</w:t>
      </w:r>
      <w:r>
        <w:rPr>
          <w:sz w:val="23"/>
          <w:vertAlign w:val="baseline"/>
        </w:rPr>
        <w:t> For the purpose of ascertaining whether or not an employee has met the conditions above, and entitled to compensation, the Board may appoint a Medical Board of Inquiry consisting of relevant specialists, to review the situation.</w:t>
      </w:r>
      <w:r>
        <w:rPr>
          <w:sz w:val="23"/>
          <w:vertAlign w:val="superscript"/>
        </w:rPr>
        <w:t>154</w:t>
      </w:r>
    </w:p>
    <w:p>
      <w:pPr>
        <w:pStyle w:val="BodyText"/>
        <w:spacing w:line="489" w:lineRule="auto"/>
        <w:ind w:left="777" w:right="574"/>
        <w:jc w:val="both"/>
      </w:pPr>
      <w:r>
        <w:rPr/>
        <w:t>An</w:t>
      </w:r>
      <w:r>
        <w:rPr>
          <w:spacing w:val="40"/>
        </w:rPr>
        <w:t> </w:t>
      </w:r>
      <w:r>
        <w:rPr/>
        <w:t>accredited</w:t>
      </w:r>
      <w:r>
        <w:rPr>
          <w:spacing w:val="40"/>
        </w:rPr>
        <w:t> </w:t>
      </w:r>
      <w:r>
        <w:rPr/>
        <w:t>medical</w:t>
      </w:r>
      <w:r>
        <w:rPr>
          <w:spacing w:val="40"/>
        </w:rPr>
        <w:t> </w:t>
      </w:r>
      <w:r>
        <w:rPr/>
        <w:t>practitioner</w:t>
      </w:r>
      <w:r>
        <w:rPr>
          <w:spacing w:val="40"/>
        </w:rPr>
        <w:t> </w:t>
      </w:r>
      <w:r>
        <w:rPr/>
        <w:t>or</w:t>
      </w:r>
      <w:r>
        <w:rPr>
          <w:spacing w:val="40"/>
        </w:rPr>
        <w:t> </w:t>
      </w:r>
      <w:r>
        <w:rPr/>
        <w:t>a</w:t>
      </w:r>
      <w:r>
        <w:rPr>
          <w:spacing w:val="40"/>
        </w:rPr>
        <w:t> </w:t>
      </w:r>
      <w:r>
        <w:rPr/>
        <w:t>specialist</w:t>
      </w:r>
      <w:r>
        <w:rPr>
          <w:spacing w:val="40"/>
        </w:rPr>
        <w:t> </w:t>
      </w:r>
      <w:r>
        <w:rPr/>
        <w:t>accredited</w:t>
      </w:r>
      <w:r>
        <w:rPr>
          <w:spacing w:val="40"/>
        </w:rPr>
        <w:t> </w:t>
      </w:r>
      <w:r>
        <w:rPr/>
        <w:t>by</w:t>
      </w:r>
      <w:r>
        <w:rPr>
          <w:spacing w:val="40"/>
        </w:rPr>
        <w:t> </w:t>
      </w:r>
      <w:r>
        <w:rPr/>
        <w:t>the</w:t>
      </w:r>
      <w:r>
        <w:rPr>
          <w:spacing w:val="40"/>
        </w:rPr>
        <w:t> </w:t>
      </w:r>
      <w:r>
        <w:rPr/>
        <w:t>Board for the purpose of the Act is the one qualified for diagnosis.</w:t>
      </w:r>
      <w:r>
        <w:rPr>
          <w:vertAlign w:val="superscript"/>
        </w:rPr>
        <w:t>155</w:t>
      </w:r>
    </w:p>
    <w:p>
      <w:pPr>
        <w:pStyle w:val="BodyText"/>
        <w:spacing w:line="489" w:lineRule="auto" w:before="276"/>
        <w:ind w:left="777" w:right="569"/>
        <w:jc w:val="both"/>
      </w:pPr>
      <w:r>
        <w:rPr/>
        <w:t>The requirement of the law to the effect that mental stress for it to be compe~{qted, should not result from any injury for which the employee is entitled</w:t>
      </w:r>
      <w:r>
        <w:rPr>
          <w:spacing w:val="29"/>
        </w:rPr>
        <w:t> </w:t>
      </w:r>
      <w:r>
        <w:rPr/>
        <w:t>to</w:t>
      </w:r>
      <w:r>
        <w:rPr>
          <w:spacing w:val="26"/>
        </w:rPr>
        <w:t> </w:t>
      </w:r>
      <w:r>
        <w:rPr/>
        <w:t>compensation,</w:t>
      </w:r>
      <w:r>
        <w:rPr>
          <w:spacing w:val="29"/>
        </w:rPr>
        <w:t> </w:t>
      </w:r>
      <w:r>
        <w:rPr/>
        <w:t>is</w:t>
      </w:r>
      <w:r>
        <w:rPr>
          <w:spacing w:val="25"/>
        </w:rPr>
        <w:t> </w:t>
      </w:r>
      <w:r>
        <w:rPr/>
        <w:t>alarming.</w:t>
      </w:r>
      <w:r>
        <w:rPr>
          <w:spacing w:val="25"/>
        </w:rPr>
        <w:t> </w:t>
      </w:r>
      <w:r>
        <w:rPr/>
        <w:t>There</w:t>
      </w:r>
      <w:r>
        <w:rPr>
          <w:spacing w:val="20"/>
        </w:rPr>
        <w:t> </w:t>
      </w:r>
      <w:r>
        <w:rPr/>
        <w:t>is</w:t>
      </w:r>
      <w:r>
        <w:rPr>
          <w:spacing w:val="30"/>
        </w:rPr>
        <w:t> </w:t>
      </w:r>
      <w:r>
        <w:rPr/>
        <w:t>an</w:t>
      </w:r>
      <w:r>
        <w:rPr>
          <w:spacing w:val="28"/>
        </w:rPr>
        <w:t> </w:t>
      </w:r>
      <w:r>
        <w:rPr/>
        <w:t>additional</w:t>
      </w:r>
      <w:r>
        <w:rPr>
          <w:spacing w:val="28"/>
        </w:rPr>
        <w:t> </w:t>
      </w:r>
      <w:r>
        <w:rPr/>
        <w:t>harm</w:t>
      </w:r>
      <w:r>
        <w:rPr>
          <w:spacing w:val="24"/>
        </w:rPr>
        <w:t> </w:t>
      </w:r>
      <w:r>
        <w:rPr/>
        <w:t>suffered if any compensable injury leads to mental stress and in the circumstance, justice will only seem to be done if there is additional compensation. Secondly, it will be very difficult to in all cases know exactly, the cause of mental stress, especially when there are many stress inducing factors from the</w:t>
      </w:r>
      <w:r>
        <w:rPr>
          <w:spacing w:val="70"/>
        </w:rPr>
        <w:t> </w:t>
      </w:r>
      <w:r>
        <w:rPr/>
        <w:t>history</w:t>
      </w:r>
      <w:r>
        <w:rPr>
          <w:spacing w:val="73"/>
        </w:rPr>
        <w:t> </w:t>
      </w:r>
      <w:r>
        <w:rPr/>
        <w:t>of</w:t>
      </w:r>
      <w:r>
        <w:rPr>
          <w:spacing w:val="72"/>
        </w:rPr>
        <w:t> </w:t>
      </w:r>
      <w:r>
        <w:rPr/>
        <w:t>the</w:t>
      </w:r>
      <w:r>
        <w:rPr>
          <w:spacing w:val="71"/>
        </w:rPr>
        <w:t> </w:t>
      </w:r>
      <w:r>
        <w:rPr/>
        <w:t>patient.</w:t>
      </w:r>
      <w:r>
        <w:rPr>
          <w:spacing w:val="76"/>
        </w:rPr>
        <w:t> </w:t>
      </w:r>
      <w:r>
        <w:rPr/>
        <w:t>For</w:t>
      </w:r>
      <w:r>
        <w:rPr>
          <w:spacing w:val="72"/>
        </w:rPr>
        <w:t> </w:t>
      </w:r>
      <w:r>
        <w:rPr/>
        <w:t>instance,</w:t>
      </w:r>
      <w:r>
        <w:rPr>
          <w:spacing w:val="76"/>
        </w:rPr>
        <w:t> </w:t>
      </w:r>
      <w:r>
        <w:rPr/>
        <w:t>where</w:t>
      </w:r>
      <w:r>
        <w:rPr>
          <w:spacing w:val="71"/>
        </w:rPr>
        <w:t> </w:t>
      </w:r>
      <w:r>
        <w:rPr/>
        <w:t>an</w:t>
      </w:r>
      <w:r>
        <w:rPr>
          <w:spacing w:val="68"/>
        </w:rPr>
        <w:t> </w:t>
      </w:r>
      <w:r>
        <w:rPr/>
        <w:t>unfairly</w:t>
      </w:r>
      <w:r>
        <w:rPr>
          <w:spacing w:val="68"/>
        </w:rPr>
        <w:t> </w:t>
      </w:r>
      <w:r>
        <w:rPr>
          <w:spacing w:val="-2"/>
        </w:rPr>
        <w:t>overworked</w:t>
      </w:r>
    </w:p>
    <w:p>
      <w:pPr>
        <w:pStyle w:val="BodyText"/>
        <w:spacing w:before="27"/>
        <w:rPr>
          <w:sz w:val="20"/>
        </w:rPr>
      </w:pPr>
      <w:r>
        <w:rPr/>
        <mc:AlternateContent>
          <mc:Choice Requires="wps">
            <w:drawing>
              <wp:anchor distT="0" distB="0" distL="0" distR="0" allowOverlap="1" layoutInCell="1" locked="0" behindDoc="1" simplePos="0" relativeHeight="487619584">
                <wp:simplePos x="0" y="0"/>
                <wp:positionH relativeFrom="page">
                  <wp:posOffset>1185672</wp:posOffset>
                </wp:positionH>
                <wp:positionV relativeFrom="paragraph">
                  <wp:posOffset>186060</wp:posOffset>
                </wp:positionV>
                <wp:extent cx="1719580" cy="6350"/>
                <wp:effectExtent l="0" t="0" r="0" b="0"/>
                <wp:wrapTopAndBottom/>
                <wp:docPr id="72" name="Graphic 72"/>
                <wp:cNvGraphicFramePr>
                  <a:graphicFrameLocks/>
                </wp:cNvGraphicFramePr>
                <a:graphic>
                  <a:graphicData uri="http://schemas.microsoft.com/office/word/2010/wordprocessingShape">
                    <wps:wsp>
                      <wps:cNvPr id="72" name="Graphic 72"/>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650469pt;width:135.360pt;height:.48pt;mso-position-horizontal-relative:page;mso-position-vertical-relative:paragraph;z-index:-15696896;mso-wrap-distance-left:0;mso-wrap-distance-right:0" id="docshape72"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151</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8(1)</w:t>
      </w:r>
      <w:r>
        <w:rPr>
          <w:rFonts w:ascii="Times New Roman"/>
          <w:spacing w:val="-9"/>
          <w:sz w:val="19"/>
          <w:vertAlign w:val="baseline"/>
        </w:rPr>
        <w:t> </w:t>
      </w:r>
      <w:r>
        <w:rPr>
          <w:rFonts w:ascii="Times New Roman"/>
          <w:sz w:val="19"/>
          <w:vertAlign w:val="baseline"/>
        </w:rPr>
        <w:t>(a)(b)</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152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153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8(3)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154</w:t>
      </w:r>
      <w:r>
        <w:rPr>
          <w:rFonts w:ascii="Times New Roman"/>
          <w:spacing w:val="-6"/>
          <w:sz w:val="19"/>
          <w:vertAlign w:val="baseline"/>
        </w:rPr>
        <w:t> </w:t>
      </w:r>
      <w:r>
        <w:rPr>
          <w:rFonts w:ascii="Times New Roman"/>
          <w:sz w:val="19"/>
          <w:vertAlign w:val="baseline"/>
        </w:rPr>
        <w:t>Section</w:t>
      </w:r>
      <w:r>
        <w:rPr>
          <w:rFonts w:ascii="Times New Roman"/>
          <w:spacing w:val="-6"/>
          <w:sz w:val="19"/>
          <w:vertAlign w:val="baseline"/>
        </w:rPr>
        <w:t> </w:t>
      </w:r>
      <w:r>
        <w:rPr>
          <w:rFonts w:ascii="Times New Roman"/>
          <w:sz w:val="19"/>
          <w:vertAlign w:val="baseline"/>
        </w:rPr>
        <w:t>8(1)(a)(b)</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155</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73</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777" w:right="565"/>
        <w:jc w:val="both"/>
      </w:pPr>
      <w:r>
        <w:rPr/>
        <w:t>employee suddenly sustains a compensable physical injury and shortly diagnosed with mental stress, it will be very difficult to know whether the mental stress set in as result of the unfair job responsibility or as a result of the injury. While the issue of diagnosing mental stress may entirely be a laboratory work, its cause may simply be an inference by the medical practitioner</w:t>
      </w:r>
      <w:r>
        <w:rPr>
          <w:spacing w:val="40"/>
        </w:rPr>
        <w:t> </w:t>
      </w:r>
      <w:r>
        <w:rPr/>
        <w:t>drawn</w:t>
      </w:r>
      <w:r>
        <w:rPr>
          <w:spacing w:val="40"/>
        </w:rPr>
        <w:t> </w:t>
      </w:r>
      <w:r>
        <w:rPr/>
        <w:t>from</w:t>
      </w:r>
      <w:r>
        <w:rPr>
          <w:spacing w:val="40"/>
        </w:rPr>
        <w:t> </w:t>
      </w:r>
      <w:r>
        <w:rPr/>
        <w:t>the</w:t>
      </w:r>
      <w:r>
        <w:rPr>
          <w:spacing w:val="40"/>
        </w:rPr>
        <w:t> </w:t>
      </w:r>
      <w:r>
        <w:rPr/>
        <w:t>history</w:t>
      </w:r>
      <w:r>
        <w:rPr>
          <w:spacing w:val="40"/>
        </w:rPr>
        <w:t> </w:t>
      </w:r>
      <w:r>
        <w:rPr/>
        <w:t>of</w:t>
      </w:r>
      <w:r>
        <w:rPr>
          <w:spacing w:val="40"/>
        </w:rPr>
        <w:t> </w:t>
      </w:r>
      <w:r>
        <w:rPr/>
        <w:t>the</w:t>
      </w:r>
      <w:r>
        <w:rPr>
          <w:spacing w:val="40"/>
        </w:rPr>
        <w:t> </w:t>
      </w:r>
      <w:r>
        <w:rPr/>
        <w:t>patient.</w:t>
      </w:r>
      <w:r>
        <w:rPr>
          <w:spacing w:val="40"/>
        </w:rPr>
        <w:t> </w:t>
      </w:r>
      <w:r>
        <w:rPr/>
        <w:t>If</w:t>
      </w:r>
      <w:r>
        <w:rPr>
          <w:spacing w:val="40"/>
        </w:rPr>
        <w:t> </w:t>
      </w:r>
      <w:r>
        <w:rPr/>
        <w:t>the</w:t>
      </w:r>
      <w:r>
        <w:rPr>
          <w:spacing w:val="40"/>
        </w:rPr>
        <w:t> </w:t>
      </w:r>
      <w:r>
        <w:rPr/>
        <w:t>medical practitioner is confronted with two stress-inducing factors, he may simply resort</w:t>
      </w:r>
      <w:r>
        <w:rPr>
          <w:spacing w:val="40"/>
        </w:rPr>
        <w:t> </w:t>
      </w:r>
      <w:r>
        <w:rPr/>
        <w:t>to</w:t>
      </w:r>
      <w:r>
        <w:rPr>
          <w:spacing w:val="40"/>
        </w:rPr>
        <w:t> </w:t>
      </w:r>
      <w:r>
        <w:rPr/>
        <w:t>a</w:t>
      </w:r>
      <w:r>
        <w:rPr>
          <w:spacing w:val="40"/>
        </w:rPr>
        <w:t> </w:t>
      </w:r>
      <w:r>
        <w:rPr/>
        <w:t>guess,</w:t>
      </w:r>
      <w:r>
        <w:rPr>
          <w:spacing w:val="40"/>
        </w:rPr>
        <w:t> </w:t>
      </w:r>
      <w:r>
        <w:rPr/>
        <w:t>as</w:t>
      </w:r>
      <w:r>
        <w:rPr>
          <w:spacing w:val="40"/>
        </w:rPr>
        <w:t> </w:t>
      </w:r>
      <w:r>
        <w:rPr/>
        <w:t>to</w:t>
      </w:r>
      <w:r>
        <w:rPr>
          <w:spacing w:val="40"/>
        </w:rPr>
        <w:t> </w:t>
      </w:r>
      <w:r>
        <w:rPr/>
        <w:t>which</w:t>
      </w:r>
      <w:r>
        <w:rPr>
          <w:spacing w:val="40"/>
        </w:rPr>
        <w:t> </w:t>
      </w:r>
      <w:r>
        <w:rPr/>
        <w:t>of</w:t>
      </w:r>
      <w:r>
        <w:rPr>
          <w:spacing w:val="40"/>
        </w:rPr>
        <w:t> </w:t>
      </w:r>
      <w:r>
        <w:rPr/>
        <w:t>the</w:t>
      </w:r>
      <w:r>
        <w:rPr>
          <w:spacing w:val="40"/>
        </w:rPr>
        <w:t> </w:t>
      </w:r>
      <w:r>
        <w:rPr/>
        <w:t>factors</w:t>
      </w:r>
      <w:r>
        <w:rPr>
          <w:spacing w:val="40"/>
        </w:rPr>
        <w:t> </w:t>
      </w:r>
      <w:r>
        <w:rPr/>
        <w:t>actually</w:t>
      </w:r>
      <w:r>
        <w:rPr>
          <w:spacing w:val="40"/>
        </w:rPr>
        <w:t> </w:t>
      </w:r>
      <w:r>
        <w:rPr/>
        <w:t>led</w:t>
      </w:r>
      <w:r>
        <w:rPr>
          <w:spacing w:val="40"/>
        </w:rPr>
        <w:t> </w:t>
      </w:r>
      <w:r>
        <w:rPr/>
        <w:t>to</w:t>
      </w:r>
      <w:r>
        <w:rPr>
          <w:spacing w:val="40"/>
        </w:rPr>
        <w:t> </w:t>
      </w:r>
      <w:r>
        <w:rPr/>
        <w:t>the</w:t>
      </w:r>
      <w:r>
        <w:rPr>
          <w:spacing w:val="40"/>
        </w:rPr>
        <w:t> </w:t>
      </w:r>
      <w:r>
        <w:rPr/>
        <w:t>stress</w:t>
      </w:r>
      <w:r>
        <w:rPr>
          <w:spacing w:val="40"/>
        </w:rPr>
        <w:t> </w:t>
      </w:r>
      <w:r>
        <w:rPr/>
        <w:t>in issue</w:t>
      </w:r>
      <w:r>
        <w:rPr>
          <w:spacing w:val="40"/>
        </w:rPr>
        <w:t> </w:t>
      </w:r>
      <w:r>
        <w:rPr/>
        <w:t>or</w:t>
      </w:r>
      <w:r>
        <w:rPr>
          <w:spacing w:val="40"/>
        </w:rPr>
        <w:t> </w:t>
      </w:r>
      <w:r>
        <w:rPr/>
        <w:t>attribute</w:t>
      </w:r>
      <w:r>
        <w:rPr>
          <w:spacing w:val="40"/>
        </w:rPr>
        <w:t> </w:t>
      </w:r>
      <w:r>
        <w:rPr/>
        <w:t>it</w:t>
      </w:r>
      <w:r>
        <w:rPr>
          <w:spacing w:val="40"/>
        </w:rPr>
        <w:t> </w:t>
      </w:r>
      <w:r>
        <w:rPr/>
        <w:t>to</w:t>
      </w:r>
      <w:r>
        <w:rPr>
          <w:spacing w:val="40"/>
        </w:rPr>
        <w:t> </w:t>
      </w:r>
      <w:r>
        <w:rPr/>
        <w:t>all</w:t>
      </w:r>
      <w:r>
        <w:rPr>
          <w:spacing w:val="40"/>
        </w:rPr>
        <w:t> </w:t>
      </w:r>
      <w:r>
        <w:rPr/>
        <w:t>the</w:t>
      </w:r>
      <w:r>
        <w:rPr>
          <w:spacing w:val="40"/>
        </w:rPr>
        <w:t> </w:t>
      </w:r>
      <w:r>
        <w:rPr/>
        <w:t>stated</w:t>
      </w:r>
      <w:r>
        <w:rPr>
          <w:spacing w:val="40"/>
        </w:rPr>
        <w:t> </w:t>
      </w:r>
      <w:r>
        <w:rPr/>
        <w:t>factors</w:t>
      </w:r>
      <w:r>
        <w:rPr>
          <w:spacing w:val="40"/>
        </w:rPr>
        <w:t> </w:t>
      </w:r>
      <w:r>
        <w:rPr/>
        <w:t>in</w:t>
      </w:r>
      <w:r>
        <w:rPr>
          <w:spacing w:val="40"/>
        </w:rPr>
        <w:t> </w:t>
      </w:r>
      <w:r>
        <w:rPr/>
        <w:t>order</w:t>
      </w:r>
      <w:r>
        <w:rPr>
          <w:spacing w:val="40"/>
        </w:rPr>
        <w:t> </w:t>
      </w:r>
      <w:r>
        <w:rPr/>
        <w:t>to</w:t>
      </w:r>
      <w:r>
        <w:rPr>
          <w:spacing w:val="40"/>
        </w:rPr>
        <w:t> </w:t>
      </w:r>
      <w:r>
        <w:rPr/>
        <w:t>save</w:t>
      </w:r>
      <w:r>
        <w:rPr>
          <w:spacing w:val="40"/>
        </w:rPr>
        <w:t> </w:t>
      </w:r>
      <w:r>
        <w:rPr/>
        <w:t>him</w:t>
      </w:r>
      <w:r>
        <w:rPr>
          <w:spacing w:val="40"/>
        </w:rPr>
        <w:t> </w:t>
      </w:r>
      <w:r>
        <w:rPr/>
        <w:t>the difficulty</w:t>
      </w:r>
      <w:r>
        <w:rPr>
          <w:spacing w:val="23"/>
        </w:rPr>
        <w:t> </w:t>
      </w:r>
      <w:r>
        <w:rPr/>
        <w:t>of</w:t>
      </w:r>
      <w:r>
        <w:rPr>
          <w:spacing w:val="21"/>
        </w:rPr>
        <w:t> </w:t>
      </w:r>
      <w:r>
        <w:rPr/>
        <w:t>discovering</w:t>
      </w:r>
      <w:r>
        <w:rPr>
          <w:spacing w:val="25"/>
        </w:rPr>
        <w:t> </w:t>
      </w:r>
      <w:r>
        <w:rPr/>
        <w:t>the</w:t>
      </w:r>
      <w:r>
        <w:rPr>
          <w:spacing w:val="26"/>
        </w:rPr>
        <w:t> </w:t>
      </w:r>
      <w:r>
        <w:rPr/>
        <w:t>exact</w:t>
      </w:r>
      <w:r>
        <w:rPr>
          <w:spacing w:val="23"/>
        </w:rPr>
        <w:t> </w:t>
      </w:r>
      <w:r>
        <w:rPr/>
        <w:t>cause.</w:t>
      </w:r>
      <w:r>
        <w:rPr>
          <w:spacing w:val="30"/>
        </w:rPr>
        <w:t> </w:t>
      </w:r>
      <w:r>
        <w:rPr/>
        <w:t>To</w:t>
      </w:r>
      <w:r>
        <w:rPr>
          <w:spacing w:val="27"/>
        </w:rPr>
        <w:t> </w:t>
      </w:r>
      <w:r>
        <w:rPr/>
        <w:t>avoid</w:t>
      </w:r>
      <w:r>
        <w:rPr>
          <w:spacing w:val="30"/>
        </w:rPr>
        <w:t> </w:t>
      </w:r>
      <w:r>
        <w:rPr/>
        <w:t>all</w:t>
      </w:r>
      <w:r>
        <w:rPr>
          <w:spacing w:val="24"/>
        </w:rPr>
        <w:t> </w:t>
      </w:r>
      <w:r>
        <w:rPr/>
        <w:t>these</w:t>
      </w:r>
      <w:r>
        <w:rPr>
          <w:spacing w:val="26"/>
        </w:rPr>
        <w:t> </w:t>
      </w:r>
      <w:r>
        <w:rPr/>
        <w:t>uncertainties,</w:t>
      </w:r>
      <w:r>
        <w:rPr>
          <w:spacing w:val="26"/>
        </w:rPr>
        <w:t> </w:t>
      </w:r>
      <w:r>
        <w:rPr/>
        <w:t>it is better to treat mental stress separately, that is, to be compensated independent of any compensable injury that might have induced the said </w:t>
      </w:r>
      <w:r>
        <w:rPr>
          <w:spacing w:val="-2"/>
        </w:rPr>
        <w:t>stress.</w:t>
      </w:r>
    </w:p>
    <w:p>
      <w:pPr>
        <w:pStyle w:val="Heading3"/>
        <w:numPr>
          <w:ilvl w:val="2"/>
          <w:numId w:val="13"/>
        </w:numPr>
        <w:tabs>
          <w:tab w:pos="860" w:val="left" w:leader="none"/>
        </w:tabs>
        <w:spacing w:line="240" w:lineRule="auto" w:before="15" w:after="0"/>
        <w:ind w:left="860" w:right="0" w:hanging="673"/>
        <w:jc w:val="left"/>
      </w:pPr>
      <w:bookmarkStart w:name="_TOC_250018" w:id="12"/>
      <w:bookmarkEnd w:id="12"/>
      <w:r>
        <w:rPr>
          <w:spacing w:val="-2"/>
        </w:rPr>
        <w:t>Injury</w:t>
      </w:r>
    </w:p>
    <w:p>
      <w:pPr>
        <w:pStyle w:val="BodyText"/>
        <w:spacing w:before="6"/>
        <w:rPr>
          <w:b/>
        </w:rPr>
      </w:pPr>
    </w:p>
    <w:p>
      <w:pPr>
        <w:pStyle w:val="BodyText"/>
        <w:spacing w:line="491" w:lineRule="auto"/>
        <w:ind w:left="864" w:right="564"/>
        <w:jc w:val="both"/>
      </w:pPr>
      <w:r>
        <w:rPr/>
        <w:t>Any employee, whether or not in a workplace who suffers any disabling injury, arising out of or in the course of his employment shall be entitled to compensation.</w:t>
      </w:r>
      <w:r>
        <w:rPr>
          <w:vertAlign w:val="superscript"/>
        </w:rPr>
        <w:t>156</w:t>
      </w:r>
      <w:r>
        <w:rPr>
          <w:spacing w:val="25"/>
          <w:vertAlign w:val="baseline"/>
        </w:rPr>
        <w:t> </w:t>
      </w:r>
      <w:r>
        <w:rPr>
          <w:vertAlign w:val="baseline"/>
        </w:rPr>
        <w:t>The Act does not have an exhaustive</w:t>
      </w:r>
      <w:r>
        <w:rPr>
          <w:spacing w:val="25"/>
          <w:vertAlign w:val="baseline"/>
        </w:rPr>
        <w:t> </w:t>
      </w:r>
      <w:r>
        <w:rPr>
          <w:vertAlign w:val="baseline"/>
        </w:rPr>
        <w:t>definition of</w:t>
      </w:r>
      <w:r>
        <w:rPr>
          <w:spacing w:val="26"/>
          <w:vertAlign w:val="baseline"/>
        </w:rPr>
        <w:t> </w:t>
      </w:r>
      <w:r>
        <w:rPr>
          <w:vertAlign w:val="baseline"/>
        </w:rPr>
        <w:t>injury.</w:t>
      </w:r>
      <w:r>
        <w:rPr>
          <w:spacing w:val="40"/>
          <w:vertAlign w:val="baseline"/>
        </w:rPr>
        <w:t> </w:t>
      </w:r>
      <w:r>
        <w:rPr>
          <w:vertAlign w:val="baseline"/>
        </w:rPr>
        <w:t>It provides that “injury includes bodily injury or disease resulting from an accident</w:t>
      </w:r>
      <w:r>
        <w:rPr>
          <w:spacing w:val="40"/>
          <w:vertAlign w:val="baseline"/>
        </w:rPr>
        <w:t> </w:t>
      </w:r>
      <w:r>
        <w:rPr>
          <w:vertAlign w:val="baseline"/>
        </w:rPr>
        <w:t>or</w:t>
      </w:r>
      <w:r>
        <w:rPr>
          <w:spacing w:val="40"/>
          <w:vertAlign w:val="baseline"/>
        </w:rPr>
        <w:t> </w:t>
      </w:r>
      <w:r>
        <w:rPr>
          <w:vertAlign w:val="baseline"/>
        </w:rPr>
        <w:t>exposure</w:t>
      </w:r>
      <w:r>
        <w:rPr>
          <w:spacing w:val="40"/>
          <w:vertAlign w:val="baseline"/>
        </w:rPr>
        <w:t> </w:t>
      </w:r>
      <w:r>
        <w:rPr>
          <w:vertAlign w:val="baseline"/>
        </w:rPr>
        <w:t>to</w:t>
      </w:r>
      <w:r>
        <w:rPr>
          <w:spacing w:val="40"/>
          <w:vertAlign w:val="baseline"/>
        </w:rPr>
        <w:t> </w:t>
      </w:r>
      <w:r>
        <w:rPr>
          <w:vertAlign w:val="baseline"/>
        </w:rPr>
        <w:t>critical</w:t>
      </w:r>
      <w:r>
        <w:rPr>
          <w:spacing w:val="40"/>
          <w:vertAlign w:val="baseline"/>
        </w:rPr>
        <w:t> </w:t>
      </w:r>
      <w:r>
        <w:rPr>
          <w:vertAlign w:val="baseline"/>
        </w:rPr>
        <w:t>agents</w:t>
      </w:r>
      <w:r>
        <w:rPr>
          <w:spacing w:val="40"/>
          <w:vertAlign w:val="baseline"/>
        </w:rPr>
        <w:t> </w:t>
      </w:r>
      <w:r>
        <w:rPr>
          <w:vertAlign w:val="baseline"/>
        </w:rPr>
        <w:t>and</w:t>
      </w:r>
      <w:r>
        <w:rPr>
          <w:spacing w:val="40"/>
          <w:vertAlign w:val="baseline"/>
        </w:rPr>
        <w:t> </w:t>
      </w:r>
      <w:r>
        <w:rPr>
          <w:vertAlign w:val="baseline"/>
        </w:rPr>
        <w:t>conditions</w:t>
      </w:r>
      <w:r>
        <w:rPr>
          <w:spacing w:val="40"/>
          <w:vertAlign w:val="baseline"/>
        </w:rPr>
        <w:t> </w:t>
      </w:r>
      <w:r>
        <w:rPr>
          <w:vertAlign w:val="baseline"/>
        </w:rPr>
        <w:t>in</w:t>
      </w:r>
      <w:r>
        <w:rPr>
          <w:spacing w:val="40"/>
          <w:vertAlign w:val="baseline"/>
        </w:rPr>
        <w:t> </w:t>
      </w:r>
      <w:r>
        <w:rPr>
          <w:vertAlign w:val="baseline"/>
        </w:rPr>
        <w:t>a</w:t>
      </w:r>
      <w:r>
        <w:rPr>
          <w:spacing w:val="40"/>
          <w:vertAlign w:val="baseline"/>
        </w:rPr>
        <w:t> </w:t>
      </w:r>
      <w:r>
        <w:rPr>
          <w:vertAlign w:val="baseline"/>
        </w:rPr>
        <w:t>workplace.</w:t>
      </w:r>
      <w:r>
        <w:rPr>
          <w:vertAlign w:val="superscript"/>
        </w:rPr>
        <w:t>157</w:t>
      </w:r>
      <w:r>
        <w:rPr>
          <w:vertAlign w:val="baseline"/>
        </w:rPr>
        <w:t> An important thing to know about the provision of section 7 of the Act is that,</w:t>
      </w:r>
      <w:r>
        <w:rPr>
          <w:spacing w:val="15"/>
          <w:vertAlign w:val="baseline"/>
        </w:rPr>
        <w:t> </w:t>
      </w:r>
      <w:r>
        <w:rPr>
          <w:vertAlign w:val="baseline"/>
        </w:rPr>
        <w:t>the</w:t>
      </w:r>
      <w:r>
        <w:rPr>
          <w:spacing w:val="11"/>
          <w:vertAlign w:val="baseline"/>
        </w:rPr>
        <w:t> </w:t>
      </w:r>
      <w:r>
        <w:rPr>
          <w:vertAlign w:val="baseline"/>
        </w:rPr>
        <w:t>injury</w:t>
      </w:r>
      <w:r>
        <w:rPr>
          <w:spacing w:val="13"/>
          <w:vertAlign w:val="baseline"/>
        </w:rPr>
        <w:t> </w:t>
      </w:r>
      <w:r>
        <w:rPr>
          <w:vertAlign w:val="baseline"/>
        </w:rPr>
        <w:t>meant</w:t>
      </w:r>
      <w:r>
        <w:rPr>
          <w:spacing w:val="8"/>
          <w:vertAlign w:val="baseline"/>
        </w:rPr>
        <w:t> </w:t>
      </w:r>
      <w:r>
        <w:rPr>
          <w:vertAlign w:val="baseline"/>
        </w:rPr>
        <w:t>is</w:t>
      </w:r>
      <w:r>
        <w:rPr>
          <w:spacing w:val="11"/>
          <w:vertAlign w:val="baseline"/>
        </w:rPr>
        <w:t> </w:t>
      </w:r>
      <w:r>
        <w:rPr>
          <w:vertAlign w:val="baseline"/>
        </w:rPr>
        <w:t>personal</w:t>
      </w:r>
      <w:r>
        <w:rPr>
          <w:spacing w:val="18"/>
          <w:vertAlign w:val="baseline"/>
        </w:rPr>
        <w:t> </w:t>
      </w:r>
      <w:r>
        <w:rPr>
          <w:vertAlign w:val="baseline"/>
        </w:rPr>
        <w:t>hence</w:t>
      </w:r>
      <w:r>
        <w:rPr>
          <w:spacing w:val="11"/>
          <w:vertAlign w:val="baseline"/>
        </w:rPr>
        <w:t> </w:t>
      </w:r>
      <w:r>
        <w:rPr>
          <w:vertAlign w:val="baseline"/>
        </w:rPr>
        <w:t>the</w:t>
      </w:r>
      <w:r>
        <w:rPr>
          <w:spacing w:val="16"/>
          <w:vertAlign w:val="baseline"/>
        </w:rPr>
        <w:t> </w:t>
      </w:r>
      <w:r>
        <w:rPr>
          <w:vertAlign w:val="baseline"/>
        </w:rPr>
        <w:t>phrase</w:t>
      </w:r>
      <w:r>
        <w:rPr>
          <w:spacing w:val="11"/>
          <w:vertAlign w:val="baseline"/>
        </w:rPr>
        <w:t> </w:t>
      </w:r>
      <w:r>
        <w:rPr>
          <w:vertAlign w:val="baseline"/>
        </w:rPr>
        <w:t>“an</w:t>
      </w:r>
      <w:r>
        <w:rPr>
          <w:spacing w:val="13"/>
          <w:vertAlign w:val="baseline"/>
        </w:rPr>
        <w:t> </w:t>
      </w:r>
      <w:r>
        <w:rPr>
          <w:vertAlign w:val="baseline"/>
        </w:rPr>
        <w:t>employee</w:t>
      </w:r>
      <w:r>
        <w:rPr>
          <w:spacing w:val="11"/>
          <w:vertAlign w:val="baseline"/>
        </w:rPr>
        <w:t> </w:t>
      </w:r>
      <w:r>
        <w:rPr>
          <w:spacing w:val="-2"/>
          <w:vertAlign w:val="baseline"/>
        </w:rPr>
        <w:t>whether</w:t>
      </w:r>
    </w:p>
    <w:p>
      <w:pPr>
        <w:pStyle w:val="BodyText"/>
        <w:rPr>
          <w:sz w:val="20"/>
        </w:rPr>
      </w:pPr>
    </w:p>
    <w:p>
      <w:pPr>
        <w:pStyle w:val="BodyText"/>
        <w:spacing w:before="141"/>
        <w:rPr>
          <w:sz w:val="20"/>
        </w:rPr>
      </w:pPr>
      <w:r>
        <w:rPr/>
        <mc:AlternateContent>
          <mc:Choice Requires="wps">
            <w:drawing>
              <wp:anchor distT="0" distB="0" distL="0" distR="0" allowOverlap="1" layoutInCell="1" locked="0" behindDoc="1" simplePos="0" relativeHeight="487620096">
                <wp:simplePos x="0" y="0"/>
                <wp:positionH relativeFrom="page">
                  <wp:posOffset>1185672</wp:posOffset>
                </wp:positionH>
                <wp:positionV relativeFrom="paragraph">
                  <wp:posOffset>258410</wp:posOffset>
                </wp:positionV>
                <wp:extent cx="1719580" cy="6350"/>
                <wp:effectExtent l="0" t="0" r="0" b="0"/>
                <wp:wrapTopAndBottom/>
                <wp:docPr id="73" name="Graphic 73"/>
                <wp:cNvGraphicFramePr>
                  <a:graphicFrameLocks/>
                </wp:cNvGraphicFramePr>
                <a:graphic>
                  <a:graphicData uri="http://schemas.microsoft.com/office/word/2010/wordprocessingShape">
                    <wps:wsp>
                      <wps:cNvPr id="73" name="Graphic 7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347246pt;width:135.360pt;height:.48pt;mso-position-horizontal-relative:page;mso-position-vertical-relative:paragraph;z-index:-15696384;mso-wrap-distance-left:0;mso-wrap-distance-right:0" id="docshape73"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156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7(1</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157</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73</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64"/>
        <w:jc w:val="both"/>
      </w:pPr>
      <w:r>
        <w:rPr/>
        <w:t>or not in a workplace who suffers any disabling injury …”</w:t>
      </w:r>
      <w:r>
        <w:rPr>
          <w:vertAlign w:val="superscript"/>
        </w:rPr>
        <w:t>158</w:t>
      </w:r>
      <w:r>
        <w:rPr>
          <w:vertAlign w:val="baseline"/>
        </w:rPr>
        <w:t> Damage to personal property is not compensated&gt;(Qnother implication is that a</w:t>
      </w:r>
      <w:r>
        <w:rPr>
          <w:spacing w:val="80"/>
          <w:vertAlign w:val="baseline"/>
        </w:rPr>
        <w:t> </w:t>
      </w:r>
      <w:r>
        <w:rPr>
          <w:vertAlign w:val="baseline"/>
        </w:rPr>
        <w:t>nursing mother cannot claim compensation under the Act for injury to her baby, where the injury arises out of or in the course of her employment. It</w:t>
      </w:r>
      <w:r>
        <w:rPr>
          <w:spacing w:val="40"/>
          <w:vertAlign w:val="baseline"/>
        </w:rPr>
        <w:t> </w:t>
      </w:r>
      <w:r>
        <w:rPr>
          <w:vertAlign w:val="baseline"/>
        </w:rPr>
        <w:t>is the view of the researcher that the scheme should cover babies within nursing age whose mothers will obviously need to take them to places of work. To further strengthen this position, section 54(d) of Labour Act</w:t>
      </w:r>
      <w:r>
        <w:rPr>
          <w:vertAlign w:val="superscript"/>
        </w:rPr>
        <w:t>159</w:t>
      </w:r>
      <w:r>
        <w:rPr>
          <w:vertAlign w:val="baseline"/>
        </w:rPr>
        <w:t> allows nursing mothers to carry their babies to their places of work to the extent</w:t>
      </w:r>
      <w:r>
        <w:rPr>
          <w:spacing w:val="40"/>
          <w:vertAlign w:val="baseline"/>
        </w:rPr>
        <w:t> </w:t>
      </w:r>
      <w:r>
        <w:rPr>
          <w:vertAlign w:val="baseline"/>
        </w:rPr>
        <w:t>of</w:t>
      </w:r>
      <w:r>
        <w:rPr>
          <w:spacing w:val="40"/>
          <w:vertAlign w:val="baseline"/>
        </w:rPr>
        <w:t> </w:t>
      </w:r>
      <w:r>
        <w:rPr>
          <w:vertAlign w:val="baseline"/>
        </w:rPr>
        <w:t>allowing</w:t>
      </w:r>
      <w:r>
        <w:rPr>
          <w:spacing w:val="40"/>
          <w:vertAlign w:val="baseline"/>
        </w:rPr>
        <w:t> </w:t>
      </w:r>
      <w:r>
        <w:rPr>
          <w:vertAlign w:val="baseline"/>
        </w:rPr>
        <w:t>the</w:t>
      </w:r>
      <w:r>
        <w:rPr>
          <w:spacing w:val="40"/>
          <w:vertAlign w:val="baseline"/>
        </w:rPr>
        <w:t> </w:t>
      </w:r>
      <w:r>
        <w:rPr>
          <w:vertAlign w:val="baseline"/>
        </w:rPr>
        <w:t>nursing</w:t>
      </w:r>
      <w:r>
        <w:rPr>
          <w:spacing w:val="40"/>
          <w:vertAlign w:val="baseline"/>
        </w:rPr>
        <w:t> </w:t>
      </w:r>
      <w:r>
        <w:rPr>
          <w:vertAlign w:val="baseline"/>
        </w:rPr>
        <w:t>mothers</w:t>
      </w:r>
      <w:r>
        <w:rPr>
          <w:spacing w:val="40"/>
          <w:vertAlign w:val="baseline"/>
        </w:rPr>
        <w:t> </w:t>
      </w:r>
      <w:r>
        <w:rPr>
          <w:vertAlign w:val="baseline"/>
        </w:rPr>
        <w:t>half</w:t>
      </w:r>
      <w:r>
        <w:rPr>
          <w:spacing w:val="40"/>
          <w:vertAlign w:val="baseline"/>
        </w:rPr>
        <w:t> </w:t>
      </w:r>
      <w:r>
        <w:rPr>
          <w:vertAlign w:val="baseline"/>
        </w:rPr>
        <w:t>an</w:t>
      </w:r>
      <w:r>
        <w:rPr>
          <w:spacing w:val="40"/>
          <w:vertAlign w:val="baseline"/>
        </w:rPr>
        <w:t> </w:t>
      </w:r>
      <w:r>
        <w:rPr>
          <w:vertAlign w:val="baseline"/>
        </w:rPr>
        <w:t>hour</w:t>
      </w:r>
      <w:r>
        <w:rPr>
          <w:spacing w:val="40"/>
          <w:vertAlign w:val="baseline"/>
        </w:rPr>
        <w:t> </w:t>
      </w:r>
      <w:r>
        <w:rPr>
          <w:vertAlign w:val="baseline"/>
        </w:rPr>
        <w:t>twice</w:t>
      </w:r>
      <w:r>
        <w:rPr>
          <w:spacing w:val="40"/>
          <w:vertAlign w:val="baseline"/>
        </w:rPr>
        <w:t> </w:t>
      </w:r>
      <w:r>
        <w:rPr>
          <w:vertAlign w:val="baseline"/>
        </w:rPr>
        <w:t>a</w:t>
      </w:r>
      <w:r>
        <w:rPr>
          <w:spacing w:val="40"/>
          <w:vertAlign w:val="baseline"/>
        </w:rPr>
        <w:t> </w:t>
      </w:r>
      <w:r>
        <w:rPr>
          <w:vertAlign w:val="baseline"/>
        </w:rPr>
        <w:t>day</w:t>
      </w:r>
      <w:r>
        <w:rPr>
          <w:spacing w:val="40"/>
          <w:vertAlign w:val="baseline"/>
        </w:rPr>
        <w:t> </w:t>
      </w:r>
      <w:r>
        <w:rPr>
          <w:vertAlign w:val="baseline"/>
        </w:rPr>
        <w:t>during their working hour, to attend to their babies. Risk may flow from any place of</w:t>
      </w:r>
      <w:r>
        <w:rPr>
          <w:spacing w:val="35"/>
          <w:vertAlign w:val="baseline"/>
        </w:rPr>
        <w:t> </w:t>
      </w:r>
      <w:r>
        <w:rPr>
          <w:vertAlign w:val="baseline"/>
        </w:rPr>
        <w:t>work</w:t>
      </w:r>
      <w:r>
        <w:rPr>
          <w:spacing w:val="32"/>
          <w:vertAlign w:val="baseline"/>
        </w:rPr>
        <w:t> </w:t>
      </w:r>
      <w:r>
        <w:rPr>
          <w:vertAlign w:val="baseline"/>
        </w:rPr>
        <w:t>affecting</w:t>
      </w:r>
      <w:r>
        <w:rPr>
          <w:spacing w:val="33"/>
          <w:vertAlign w:val="baseline"/>
        </w:rPr>
        <w:t> </w:t>
      </w:r>
      <w:r>
        <w:rPr>
          <w:vertAlign w:val="baseline"/>
        </w:rPr>
        <w:t>any</w:t>
      </w:r>
      <w:r>
        <w:rPr>
          <w:spacing w:val="37"/>
          <w:vertAlign w:val="baseline"/>
        </w:rPr>
        <w:t> </w:t>
      </w:r>
      <w:r>
        <w:rPr>
          <w:vertAlign w:val="baseline"/>
        </w:rPr>
        <w:t>baby</w:t>
      </w:r>
      <w:r>
        <w:rPr>
          <w:spacing w:val="37"/>
          <w:vertAlign w:val="baseline"/>
        </w:rPr>
        <w:t> </w:t>
      </w:r>
      <w:r>
        <w:rPr>
          <w:vertAlign w:val="baseline"/>
        </w:rPr>
        <w:t>and</w:t>
      </w:r>
      <w:r>
        <w:rPr>
          <w:spacing w:val="33"/>
          <w:vertAlign w:val="baseline"/>
        </w:rPr>
        <w:t> </w:t>
      </w:r>
      <w:r>
        <w:rPr>
          <w:vertAlign w:val="baseline"/>
        </w:rPr>
        <w:t>it</w:t>
      </w:r>
      <w:r>
        <w:rPr>
          <w:spacing w:val="32"/>
          <w:vertAlign w:val="baseline"/>
        </w:rPr>
        <w:t> </w:t>
      </w:r>
      <w:r>
        <w:rPr>
          <w:vertAlign w:val="baseline"/>
        </w:rPr>
        <w:t>is</w:t>
      </w:r>
      <w:r>
        <w:rPr>
          <w:spacing w:val="34"/>
          <w:vertAlign w:val="baseline"/>
        </w:rPr>
        <w:t> </w:t>
      </w:r>
      <w:r>
        <w:rPr>
          <w:vertAlign w:val="baseline"/>
        </w:rPr>
        <w:t>necessary</w:t>
      </w:r>
      <w:r>
        <w:rPr>
          <w:spacing w:val="32"/>
          <w:vertAlign w:val="baseline"/>
        </w:rPr>
        <w:t> </w:t>
      </w:r>
      <w:r>
        <w:rPr>
          <w:vertAlign w:val="baseline"/>
        </w:rPr>
        <w:t>that</w:t>
      </w:r>
      <w:r>
        <w:rPr>
          <w:spacing w:val="32"/>
          <w:vertAlign w:val="baseline"/>
        </w:rPr>
        <w:t> </w:t>
      </w:r>
      <w:r>
        <w:rPr>
          <w:vertAlign w:val="baseline"/>
        </w:rPr>
        <w:t>the</w:t>
      </w:r>
      <w:r>
        <w:rPr>
          <w:spacing w:val="30"/>
          <w:vertAlign w:val="baseline"/>
        </w:rPr>
        <w:t> </w:t>
      </w:r>
      <w:r>
        <w:rPr>
          <w:vertAlign w:val="baseline"/>
        </w:rPr>
        <w:t>Act</w:t>
      </w:r>
      <w:r>
        <w:rPr>
          <w:spacing w:val="32"/>
          <w:vertAlign w:val="baseline"/>
        </w:rPr>
        <w:t> </w:t>
      </w:r>
      <w:r>
        <w:rPr>
          <w:vertAlign w:val="baseline"/>
        </w:rPr>
        <w:t>takes</w:t>
      </w:r>
      <w:r>
        <w:rPr>
          <w:spacing w:val="30"/>
          <w:vertAlign w:val="baseline"/>
        </w:rPr>
        <w:t> </w:t>
      </w:r>
      <w:r>
        <w:rPr>
          <w:vertAlign w:val="baseline"/>
        </w:rPr>
        <w:t>care</w:t>
      </w:r>
      <w:r>
        <w:rPr>
          <w:spacing w:val="30"/>
          <w:vertAlign w:val="baseline"/>
        </w:rPr>
        <w:t> </w:t>
      </w:r>
      <w:r>
        <w:rPr>
          <w:vertAlign w:val="baseline"/>
        </w:rPr>
        <w:t>of this kind of situation.</w:t>
      </w:r>
    </w:p>
    <w:p>
      <w:pPr>
        <w:pStyle w:val="BodyText"/>
      </w:pPr>
    </w:p>
    <w:p>
      <w:pPr>
        <w:pStyle w:val="BodyText"/>
        <w:spacing w:before="26"/>
      </w:pPr>
    </w:p>
    <w:p>
      <w:pPr>
        <w:pStyle w:val="BodyText"/>
        <w:spacing w:line="489" w:lineRule="auto"/>
        <w:ind w:left="864" w:right="569"/>
        <w:jc w:val="both"/>
      </w:pPr>
      <w:r>
        <w:rPr/>
        <w:t>For any injury to be compensated, it must arise out of or in the course of employment.</w:t>
      </w:r>
      <w:r>
        <w:rPr>
          <w:vertAlign w:val="superscript"/>
        </w:rPr>
        <w:t>160</w:t>
      </w:r>
      <w:r>
        <w:rPr>
          <w:vertAlign w:val="baseline"/>
        </w:rPr>
        <w:t> This is one significant departure from the provision of workmen’s compensation Act</w:t>
      </w:r>
      <w:r>
        <w:rPr>
          <w:vertAlign w:val="superscript"/>
        </w:rPr>
        <w:t>161</w:t>
      </w:r>
      <w:r>
        <w:rPr>
          <w:vertAlign w:val="baseline"/>
        </w:rPr>
        <w:t> which used the phrase “out of and in the course of employment,” giving it a conjunctive meaning by leaving the employee with the task of fulfilling both conditions, to be entitled to compensation.</w:t>
      </w:r>
      <w:r>
        <w:rPr>
          <w:vertAlign w:val="superscript"/>
        </w:rPr>
        <w:t>162</w:t>
      </w:r>
      <w:r>
        <w:rPr>
          <w:vertAlign w:val="baseline"/>
        </w:rPr>
        <w:t> Now, the phrase “out of or in the course of employment’’ as</w:t>
      </w:r>
      <w:r>
        <w:rPr>
          <w:spacing w:val="42"/>
          <w:vertAlign w:val="baseline"/>
        </w:rPr>
        <w:t> </w:t>
      </w:r>
      <w:r>
        <w:rPr>
          <w:vertAlign w:val="baseline"/>
        </w:rPr>
        <w:t>used</w:t>
      </w:r>
      <w:r>
        <w:rPr>
          <w:spacing w:val="41"/>
          <w:vertAlign w:val="baseline"/>
        </w:rPr>
        <w:t> </w:t>
      </w:r>
      <w:r>
        <w:rPr>
          <w:vertAlign w:val="baseline"/>
        </w:rPr>
        <w:t>in</w:t>
      </w:r>
      <w:r>
        <w:rPr>
          <w:spacing w:val="45"/>
          <w:vertAlign w:val="baseline"/>
        </w:rPr>
        <w:t> </w:t>
      </w:r>
      <w:r>
        <w:rPr>
          <w:vertAlign w:val="baseline"/>
        </w:rPr>
        <w:t>the</w:t>
      </w:r>
      <w:r>
        <w:rPr>
          <w:spacing w:val="43"/>
          <w:vertAlign w:val="baseline"/>
        </w:rPr>
        <w:t> </w:t>
      </w:r>
      <w:r>
        <w:rPr>
          <w:vertAlign w:val="baseline"/>
        </w:rPr>
        <w:t>Act</w:t>
      </w:r>
      <w:r>
        <w:rPr>
          <w:spacing w:val="35"/>
          <w:vertAlign w:val="baseline"/>
        </w:rPr>
        <w:t> </w:t>
      </w:r>
      <w:r>
        <w:rPr>
          <w:vertAlign w:val="baseline"/>
        </w:rPr>
        <w:t>carries</w:t>
      </w:r>
      <w:r>
        <w:rPr>
          <w:spacing w:val="42"/>
          <w:vertAlign w:val="baseline"/>
        </w:rPr>
        <w:t> </w:t>
      </w:r>
      <w:r>
        <w:rPr>
          <w:vertAlign w:val="baseline"/>
        </w:rPr>
        <w:t>a</w:t>
      </w:r>
      <w:r>
        <w:rPr>
          <w:spacing w:val="34"/>
          <w:vertAlign w:val="baseline"/>
        </w:rPr>
        <w:t> </w:t>
      </w:r>
      <w:r>
        <w:rPr>
          <w:vertAlign w:val="baseline"/>
        </w:rPr>
        <w:t>disjunctive</w:t>
      </w:r>
      <w:r>
        <w:rPr>
          <w:spacing w:val="38"/>
          <w:vertAlign w:val="baseline"/>
        </w:rPr>
        <w:t> </w:t>
      </w:r>
      <w:r>
        <w:rPr>
          <w:vertAlign w:val="baseline"/>
        </w:rPr>
        <w:t>meaning.</w:t>
      </w:r>
      <w:r>
        <w:rPr>
          <w:spacing w:val="38"/>
          <w:vertAlign w:val="baseline"/>
        </w:rPr>
        <w:t> </w:t>
      </w:r>
      <w:r>
        <w:rPr>
          <w:vertAlign w:val="baseline"/>
        </w:rPr>
        <w:t>This</w:t>
      </w:r>
      <w:r>
        <w:rPr>
          <w:spacing w:val="38"/>
          <w:vertAlign w:val="baseline"/>
        </w:rPr>
        <w:t> </w:t>
      </w:r>
      <w:r>
        <w:rPr>
          <w:vertAlign w:val="baseline"/>
        </w:rPr>
        <w:t>is</w:t>
      </w:r>
      <w:r>
        <w:rPr>
          <w:spacing w:val="43"/>
          <w:vertAlign w:val="baseline"/>
        </w:rPr>
        <w:t> </w:t>
      </w:r>
      <w:r>
        <w:rPr>
          <w:vertAlign w:val="baseline"/>
        </w:rPr>
        <w:t>because</w:t>
      </w:r>
      <w:r>
        <w:rPr>
          <w:spacing w:val="39"/>
          <w:vertAlign w:val="baseline"/>
        </w:rPr>
        <w:t> </w:t>
      </w:r>
      <w:r>
        <w:rPr>
          <w:vertAlign w:val="baseline"/>
        </w:rPr>
        <w:t>of</w:t>
      </w:r>
      <w:r>
        <w:rPr>
          <w:spacing w:val="43"/>
          <w:vertAlign w:val="baseline"/>
        </w:rPr>
        <w:t> </w:t>
      </w:r>
      <w:r>
        <w:rPr>
          <w:spacing w:val="-5"/>
          <w:vertAlign w:val="baseline"/>
        </w:rPr>
        <w:t>the</w:t>
      </w:r>
    </w:p>
    <w:p>
      <w:pPr>
        <w:pStyle w:val="BodyText"/>
        <w:spacing w:before="11"/>
        <w:rPr>
          <w:sz w:val="9"/>
        </w:rPr>
      </w:pPr>
      <w:r>
        <w:rPr/>
        <mc:AlternateContent>
          <mc:Choice Requires="wps">
            <w:drawing>
              <wp:anchor distT="0" distB="0" distL="0" distR="0" allowOverlap="1" layoutInCell="1" locked="0" behindDoc="1" simplePos="0" relativeHeight="487620608">
                <wp:simplePos x="0" y="0"/>
                <wp:positionH relativeFrom="page">
                  <wp:posOffset>1185672</wp:posOffset>
                </wp:positionH>
                <wp:positionV relativeFrom="paragraph">
                  <wp:posOffset>91645</wp:posOffset>
                </wp:positionV>
                <wp:extent cx="1719580" cy="6350"/>
                <wp:effectExtent l="0" t="0" r="0" b="0"/>
                <wp:wrapTopAndBottom/>
                <wp:docPr id="74" name="Graphic 74"/>
                <wp:cNvGraphicFramePr>
                  <a:graphicFrameLocks/>
                </wp:cNvGraphicFramePr>
                <a:graphic>
                  <a:graphicData uri="http://schemas.microsoft.com/office/word/2010/wordprocessingShape">
                    <wps:wsp>
                      <wps:cNvPr id="74" name="Graphic 74"/>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7.216172pt;width:135.360pt;height:.48pt;mso-position-horizontal-relative:page;mso-position-vertical-relative:paragraph;z-index:-15695872;mso-wrap-distance-left:0;mso-wrap-distance-right:0" id="docshape74" filled="true" fillcolor="#000000" stroked="false">
                <v:fill type="solid"/>
                <w10:wrap type="topAndBottom"/>
              </v:rect>
            </w:pict>
          </mc:Fallback>
        </mc:AlternateContent>
      </w:r>
    </w:p>
    <w:p>
      <w:pPr>
        <w:spacing w:before="96"/>
        <w:ind w:left="187" w:right="0" w:firstLine="0"/>
        <w:jc w:val="left"/>
        <w:rPr>
          <w:rFonts w:ascii="Times New Roman"/>
          <w:i/>
          <w:sz w:val="19"/>
        </w:rPr>
      </w:pPr>
      <w:r>
        <w:rPr>
          <w:rFonts w:ascii="Times New Roman"/>
          <w:sz w:val="19"/>
          <w:vertAlign w:val="superscript"/>
        </w:rPr>
        <w:t>158</w:t>
      </w:r>
      <w:r>
        <w:rPr>
          <w:rFonts w:ascii="Times New Roman"/>
          <w:spacing w:val="11"/>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sz w:val="19"/>
        </w:rPr>
      </w:pPr>
      <w:r>
        <w:rPr>
          <w:rFonts w:ascii="Times New Roman"/>
          <w:sz w:val="19"/>
          <w:vertAlign w:val="superscript"/>
        </w:rPr>
        <w:t>159</w:t>
      </w:r>
      <w:r>
        <w:rPr>
          <w:rFonts w:ascii="Times New Roman"/>
          <w:spacing w:val="-3"/>
          <w:sz w:val="19"/>
          <w:vertAlign w:val="baseline"/>
        </w:rPr>
        <w:t> </w:t>
      </w:r>
      <w:r>
        <w:rPr>
          <w:rFonts w:ascii="Times New Roman"/>
          <w:sz w:val="19"/>
          <w:vertAlign w:val="baseline"/>
        </w:rPr>
        <w:t>Cap</w:t>
      </w:r>
      <w:r>
        <w:rPr>
          <w:rFonts w:ascii="Times New Roman"/>
          <w:spacing w:val="-10"/>
          <w:sz w:val="19"/>
          <w:vertAlign w:val="baseline"/>
        </w:rPr>
        <w:t> </w:t>
      </w:r>
      <w:r>
        <w:rPr>
          <w:rFonts w:ascii="Times New Roman"/>
          <w:sz w:val="19"/>
          <w:vertAlign w:val="baseline"/>
        </w:rPr>
        <w:t>L1,</w:t>
      </w:r>
      <w:r>
        <w:rPr>
          <w:rFonts w:ascii="Times New Roman"/>
          <w:spacing w:val="-7"/>
          <w:sz w:val="19"/>
          <w:vertAlign w:val="baseline"/>
        </w:rPr>
        <w:t> </w:t>
      </w:r>
      <w:r>
        <w:rPr>
          <w:rFonts w:ascii="Times New Roman"/>
          <w:sz w:val="19"/>
          <w:vertAlign w:val="baseline"/>
        </w:rPr>
        <w:t>Laws</w:t>
      </w:r>
      <w:r>
        <w:rPr>
          <w:rFonts w:ascii="Times New Roman"/>
          <w:spacing w:val="-10"/>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the</w:t>
      </w:r>
      <w:r>
        <w:rPr>
          <w:rFonts w:ascii="Times New Roman"/>
          <w:spacing w:val="-5"/>
          <w:sz w:val="19"/>
          <w:vertAlign w:val="baseline"/>
        </w:rPr>
        <w:t> </w:t>
      </w:r>
      <w:r>
        <w:rPr>
          <w:rFonts w:ascii="Times New Roman"/>
          <w:sz w:val="19"/>
          <w:vertAlign w:val="baseline"/>
        </w:rPr>
        <w:t>Federation</w:t>
      </w:r>
      <w:r>
        <w:rPr>
          <w:rFonts w:ascii="Times New Roman"/>
          <w:spacing w:val="-2"/>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Nigeria,</w:t>
      </w:r>
      <w:r>
        <w:rPr>
          <w:rFonts w:ascii="Times New Roman"/>
          <w:spacing w:val="-6"/>
          <w:sz w:val="19"/>
          <w:vertAlign w:val="baseline"/>
        </w:rPr>
        <w:t> </w:t>
      </w:r>
      <w:r>
        <w:rPr>
          <w:rFonts w:ascii="Times New Roman"/>
          <w:spacing w:val="-4"/>
          <w:sz w:val="19"/>
          <w:vertAlign w:val="baseline"/>
        </w:rPr>
        <w:t>2004</w:t>
      </w:r>
    </w:p>
    <w:p>
      <w:pPr>
        <w:spacing w:line="214" w:lineRule="exact" w:before="0"/>
        <w:ind w:left="187" w:right="0" w:firstLine="0"/>
        <w:jc w:val="left"/>
        <w:rPr>
          <w:rFonts w:ascii="Times New Roman" w:hAnsi="Times New Roman"/>
          <w:i/>
          <w:sz w:val="19"/>
        </w:rPr>
      </w:pPr>
      <w:r>
        <w:rPr>
          <w:rFonts w:ascii="Times New Roman" w:hAnsi="Times New Roman"/>
          <w:sz w:val="19"/>
          <w:vertAlign w:val="superscript"/>
        </w:rPr>
        <w:t>160</w:t>
      </w:r>
      <w:r>
        <w:rPr>
          <w:rFonts w:ascii="Times New Roman" w:hAnsi="Times New Roman"/>
          <w:spacing w:val="-10"/>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7(1)</w:t>
      </w:r>
      <w:r>
        <w:rPr>
          <w:rFonts w:ascii="Times New Roman" w:hAnsi="Times New Roman"/>
          <w:spacing w:val="-7"/>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E}x|oyees’</w:t>
      </w:r>
      <w:r>
        <w:rPr>
          <w:rFonts w:ascii="Times New Roman" w:hAnsi="Times New Roman"/>
          <w:spacing w:val="-7"/>
          <w:sz w:val="19"/>
          <w:vertAlign w:val="baseline"/>
        </w:rPr>
        <w:t> </w:t>
      </w:r>
      <w:r>
        <w:rPr>
          <w:rFonts w:ascii="Times New Roman" w:hAnsi="Times New Roman"/>
          <w:sz w:val="19"/>
          <w:vertAlign w:val="baseline"/>
        </w:rPr>
        <w:t>Compensation</w:t>
      </w:r>
      <w:r>
        <w:rPr>
          <w:rFonts w:ascii="Times New Roman" w:hAnsi="Times New Roman"/>
          <w:spacing w:val="-6"/>
          <w:sz w:val="19"/>
          <w:vertAlign w:val="baseline"/>
        </w:rPr>
        <w:t> </w:t>
      </w:r>
      <w:r>
        <w:rPr>
          <w:rFonts w:ascii="Times New Roman" w:hAnsi="Times New Roman"/>
          <w:sz w:val="19"/>
          <w:vertAlign w:val="baseline"/>
        </w:rPr>
        <w:t>Act</w:t>
      </w:r>
      <w:r>
        <w:rPr>
          <w:rFonts w:ascii="Times New Roman" w:hAnsi="Times New Roman"/>
          <w:spacing w:val="-11"/>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line="214" w:lineRule="exact" w:before="0"/>
        <w:ind w:left="187" w:right="0" w:firstLine="0"/>
        <w:jc w:val="left"/>
        <w:rPr>
          <w:rFonts w:ascii="Times New Roman"/>
          <w:sz w:val="19"/>
        </w:rPr>
      </w:pPr>
      <w:r>
        <w:rPr>
          <w:rFonts w:ascii="Times New Roman"/>
          <w:sz w:val="19"/>
          <w:vertAlign w:val="superscript"/>
        </w:rPr>
        <w:t>161</w:t>
      </w:r>
      <w:r>
        <w:rPr>
          <w:rFonts w:ascii="Times New Roman"/>
          <w:spacing w:val="-2"/>
          <w:sz w:val="19"/>
          <w:vertAlign w:val="baseline"/>
        </w:rPr>
        <w:t> </w:t>
      </w:r>
      <w:r>
        <w:rPr>
          <w:rFonts w:ascii="Times New Roman"/>
          <w:sz w:val="19"/>
          <w:vertAlign w:val="baseline"/>
        </w:rPr>
        <w:t>Cap</w:t>
      </w:r>
      <w:r>
        <w:rPr>
          <w:rFonts w:ascii="Times New Roman"/>
          <w:spacing w:val="-9"/>
          <w:sz w:val="19"/>
          <w:vertAlign w:val="baseline"/>
        </w:rPr>
        <w:t> </w:t>
      </w:r>
      <w:r>
        <w:rPr>
          <w:rFonts w:ascii="Times New Roman"/>
          <w:sz w:val="19"/>
          <w:vertAlign w:val="baseline"/>
        </w:rPr>
        <w:t>W6,</w:t>
      </w:r>
      <w:r>
        <w:rPr>
          <w:rFonts w:ascii="Times New Roman"/>
          <w:spacing w:val="-10"/>
          <w:sz w:val="19"/>
          <w:vertAlign w:val="baseline"/>
        </w:rPr>
        <w:t> </w:t>
      </w:r>
      <w:r>
        <w:rPr>
          <w:rFonts w:ascii="Times New Roman"/>
          <w:sz w:val="19"/>
          <w:vertAlign w:val="baseline"/>
        </w:rPr>
        <w:t>Laws</w:t>
      </w:r>
      <w:r>
        <w:rPr>
          <w:rFonts w:ascii="Times New Roman"/>
          <w:spacing w:val="-9"/>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Federation</w:t>
      </w:r>
      <w:r>
        <w:rPr>
          <w:rFonts w:ascii="Times New Roman"/>
          <w:spacing w:val="-2"/>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Nigeria,</w:t>
      </w:r>
      <w:r>
        <w:rPr>
          <w:rFonts w:ascii="Times New Roman"/>
          <w:spacing w:val="-7"/>
          <w:sz w:val="19"/>
          <w:vertAlign w:val="baseline"/>
        </w:rPr>
        <w:t> </w:t>
      </w:r>
      <w:r>
        <w:rPr>
          <w:rFonts w:ascii="Times New Roman"/>
          <w:spacing w:val="-4"/>
          <w:sz w:val="19"/>
          <w:vertAlign w:val="baseline"/>
        </w:rPr>
        <w:t>2004</w:t>
      </w:r>
    </w:p>
    <w:p>
      <w:pPr>
        <w:spacing w:line="237" w:lineRule="auto" w:before="1"/>
        <w:ind w:left="187" w:right="569" w:firstLine="0"/>
        <w:jc w:val="left"/>
        <w:rPr>
          <w:rFonts w:ascii="Times New Roman" w:hAnsi="Times New Roman"/>
          <w:sz w:val="19"/>
        </w:rPr>
      </w:pPr>
      <w:r>
        <w:rPr>
          <w:rFonts w:ascii="Times New Roman" w:hAnsi="Times New Roman"/>
          <w:sz w:val="19"/>
          <w:vertAlign w:val="superscript"/>
        </w:rPr>
        <w:t>162</w:t>
      </w:r>
      <w:r>
        <w:rPr>
          <w:rFonts w:ascii="Times New Roman" w:hAnsi="Times New Roman"/>
          <w:sz w:val="19"/>
          <w:vertAlign w:val="baseline"/>
        </w:rPr>
        <w:t> See </w:t>
      </w:r>
      <w:r>
        <w:rPr>
          <w:rFonts w:ascii="Times New Roman" w:hAnsi="Times New Roman"/>
          <w:i/>
          <w:sz w:val="19"/>
          <w:vertAlign w:val="baseline"/>
        </w:rPr>
        <w:t>Fitzgerald</w:t>
      </w:r>
      <w:r>
        <w:rPr>
          <w:rFonts w:ascii="Times New Roman" w:hAnsi="Times New Roman"/>
          <w:i/>
          <w:spacing w:val="-1"/>
          <w:sz w:val="19"/>
          <w:vertAlign w:val="baseline"/>
        </w:rPr>
        <w:t> </w:t>
      </w:r>
      <w:r>
        <w:rPr>
          <w:rFonts w:ascii="Times New Roman" w:hAnsi="Times New Roman"/>
          <w:i/>
          <w:sz w:val="19"/>
          <w:vertAlign w:val="baseline"/>
        </w:rPr>
        <w:t>v. WG Clark &amp;</w:t>
      </w:r>
      <w:r>
        <w:rPr>
          <w:rFonts w:ascii="Times New Roman" w:hAnsi="Times New Roman"/>
          <w:i/>
          <w:spacing w:val="-1"/>
          <w:sz w:val="19"/>
          <w:vertAlign w:val="baseline"/>
        </w:rPr>
        <w:t> </w:t>
      </w:r>
      <w:r>
        <w:rPr>
          <w:rFonts w:ascii="Times New Roman" w:hAnsi="Times New Roman"/>
          <w:i/>
          <w:sz w:val="19"/>
          <w:vertAlign w:val="baseline"/>
        </w:rPr>
        <w:t>Son</w:t>
      </w:r>
      <w:r>
        <w:rPr>
          <w:rFonts w:ascii="Times New Roman" w:hAnsi="Times New Roman"/>
          <w:i/>
          <w:spacing w:val="-1"/>
          <w:sz w:val="19"/>
          <w:vertAlign w:val="baseline"/>
        </w:rPr>
        <w:t> </w:t>
      </w:r>
      <w:r>
        <w:rPr>
          <w:rFonts w:ascii="Times New Roman" w:hAnsi="Times New Roman"/>
          <w:sz w:val="19"/>
          <w:vertAlign w:val="baseline"/>
        </w:rPr>
        <w:t>(1908)</w:t>
      </w:r>
      <w:r>
        <w:rPr>
          <w:rFonts w:ascii="Times New Roman" w:hAnsi="Times New Roman"/>
          <w:spacing w:val="-3"/>
          <w:sz w:val="19"/>
          <w:vertAlign w:val="baseline"/>
        </w:rPr>
        <w:t> </w:t>
      </w:r>
      <w:r>
        <w:rPr>
          <w:rFonts w:ascii="Times New Roman" w:hAnsi="Times New Roman"/>
          <w:sz w:val="19"/>
          <w:vertAlign w:val="baseline"/>
        </w:rPr>
        <w:t>2KB 796,799</w:t>
      </w:r>
      <w:r>
        <w:rPr>
          <w:rFonts w:ascii="Times New Roman" w:hAnsi="Times New Roman"/>
          <w:spacing w:val="-1"/>
          <w:sz w:val="19"/>
          <w:vertAlign w:val="baseline"/>
        </w:rPr>
        <w:t> </w:t>
      </w:r>
      <w:r>
        <w:rPr>
          <w:rFonts w:ascii="Times New Roman" w:hAnsi="Times New Roman"/>
          <w:sz w:val="19"/>
          <w:vertAlign w:val="baseline"/>
        </w:rPr>
        <w:t>where Buckley, L.J. said</w:t>
      </w:r>
      <w:r>
        <w:rPr>
          <w:rFonts w:ascii="Times New Roman" w:hAnsi="Times New Roman"/>
          <w:spacing w:val="-1"/>
          <w:sz w:val="19"/>
          <w:vertAlign w:val="baseline"/>
        </w:rPr>
        <w:t> </w:t>
      </w:r>
      <w:r>
        <w:rPr>
          <w:rFonts w:ascii="Times New Roman" w:hAnsi="Times New Roman"/>
          <w:sz w:val="19"/>
          <w:vertAlign w:val="baseline"/>
        </w:rPr>
        <w:t>the words “out of and</w:t>
      </w:r>
      <w:r>
        <w:rPr>
          <w:rFonts w:ascii="Times New Roman" w:hAnsi="Times New Roman"/>
          <w:spacing w:val="-1"/>
          <w:sz w:val="19"/>
          <w:vertAlign w:val="baseline"/>
        </w:rPr>
        <w:t> </w:t>
      </w:r>
      <w:r>
        <w:rPr>
          <w:rFonts w:ascii="Times New Roman" w:hAnsi="Times New Roman"/>
          <w:sz w:val="19"/>
          <w:vertAlign w:val="baseline"/>
        </w:rPr>
        <w:t>in the</w:t>
      </w:r>
      <w:r>
        <w:rPr>
          <w:rFonts w:ascii="Times New Roman" w:hAnsi="Times New Roman"/>
          <w:spacing w:val="-11"/>
          <w:sz w:val="19"/>
          <w:vertAlign w:val="baseline"/>
        </w:rPr>
        <w:t> </w:t>
      </w:r>
      <w:r>
        <w:rPr>
          <w:rFonts w:ascii="Times New Roman" w:hAnsi="Times New Roman"/>
          <w:sz w:val="19"/>
          <w:vertAlign w:val="baseline"/>
        </w:rPr>
        <w:t>course</w:t>
      </w:r>
      <w:r>
        <w:rPr>
          <w:rFonts w:ascii="Times New Roman" w:hAnsi="Times New Roman"/>
          <w:spacing w:val="-9"/>
          <w:sz w:val="19"/>
          <w:vertAlign w:val="baseline"/>
        </w:rPr>
        <w:t> </w:t>
      </w:r>
      <w:r>
        <w:rPr>
          <w:rFonts w:ascii="Times New Roman" w:hAnsi="Times New Roman"/>
          <w:sz w:val="19"/>
          <w:vertAlign w:val="baseline"/>
        </w:rPr>
        <w:t>of</w:t>
      </w:r>
      <w:r>
        <w:rPr>
          <w:rFonts w:ascii="Times New Roman" w:hAnsi="Times New Roman"/>
          <w:spacing w:val="-8"/>
          <w:sz w:val="19"/>
          <w:vertAlign w:val="baseline"/>
        </w:rPr>
        <w:t> </w:t>
      </w:r>
      <w:r>
        <w:rPr>
          <w:rFonts w:ascii="Times New Roman" w:hAnsi="Times New Roman"/>
          <w:sz w:val="19"/>
          <w:vertAlign w:val="baseline"/>
        </w:rPr>
        <w:t>employment”</w:t>
      </w:r>
      <w:r>
        <w:rPr>
          <w:rFonts w:ascii="Times New Roman" w:hAnsi="Times New Roman"/>
          <w:spacing w:val="-9"/>
          <w:sz w:val="19"/>
          <w:vertAlign w:val="baseline"/>
        </w:rPr>
        <w:t> </w:t>
      </w:r>
      <w:r>
        <w:rPr>
          <w:rFonts w:ascii="Times New Roman" w:hAnsi="Times New Roman"/>
          <w:sz w:val="19"/>
          <w:vertAlign w:val="baseline"/>
        </w:rPr>
        <w:t>are</w:t>
      </w:r>
      <w:r>
        <w:rPr>
          <w:rFonts w:ascii="Times New Roman" w:hAnsi="Times New Roman"/>
          <w:spacing w:val="-5"/>
          <w:sz w:val="19"/>
          <w:vertAlign w:val="baseline"/>
        </w:rPr>
        <w:t> </w:t>
      </w:r>
      <w:r>
        <w:rPr>
          <w:rFonts w:ascii="Times New Roman" w:hAnsi="Times New Roman"/>
          <w:sz w:val="19"/>
          <w:vertAlign w:val="baseline"/>
        </w:rPr>
        <w:t>used</w:t>
      </w:r>
      <w:r>
        <w:rPr>
          <w:rFonts w:ascii="Times New Roman" w:hAnsi="Times New Roman"/>
          <w:spacing w:val="-6"/>
          <w:sz w:val="19"/>
          <w:vertAlign w:val="baseline"/>
        </w:rPr>
        <w:t> </w:t>
      </w:r>
      <w:r>
        <w:rPr>
          <w:rFonts w:ascii="Times New Roman" w:hAnsi="Times New Roman"/>
          <w:sz w:val="19"/>
          <w:vertAlign w:val="baseline"/>
        </w:rPr>
        <w:t>conjunctively</w:t>
      </w:r>
      <w:r>
        <w:rPr>
          <w:rFonts w:ascii="Times New Roman" w:hAnsi="Times New Roman"/>
          <w:spacing w:val="-12"/>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not</w:t>
      </w:r>
      <w:r>
        <w:rPr>
          <w:rFonts w:ascii="Times New Roman" w:hAnsi="Times New Roman"/>
          <w:spacing w:val="-7"/>
          <w:sz w:val="19"/>
          <w:vertAlign w:val="baseline"/>
        </w:rPr>
        <w:t> </w:t>
      </w:r>
      <w:r>
        <w:rPr>
          <w:rFonts w:ascii="Times New Roman" w:hAnsi="Times New Roman"/>
          <w:sz w:val="19"/>
          <w:vertAlign w:val="baseline"/>
        </w:rPr>
        <w:t>disjunctively</w:t>
      </w:r>
      <w:r>
        <w:rPr>
          <w:rFonts w:ascii="Times New Roman" w:hAnsi="Times New Roman"/>
          <w:spacing w:val="-10"/>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the</w:t>
      </w:r>
      <w:r>
        <w:rPr>
          <w:rFonts w:ascii="Times New Roman" w:hAnsi="Times New Roman"/>
          <w:spacing w:val="-5"/>
          <w:sz w:val="19"/>
          <w:vertAlign w:val="baseline"/>
        </w:rPr>
        <w:t> </w:t>
      </w:r>
      <w:r>
        <w:rPr>
          <w:rFonts w:ascii="Times New Roman" w:hAnsi="Times New Roman"/>
          <w:sz w:val="19"/>
          <w:vertAlign w:val="baseline"/>
        </w:rPr>
        <w:t>Workman</w:t>
      </w:r>
      <w:r>
        <w:rPr>
          <w:rFonts w:ascii="Times New Roman" w:hAnsi="Times New Roman"/>
          <w:spacing w:val="-6"/>
          <w:sz w:val="19"/>
          <w:vertAlign w:val="baseline"/>
        </w:rPr>
        <w:t> </w:t>
      </w:r>
      <w:r>
        <w:rPr>
          <w:rFonts w:ascii="Times New Roman" w:hAnsi="Times New Roman"/>
          <w:sz w:val="19"/>
          <w:vertAlign w:val="baseline"/>
        </w:rPr>
        <w:t>must</w:t>
      </w:r>
      <w:r>
        <w:rPr>
          <w:rFonts w:ascii="Times New Roman" w:hAnsi="Times New Roman"/>
          <w:spacing w:val="-7"/>
          <w:sz w:val="19"/>
          <w:vertAlign w:val="baseline"/>
        </w:rPr>
        <w:t> </w:t>
      </w:r>
      <w:r>
        <w:rPr>
          <w:rFonts w:ascii="Times New Roman" w:hAnsi="Times New Roman"/>
          <w:sz w:val="19"/>
          <w:vertAlign w:val="baseline"/>
        </w:rPr>
        <w:t>satisfy</w:t>
      </w:r>
      <w:r>
        <w:rPr>
          <w:rFonts w:ascii="Times New Roman" w:hAnsi="Times New Roman"/>
          <w:spacing w:val="-11"/>
          <w:sz w:val="19"/>
          <w:vertAlign w:val="baseline"/>
        </w:rPr>
        <w:t> </w:t>
      </w:r>
      <w:r>
        <w:rPr>
          <w:rFonts w:ascii="Times New Roman" w:hAnsi="Times New Roman"/>
          <w:sz w:val="19"/>
          <w:vertAlign w:val="baseline"/>
        </w:rPr>
        <w:t>both</w:t>
      </w:r>
      <w:r>
        <w:rPr>
          <w:rFonts w:ascii="Times New Roman" w:hAnsi="Times New Roman"/>
          <w:spacing w:val="-2"/>
          <w:sz w:val="19"/>
          <w:vertAlign w:val="baseline"/>
        </w:rPr>
        <w:t> </w:t>
      </w:r>
      <w:r>
        <w:rPr>
          <w:rFonts w:ascii="Times New Roman" w:hAnsi="Times New Roman"/>
          <w:sz w:val="19"/>
          <w:vertAlign w:val="baseline"/>
        </w:rPr>
        <w:t>the one and the other.</w:t>
      </w:r>
    </w:p>
    <w:p>
      <w:pPr>
        <w:spacing w:after="0" w:line="237" w:lineRule="auto"/>
        <w:jc w:val="left"/>
        <w:rPr>
          <w:rFonts w:ascii="Times New Roman" w:hAnsi="Times New Roman"/>
          <w:sz w:val="19"/>
        </w:rPr>
        <w:sectPr>
          <w:pgSz w:w="12240" w:h="15840"/>
          <w:pgMar w:header="0" w:footer="1009" w:top="1240" w:bottom="1200" w:left="1680" w:right="1320"/>
        </w:sectPr>
      </w:pPr>
    </w:p>
    <w:p>
      <w:pPr>
        <w:pStyle w:val="BodyText"/>
        <w:spacing w:line="489" w:lineRule="auto" w:before="94"/>
        <w:ind w:left="864" w:right="562"/>
        <w:jc w:val="both"/>
      </w:pPr>
      <w:r>
        <w:rPr/>
        <w:t>word</w:t>
      </w:r>
      <w:r>
        <w:rPr>
          <w:spacing w:val="27"/>
        </w:rPr>
        <w:t> </w:t>
      </w:r>
      <w:r>
        <w:rPr/>
        <w:t>“or”</w:t>
      </w:r>
      <w:r>
        <w:rPr>
          <w:spacing w:val="24"/>
        </w:rPr>
        <w:t> </w:t>
      </w:r>
      <w:r>
        <w:rPr/>
        <w:t>as</w:t>
      </w:r>
      <w:r>
        <w:rPr>
          <w:spacing w:val="23"/>
        </w:rPr>
        <w:t> </w:t>
      </w:r>
      <w:r>
        <w:rPr/>
        <w:t>opposed</w:t>
      </w:r>
      <w:r>
        <w:rPr>
          <w:spacing w:val="27"/>
        </w:rPr>
        <w:t> </w:t>
      </w:r>
      <w:r>
        <w:rPr/>
        <w:t>to</w:t>
      </w:r>
      <w:r>
        <w:rPr>
          <w:spacing w:val="29"/>
        </w:rPr>
        <w:t> </w:t>
      </w:r>
      <w:r>
        <w:rPr/>
        <w:t>“and.”</w:t>
      </w:r>
      <w:r>
        <w:rPr>
          <w:spacing w:val="29"/>
        </w:rPr>
        <w:t> </w:t>
      </w:r>
      <w:r>
        <w:rPr/>
        <w:t>The</w:t>
      </w:r>
      <w:r>
        <w:rPr>
          <w:spacing w:val="23"/>
        </w:rPr>
        <w:t> </w:t>
      </w:r>
      <w:r>
        <w:rPr/>
        <w:t>implication</w:t>
      </w:r>
      <w:r>
        <w:rPr>
          <w:spacing w:val="25"/>
        </w:rPr>
        <w:t> </w:t>
      </w:r>
      <w:r>
        <w:rPr/>
        <w:t>of</w:t>
      </w:r>
      <w:r>
        <w:rPr>
          <w:spacing w:val="24"/>
        </w:rPr>
        <w:t> </w:t>
      </w:r>
      <w:r>
        <w:rPr/>
        <w:t>the</w:t>
      </w:r>
      <w:r>
        <w:rPr>
          <w:spacing w:val="24"/>
        </w:rPr>
        <w:t> </w:t>
      </w:r>
      <w:r>
        <w:rPr/>
        <w:t>difference</w:t>
      </w:r>
      <w:r>
        <w:rPr>
          <w:spacing w:val="24"/>
        </w:rPr>
        <w:t> </w:t>
      </w:r>
      <w:r>
        <w:rPr/>
        <w:t>is</w:t>
      </w:r>
      <w:r>
        <w:rPr>
          <w:spacing w:val="33"/>
        </w:rPr>
        <w:t> </w:t>
      </w:r>
      <w:r>
        <w:rPr/>
        <w:t>that</w:t>
      </w:r>
      <w:r>
        <w:rPr>
          <w:spacing w:val="25"/>
        </w:rPr>
        <w:t> </w:t>
      </w:r>
      <w:r>
        <w:rPr/>
        <w:t>it is</w:t>
      </w:r>
      <w:r>
        <w:rPr>
          <w:spacing w:val="40"/>
        </w:rPr>
        <w:t> </w:t>
      </w:r>
      <w:r>
        <w:rPr/>
        <w:t>easier</w:t>
      </w:r>
      <w:r>
        <w:rPr>
          <w:spacing w:val="40"/>
        </w:rPr>
        <w:t> </w:t>
      </w:r>
      <w:r>
        <w:rPr/>
        <w:t>now</w:t>
      </w:r>
      <w:r>
        <w:rPr>
          <w:spacing w:val="40"/>
        </w:rPr>
        <w:t> </w:t>
      </w:r>
      <w:r>
        <w:rPr/>
        <w:t>for</w:t>
      </w:r>
      <w:r>
        <w:rPr>
          <w:spacing w:val="40"/>
        </w:rPr>
        <w:t> </w:t>
      </w:r>
      <w:r>
        <w:rPr/>
        <w:t>an</w:t>
      </w:r>
      <w:r>
        <w:rPr>
          <w:spacing w:val="40"/>
        </w:rPr>
        <w:t> </w:t>
      </w:r>
      <w:r>
        <w:rPr/>
        <w:t>employee</w:t>
      </w:r>
      <w:r>
        <w:rPr>
          <w:spacing w:val="40"/>
        </w:rPr>
        <w:t> </w:t>
      </w:r>
      <w:r>
        <w:rPr/>
        <w:t>to</w:t>
      </w:r>
      <w:r>
        <w:rPr>
          <w:spacing w:val="40"/>
        </w:rPr>
        <w:t> </w:t>
      </w:r>
      <w:r>
        <w:rPr/>
        <w:t>establish</w:t>
      </w:r>
      <w:r>
        <w:rPr>
          <w:spacing w:val="40"/>
        </w:rPr>
        <w:t> </w:t>
      </w:r>
      <w:r>
        <w:rPr/>
        <w:t>a</w:t>
      </w:r>
      <w:r>
        <w:rPr>
          <w:spacing w:val="40"/>
        </w:rPr>
        <w:t> </w:t>
      </w:r>
      <w:r>
        <w:rPr/>
        <w:t>case</w:t>
      </w:r>
      <w:r>
        <w:rPr>
          <w:spacing w:val="40"/>
        </w:rPr>
        <w:t> </w:t>
      </w:r>
      <w:r>
        <w:rPr/>
        <w:t>of</w:t>
      </w:r>
      <w:r>
        <w:rPr>
          <w:spacing w:val="40"/>
        </w:rPr>
        <w:t> </w:t>
      </w:r>
      <w:r>
        <w:rPr/>
        <w:t>compensation because, all he has to do is to prove that it either occurred “out of employment or in the course of employment.” The phrase “out of employment” means there must be some causal relations between the accident and the employment other than the mere coincidence of its accident with the currency of the employment.</w:t>
      </w:r>
      <w:r>
        <w:rPr>
          <w:vertAlign w:val="superscript"/>
        </w:rPr>
        <w:t>163</w:t>
      </w:r>
      <w:r>
        <w:rPr>
          <w:vertAlign w:val="baseline"/>
        </w:rPr>
        <w:t> Here, there is required to be shown something in the nature of causal relation between the accident and an order, express or implied, given by the employer.</w:t>
      </w:r>
      <w:r>
        <w:rPr>
          <w:vertAlign w:val="superscript"/>
        </w:rPr>
        <w:t>164</w:t>
      </w:r>
      <w:r>
        <w:rPr>
          <w:vertAlign w:val="baseline"/>
        </w:rPr>
        <w:t> It is well established that employment is not to be confined to the actual work for which an employee is employed. Thus, the expression “arising out of employment” is not confined to the mere “nature of the employme~|.”</w:t>
      </w:r>
      <w:r>
        <w:rPr>
          <w:vertAlign w:val="superscript"/>
        </w:rPr>
        <w:t>165</w:t>
      </w:r>
      <w:r>
        <w:rPr>
          <w:vertAlign w:val="baseline"/>
        </w:rPr>
        <w:t> The expression applies to the employment as such to its nature, its conditions, its obligations and to its incidents.</w:t>
      </w:r>
      <w:r>
        <w:rPr>
          <w:vertAlign w:val="superscript"/>
        </w:rPr>
        <w:t>166</w:t>
      </w:r>
      <w:r>
        <w:rPr>
          <w:vertAlign w:val="baseline"/>
        </w:rPr>
        <w:t> It obviously means arising out</w:t>
      </w:r>
      <w:r>
        <w:rPr>
          <w:spacing w:val="38"/>
          <w:vertAlign w:val="baseline"/>
        </w:rPr>
        <w:t> </w:t>
      </w:r>
      <w:r>
        <w:rPr>
          <w:vertAlign w:val="baseline"/>
        </w:rPr>
        <w:t>of</w:t>
      </w:r>
      <w:r>
        <w:rPr>
          <w:spacing w:val="40"/>
          <w:vertAlign w:val="baseline"/>
        </w:rPr>
        <w:t> </w:t>
      </w:r>
      <w:r>
        <w:rPr>
          <w:vertAlign w:val="baseline"/>
        </w:rPr>
        <w:t>work</w:t>
      </w:r>
      <w:r>
        <w:rPr>
          <w:spacing w:val="40"/>
          <w:vertAlign w:val="baseline"/>
        </w:rPr>
        <w:t> </w:t>
      </w:r>
      <w:r>
        <w:rPr>
          <w:vertAlign w:val="baseline"/>
        </w:rPr>
        <w:t>which</w:t>
      </w:r>
      <w:r>
        <w:rPr>
          <w:spacing w:val="39"/>
          <w:vertAlign w:val="baseline"/>
        </w:rPr>
        <w:t> </w:t>
      </w:r>
      <w:r>
        <w:rPr>
          <w:vertAlign w:val="baseline"/>
        </w:rPr>
        <w:t>the</w:t>
      </w:r>
      <w:r>
        <w:rPr>
          <w:spacing w:val="40"/>
          <w:vertAlign w:val="baseline"/>
        </w:rPr>
        <w:t> </w:t>
      </w:r>
      <w:r>
        <w:rPr>
          <w:vertAlign w:val="baseline"/>
        </w:rPr>
        <w:t>man</w:t>
      </w:r>
      <w:r>
        <w:rPr>
          <w:spacing w:val="40"/>
          <w:vertAlign w:val="baseline"/>
        </w:rPr>
        <w:t> </w:t>
      </w:r>
      <w:r>
        <w:rPr>
          <w:vertAlign w:val="baseline"/>
        </w:rPr>
        <w:t>is</w:t>
      </w:r>
      <w:r>
        <w:rPr>
          <w:spacing w:val="40"/>
          <w:vertAlign w:val="baseline"/>
        </w:rPr>
        <w:t> </w:t>
      </w:r>
      <w:r>
        <w:rPr>
          <w:vertAlign w:val="baseline"/>
        </w:rPr>
        <w:t>employed</w:t>
      </w:r>
      <w:r>
        <w:rPr>
          <w:spacing w:val="40"/>
          <w:vertAlign w:val="baseline"/>
        </w:rPr>
        <w:t> </w:t>
      </w:r>
      <w:r>
        <w:rPr>
          <w:vertAlign w:val="baseline"/>
        </w:rPr>
        <w:t>to</w:t>
      </w:r>
      <w:r>
        <w:rPr>
          <w:spacing w:val="40"/>
          <w:vertAlign w:val="baseline"/>
        </w:rPr>
        <w:t> </w:t>
      </w:r>
      <w:r>
        <w:rPr>
          <w:vertAlign w:val="baseline"/>
        </w:rPr>
        <w:t>do</w:t>
      </w:r>
      <w:r>
        <w:rPr>
          <w:spacing w:val="40"/>
          <w:vertAlign w:val="baseline"/>
        </w:rPr>
        <w:t> </w:t>
      </w:r>
      <w:r>
        <w:rPr>
          <w:vertAlign w:val="baseline"/>
        </w:rPr>
        <w:t>and</w:t>
      </w:r>
      <w:r>
        <w:rPr>
          <w:spacing w:val="40"/>
          <w:vertAlign w:val="baseline"/>
        </w:rPr>
        <w:t> </w:t>
      </w:r>
      <w:r>
        <w:rPr>
          <w:vertAlign w:val="baseline"/>
        </w:rPr>
        <w:t>what</w:t>
      </w:r>
      <w:r>
        <w:rPr>
          <w:spacing w:val="38"/>
          <w:vertAlign w:val="baseline"/>
        </w:rPr>
        <w:t> </w:t>
      </w:r>
      <w:r>
        <w:rPr>
          <w:vertAlign w:val="baseline"/>
        </w:rPr>
        <w:t>is</w:t>
      </w:r>
      <w:r>
        <w:rPr>
          <w:spacing w:val="40"/>
          <w:vertAlign w:val="baseline"/>
        </w:rPr>
        <w:t> </w:t>
      </w:r>
      <w:r>
        <w:rPr>
          <w:vertAlign w:val="baseline"/>
        </w:rPr>
        <w:t>incidental</w:t>
      </w:r>
      <w:r>
        <w:rPr>
          <w:spacing w:val="40"/>
          <w:vertAlign w:val="baseline"/>
        </w:rPr>
        <w:t> </w:t>
      </w:r>
      <w:r>
        <w:rPr>
          <w:vertAlign w:val="baseline"/>
        </w:rPr>
        <w:t>to it.</w:t>
      </w:r>
      <w:r>
        <w:rPr>
          <w:vertAlign w:val="superscript"/>
        </w:rPr>
        <w:t>167</w:t>
      </w:r>
      <w:r>
        <w:rPr>
          <w:vertAlign w:val="baseline"/>
        </w:rPr>
        <w:t> An attack on an assistant teacher by school boys was held to be an accident which arose out of his employment.</w:t>
      </w:r>
      <w:r>
        <w:rPr>
          <w:vertAlign w:val="superscript"/>
        </w:rPr>
        <w:t>168</w:t>
      </w:r>
      <w:r>
        <w:rPr>
          <w:vertAlign w:val="baseline"/>
        </w:rPr>
        <w:t> Also, a cashier was</w:t>
      </w:r>
      <w:r>
        <w:rPr>
          <w:spacing w:val="80"/>
          <w:vertAlign w:val="baseline"/>
        </w:rPr>
        <w:t> </w:t>
      </w:r>
      <w:r>
        <w:rPr>
          <w:vertAlign w:val="baseline"/>
        </w:rPr>
        <w:t>travelling</w:t>
      </w:r>
      <w:r>
        <w:rPr>
          <w:spacing w:val="61"/>
          <w:w w:val="150"/>
          <w:vertAlign w:val="baseline"/>
        </w:rPr>
        <w:t> </w:t>
      </w:r>
      <w:r>
        <w:rPr>
          <w:vertAlign w:val="baseline"/>
        </w:rPr>
        <w:t>in</w:t>
      </w:r>
      <w:r>
        <w:rPr>
          <w:spacing w:val="65"/>
          <w:w w:val="150"/>
          <w:vertAlign w:val="baseline"/>
        </w:rPr>
        <w:t> </w:t>
      </w:r>
      <w:r>
        <w:rPr>
          <w:vertAlign w:val="baseline"/>
        </w:rPr>
        <w:t>a</w:t>
      </w:r>
      <w:r>
        <w:rPr>
          <w:spacing w:val="59"/>
          <w:w w:val="150"/>
          <w:vertAlign w:val="baseline"/>
        </w:rPr>
        <w:t> </w:t>
      </w:r>
      <w:r>
        <w:rPr>
          <w:vertAlign w:val="baseline"/>
        </w:rPr>
        <w:t>train</w:t>
      </w:r>
      <w:r>
        <w:rPr>
          <w:spacing w:val="61"/>
          <w:w w:val="150"/>
          <w:vertAlign w:val="baseline"/>
        </w:rPr>
        <w:t> </w:t>
      </w:r>
      <w:r>
        <w:rPr>
          <w:vertAlign w:val="baseline"/>
        </w:rPr>
        <w:t>with</w:t>
      </w:r>
      <w:r>
        <w:rPr>
          <w:spacing w:val="61"/>
          <w:w w:val="150"/>
          <w:vertAlign w:val="baseline"/>
        </w:rPr>
        <w:t> </w:t>
      </w:r>
      <w:r>
        <w:rPr>
          <w:vertAlign w:val="baseline"/>
        </w:rPr>
        <w:t>a</w:t>
      </w:r>
      <w:r>
        <w:rPr>
          <w:spacing w:val="58"/>
          <w:w w:val="150"/>
          <w:vertAlign w:val="baseline"/>
        </w:rPr>
        <w:t> </w:t>
      </w:r>
      <w:r>
        <w:rPr>
          <w:vertAlign w:val="baseline"/>
        </w:rPr>
        <w:t>large</w:t>
      </w:r>
      <w:r>
        <w:rPr>
          <w:spacing w:val="60"/>
          <w:w w:val="150"/>
          <w:vertAlign w:val="baseline"/>
        </w:rPr>
        <w:t> </w:t>
      </w:r>
      <w:r>
        <w:rPr>
          <w:vertAlign w:val="baseline"/>
        </w:rPr>
        <w:t>sum</w:t>
      </w:r>
      <w:r>
        <w:rPr>
          <w:spacing w:val="57"/>
          <w:w w:val="150"/>
          <w:vertAlign w:val="baseline"/>
        </w:rPr>
        <w:t> </w:t>
      </w:r>
      <w:r>
        <w:rPr>
          <w:vertAlign w:val="baseline"/>
        </w:rPr>
        <w:t>of</w:t>
      </w:r>
      <w:r>
        <w:rPr>
          <w:spacing w:val="59"/>
          <w:w w:val="150"/>
          <w:vertAlign w:val="baseline"/>
        </w:rPr>
        <w:t> </w:t>
      </w:r>
      <w:r>
        <w:rPr>
          <w:vertAlign w:val="baseline"/>
        </w:rPr>
        <w:t>money</w:t>
      </w:r>
      <w:r>
        <w:rPr>
          <w:spacing w:val="60"/>
          <w:w w:val="150"/>
          <w:vertAlign w:val="baseline"/>
        </w:rPr>
        <w:t> </w:t>
      </w:r>
      <w:r>
        <w:rPr>
          <w:vertAlign w:val="baseline"/>
        </w:rPr>
        <w:t>for</w:t>
      </w:r>
      <w:r>
        <w:rPr>
          <w:spacing w:val="62"/>
          <w:w w:val="150"/>
          <w:vertAlign w:val="baseline"/>
        </w:rPr>
        <w:t> </w:t>
      </w:r>
      <w:r>
        <w:rPr>
          <w:vertAlign w:val="baseline"/>
        </w:rPr>
        <w:t>his</w:t>
      </w:r>
      <w:r>
        <w:rPr>
          <w:spacing w:val="63"/>
          <w:w w:val="150"/>
          <w:vertAlign w:val="baseline"/>
        </w:rPr>
        <w:t> </w:t>
      </w:r>
      <w:r>
        <w:rPr>
          <w:spacing w:val="-2"/>
          <w:vertAlign w:val="baseline"/>
        </w:rPr>
        <w:t>employer’s</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621120">
                <wp:simplePos x="0" y="0"/>
                <wp:positionH relativeFrom="page">
                  <wp:posOffset>1185672</wp:posOffset>
                </wp:positionH>
                <wp:positionV relativeFrom="paragraph">
                  <wp:posOffset>207182</wp:posOffset>
                </wp:positionV>
                <wp:extent cx="1719580" cy="6350"/>
                <wp:effectExtent l="0" t="0" r="0" b="0"/>
                <wp:wrapTopAndBottom/>
                <wp:docPr id="75" name="Graphic 75"/>
                <wp:cNvGraphicFramePr>
                  <a:graphicFrameLocks/>
                </wp:cNvGraphicFramePr>
                <a:graphic>
                  <a:graphicData uri="http://schemas.microsoft.com/office/word/2010/wordprocessingShape">
                    <wps:wsp>
                      <wps:cNvPr id="75" name="Graphic 7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6.313593pt;width:135.360pt;height:.48pt;mso-position-horizontal-relative:page;mso-position-vertical-relative:paragraph;z-index:-15695360;mso-wrap-distance-left:0;mso-wrap-distance-right:0" id="docshape75" filled="true" fillcolor="#000000" stroked="false">
                <v:fill type="solid"/>
                <w10:wrap type="topAndBottom"/>
              </v:rect>
            </w:pict>
          </mc:Fallback>
        </mc:AlternateContent>
      </w:r>
    </w:p>
    <w:p>
      <w:pPr>
        <w:spacing w:before="96"/>
        <w:ind w:left="187" w:right="0" w:firstLine="0"/>
        <w:jc w:val="left"/>
        <w:rPr>
          <w:rFonts w:ascii="Times New Roman"/>
          <w:sz w:val="19"/>
        </w:rPr>
      </w:pPr>
      <w:r>
        <w:rPr>
          <w:rFonts w:ascii="Times New Roman"/>
          <w:sz w:val="19"/>
          <w:vertAlign w:val="superscript"/>
        </w:rPr>
        <w:t>163</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i/>
          <w:sz w:val="19"/>
          <w:vertAlign w:val="baseline"/>
        </w:rPr>
        <w:t>UAC</w:t>
      </w:r>
      <w:r>
        <w:rPr>
          <w:rFonts w:ascii="Times New Roman"/>
          <w:i/>
          <w:spacing w:val="-7"/>
          <w:sz w:val="19"/>
          <w:vertAlign w:val="baseline"/>
        </w:rPr>
        <w:t> </w:t>
      </w:r>
      <w:r>
        <w:rPr>
          <w:rFonts w:ascii="Times New Roman"/>
          <w:i/>
          <w:sz w:val="19"/>
          <w:vertAlign w:val="baseline"/>
        </w:rPr>
        <w:t>v.</w:t>
      </w:r>
      <w:r>
        <w:rPr>
          <w:rFonts w:ascii="Times New Roman"/>
          <w:i/>
          <w:spacing w:val="-6"/>
          <w:sz w:val="19"/>
          <w:vertAlign w:val="baseline"/>
        </w:rPr>
        <w:t> </w:t>
      </w:r>
      <w:r>
        <w:rPr>
          <w:rFonts w:ascii="Times New Roman"/>
          <w:i/>
          <w:sz w:val="19"/>
          <w:vertAlign w:val="baseline"/>
        </w:rPr>
        <w:t>Orekyan</w:t>
      </w:r>
      <w:r>
        <w:rPr>
          <w:rFonts w:ascii="Times New Roman"/>
          <w:i/>
          <w:spacing w:val="-5"/>
          <w:sz w:val="19"/>
          <w:vertAlign w:val="baseline"/>
        </w:rPr>
        <w:t> </w:t>
      </w:r>
      <w:r>
        <w:rPr>
          <w:rFonts w:ascii="Times New Roman"/>
          <w:sz w:val="19"/>
          <w:vertAlign w:val="baseline"/>
        </w:rPr>
        <w:t>(1961)</w:t>
      </w:r>
      <w:r>
        <w:rPr>
          <w:rFonts w:ascii="Times New Roman"/>
          <w:spacing w:val="-11"/>
          <w:sz w:val="19"/>
          <w:vertAlign w:val="baseline"/>
        </w:rPr>
        <w:t> </w:t>
      </w:r>
      <w:r>
        <w:rPr>
          <w:rFonts w:ascii="Times New Roman"/>
          <w:sz w:val="19"/>
          <w:vertAlign w:val="baseline"/>
        </w:rPr>
        <w:t>L.L.R</w:t>
      </w:r>
      <w:r>
        <w:rPr>
          <w:rFonts w:ascii="Times New Roman"/>
          <w:spacing w:val="-12"/>
          <w:sz w:val="19"/>
          <w:vertAlign w:val="baseline"/>
        </w:rPr>
        <w:t> </w:t>
      </w:r>
      <w:r>
        <w:rPr>
          <w:rFonts w:ascii="Times New Roman"/>
          <w:spacing w:val="-5"/>
          <w:sz w:val="19"/>
          <w:vertAlign w:val="baseline"/>
        </w:rPr>
        <w:t>144</w:t>
      </w:r>
    </w:p>
    <w:p>
      <w:pPr>
        <w:spacing w:line="237" w:lineRule="auto" w:before="4"/>
        <w:ind w:left="187" w:right="563" w:firstLine="0"/>
        <w:jc w:val="left"/>
        <w:rPr>
          <w:rFonts w:ascii="Times New Roman"/>
          <w:sz w:val="19"/>
        </w:rPr>
      </w:pPr>
      <w:r>
        <w:rPr>
          <w:rFonts w:ascii="Times New Roman"/>
          <w:sz w:val="19"/>
          <w:vertAlign w:val="superscript"/>
        </w:rPr>
        <w:t>164</w:t>
      </w:r>
      <w:r>
        <w:rPr>
          <w:rFonts w:ascii="Times New Roman"/>
          <w:sz w:val="19"/>
          <w:vertAlign w:val="baseline"/>
        </w:rPr>
        <w:t> See</w:t>
      </w:r>
      <w:r>
        <w:rPr>
          <w:rFonts w:ascii="Times New Roman"/>
          <w:spacing w:val="-3"/>
          <w:sz w:val="19"/>
          <w:vertAlign w:val="baseline"/>
        </w:rPr>
        <w:t> </w:t>
      </w:r>
      <w:r>
        <w:rPr>
          <w:rFonts w:ascii="Times New Roman"/>
          <w:i/>
          <w:sz w:val="19"/>
          <w:vertAlign w:val="baseline"/>
        </w:rPr>
        <w:t>Davidson</w:t>
      </w:r>
      <w:r>
        <w:rPr>
          <w:rFonts w:ascii="Times New Roman"/>
          <w:i/>
          <w:spacing w:val="-7"/>
          <w:sz w:val="19"/>
          <w:vertAlign w:val="baseline"/>
        </w:rPr>
        <w:t> </w:t>
      </w:r>
      <w:r>
        <w:rPr>
          <w:rFonts w:ascii="Times New Roman"/>
          <w:i/>
          <w:sz w:val="19"/>
          <w:vertAlign w:val="baseline"/>
        </w:rPr>
        <w:t>v.</w:t>
      </w:r>
      <w:r>
        <w:rPr>
          <w:rFonts w:ascii="Times New Roman"/>
          <w:i/>
          <w:spacing w:val="-5"/>
          <w:sz w:val="19"/>
          <w:vertAlign w:val="baseline"/>
        </w:rPr>
        <w:t> </w:t>
      </w:r>
      <w:r>
        <w:rPr>
          <w:rFonts w:ascii="Times New Roman"/>
          <w:i/>
          <w:sz w:val="19"/>
          <w:vertAlign w:val="baseline"/>
        </w:rPr>
        <w:t>Cov</w:t>
      </w:r>
      <w:r>
        <w:rPr>
          <w:rFonts w:ascii="Times New Roman"/>
          <w:i/>
          <w:spacing w:val="-6"/>
          <w:sz w:val="19"/>
          <w:vertAlign w:val="baseline"/>
        </w:rPr>
        <w:t> </w:t>
      </w:r>
      <w:r>
        <w:rPr>
          <w:rFonts w:ascii="Times New Roman"/>
          <w:i/>
          <w:sz w:val="19"/>
          <w:vertAlign w:val="baseline"/>
        </w:rPr>
        <w:t>M.</w:t>
      </w:r>
      <w:r>
        <w:rPr>
          <w:rFonts w:ascii="Times New Roman"/>
          <w:i/>
          <w:spacing w:val="-5"/>
          <w:sz w:val="19"/>
          <w:vertAlign w:val="baseline"/>
        </w:rPr>
        <w:t> </w:t>
      </w:r>
      <w:r>
        <w:rPr>
          <w:rFonts w:ascii="Times New Roman"/>
          <w:i/>
          <w:sz w:val="19"/>
          <w:vertAlign w:val="baseline"/>
        </w:rPr>
        <w:t>Robb</w:t>
      </w:r>
      <w:r>
        <w:rPr>
          <w:rFonts w:ascii="Times New Roman"/>
          <w:i/>
          <w:spacing w:val="-4"/>
          <w:sz w:val="19"/>
          <w:vertAlign w:val="baseline"/>
        </w:rPr>
        <w:t> </w:t>
      </w:r>
      <w:r>
        <w:rPr>
          <w:rFonts w:ascii="Times New Roman"/>
          <w:sz w:val="19"/>
          <w:vertAlign w:val="baseline"/>
        </w:rPr>
        <w:t>(1918)</w:t>
      </w:r>
      <w:r>
        <w:rPr>
          <w:rFonts w:ascii="Times New Roman"/>
          <w:spacing w:val="-6"/>
          <w:sz w:val="19"/>
          <w:vertAlign w:val="baseline"/>
        </w:rPr>
        <w:t> </w:t>
      </w:r>
      <w:r>
        <w:rPr>
          <w:rFonts w:ascii="Times New Roman"/>
          <w:sz w:val="19"/>
          <w:vertAlign w:val="baseline"/>
        </w:rPr>
        <w:t>AC</w:t>
      </w:r>
      <w:r>
        <w:rPr>
          <w:rFonts w:ascii="Times New Roman"/>
          <w:spacing w:val="-6"/>
          <w:sz w:val="19"/>
          <w:vertAlign w:val="baseline"/>
        </w:rPr>
        <w:t> </w:t>
      </w:r>
      <w:r>
        <w:rPr>
          <w:rFonts w:ascii="Times New Roman"/>
          <w:sz w:val="19"/>
          <w:vertAlign w:val="baseline"/>
        </w:rPr>
        <w:t>304,317</w:t>
      </w:r>
      <w:r>
        <w:rPr>
          <w:rFonts w:ascii="Times New Roman"/>
          <w:spacing w:val="-7"/>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Lord</w:t>
      </w:r>
      <w:r>
        <w:rPr>
          <w:rFonts w:ascii="Times New Roman"/>
          <w:spacing w:val="-7"/>
          <w:sz w:val="19"/>
          <w:vertAlign w:val="baseline"/>
        </w:rPr>
        <w:t> </w:t>
      </w:r>
      <w:r>
        <w:rPr>
          <w:rFonts w:ascii="Times New Roman"/>
          <w:sz w:val="19"/>
          <w:vertAlign w:val="baseline"/>
        </w:rPr>
        <w:t>Haldane</w:t>
      </w:r>
      <w:r>
        <w:rPr>
          <w:rFonts w:ascii="Times New Roman"/>
          <w:spacing w:val="-11"/>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there</w:t>
      </w:r>
      <w:r>
        <w:rPr>
          <w:rFonts w:ascii="Times New Roman"/>
          <w:spacing w:val="-6"/>
          <w:sz w:val="19"/>
          <w:vertAlign w:val="baseline"/>
        </w:rPr>
        <w:t> </w:t>
      </w:r>
      <w:r>
        <w:rPr>
          <w:rFonts w:ascii="Times New Roman"/>
          <w:sz w:val="19"/>
          <w:vertAlign w:val="baseline"/>
        </w:rPr>
        <w:t>has</w:t>
      </w:r>
      <w:r>
        <w:rPr>
          <w:rFonts w:ascii="Times New Roman"/>
          <w:spacing w:val="-6"/>
          <w:sz w:val="19"/>
          <w:vertAlign w:val="baseline"/>
        </w:rPr>
        <w:t> </w:t>
      </w:r>
      <w:r>
        <w:rPr>
          <w:rFonts w:ascii="Times New Roman"/>
          <w:sz w:val="19"/>
          <w:vertAlign w:val="baseline"/>
        </w:rPr>
        <w:t>to</w:t>
      </w:r>
      <w:r>
        <w:rPr>
          <w:rFonts w:ascii="Times New Roman"/>
          <w:spacing w:val="-7"/>
          <w:sz w:val="19"/>
          <w:vertAlign w:val="baseline"/>
        </w:rPr>
        <w:t> </w:t>
      </w:r>
      <w:r>
        <w:rPr>
          <w:rFonts w:ascii="Times New Roman"/>
          <w:sz w:val="19"/>
          <w:vertAlign w:val="baseline"/>
        </w:rPr>
        <w:t>be</w:t>
      </w:r>
      <w:r>
        <w:rPr>
          <w:rFonts w:ascii="Times New Roman"/>
          <w:spacing w:val="-6"/>
          <w:sz w:val="19"/>
          <w:vertAlign w:val="baseline"/>
        </w:rPr>
        <w:t> </w:t>
      </w:r>
      <w:r>
        <w:rPr>
          <w:rFonts w:ascii="Times New Roman"/>
          <w:sz w:val="19"/>
          <w:vertAlign w:val="baseline"/>
        </w:rPr>
        <w:t>something</w:t>
      </w:r>
      <w:r>
        <w:rPr>
          <w:rFonts w:ascii="Times New Roman"/>
          <w:spacing w:val="-7"/>
          <w:sz w:val="19"/>
          <w:vertAlign w:val="baseline"/>
        </w:rPr>
        <w:t> </w:t>
      </w:r>
      <w:r>
        <w:rPr>
          <w:rFonts w:ascii="Times New Roman"/>
          <w:sz w:val="19"/>
          <w:vertAlign w:val="baseline"/>
        </w:rPr>
        <w:t>in</w:t>
      </w:r>
      <w:r>
        <w:rPr>
          <w:rFonts w:ascii="Times New Roman"/>
          <w:spacing w:val="-7"/>
          <w:sz w:val="19"/>
          <w:vertAlign w:val="baseline"/>
        </w:rPr>
        <w:t> </w:t>
      </w:r>
      <w:r>
        <w:rPr>
          <w:rFonts w:ascii="Times New Roman"/>
          <w:sz w:val="19"/>
          <w:vertAlign w:val="baseline"/>
        </w:rPr>
        <w:t>the nature of causal relation between the accident and the employment</w:t>
      </w:r>
    </w:p>
    <w:p>
      <w:pPr>
        <w:spacing w:line="210" w:lineRule="exact" w:before="0"/>
        <w:ind w:left="187" w:right="0" w:firstLine="0"/>
        <w:jc w:val="left"/>
        <w:rPr>
          <w:rFonts w:ascii="Times New Roman"/>
          <w:sz w:val="19"/>
        </w:rPr>
      </w:pPr>
      <w:r>
        <w:rPr>
          <w:rFonts w:ascii="Times New Roman"/>
          <w:sz w:val="19"/>
          <w:vertAlign w:val="superscript"/>
        </w:rPr>
        <w:t>165</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i/>
          <w:sz w:val="19"/>
          <w:vertAlign w:val="baseline"/>
        </w:rPr>
        <w:t>Thom</w:t>
      </w:r>
      <w:r>
        <w:rPr>
          <w:rFonts w:ascii="Times New Roman"/>
          <w:i/>
          <w:spacing w:val="-7"/>
          <w:sz w:val="19"/>
          <w:vertAlign w:val="baseline"/>
        </w:rPr>
        <w:t> </w:t>
      </w:r>
      <w:r>
        <w:rPr>
          <w:rFonts w:ascii="Times New Roman"/>
          <w:i/>
          <w:sz w:val="19"/>
          <w:vertAlign w:val="baseline"/>
        </w:rPr>
        <w:t>v.</w:t>
      </w:r>
      <w:r>
        <w:rPr>
          <w:rFonts w:ascii="Times New Roman"/>
          <w:i/>
          <w:spacing w:val="-5"/>
          <w:sz w:val="19"/>
          <w:vertAlign w:val="baseline"/>
        </w:rPr>
        <w:t> </w:t>
      </w:r>
      <w:r>
        <w:rPr>
          <w:rFonts w:ascii="Times New Roman"/>
          <w:i/>
          <w:sz w:val="19"/>
          <w:vertAlign w:val="baseline"/>
        </w:rPr>
        <w:t>Sinclair</w:t>
      </w:r>
      <w:r>
        <w:rPr>
          <w:rFonts w:ascii="Times New Roman"/>
          <w:i/>
          <w:spacing w:val="-8"/>
          <w:sz w:val="19"/>
          <w:vertAlign w:val="baseline"/>
        </w:rPr>
        <w:t> </w:t>
      </w:r>
      <w:r>
        <w:rPr>
          <w:rFonts w:ascii="Times New Roman"/>
          <w:sz w:val="19"/>
          <w:vertAlign w:val="baseline"/>
        </w:rPr>
        <w:t>(1917)</w:t>
      </w:r>
      <w:r>
        <w:rPr>
          <w:rFonts w:ascii="Times New Roman"/>
          <w:spacing w:val="-10"/>
          <w:sz w:val="19"/>
          <w:vertAlign w:val="baseline"/>
        </w:rPr>
        <w:t> </w:t>
      </w:r>
      <w:r>
        <w:rPr>
          <w:rFonts w:ascii="Times New Roman"/>
          <w:sz w:val="19"/>
          <w:vertAlign w:val="baseline"/>
        </w:rPr>
        <w:t>AC</w:t>
      </w:r>
      <w:r>
        <w:rPr>
          <w:rFonts w:ascii="Times New Roman"/>
          <w:spacing w:val="-3"/>
          <w:sz w:val="19"/>
          <w:vertAlign w:val="baseline"/>
        </w:rPr>
        <w:t> </w:t>
      </w:r>
      <w:r>
        <w:rPr>
          <w:rFonts w:ascii="Times New Roman"/>
          <w:spacing w:val="-5"/>
          <w:sz w:val="19"/>
          <w:vertAlign w:val="baseline"/>
        </w:rPr>
        <w:t>127</w:t>
      </w:r>
    </w:p>
    <w:p>
      <w:pPr>
        <w:spacing w:line="216" w:lineRule="exact" w:before="0"/>
        <w:ind w:left="187" w:right="0" w:firstLine="0"/>
        <w:jc w:val="left"/>
        <w:rPr>
          <w:rFonts w:ascii="Times New Roman"/>
          <w:i/>
          <w:sz w:val="19"/>
        </w:rPr>
      </w:pPr>
      <w:r>
        <w:rPr>
          <w:rFonts w:ascii="Times New Roman"/>
          <w:sz w:val="19"/>
          <w:vertAlign w:val="superscript"/>
        </w:rPr>
        <w:t>166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167</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168</w:t>
      </w:r>
      <w:r>
        <w:rPr>
          <w:rFonts w:ascii="Times New Roman"/>
          <w:spacing w:val="-6"/>
          <w:sz w:val="19"/>
          <w:vertAlign w:val="baseline"/>
        </w:rPr>
        <w:t> </w:t>
      </w:r>
      <w:r>
        <w:rPr>
          <w:rFonts w:ascii="Times New Roman"/>
          <w:i/>
          <w:sz w:val="19"/>
          <w:vertAlign w:val="baseline"/>
        </w:rPr>
        <w:t>Trim</w:t>
      </w:r>
      <w:r>
        <w:rPr>
          <w:rFonts w:ascii="Times New Roman"/>
          <w:i/>
          <w:spacing w:val="-12"/>
          <w:sz w:val="19"/>
          <w:vertAlign w:val="baseline"/>
        </w:rPr>
        <w:t> </w:t>
      </w:r>
      <w:r>
        <w:rPr>
          <w:rFonts w:ascii="Times New Roman"/>
          <w:i/>
          <w:sz w:val="19"/>
          <w:vertAlign w:val="baseline"/>
        </w:rPr>
        <w:t>Joint</w:t>
      </w:r>
      <w:r>
        <w:rPr>
          <w:rFonts w:ascii="Times New Roman"/>
          <w:i/>
          <w:spacing w:val="-3"/>
          <w:sz w:val="19"/>
          <w:vertAlign w:val="baseline"/>
        </w:rPr>
        <w:t> </w:t>
      </w:r>
      <w:r>
        <w:rPr>
          <w:rFonts w:ascii="Times New Roman"/>
          <w:i/>
          <w:sz w:val="19"/>
          <w:vertAlign w:val="baseline"/>
        </w:rPr>
        <w:t>District</w:t>
      </w:r>
      <w:r>
        <w:rPr>
          <w:rFonts w:ascii="Times New Roman"/>
          <w:i/>
          <w:spacing w:val="-12"/>
          <w:sz w:val="19"/>
          <w:vertAlign w:val="baseline"/>
        </w:rPr>
        <w:t> </w:t>
      </w:r>
      <w:r>
        <w:rPr>
          <w:rFonts w:ascii="Times New Roman"/>
          <w:i/>
          <w:sz w:val="19"/>
          <w:vertAlign w:val="baseline"/>
        </w:rPr>
        <w:t>School</w:t>
      </w:r>
      <w:r>
        <w:rPr>
          <w:rFonts w:ascii="Times New Roman"/>
          <w:i/>
          <w:spacing w:val="-7"/>
          <w:sz w:val="19"/>
          <w:vertAlign w:val="baseline"/>
        </w:rPr>
        <w:t> </w:t>
      </w:r>
      <w:r>
        <w:rPr>
          <w:rFonts w:ascii="Times New Roman"/>
          <w:i/>
          <w:sz w:val="19"/>
          <w:vertAlign w:val="baseline"/>
        </w:rPr>
        <w:t>Board</w:t>
      </w:r>
      <w:r>
        <w:rPr>
          <w:rFonts w:ascii="Times New Roman"/>
          <w:i/>
          <w:spacing w:val="-10"/>
          <w:sz w:val="19"/>
          <w:vertAlign w:val="baseline"/>
        </w:rPr>
        <w:t> </w:t>
      </w:r>
      <w:r>
        <w:rPr>
          <w:rFonts w:ascii="Times New Roman"/>
          <w:i/>
          <w:sz w:val="19"/>
          <w:vertAlign w:val="baseline"/>
        </w:rPr>
        <w:t>of</w:t>
      </w:r>
      <w:r>
        <w:rPr>
          <w:rFonts w:ascii="Times New Roman"/>
          <w:i/>
          <w:spacing w:val="-7"/>
          <w:sz w:val="19"/>
          <w:vertAlign w:val="baseline"/>
        </w:rPr>
        <w:t> </w:t>
      </w:r>
      <w:r>
        <w:rPr>
          <w:rFonts w:ascii="Times New Roman"/>
          <w:sz w:val="19"/>
          <w:vertAlign w:val="baseline"/>
        </w:rPr>
        <w:t>Management</w:t>
      </w:r>
      <w:r>
        <w:rPr>
          <w:rFonts w:ascii="Times New Roman"/>
          <w:spacing w:val="-8"/>
          <w:sz w:val="19"/>
          <w:vertAlign w:val="baseline"/>
        </w:rPr>
        <w:t> </w:t>
      </w:r>
      <w:r>
        <w:rPr>
          <w:rFonts w:ascii="Times New Roman"/>
          <w:sz w:val="19"/>
          <w:vertAlign w:val="baseline"/>
        </w:rPr>
        <w:t>v.</w:t>
      </w:r>
      <w:r>
        <w:rPr>
          <w:rFonts w:ascii="Times New Roman"/>
          <w:spacing w:val="-7"/>
          <w:sz w:val="19"/>
          <w:vertAlign w:val="baseline"/>
        </w:rPr>
        <w:t> </w:t>
      </w:r>
      <w:r>
        <w:rPr>
          <w:rFonts w:ascii="Times New Roman"/>
          <w:sz w:val="19"/>
          <w:vertAlign w:val="baseline"/>
        </w:rPr>
        <w:t>Kelly</w:t>
      </w:r>
      <w:r>
        <w:rPr>
          <w:rFonts w:ascii="Times New Roman"/>
          <w:spacing w:val="-12"/>
          <w:sz w:val="19"/>
          <w:vertAlign w:val="baseline"/>
        </w:rPr>
        <w:t> </w:t>
      </w:r>
      <w:r>
        <w:rPr>
          <w:rFonts w:ascii="Times New Roman"/>
          <w:sz w:val="19"/>
          <w:vertAlign w:val="baseline"/>
        </w:rPr>
        <w:t>(1914)</w:t>
      </w:r>
      <w:r>
        <w:rPr>
          <w:rFonts w:ascii="Times New Roman"/>
          <w:spacing w:val="-4"/>
          <w:sz w:val="19"/>
          <w:vertAlign w:val="baseline"/>
        </w:rPr>
        <w:t> </w:t>
      </w:r>
      <w:r>
        <w:rPr>
          <w:rFonts w:ascii="Times New Roman"/>
          <w:sz w:val="19"/>
          <w:vertAlign w:val="baseline"/>
        </w:rPr>
        <w:t>AC</w:t>
      </w:r>
      <w:r>
        <w:rPr>
          <w:rFonts w:ascii="Times New Roman"/>
          <w:spacing w:val="-8"/>
          <w:sz w:val="19"/>
          <w:vertAlign w:val="baseline"/>
        </w:rPr>
        <w:t> </w:t>
      </w:r>
      <w:r>
        <w:rPr>
          <w:rFonts w:ascii="Times New Roman"/>
          <w:spacing w:val="-5"/>
          <w:sz w:val="19"/>
          <w:vertAlign w:val="baseline"/>
        </w:rPr>
        <w:t>667</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74"/>
        <w:jc w:val="both"/>
      </w:pPr>
      <w:r>
        <w:rPr/>
        <w:t>employees. He was attacked by armed robbers and killed. The court held that the incident arose out of the cashier’s employment.</w:t>
      </w:r>
      <w:r>
        <w:rPr>
          <w:vertAlign w:val="superscript"/>
        </w:rPr>
        <w:t>169</w:t>
      </w:r>
    </w:p>
    <w:p>
      <w:pPr>
        <w:pStyle w:val="BodyText"/>
        <w:spacing w:before="5"/>
      </w:pPr>
    </w:p>
    <w:p>
      <w:pPr>
        <w:pStyle w:val="BodyText"/>
        <w:spacing w:line="489" w:lineRule="auto"/>
        <w:ind w:left="864" w:right="563"/>
        <w:jc w:val="both"/>
      </w:pPr>
      <w:r>
        <w:rPr/>
        <w:t>On the other hand, the phrase “in the course of employment”</w:t>
      </w:r>
      <w:r>
        <w:rPr>
          <w:spacing w:val="31"/>
        </w:rPr>
        <w:t> </w:t>
      </w:r>
      <w:r>
        <w:rPr/>
        <w:t>means</w:t>
      </w:r>
      <w:r>
        <w:rPr>
          <w:spacing w:val="29"/>
        </w:rPr>
        <w:t> </w:t>
      </w:r>
      <w:r>
        <w:rPr/>
        <w:t>that an injured employee is engaged to do certain things at certain times and in certain</w:t>
      </w:r>
      <w:r>
        <w:rPr>
          <w:spacing w:val="25"/>
        </w:rPr>
        <w:t> </w:t>
      </w:r>
      <w:r>
        <w:rPr/>
        <w:t>place.</w:t>
      </w:r>
      <w:r>
        <w:rPr>
          <w:vertAlign w:val="superscript"/>
        </w:rPr>
        <w:t>170</w:t>
      </w:r>
      <w:r>
        <w:rPr>
          <w:spacing w:val="22"/>
          <w:vertAlign w:val="baseline"/>
        </w:rPr>
        <w:t> </w:t>
      </w:r>
      <w:r>
        <w:rPr>
          <w:vertAlign w:val="baseline"/>
        </w:rPr>
        <w:t>If</w:t>
      </w:r>
      <w:r>
        <w:rPr>
          <w:spacing w:val="23"/>
          <w:vertAlign w:val="baseline"/>
        </w:rPr>
        <w:t> </w:t>
      </w:r>
      <w:r>
        <w:rPr>
          <w:vertAlign w:val="baseline"/>
        </w:rPr>
        <w:t>injury</w:t>
      </w:r>
      <w:r>
        <w:rPr>
          <w:spacing w:val="25"/>
          <w:vertAlign w:val="baseline"/>
        </w:rPr>
        <w:t> </w:t>
      </w:r>
      <w:r>
        <w:rPr>
          <w:vertAlign w:val="baseline"/>
        </w:rPr>
        <w:t>befalls</w:t>
      </w:r>
      <w:r>
        <w:rPr>
          <w:spacing w:val="22"/>
          <w:vertAlign w:val="baseline"/>
        </w:rPr>
        <w:t> </w:t>
      </w:r>
      <w:r>
        <w:rPr>
          <w:vertAlign w:val="baseline"/>
        </w:rPr>
        <w:t>him,</w:t>
      </w:r>
      <w:r>
        <w:rPr>
          <w:spacing w:val="22"/>
          <w:vertAlign w:val="baseline"/>
        </w:rPr>
        <w:t> </w:t>
      </w:r>
      <w:r>
        <w:rPr>
          <w:vertAlign w:val="baseline"/>
        </w:rPr>
        <w:t>the first inquiry is; was he doing</w:t>
      </w:r>
      <w:r>
        <w:rPr>
          <w:spacing w:val="21"/>
          <w:vertAlign w:val="baseline"/>
        </w:rPr>
        <w:t> </w:t>
      </w:r>
      <w:r>
        <w:rPr>
          <w:vertAlign w:val="baseline"/>
        </w:rPr>
        <w:t>any of</w:t>
      </w:r>
      <w:r>
        <w:rPr>
          <w:spacing w:val="40"/>
          <w:vertAlign w:val="baseline"/>
        </w:rPr>
        <w:t> </w:t>
      </w:r>
      <w:r>
        <w:rPr>
          <w:vertAlign w:val="baseline"/>
        </w:rPr>
        <w:t>the</w:t>
      </w:r>
      <w:r>
        <w:rPr>
          <w:spacing w:val="40"/>
          <w:vertAlign w:val="baseline"/>
        </w:rPr>
        <w:t> </w:t>
      </w:r>
      <w:r>
        <w:rPr>
          <w:vertAlign w:val="baseline"/>
        </w:rPr>
        <w:t>things</w:t>
      </w:r>
      <w:r>
        <w:rPr>
          <w:spacing w:val="40"/>
          <w:vertAlign w:val="baseline"/>
        </w:rPr>
        <w:t> </w:t>
      </w:r>
      <w:r>
        <w:rPr>
          <w:vertAlign w:val="baseline"/>
        </w:rPr>
        <w:t>which</w:t>
      </w:r>
      <w:r>
        <w:rPr>
          <w:spacing w:val="40"/>
          <w:vertAlign w:val="baseline"/>
        </w:rPr>
        <w:t> </w:t>
      </w:r>
      <w:r>
        <w:rPr>
          <w:vertAlign w:val="baseline"/>
        </w:rPr>
        <w:t>he</w:t>
      </w:r>
      <w:r>
        <w:rPr>
          <w:spacing w:val="40"/>
          <w:vertAlign w:val="baseline"/>
        </w:rPr>
        <w:t> </w:t>
      </w:r>
      <w:r>
        <w:rPr>
          <w:vertAlign w:val="baseline"/>
        </w:rPr>
        <w:t>might</w:t>
      </w:r>
      <w:r>
        <w:rPr>
          <w:spacing w:val="40"/>
          <w:vertAlign w:val="baseline"/>
        </w:rPr>
        <w:t> </w:t>
      </w:r>
      <w:r>
        <w:rPr>
          <w:vertAlign w:val="baseline"/>
        </w:rPr>
        <w:t>reasonable</w:t>
      </w:r>
      <w:r>
        <w:rPr>
          <w:spacing w:val="40"/>
          <w:vertAlign w:val="baseline"/>
        </w:rPr>
        <w:t> </w:t>
      </w:r>
      <w:r>
        <w:rPr>
          <w:vertAlign w:val="baseline"/>
        </w:rPr>
        <w:t>do</w:t>
      </w:r>
      <w:r>
        <w:rPr>
          <w:spacing w:val="40"/>
          <w:vertAlign w:val="baseline"/>
        </w:rPr>
        <w:t> </w:t>
      </w:r>
      <w:r>
        <w:rPr>
          <w:vertAlign w:val="baseline"/>
        </w:rPr>
        <w:t>while</w:t>
      </w:r>
      <w:r>
        <w:rPr>
          <w:spacing w:val="40"/>
          <w:vertAlign w:val="baseline"/>
        </w:rPr>
        <w:t> </w:t>
      </w:r>
      <w:r>
        <w:rPr>
          <w:vertAlign w:val="baseline"/>
        </w:rPr>
        <w:t>so</w:t>
      </w:r>
      <w:r>
        <w:rPr>
          <w:spacing w:val="40"/>
          <w:vertAlign w:val="baseline"/>
        </w:rPr>
        <w:t> </w:t>
      </w:r>
      <w:r>
        <w:rPr>
          <w:vertAlign w:val="baseline"/>
        </w:rPr>
        <w:t>employed?</w:t>
      </w:r>
      <w:r>
        <w:rPr>
          <w:vertAlign w:val="superscript"/>
        </w:rPr>
        <w:t>171</w:t>
      </w:r>
      <w:r>
        <w:rPr>
          <w:spacing w:val="40"/>
          <w:vertAlign w:val="baseline"/>
        </w:rPr>
        <w:t> </w:t>
      </w:r>
      <w:r>
        <w:rPr>
          <w:vertAlign w:val="baseline"/>
        </w:rPr>
        <w:t>The next question is, did the accident occur at a place where he would reasonably be, while in the</w:t>
      </w:r>
      <w:r>
        <w:rPr>
          <w:spacing w:val="33"/>
          <w:vertAlign w:val="baseline"/>
        </w:rPr>
        <w:t> </w:t>
      </w:r>
      <w:r>
        <w:rPr>
          <w:vertAlign w:val="baseline"/>
        </w:rPr>
        <w:t>employment?</w:t>
      </w:r>
      <w:r>
        <w:rPr>
          <w:vertAlign w:val="superscript"/>
        </w:rPr>
        <w:t>172</w:t>
      </w:r>
      <w:r>
        <w:rPr>
          <w:spacing w:val="32"/>
          <w:vertAlign w:val="baseline"/>
        </w:rPr>
        <w:t> </w:t>
      </w:r>
      <w:r>
        <w:rPr>
          <w:vertAlign w:val="baseline"/>
        </w:rPr>
        <w:t>Thus,</w:t>
      </w:r>
      <w:r>
        <w:rPr>
          <w:spacing w:val="32"/>
          <w:vertAlign w:val="baseline"/>
        </w:rPr>
        <w:t> </w:t>
      </w:r>
      <w:r>
        <w:rPr>
          <w:vertAlign w:val="baseline"/>
        </w:rPr>
        <w:t>an injury befalls a man “in the course of his employment” if it occurs while he is doing what a man so employed may reasonably do within a time during which he is employed and at a place where he may reasonable be during that time to do a</w:t>
      </w:r>
      <w:r>
        <w:rPr>
          <w:spacing w:val="40"/>
          <w:vertAlign w:val="baseline"/>
        </w:rPr>
        <w:t> </w:t>
      </w:r>
      <w:r>
        <w:rPr>
          <w:spacing w:val="-2"/>
          <w:vertAlign w:val="baseline"/>
        </w:rPr>
        <w:t>thing.</w:t>
      </w:r>
      <w:r>
        <w:rPr>
          <w:spacing w:val="-2"/>
          <w:vertAlign w:val="superscript"/>
        </w:rPr>
        <w:t>173</w:t>
      </w:r>
    </w:p>
    <w:p>
      <w:pPr>
        <w:pStyle w:val="BodyText"/>
        <w:spacing w:before="21"/>
      </w:pPr>
    </w:p>
    <w:p>
      <w:pPr>
        <w:pStyle w:val="BodyText"/>
        <w:spacing w:line="489" w:lineRule="auto"/>
        <w:ind w:left="864" w:right="567"/>
        <w:jc w:val="both"/>
      </w:pPr>
      <w:r>
        <w:rPr/>
        <w:t>Also, where an employee is already in his employer’s premises but he has not reached</w:t>
      </w:r>
      <w:r>
        <w:rPr>
          <w:spacing w:val="40"/>
        </w:rPr>
        <w:t> </w:t>
      </w:r>
      <w:r>
        <w:rPr/>
        <w:t>his</w:t>
      </w:r>
      <w:r>
        <w:rPr>
          <w:spacing w:val="40"/>
        </w:rPr>
        <w:t> </w:t>
      </w:r>
      <w:r>
        <w:rPr/>
        <w:t>actual place</w:t>
      </w:r>
      <w:r>
        <w:rPr>
          <w:spacing w:val="40"/>
        </w:rPr>
        <w:t> </w:t>
      </w:r>
      <w:r>
        <w:rPr/>
        <w:t>of</w:t>
      </w:r>
      <w:r>
        <w:rPr>
          <w:spacing w:val="40"/>
        </w:rPr>
        <w:t> </w:t>
      </w:r>
      <w:r>
        <w:rPr/>
        <w:t>work,</w:t>
      </w:r>
      <w:r>
        <w:rPr>
          <w:spacing w:val="40"/>
        </w:rPr>
        <w:t> </w:t>
      </w:r>
      <w:r>
        <w:rPr/>
        <w:t>he</w:t>
      </w:r>
      <w:r>
        <w:rPr>
          <w:spacing w:val="40"/>
        </w:rPr>
        <w:t> </w:t>
      </w:r>
      <w:r>
        <w:rPr/>
        <w:t>may</w:t>
      </w:r>
      <w:r>
        <w:rPr>
          <w:spacing w:val="40"/>
        </w:rPr>
        <w:t> </w:t>
      </w:r>
      <w:r>
        <w:rPr/>
        <w:t>yet be</w:t>
      </w:r>
      <w:r>
        <w:rPr>
          <w:spacing w:val="40"/>
        </w:rPr>
        <w:t> </w:t>
      </w:r>
      <w:r>
        <w:rPr/>
        <w:t>held</w:t>
      </w:r>
      <w:r>
        <w:rPr>
          <w:spacing w:val="40"/>
        </w:rPr>
        <w:t> </w:t>
      </w:r>
      <w:r>
        <w:rPr/>
        <w:t>to</w:t>
      </w:r>
      <w:r>
        <w:rPr>
          <w:spacing w:val="40"/>
        </w:rPr>
        <w:t> </w:t>
      </w:r>
      <w:r>
        <w:rPr/>
        <w:t>be</w:t>
      </w:r>
      <w:r>
        <w:rPr>
          <w:spacing w:val="40"/>
        </w:rPr>
        <w:t> </w:t>
      </w:r>
      <w:r>
        <w:rPr/>
        <w:t>in</w:t>
      </w:r>
      <w:r>
        <w:rPr>
          <w:spacing w:val="40"/>
        </w:rPr>
        <w:t> </w:t>
      </w:r>
      <w:r>
        <w:rPr/>
        <w:t>the course of his employment.</w:t>
      </w:r>
      <w:r>
        <w:rPr>
          <w:vertAlign w:val="superscript"/>
        </w:rPr>
        <w:t>174</w:t>
      </w:r>
      <w:r>
        <w:rPr>
          <w:vertAlign w:val="baseline"/>
        </w:rPr>
        <w:t> Similarly, employee who gets to the</w:t>
      </w:r>
      <w:r>
        <w:rPr>
          <w:spacing w:val="80"/>
          <w:vertAlign w:val="baseline"/>
        </w:rPr>
        <w:t> </w:t>
      </w:r>
      <w:r>
        <w:rPr>
          <w:vertAlign w:val="baseline"/>
        </w:rPr>
        <w:t>employer’s premises earlier than the time of commencement of work may</w:t>
      </w:r>
      <w:r>
        <w:rPr>
          <w:spacing w:val="40"/>
          <w:vertAlign w:val="baseline"/>
        </w:rPr>
        <w:t> </w:t>
      </w:r>
      <w:r>
        <w:rPr>
          <w:vertAlign w:val="baseline"/>
        </w:rPr>
        <w:t>be in the course of his employment.</w:t>
      </w:r>
      <w:r>
        <w:rPr>
          <w:vertAlign w:val="superscript"/>
        </w:rPr>
        <w:t>175</w:t>
      </w:r>
      <w:r>
        <w:rPr>
          <w:vertAlign w:val="baseline"/>
        </w:rPr>
        <w:t> An employee arrived his place of work</w:t>
      </w:r>
      <w:r>
        <w:rPr>
          <w:spacing w:val="31"/>
          <w:vertAlign w:val="baseline"/>
        </w:rPr>
        <w:t> </w:t>
      </w:r>
      <w:r>
        <w:rPr>
          <w:vertAlign w:val="baseline"/>
        </w:rPr>
        <w:t>twenty</w:t>
      </w:r>
      <w:r>
        <w:rPr>
          <w:spacing w:val="31"/>
          <w:vertAlign w:val="baseline"/>
        </w:rPr>
        <w:t> </w:t>
      </w:r>
      <w:r>
        <w:rPr>
          <w:vertAlign w:val="baseline"/>
        </w:rPr>
        <w:t>minutes</w:t>
      </w:r>
      <w:r>
        <w:rPr>
          <w:spacing w:val="33"/>
          <w:vertAlign w:val="baseline"/>
        </w:rPr>
        <w:t> </w:t>
      </w:r>
      <w:r>
        <w:rPr>
          <w:vertAlign w:val="baseline"/>
        </w:rPr>
        <w:t>earlier.</w:t>
      </w:r>
      <w:r>
        <w:rPr>
          <w:spacing w:val="33"/>
          <w:vertAlign w:val="baseline"/>
        </w:rPr>
        <w:t> </w:t>
      </w:r>
      <w:r>
        <w:rPr>
          <w:vertAlign w:val="baseline"/>
        </w:rPr>
        <w:t>When</w:t>
      </w:r>
      <w:r>
        <w:rPr>
          <w:spacing w:val="31"/>
          <w:vertAlign w:val="baseline"/>
        </w:rPr>
        <w:t> </w:t>
      </w:r>
      <w:r>
        <w:rPr>
          <w:vertAlign w:val="baseline"/>
        </w:rPr>
        <w:t>he</w:t>
      </w:r>
      <w:r>
        <w:rPr>
          <w:spacing w:val="29"/>
          <w:vertAlign w:val="baseline"/>
        </w:rPr>
        <w:t> </w:t>
      </w:r>
      <w:r>
        <w:rPr>
          <w:vertAlign w:val="baseline"/>
        </w:rPr>
        <w:t>arrived</w:t>
      </w:r>
      <w:r>
        <w:rPr>
          <w:spacing w:val="32"/>
          <w:vertAlign w:val="baseline"/>
        </w:rPr>
        <w:t> </w:t>
      </w:r>
      <w:r>
        <w:rPr>
          <w:vertAlign w:val="baseline"/>
        </w:rPr>
        <w:t>work</w:t>
      </w:r>
      <w:r>
        <w:rPr>
          <w:spacing w:val="31"/>
          <w:vertAlign w:val="baseline"/>
        </w:rPr>
        <w:t> </w:t>
      </w:r>
      <w:r>
        <w:rPr>
          <w:vertAlign w:val="baseline"/>
        </w:rPr>
        <w:t>early</w:t>
      </w:r>
      <w:r>
        <w:rPr>
          <w:spacing w:val="31"/>
          <w:vertAlign w:val="baseline"/>
        </w:rPr>
        <w:t> </w:t>
      </w:r>
      <w:r>
        <w:rPr>
          <w:vertAlign w:val="baseline"/>
        </w:rPr>
        <w:t>in</w:t>
      </w:r>
      <w:r>
        <w:rPr>
          <w:spacing w:val="32"/>
          <w:vertAlign w:val="baseline"/>
        </w:rPr>
        <w:t> </w:t>
      </w:r>
      <w:r>
        <w:rPr>
          <w:vertAlign w:val="baseline"/>
        </w:rPr>
        <w:t>the</w:t>
      </w:r>
      <w:r>
        <w:rPr>
          <w:spacing w:val="34"/>
          <w:vertAlign w:val="baseline"/>
        </w:rPr>
        <w:t> </w:t>
      </w:r>
      <w:r>
        <w:rPr>
          <w:vertAlign w:val="baseline"/>
        </w:rPr>
        <w:t>morning, he</w:t>
      </w:r>
      <w:r>
        <w:rPr>
          <w:spacing w:val="45"/>
          <w:vertAlign w:val="baseline"/>
        </w:rPr>
        <w:t> </w:t>
      </w:r>
      <w:r>
        <w:rPr>
          <w:vertAlign w:val="baseline"/>
        </w:rPr>
        <w:t>fell</w:t>
      </w:r>
      <w:r>
        <w:rPr>
          <w:spacing w:val="44"/>
          <w:vertAlign w:val="baseline"/>
        </w:rPr>
        <w:t> </w:t>
      </w:r>
      <w:r>
        <w:rPr>
          <w:vertAlign w:val="baseline"/>
        </w:rPr>
        <w:t>into</w:t>
      </w:r>
      <w:r>
        <w:rPr>
          <w:spacing w:val="46"/>
          <w:vertAlign w:val="baseline"/>
        </w:rPr>
        <w:t> </w:t>
      </w:r>
      <w:r>
        <w:rPr>
          <w:vertAlign w:val="baseline"/>
        </w:rPr>
        <w:t>an</w:t>
      </w:r>
      <w:r>
        <w:rPr>
          <w:spacing w:val="53"/>
          <w:vertAlign w:val="baseline"/>
        </w:rPr>
        <w:t> </w:t>
      </w:r>
      <w:r>
        <w:rPr>
          <w:vertAlign w:val="baseline"/>
        </w:rPr>
        <w:t>excavation</w:t>
      </w:r>
      <w:r>
        <w:rPr>
          <w:spacing w:val="49"/>
          <w:vertAlign w:val="baseline"/>
        </w:rPr>
        <w:t> </w:t>
      </w:r>
      <w:r>
        <w:rPr>
          <w:vertAlign w:val="baseline"/>
        </w:rPr>
        <w:t>and</w:t>
      </w:r>
      <w:r>
        <w:rPr>
          <w:spacing w:val="50"/>
          <w:vertAlign w:val="baseline"/>
        </w:rPr>
        <w:t> </w:t>
      </w:r>
      <w:r>
        <w:rPr>
          <w:vertAlign w:val="baseline"/>
        </w:rPr>
        <w:t>suffered</w:t>
      </w:r>
      <w:r>
        <w:rPr>
          <w:spacing w:val="49"/>
          <w:vertAlign w:val="baseline"/>
        </w:rPr>
        <w:t> </w:t>
      </w:r>
      <w:r>
        <w:rPr>
          <w:vertAlign w:val="baseline"/>
        </w:rPr>
        <w:t>an</w:t>
      </w:r>
      <w:r>
        <w:rPr>
          <w:spacing w:val="52"/>
          <w:vertAlign w:val="baseline"/>
        </w:rPr>
        <w:t> </w:t>
      </w:r>
      <w:r>
        <w:rPr>
          <w:vertAlign w:val="baseline"/>
        </w:rPr>
        <w:t>injury</w:t>
      </w:r>
      <w:r>
        <w:rPr>
          <w:spacing w:val="48"/>
          <w:vertAlign w:val="baseline"/>
        </w:rPr>
        <w:t> </w:t>
      </w:r>
      <w:r>
        <w:rPr>
          <w:vertAlign w:val="baseline"/>
        </w:rPr>
        <w:t>as</w:t>
      </w:r>
      <w:r>
        <w:rPr>
          <w:spacing w:val="46"/>
          <w:vertAlign w:val="baseline"/>
        </w:rPr>
        <w:t> </w:t>
      </w:r>
      <w:r>
        <w:rPr>
          <w:vertAlign w:val="baseline"/>
        </w:rPr>
        <w:t>he</w:t>
      </w:r>
      <w:r>
        <w:rPr>
          <w:spacing w:val="45"/>
          <w:vertAlign w:val="baseline"/>
        </w:rPr>
        <w:t> </w:t>
      </w:r>
      <w:r>
        <w:rPr>
          <w:vertAlign w:val="baseline"/>
        </w:rPr>
        <w:t>was</w:t>
      </w:r>
      <w:r>
        <w:rPr>
          <w:spacing w:val="46"/>
          <w:vertAlign w:val="baseline"/>
        </w:rPr>
        <w:t> </w:t>
      </w:r>
      <w:r>
        <w:rPr>
          <w:vertAlign w:val="baseline"/>
        </w:rPr>
        <w:t>going</w:t>
      </w:r>
      <w:r>
        <w:rPr>
          <w:spacing w:val="49"/>
          <w:vertAlign w:val="baseline"/>
        </w:rPr>
        <w:t> </w:t>
      </w:r>
      <w:r>
        <w:rPr>
          <w:vertAlign w:val="baseline"/>
        </w:rPr>
        <w:t>to</w:t>
      </w:r>
      <w:r>
        <w:rPr>
          <w:spacing w:val="52"/>
          <w:vertAlign w:val="baseline"/>
        </w:rPr>
        <w:t> </w:t>
      </w:r>
      <w:r>
        <w:rPr>
          <w:spacing w:val="-10"/>
          <w:vertAlign w:val="baseline"/>
        </w:rPr>
        <w:t>a</w:t>
      </w:r>
    </w:p>
    <w:p>
      <w:pPr>
        <w:pStyle w:val="BodyText"/>
        <w:spacing w:before="11"/>
        <w:rPr>
          <w:sz w:val="9"/>
        </w:rPr>
      </w:pPr>
      <w:r>
        <w:rPr/>
        <mc:AlternateContent>
          <mc:Choice Requires="wps">
            <w:drawing>
              <wp:anchor distT="0" distB="0" distL="0" distR="0" allowOverlap="1" layoutInCell="1" locked="0" behindDoc="1" simplePos="0" relativeHeight="487621632">
                <wp:simplePos x="0" y="0"/>
                <wp:positionH relativeFrom="page">
                  <wp:posOffset>1185672</wp:posOffset>
                </wp:positionH>
                <wp:positionV relativeFrom="paragraph">
                  <wp:posOffset>91645</wp:posOffset>
                </wp:positionV>
                <wp:extent cx="1719580" cy="6350"/>
                <wp:effectExtent l="0" t="0" r="0" b="0"/>
                <wp:wrapTopAndBottom/>
                <wp:docPr id="78" name="Graphic 78"/>
                <wp:cNvGraphicFramePr>
                  <a:graphicFrameLocks/>
                </wp:cNvGraphicFramePr>
                <a:graphic>
                  <a:graphicData uri="http://schemas.microsoft.com/office/word/2010/wordprocessingShape">
                    <wps:wsp>
                      <wps:cNvPr id="78" name="Graphic 7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7.216172pt;width:135.360pt;height:.48pt;mso-position-horizontal-relative:page;mso-position-vertical-relative:paragraph;z-index:-15694848;mso-wrap-distance-left:0;mso-wrap-distance-right:0" id="docshape78" filled="true" fillcolor="#000000" stroked="false">
                <v:fill type="solid"/>
                <w10:wrap type="topAndBottom"/>
              </v:rect>
            </w:pict>
          </mc:Fallback>
        </mc:AlternateContent>
      </w:r>
    </w:p>
    <w:p>
      <w:pPr>
        <w:spacing w:before="96"/>
        <w:ind w:left="187" w:right="0" w:firstLine="0"/>
        <w:jc w:val="left"/>
        <w:rPr>
          <w:rFonts w:ascii="Times New Roman"/>
          <w:sz w:val="19"/>
        </w:rPr>
      </w:pPr>
      <w:r>
        <w:rPr>
          <w:rFonts w:ascii="Times New Roman"/>
          <w:sz w:val="19"/>
          <w:vertAlign w:val="superscript"/>
        </w:rPr>
        <w:t>169</w:t>
      </w:r>
      <w:r>
        <w:rPr>
          <w:rFonts w:ascii="Times New Roman"/>
          <w:spacing w:val="-1"/>
          <w:sz w:val="19"/>
          <w:vertAlign w:val="baseline"/>
        </w:rPr>
        <w:t> </w:t>
      </w:r>
      <w:r>
        <w:rPr>
          <w:rFonts w:ascii="Times New Roman"/>
          <w:i/>
          <w:sz w:val="19"/>
          <w:vertAlign w:val="baseline"/>
        </w:rPr>
        <w:t>Nisbet</w:t>
      </w:r>
      <w:r>
        <w:rPr>
          <w:rFonts w:ascii="Times New Roman"/>
          <w:i/>
          <w:spacing w:val="-5"/>
          <w:sz w:val="19"/>
          <w:vertAlign w:val="baseline"/>
        </w:rPr>
        <w:t> </w:t>
      </w:r>
      <w:r>
        <w:rPr>
          <w:rFonts w:ascii="Times New Roman"/>
          <w:i/>
          <w:sz w:val="19"/>
          <w:vertAlign w:val="baseline"/>
        </w:rPr>
        <w:t>v.</w:t>
      </w:r>
      <w:r>
        <w:rPr>
          <w:rFonts w:ascii="Times New Roman"/>
          <w:i/>
          <w:spacing w:val="-9"/>
          <w:sz w:val="19"/>
          <w:vertAlign w:val="baseline"/>
        </w:rPr>
        <w:t> </w:t>
      </w:r>
      <w:r>
        <w:rPr>
          <w:rFonts w:ascii="Times New Roman"/>
          <w:i/>
          <w:sz w:val="19"/>
          <w:vertAlign w:val="baseline"/>
        </w:rPr>
        <w:t>Bayne</w:t>
      </w:r>
      <w:r>
        <w:rPr>
          <w:rFonts w:ascii="Times New Roman"/>
          <w:i/>
          <w:spacing w:val="-3"/>
          <w:sz w:val="19"/>
          <w:vertAlign w:val="baseline"/>
        </w:rPr>
        <w:t> </w:t>
      </w:r>
      <w:r>
        <w:rPr>
          <w:rFonts w:ascii="Times New Roman"/>
          <w:i/>
          <w:sz w:val="19"/>
          <w:vertAlign w:val="baseline"/>
        </w:rPr>
        <w:t>&amp;</w:t>
      </w:r>
      <w:r>
        <w:rPr>
          <w:rFonts w:ascii="Times New Roman"/>
          <w:i/>
          <w:spacing w:val="-11"/>
          <w:sz w:val="19"/>
          <w:vertAlign w:val="baseline"/>
        </w:rPr>
        <w:t> </w:t>
      </w:r>
      <w:r>
        <w:rPr>
          <w:rFonts w:ascii="Times New Roman"/>
          <w:i/>
          <w:sz w:val="19"/>
          <w:vertAlign w:val="baseline"/>
        </w:rPr>
        <w:t>Burne</w:t>
      </w:r>
      <w:r>
        <w:rPr>
          <w:rFonts w:ascii="Times New Roman"/>
          <w:i/>
          <w:spacing w:val="-8"/>
          <w:sz w:val="19"/>
          <w:vertAlign w:val="baseline"/>
        </w:rPr>
        <w:t> </w:t>
      </w:r>
      <w:r>
        <w:rPr>
          <w:rFonts w:ascii="Times New Roman"/>
          <w:sz w:val="19"/>
          <w:vertAlign w:val="baseline"/>
        </w:rPr>
        <w:t>(1910)</w:t>
      </w:r>
      <w:r>
        <w:rPr>
          <w:rFonts w:ascii="Times New Roman"/>
          <w:spacing w:val="-6"/>
          <w:sz w:val="19"/>
          <w:vertAlign w:val="baseline"/>
        </w:rPr>
        <w:t> </w:t>
      </w:r>
      <w:r>
        <w:rPr>
          <w:rFonts w:ascii="Times New Roman"/>
          <w:sz w:val="19"/>
          <w:vertAlign w:val="baseline"/>
        </w:rPr>
        <w:t>2KB</w:t>
      </w:r>
      <w:r>
        <w:rPr>
          <w:rFonts w:ascii="Times New Roman"/>
          <w:spacing w:val="-7"/>
          <w:sz w:val="19"/>
          <w:vertAlign w:val="baseline"/>
        </w:rPr>
        <w:t> </w:t>
      </w:r>
      <w:r>
        <w:rPr>
          <w:rFonts w:ascii="Times New Roman"/>
          <w:spacing w:val="-5"/>
          <w:sz w:val="19"/>
          <w:vertAlign w:val="baseline"/>
        </w:rPr>
        <w:t>689</w:t>
      </w:r>
    </w:p>
    <w:p>
      <w:pPr>
        <w:spacing w:line="217" w:lineRule="exact" w:before="2"/>
        <w:ind w:left="187" w:right="0" w:firstLine="0"/>
        <w:jc w:val="left"/>
        <w:rPr>
          <w:rFonts w:ascii="Times New Roman"/>
          <w:sz w:val="19"/>
        </w:rPr>
      </w:pPr>
      <w:r>
        <w:rPr>
          <w:rFonts w:ascii="Times New Roman"/>
          <w:sz w:val="19"/>
          <w:vertAlign w:val="superscript"/>
        </w:rPr>
        <w:t>170</w:t>
      </w:r>
      <w:r>
        <w:rPr>
          <w:rFonts w:ascii="Times New Roman"/>
          <w:spacing w:val="-5"/>
          <w:sz w:val="19"/>
          <w:vertAlign w:val="baseline"/>
        </w:rPr>
        <w:t> </w:t>
      </w:r>
      <w:r>
        <w:rPr>
          <w:rFonts w:ascii="Times New Roman"/>
          <w:i/>
          <w:sz w:val="19"/>
          <w:vertAlign w:val="baseline"/>
        </w:rPr>
        <w:t>Moor</w:t>
      </w:r>
      <w:r>
        <w:rPr>
          <w:rFonts w:ascii="Times New Roman"/>
          <w:i/>
          <w:spacing w:val="-9"/>
          <w:sz w:val="19"/>
          <w:vertAlign w:val="baseline"/>
        </w:rPr>
        <w:t> </w:t>
      </w:r>
      <w:r>
        <w:rPr>
          <w:rFonts w:ascii="Times New Roman"/>
          <w:i/>
          <w:sz w:val="19"/>
          <w:vertAlign w:val="baseline"/>
        </w:rPr>
        <w:t>v.</w:t>
      </w:r>
      <w:r>
        <w:rPr>
          <w:rFonts w:ascii="Times New Roman"/>
          <w:i/>
          <w:spacing w:val="-11"/>
          <w:sz w:val="19"/>
          <w:vertAlign w:val="baseline"/>
        </w:rPr>
        <w:t> </w:t>
      </w:r>
      <w:r>
        <w:rPr>
          <w:rFonts w:ascii="Times New Roman"/>
          <w:i/>
          <w:sz w:val="19"/>
          <w:vertAlign w:val="baseline"/>
        </w:rPr>
        <w:t>Manchester</w:t>
      </w:r>
      <w:r>
        <w:rPr>
          <w:rFonts w:ascii="Times New Roman"/>
          <w:i/>
          <w:spacing w:val="-5"/>
          <w:sz w:val="19"/>
          <w:vertAlign w:val="baseline"/>
        </w:rPr>
        <w:t> </w:t>
      </w:r>
      <w:r>
        <w:rPr>
          <w:rFonts w:ascii="Times New Roman"/>
          <w:i/>
          <w:sz w:val="19"/>
          <w:vertAlign w:val="baseline"/>
        </w:rPr>
        <w:t>Liners</w:t>
      </w:r>
      <w:r>
        <w:rPr>
          <w:rFonts w:ascii="Times New Roman"/>
          <w:i/>
          <w:spacing w:val="-5"/>
          <w:sz w:val="19"/>
          <w:vertAlign w:val="baseline"/>
        </w:rPr>
        <w:t> </w:t>
      </w:r>
      <w:r>
        <w:rPr>
          <w:rFonts w:ascii="Times New Roman"/>
          <w:i/>
          <w:sz w:val="19"/>
          <w:vertAlign w:val="baseline"/>
        </w:rPr>
        <w:t>Ltd</w:t>
      </w:r>
      <w:r>
        <w:rPr>
          <w:rFonts w:ascii="Times New Roman"/>
          <w:i/>
          <w:spacing w:val="-7"/>
          <w:sz w:val="19"/>
          <w:vertAlign w:val="baseline"/>
        </w:rPr>
        <w:t> </w:t>
      </w:r>
      <w:r>
        <w:rPr>
          <w:rFonts w:ascii="Times New Roman"/>
          <w:sz w:val="19"/>
          <w:vertAlign w:val="baseline"/>
        </w:rPr>
        <w:t>(1910)</w:t>
      </w:r>
      <w:r>
        <w:rPr>
          <w:rFonts w:ascii="Times New Roman"/>
          <w:spacing w:val="-8"/>
          <w:sz w:val="19"/>
          <w:vertAlign w:val="baseline"/>
        </w:rPr>
        <w:t> </w:t>
      </w:r>
      <w:r>
        <w:rPr>
          <w:rFonts w:ascii="Times New Roman"/>
          <w:sz w:val="19"/>
          <w:vertAlign w:val="baseline"/>
        </w:rPr>
        <w:t>AC</w:t>
      </w:r>
      <w:r>
        <w:rPr>
          <w:rFonts w:ascii="Times New Roman"/>
          <w:spacing w:val="-8"/>
          <w:sz w:val="19"/>
          <w:vertAlign w:val="baseline"/>
        </w:rPr>
        <w:t> </w:t>
      </w:r>
      <w:r>
        <w:rPr>
          <w:rFonts w:ascii="Times New Roman"/>
          <w:spacing w:val="-5"/>
          <w:sz w:val="19"/>
          <w:vertAlign w:val="baseline"/>
        </w:rPr>
        <w:t>498</w:t>
      </w:r>
    </w:p>
    <w:p>
      <w:pPr>
        <w:spacing w:line="214" w:lineRule="exact" w:before="0"/>
        <w:ind w:left="187" w:right="0" w:firstLine="0"/>
        <w:jc w:val="left"/>
        <w:rPr>
          <w:rFonts w:ascii="Times New Roman"/>
          <w:i/>
          <w:sz w:val="19"/>
        </w:rPr>
      </w:pPr>
      <w:r>
        <w:rPr>
          <w:rFonts w:ascii="Times New Roman"/>
          <w:sz w:val="19"/>
          <w:vertAlign w:val="superscript"/>
        </w:rPr>
        <w:t>171</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172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173</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174</w:t>
      </w:r>
      <w:r>
        <w:rPr>
          <w:rFonts w:ascii="Times New Roman"/>
          <w:sz w:val="19"/>
          <w:vertAlign w:val="baseline"/>
        </w:rPr>
        <w:t> </w:t>
      </w:r>
      <w:r>
        <w:rPr>
          <w:rFonts w:ascii="Times New Roman"/>
          <w:i/>
          <w:sz w:val="19"/>
          <w:vertAlign w:val="baseline"/>
        </w:rPr>
        <w:t>Sharp</w:t>
      </w:r>
      <w:r>
        <w:rPr>
          <w:rFonts w:ascii="Times New Roman"/>
          <w:i/>
          <w:spacing w:val="-7"/>
          <w:sz w:val="19"/>
          <w:vertAlign w:val="baseline"/>
        </w:rPr>
        <w:t> </w:t>
      </w:r>
      <w:r>
        <w:rPr>
          <w:rFonts w:ascii="Times New Roman"/>
          <w:i/>
          <w:sz w:val="19"/>
          <w:vertAlign w:val="baseline"/>
        </w:rPr>
        <w:t>v.</w:t>
      </w:r>
      <w:r>
        <w:rPr>
          <w:rFonts w:ascii="Times New Roman"/>
          <w:i/>
          <w:spacing w:val="-3"/>
          <w:sz w:val="19"/>
          <w:vertAlign w:val="baseline"/>
        </w:rPr>
        <w:t> </w:t>
      </w:r>
      <w:r>
        <w:rPr>
          <w:rFonts w:ascii="Times New Roman"/>
          <w:i/>
          <w:sz w:val="19"/>
          <w:vertAlign w:val="baseline"/>
        </w:rPr>
        <w:t>Johnson</w:t>
      </w:r>
      <w:r>
        <w:rPr>
          <w:rFonts w:ascii="Times New Roman"/>
          <w:i/>
          <w:spacing w:val="-8"/>
          <w:sz w:val="19"/>
          <w:vertAlign w:val="baseline"/>
        </w:rPr>
        <w:t> </w:t>
      </w:r>
      <w:r>
        <w:rPr>
          <w:rFonts w:ascii="Times New Roman"/>
          <w:i/>
          <w:sz w:val="19"/>
          <w:vertAlign w:val="baseline"/>
        </w:rPr>
        <w:t>&amp;</w:t>
      </w:r>
      <w:r>
        <w:rPr>
          <w:rFonts w:ascii="Times New Roman"/>
          <w:i/>
          <w:spacing w:val="-11"/>
          <w:sz w:val="19"/>
          <w:vertAlign w:val="baseline"/>
        </w:rPr>
        <w:t> </w:t>
      </w:r>
      <w:r>
        <w:rPr>
          <w:rFonts w:ascii="Times New Roman"/>
          <w:i/>
          <w:sz w:val="19"/>
          <w:vertAlign w:val="baseline"/>
        </w:rPr>
        <w:t>Co.</w:t>
      </w:r>
      <w:r>
        <w:rPr>
          <w:rFonts w:ascii="Times New Roman"/>
          <w:i/>
          <w:spacing w:val="-5"/>
          <w:sz w:val="19"/>
          <w:vertAlign w:val="baseline"/>
        </w:rPr>
        <w:t> </w:t>
      </w:r>
      <w:r>
        <w:rPr>
          <w:rFonts w:ascii="Times New Roman"/>
          <w:i/>
          <w:sz w:val="19"/>
          <w:vertAlign w:val="baseline"/>
        </w:rPr>
        <w:t>Ltd</w:t>
      </w:r>
      <w:r>
        <w:rPr>
          <w:rFonts w:ascii="Times New Roman"/>
          <w:i/>
          <w:spacing w:val="-7"/>
          <w:sz w:val="19"/>
          <w:vertAlign w:val="baseline"/>
        </w:rPr>
        <w:t> </w:t>
      </w:r>
      <w:r>
        <w:rPr>
          <w:rFonts w:ascii="Times New Roman"/>
          <w:sz w:val="19"/>
          <w:vertAlign w:val="baseline"/>
        </w:rPr>
        <w:t>(1905)</w:t>
      </w:r>
      <w:r>
        <w:rPr>
          <w:rFonts w:ascii="Times New Roman"/>
          <w:spacing w:val="-1"/>
          <w:sz w:val="19"/>
          <w:vertAlign w:val="baseline"/>
        </w:rPr>
        <w:t> </w:t>
      </w:r>
      <w:r>
        <w:rPr>
          <w:rFonts w:ascii="Times New Roman"/>
          <w:sz w:val="19"/>
          <w:vertAlign w:val="baseline"/>
        </w:rPr>
        <w:t>2KB</w:t>
      </w:r>
      <w:r>
        <w:rPr>
          <w:rFonts w:ascii="Times New Roman"/>
          <w:spacing w:val="-5"/>
          <w:sz w:val="19"/>
          <w:vertAlign w:val="baseline"/>
        </w:rPr>
        <w:t> 139</w:t>
      </w:r>
    </w:p>
    <w:p>
      <w:pPr>
        <w:spacing w:after="0" w:line="217" w:lineRule="exact"/>
        <w:jc w:val="left"/>
        <w:rPr>
          <w:rFonts w:ascii="Times New Roman"/>
          <w:sz w:val="19"/>
        </w:rPr>
        <w:sectPr>
          <w:footerReference w:type="default" r:id="rId17"/>
          <w:pgSz w:w="12240" w:h="15840"/>
          <w:pgMar w:header="0" w:footer="1316" w:top="1260" w:bottom="1500" w:left="1680" w:right="1320"/>
        </w:sectPr>
      </w:pPr>
    </w:p>
    <w:p>
      <w:pPr>
        <w:pStyle w:val="BodyText"/>
        <w:spacing w:line="489" w:lineRule="auto" w:before="94"/>
        <w:ind w:left="864" w:right="577"/>
        <w:jc w:val="both"/>
      </w:pPr>
      <w:r>
        <w:rPr/>
        <w:t>refreshment place provided by the employer for that purpose. The court</w:t>
      </w:r>
      <w:r>
        <w:rPr>
          <w:spacing w:val="40"/>
        </w:rPr>
        <w:t> </w:t>
      </w:r>
      <w:r>
        <w:rPr/>
        <w:t>held that the accident arose in the course of employment.</w:t>
      </w:r>
      <w:r>
        <w:rPr>
          <w:vertAlign w:val="superscript"/>
        </w:rPr>
        <w:t>176</w:t>
      </w:r>
    </w:p>
    <w:p>
      <w:pPr>
        <w:pStyle w:val="BodyText"/>
        <w:spacing w:before="5"/>
      </w:pPr>
    </w:p>
    <w:p>
      <w:pPr>
        <w:pStyle w:val="BodyText"/>
        <w:ind w:left="864"/>
        <w:jc w:val="both"/>
      </w:pPr>
      <w:r>
        <w:rPr/>
        <w:t>Another</w:t>
      </w:r>
      <w:r>
        <w:rPr>
          <w:spacing w:val="4"/>
        </w:rPr>
        <w:t> </w:t>
      </w:r>
      <w:r>
        <w:rPr/>
        <w:t>important</w:t>
      </w:r>
      <w:r>
        <w:rPr>
          <w:spacing w:val="5"/>
        </w:rPr>
        <w:t> </w:t>
      </w:r>
      <w:r>
        <w:rPr/>
        <w:t>area</w:t>
      </w:r>
      <w:r>
        <w:rPr>
          <w:spacing w:val="9"/>
        </w:rPr>
        <w:t> </w:t>
      </w:r>
      <w:r>
        <w:rPr/>
        <w:t>is</w:t>
      </w:r>
      <w:r>
        <w:rPr>
          <w:spacing w:val="4"/>
        </w:rPr>
        <w:t> </w:t>
      </w:r>
      <w:r>
        <w:rPr/>
        <w:t>that,</w:t>
      </w:r>
      <w:r>
        <w:rPr>
          <w:spacing w:val="3"/>
        </w:rPr>
        <w:t> </w:t>
      </w:r>
      <w:r>
        <w:rPr/>
        <w:t>section</w:t>
      </w:r>
      <w:r>
        <w:rPr>
          <w:spacing w:val="11"/>
        </w:rPr>
        <w:t> </w:t>
      </w:r>
      <w:r>
        <w:rPr/>
        <w:t>7(2)</w:t>
      </w:r>
      <w:r>
        <w:rPr>
          <w:spacing w:val="8"/>
        </w:rPr>
        <w:t> </w:t>
      </w:r>
      <w:r>
        <w:rPr/>
        <w:t>of</w:t>
      </w:r>
      <w:r>
        <w:rPr>
          <w:spacing w:val="5"/>
        </w:rPr>
        <w:t> </w:t>
      </w:r>
      <w:r>
        <w:rPr/>
        <w:t>the</w:t>
      </w:r>
      <w:r>
        <w:rPr>
          <w:spacing w:val="3"/>
        </w:rPr>
        <w:t> </w:t>
      </w:r>
      <w:r>
        <w:rPr/>
        <w:t>Act,</w:t>
      </w:r>
      <w:r>
        <w:rPr>
          <w:spacing w:val="4"/>
        </w:rPr>
        <w:t> </w:t>
      </w:r>
      <w:r>
        <w:rPr/>
        <w:t>provides</w:t>
      </w:r>
      <w:r>
        <w:rPr>
          <w:spacing w:val="7"/>
        </w:rPr>
        <w:t> </w:t>
      </w:r>
      <w:r>
        <w:rPr>
          <w:spacing w:val="-2"/>
        </w:rPr>
        <w:t>thus;</w:t>
      </w:r>
    </w:p>
    <w:p>
      <w:pPr>
        <w:pStyle w:val="BodyText"/>
        <w:spacing w:before="16"/>
      </w:pPr>
    </w:p>
    <w:p>
      <w:pPr>
        <w:pStyle w:val="BodyText"/>
        <w:spacing w:line="244" w:lineRule="auto"/>
        <w:ind w:left="2217" w:right="2595" w:hanging="677"/>
        <w:jc w:val="both"/>
      </w:pPr>
      <w:r>
        <w:rPr/>
        <w:t>(2)</w:t>
      </w:r>
      <w:r>
        <w:rPr>
          <w:spacing w:val="40"/>
        </w:rPr>
        <w:t> </w:t>
      </w:r>
      <w:r>
        <w:rPr/>
        <w:t>An employee is entitled to payment of compensation</w:t>
      </w:r>
      <w:r>
        <w:rPr>
          <w:spacing w:val="40"/>
        </w:rPr>
        <w:t> </w:t>
      </w:r>
      <w:r>
        <w:rPr/>
        <w:t>with</w:t>
      </w:r>
      <w:r>
        <w:rPr>
          <w:spacing w:val="40"/>
        </w:rPr>
        <w:t> </w:t>
      </w:r>
      <w:r>
        <w:rPr/>
        <w:t>respect</w:t>
      </w:r>
      <w:r>
        <w:rPr>
          <w:spacing w:val="40"/>
        </w:rPr>
        <w:t> </w:t>
      </w:r>
      <w:r>
        <w:rPr/>
        <w:t>to</w:t>
      </w:r>
      <w:r>
        <w:rPr>
          <w:spacing w:val="40"/>
        </w:rPr>
        <w:t> </w:t>
      </w:r>
      <w:r>
        <w:rPr/>
        <w:t>any accident sustained while on the way between the place of work and (a) the employees’ principal or secondary</w:t>
      </w:r>
      <w:r>
        <w:rPr>
          <w:spacing w:val="40"/>
        </w:rPr>
        <w:t> </w:t>
      </w:r>
      <w:r>
        <w:rPr/>
        <w:t>residence (b) the place where the employee usually takes meal (c) the place where he usually receives remuneration, provided that the employer has prior notification of such place.</w:t>
      </w:r>
    </w:p>
    <w:p>
      <w:pPr>
        <w:pStyle w:val="BodyText"/>
        <w:spacing w:before="11"/>
      </w:pPr>
    </w:p>
    <w:p>
      <w:pPr>
        <w:pStyle w:val="BodyText"/>
        <w:spacing w:line="489" w:lineRule="auto"/>
        <w:ind w:left="864" w:right="566"/>
        <w:jc w:val="both"/>
      </w:pPr>
      <w:r>
        <w:rPr/>
        <w:t>The phrase “principal residence” is not defined by the Act. Also, there is no definition proffered by the Act for “secondary residence.” But principal, residence under the Act may mean the house where the employee, spouse and children stay most times, while primary residence under the Act may mean the house where the employee, spouse, children stay at times especially when they are away from their primary place of residence. Another issue is whether a hotel or a guesthouse would constitute</w:t>
      </w:r>
      <w:r>
        <w:rPr>
          <w:spacing w:val="40"/>
        </w:rPr>
        <w:t> </w:t>
      </w:r>
      <w:r>
        <w:rPr/>
        <w:t>secondary residence. It seems in some instances a hotel or guesthouse, or any temporary place of stay will constitute a secondary residence. This is because, section 11 of the Act says compensation can be paid where the employee is working outside the normal workplace provided the nature of the</w:t>
      </w:r>
      <w:r>
        <w:rPr>
          <w:spacing w:val="40"/>
        </w:rPr>
        <w:t> </w:t>
      </w:r>
      <w:r>
        <w:rPr/>
        <w:t>employment</w:t>
      </w:r>
      <w:r>
        <w:rPr>
          <w:spacing w:val="40"/>
        </w:rPr>
        <w:t> </w:t>
      </w:r>
      <w:r>
        <w:rPr/>
        <w:t>warrants</w:t>
      </w:r>
      <w:r>
        <w:rPr>
          <w:spacing w:val="40"/>
        </w:rPr>
        <w:t> </w:t>
      </w:r>
      <w:r>
        <w:rPr/>
        <w:t>so,</w:t>
      </w:r>
      <w:r>
        <w:rPr>
          <w:spacing w:val="40"/>
        </w:rPr>
        <w:t> </w:t>
      </w:r>
      <w:r>
        <w:rPr/>
        <w:t>or</w:t>
      </w:r>
      <w:r>
        <w:rPr>
          <w:spacing w:val="40"/>
        </w:rPr>
        <w:t> </w:t>
      </w:r>
      <w:r>
        <w:rPr/>
        <w:t>the</w:t>
      </w:r>
      <w:r>
        <w:rPr>
          <w:spacing w:val="40"/>
        </w:rPr>
        <w:t> </w:t>
      </w:r>
      <w:r>
        <w:rPr/>
        <w:t>nature</w:t>
      </w:r>
      <w:r>
        <w:rPr>
          <w:spacing w:val="40"/>
        </w:rPr>
        <w:t> </w:t>
      </w:r>
      <w:r>
        <w:rPr/>
        <w:t>of</w:t>
      </w:r>
      <w:r>
        <w:rPr>
          <w:spacing w:val="40"/>
        </w:rPr>
        <w:t> </w:t>
      </w:r>
      <w:r>
        <w:rPr/>
        <w:t>the</w:t>
      </w:r>
      <w:r>
        <w:rPr>
          <w:spacing w:val="40"/>
        </w:rPr>
        <w:t> </w:t>
      </w:r>
      <w:r>
        <w:rPr/>
        <w:t>business</w:t>
      </w:r>
      <w:r>
        <w:rPr>
          <w:spacing w:val="40"/>
        </w:rPr>
        <w:t> </w:t>
      </w:r>
      <w:r>
        <w:rPr/>
        <w:t>of</w:t>
      </w:r>
      <w:r>
        <w:rPr>
          <w:spacing w:val="40"/>
        </w:rPr>
        <w:t> </w:t>
      </w:r>
      <w:r>
        <w:rPr/>
        <w:t>the employer</w:t>
      </w:r>
      <w:r>
        <w:rPr>
          <w:spacing w:val="49"/>
        </w:rPr>
        <w:t> </w:t>
      </w:r>
      <w:r>
        <w:rPr/>
        <w:t>extends</w:t>
      </w:r>
      <w:r>
        <w:rPr>
          <w:spacing w:val="44"/>
        </w:rPr>
        <w:t> </w:t>
      </w:r>
      <w:r>
        <w:rPr/>
        <w:t>beyond</w:t>
      </w:r>
      <w:r>
        <w:rPr>
          <w:spacing w:val="48"/>
        </w:rPr>
        <w:t> </w:t>
      </w:r>
      <w:r>
        <w:rPr/>
        <w:t>the</w:t>
      </w:r>
      <w:r>
        <w:rPr>
          <w:spacing w:val="43"/>
        </w:rPr>
        <w:t> </w:t>
      </w:r>
      <w:r>
        <w:rPr/>
        <w:t>usual</w:t>
      </w:r>
      <w:r>
        <w:rPr>
          <w:spacing w:val="41"/>
        </w:rPr>
        <w:t> </w:t>
      </w:r>
      <w:r>
        <w:rPr/>
        <w:t>workplace</w:t>
      </w:r>
      <w:r>
        <w:rPr>
          <w:spacing w:val="45"/>
        </w:rPr>
        <w:t> </w:t>
      </w:r>
      <w:r>
        <w:rPr/>
        <w:t>or</w:t>
      </w:r>
      <w:r>
        <w:rPr>
          <w:spacing w:val="50"/>
        </w:rPr>
        <w:t> </w:t>
      </w:r>
      <w:r>
        <w:rPr/>
        <w:t>the</w:t>
      </w:r>
      <w:r>
        <w:rPr>
          <w:spacing w:val="44"/>
        </w:rPr>
        <w:t> </w:t>
      </w:r>
      <w:r>
        <w:rPr/>
        <w:t>employee</w:t>
      </w:r>
      <w:r>
        <w:rPr>
          <w:spacing w:val="45"/>
        </w:rPr>
        <w:t> </w:t>
      </w:r>
      <w:r>
        <w:rPr/>
        <w:t>has</w:t>
      </w:r>
      <w:r>
        <w:rPr>
          <w:spacing w:val="49"/>
        </w:rPr>
        <w:t> </w:t>
      </w:r>
      <w:r>
        <w:rPr>
          <w:spacing w:val="-5"/>
        </w:rPr>
        <w:t>the</w:t>
      </w:r>
    </w:p>
    <w:p>
      <w:pPr>
        <w:pStyle w:val="BodyText"/>
        <w:spacing w:before="52"/>
        <w:rPr>
          <w:sz w:val="20"/>
        </w:rPr>
      </w:pPr>
      <w:r>
        <w:rPr/>
        <mc:AlternateContent>
          <mc:Choice Requires="wps">
            <w:drawing>
              <wp:anchor distT="0" distB="0" distL="0" distR="0" allowOverlap="1" layoutInCell="1" locked="0" behindDoc="1" simplePos="0" relativeHeight="487622144">
                <wp:simplePos x="0" y="0"/>
                <wp:positionH relativeFrom="page">
                  <wp:posOffset>1185672</wp:posOffset>
                </wp:positionH>
                <wp:positionV relativeFrom="paragraph">
                  <wp:posOffset>201644</wp:posOffset>
                </wp:positionV>
                <wp:extent cx="1719580" cy="6350"/>
                <wp:effectExtent l="0" t="0" r="0" b="0"/>
                <wp:wrapTopAndBottom/>
                <wp:docPr id="81" name="Graphic 81"/>
                <wp:cNvGraphicFramePr>
                  <a:graphicFrameLocks/>
                </wp:cNvGraphicFramePr>
                <a:graphic>
                  <a:graphicData uri="http://schemas.microsoft.com/office/word/2010/wordprocessingShape">
                    <wps:wsp>
                      <wps:cNvPr id="81" name="Graphic 81"/>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5.8775pt;width:135.360pt;height:.48pt;mso-position-horizontal-relative:page;mso-position-vertical-relative:paragraph;z-index:-15694336;mso-wrap-distance-left:0;mso-wrap-distance-right:0" id="docshape81" filled="true" fillcolor="#000000" stroked="false">
                <v:fill type="solid"/>
                <w10:wrap type="topAndBottom"/>
              </v:rect>
            </w:pict>
          </mc:Fallback>
        </mc:AlternateContent>
      </w:r>
    </w:p>
    <w:p>
      <w:pPr>
        <w:spacing w:after="0"/>
        <w:rPr>
          <w:sz w:val="20"/>
        </w:rPr>
        <w:sectPr>
          <w:footerReference w:type="default" r:id="rId18"/>
          <w:pgSz w:w="12240" w:h="15840"/>
          <w:pgMar w:header="0" w:footer="1416" w:top="1260" w:bottom="1600" w:left="1680" w:right="1320"/>
        </w:sectPr>
      </w:pPr>
    </w:p>
    <w:p>
      <w:pPr>
        <w:pStyle w:val="BodyText"/>
        <w:spacing w:line="489" w:lineRule="auto" w:before="94"/>
        <w:ind w:left="864" w:right="564"/>
        <w:jc w:val="both"/>
      </w:pPr>
      <w:r>
        <w:rPr/>
        <w:t>authority or permission of the employer to work outside normal place of work. It therefore follows that where the employee has a temporary accommodation either in a hotel, guesthouse etc. for the purpose of the</w:t>
      </w:r>
      <w:r>
        <w:rPr>
          <w:spacing w:val="80"/>
        </w:rPr>
        <w:t> </w:t>
      </w:r>
      <w:r>
        <w:rPr/>
        <w:t>said work, it will constitute secondary residence if he has accident while on the way</w:t>
      </w:r>
      <w:r>
        <w:rPr>
          <w:spacing w:val="40"/>
        </w:rPr>
        <w:t> </w:t>
      </w:r>
      <w:r>
        <w:rPr/>
        <w:t>between the place of work and the said hotel room, guesthouse etc. Also, where for example an employee in preparation to get a new accommodation, parks into a hotel room or guesthouse pending when he gets a good house to rent, the hotel room or guesthouse should constitute his ‘secondary place of residence’ for the purposes of section 7(2) of the </w:t>
      </w:r>
      <w:r>
        <w:rPr>
          <w:spacing w:val="-2"/>
        </w:rPr>
        <w:t>compensation.</w:t>
      </w:r>
    </w:p>
    <w:p>
      <w:pPr>
        <w:pStyle w:val="BodyText"/>
        <w:spacing w:before="15"/>
      </w:pPr>
    </w:p>
    <w:p>
      <w:pPr>
        <w:pStyle w:val="BodyText"/>
        <w:spacing w:line="489" w:lineRule="auto"/>
        <w:ind w:left="864" w:right="566"/>
        <w:jc w:val="both"/>
      </w:pPr>
      <w:r>
        <w:rPr/>
        <w:t>On the issue</w:t>
      </w:r>
      <w:r>
        <w:rPr>
          <w:spacing w:val="40"/>
        </w:rPr>
        <w:t> </w:t>
      </w:r>
      <w:r>
        <w:rPr/>
        <w:t>of</w:t>
      </w:r>
      <w:r>
        <w:rPr>
          <w:spacing w:val="40"/>
        </w:rPr>
        <w:t> </w:t>
      </w:r>
      <w:r>
        <w:rPr/>
        <w:t>“where</w:t>
      </w:r>
      <w:r>
        <w:rPr>
          <w:spacing w:val="40"/>
        </w:rPr>
        <w:t> </w:t>
      </w:r>
      <w:r>
        <w:rPr/>
        <w:t>the</w:t>
      </w:r>
      <w:r>
        <w:rPr>
          <w:spacing w:val="40"/>
        </w:rPr>
        <w:t> </w:t>
      </w:r>
      <w:r>
        <w:rPr/>
        <w:t>employee</w:t>
      </w:r>
      <w:r>
        <w:rPr>
          <w:spacing w:val="40"/>
        </w:rPr>
        <w:t> </w:t>
      </w:r>
      <w:r>
        <w:rPr/>
        <w:t>usually takes meals,”</w:t>
      </w:r>
      <w:r>
        <w:rPr>
          <w:vertAlign w:val="superscript"/>
        </w:rPr>
        <w:t>177</w:t>
      </w:r>
      <w:r>
        <w:rPr>
          <w:vertAlign w:val="baseline"/>
        </w:rPr>
        <w:t> the</w:t>
      </w:r>
      <w:r>
        <w:rPr>
          <w:spacing w:val="40"/>
          <w:vertAlign w:val="baseline"/>
        </w:rPr>
        <w:t> </w:t>
      </w:r>
      <w:r>
        <w:rPr>
          <w:vertAlign w:val="baseline"/>
        </w:rPr>
        <w:t>law should have been “any place the employee decides to go for his meal, provided that, it is within the time allowed for meal’’ so as not to create a kind</w:t>
      </w:r>
      <w:r>
        <w:rPr>
          <w:spacing w:val="26"/>
          <w:vertAlign w:val="baseline"/>
        </w:rPr>
        <w:t> </w:t>
      </w:r>
      <w:r>
        <w:rPr>
          <w:vertAlign w:val="baseline"/>
        </w:rPr>
        <w:t>of</w:t>
      </w:r>
      <w:r>
        <w:rPr>
          <w:spacing w:val="29"/>
          <w:vertAlign w:val="baseline"/>
        </w:rPr>
        <w:t> </w:t>
      </w:r>
      <w:r>
        <w:rPr>
          <w:vertAlign w:val="baseline"/>
        </w:rPr>
        <w:t>compulsion</w:t>
      </w:r>
      <w:r>
        <w:rPr>
          <w:spacing w:val="24"/>
          <w:vertAlign w:val="baseline"/>
        </w:rPr>
        <w:t> </w:t>
      </w:r>
      <w:r>
        <w:rPr>
          <w:vertAlign w:val="baseline"/>
        </w:rPr>
        <w:t>on</w:t>
      </w:r>
      <w:r>
        <w:rPr>
          <w:spacing w:val="25"/>
          <w:vertAlign w:val="baseline"/>
        </w:rPr>
        <w:t> </w:t>
      </w:r>
      <w:r>
        <w:rPr>
          <w:vertAlign w:val="baseline"/>
        </w:rPr>
        <w:t>one</w:t>
      </w:r>
      <w:r>
        <w:rPr>
          <w:spacing w:val="27"/>
          <w:vertAlign w:val="baseline"/>
        </w:rPr>
        <w:t> </w:t>
      </w:r>
      <w:r>
        <w:rPr>
          <w:vertAlign w:val="baseline"/>
        </w:rPr>
        <w:t>partikular</w:t>
      </w:r>
      <w:r>
        <w:rPr>
          <w:spacing w:val="23"/>
          <w:vertAlign w:val="baseline"/>
        </w:rPr>
        <w:t> </w:t>
      </w:r>
      <w:r>
        <w:rPr>
          <w:vertAlign w:val="baseline"/>
        </w:rPr>
        <w:t>place</w:t>
      </w:r>
      <w:r>
        <w:rPr>
          <w:spacing w:val="27"/>
          <w:vertAlign w:val="baseline"/>
        </w:rPr>
        <w:t> </w:t>
      </w:r>
      <w:r>
        <w:rPr>
          <w:vertAlign w:val="baseline"/>
        </w:rPr>
        <w:t>to</w:t>
      </w:r>
      <w:r>
        <w:rPr>
          <w:spacing w:val="23"/>
          <w:vertAlign w:val="baseline"/>
        </w:rPr>
        <w:t> </w:t>
      </w:r>
      <w:r>
        <w:rPr>
          <w:vertAlign w:val="baseline"/>
        </w:rPr>
        <w:t>eat.</w:t>
      </w:r>
      <w:r>
        <w:rPr>
          <w:spacing w:val="27"/>
          <w:vertAlign w:val="baseline"/>
        </w:rPr>
        <w:t> </w:t>
      </w:r>
      <w:r>
        <w:rPr>
          <w:vertAlign w:val="baseline"/>
        </w:rPr>
        <w:t>If</w:t>
      </w:r>
      <w:r>
        <w:rPr>
          <w:spacing w:val="29"/>
          <w:vertAlign w:val="baseline"/>
        </w:rPr>
        <w:t> </w:t>
      </w:r>
      <w:r>
        <w:rPr>
          <w:vertAlign w:val="baseline"/>
        </w:rPr>
        <w:t>not,</w:t>
      </w:r>
      <w:r>
        <w:rPr>
          <w:spacing w:val="22"/>
          <w:vertAlign w:val="baseline"/>
        </w:rPr>
        <w:t> </w:t>
      </w:r>
      <w:r>
        <w:rPr>
          <w:vertAlign w:val="baseline"/>
        </w:rPr>
        <w:t>what</w:t>
      </w:r>
      <w:r>
        <w:rPr>
          <w:spacing w:val="30"/>
          <w:vertAlign w:val="baseline"/>
        </w:rPr>
        <w:t> </w:t>
      </w:r>
      <w:r>
        <w:rPr>
          <w:vertAlign w:val="baseline"/>
        </w:rPr>
        <w:t>is</w:t>
      </w:r>
      <w:r>
        <w:rPr>
          <w:spacing w:val="22"/>
          <w:vertAlign w:val="baseline"/>
        </w:rPr>
        <w:t> </w:t>
      </w:r>
      <w:r>
        <w:rPr>
          <w:vertAlign w:val="baseline"/>
        </w:rPr>
        <w:t>the</w:t>
      </w:r>
      <w:r>
        <w:rPr>
          <w:spacing w:val="27"/>
          <w:vertAlign w:val="baseline"/>
        </w:rPr>
        <w:t> </w:t>
      </w:r>
      <w:r>
        <w:rPr>
          <w:vertAlign w:val="baseline"/>
        </w:rPr>
        <w:t>fate of an employee who upon getting to his usual place of meal does not get</w:t>
      </w:r>
      <w:r>
        <w:rPr>
          <w:spacing w:val="40"/>
          <w:vertAlign w:val="baseline"/>
        </w:rPr>
        <w:t> </w:t>
      </w:r>
      <w:r>
        <w:rPr>
          <w:vertAlign w:val="baseline"/>
        </w:rPr>
        <w:t>the meal of his choice? Will he not be covered by the provision if such employee</w:t>
      </w:r>
      <w:r>
        <w:rPr>
          <w:spacing w:val="35"/>
          <w:vertAlign w:val="baseline"/>
        </w:rPr>
        <w:t> </w:t>
      </w:r>
      <w:r>
        <w:rPr>
          <w:vertAlign w:val="baseline"/>
        </w:rPr>
        <w:t>goes</w:t>
      </w:r>
      <w:r>
        <w:rPr>
          <w:spacing w:val="34"/>
          <w:vertAlign w:val="baseline"/>
        </w:rPr>
        <w:t> </w:t>
      </w:r>
      <w:r>
        <w:rPr>
          <w:vertAlign w:val="baseline"/>
        </w:rPr>
        <w:t>to</w:t>
      </w:r>
      <w:r>
        <w:rPr>
          <w:spacing w:val="31"/>
          <w:vertAlign w:val="baseline"/>
        </w:rPr>
        <w:t> </w:t>
      </w:r>
      <w:r>
        <w:rPr>
          <w:vertAlign w:val="baseline"/>
        </w:rPr>
        <w:t>a</w:t>
      </w:r>
      <w:r>
        <w:rPr>
          <w:spacing w:val="31"/>
          <w:vertAlign w:val="baseline"/>
        </w:rPr>
        <w:t> </w:t>
      </w:r>
      <w:r>
        <w:rPr>
          <w:vertAlign w:val="baseline"/>
        </w:rPr>
        <w:t>place</w:t>
      </w:r>
      <w:r>
        <w:rPr>
          <w:spacing w:val="30"/>
          <w:vertAlign w:val="baseline"/>
        </w:rPr>
        <w:t> </w:t>
      </w:r>
      <w:r>
        <w:rPr>
          <w:vertAlign w:val="baseline"/>
        </w:rPr>
        <w:t>of</w:t>
      </w:r>
      <w:r>
        <w:rPr>
          <w:spacing w:val="30"/>
          <w:vertAlign w:val="baseline"/>
        </w:rPr>
        <w:t> </w:t>
      </w:r>
      <w:r>
        <w:rPr>
          <w:vertAlign w:val="baseline"/>
        </w:rPr>
        <w:t>meal</w:t>
      </w:r>
      <w:r>
        <w:rPr>
          <w:spacing w:val="32"/>
          <w:vertAlign w:val="baseline"/>
        </w:rPr>
        <w:t> </w:t>
      </w:r>
      <w:r>
        <w:rPr>
          <w:vertAlign w:val="baseline"/>
        </w:rPr>
        <w:t>which</w:t>
      </w:r>
      <w:r>
        <w:rPr>
          <w:spacing w:val="32"/>
          <w:vertAlign w:val="baseline"/>
        </w:rPr>
        <w:t> </w:t>
      </w:r>
      <w:r>
        <w:rPr>
          <w:vertAlign w:val="baseline"/>
        </w:rPr>
        <w:t>is</w:t>
      </w:r>
      <w:r>
        <w:rPr>
          <w:spacing w:val="34"/>
          <w:vertAlign w:val="baseline"/>
        </w:rPr>
        <w:t> </w:t>
      </w:r>
      <w:r>
        <w:rPr>
          <w:vertAlign w:val="baseline"/>
        </w:rPr>
        <w:t>not</w:t>
      </w:r>
      <w:r>
        <w:rPr>
          <w:spacing w:val="32"/>
          <w:vertAlign w:val="baseline"/>
        </w:rPr>
        <w:t> </w:t>
      </w:r>
      <w:r>
        <w:rPr>
          <w:vertAlign w:val="baseline"/>
        </w:rPr>
        <w:t>usual</w:t>
      </w:r>
      <w:r>
        <w:rPr>
          <w:spacing w:val="32"/>
          <w:vertAlign w:val="baseline"/>
        </w:rPr>
        <w:t> </w:t>
      </w:r>
      <w:r>
        <w:rPr>
          <w:vertAlign w:val="baseline"/>
        </w:rPr>
        <w:t>to</w:t>
      </w:r>
      <w:r>
        <w:rPr>
          <w:spacing w:val="31"/>
          <w:vertAlign w:val="baseline"/>
        </w:rPr>
        <w:t> </w:t>
      </w:r>
      <w:r>
        <w:rPr>
          <w:vertAlign w:val="baseline"/>
        </w:rPr>
        <w:t>him</w:t>
      </w:r>
      <w:r>
        <w:rPr>
          <w:spacing w:val="33"/>
          <w:vertAlign w:val="baseline"/>
        </w:rPr>
        <w:t> </w:t>
      </w:r>
      <w:r>
        <w:rPr>
          <w:vertAlign w:val="baseline"/>
        </w:rPr>
        <w:t>in</w:t>
      </w:r>
      <w:r>
        <w:rPr>
          <w:spacing w:val="32"/>
          <w:vertAlign w:val="baseline"/>
        </w:rPr>
        <w:t> </w:t>
      </w:r>
      <w:r>
        <w:rPr>
          <w:vertAlign w:val="baseline"/>
        </w:rPr>
        <w:t>search</w:t>
      </w:r>
      <w:r>
        <w:rPr>
          <w:spacing w:val="32"/>
          <w:vertAlign w:val="baseline"/>
        </w:rPr>
        <w:t> </w:t>
      </w:r>
      <w:r>
        <w:rPr>
          <w:vertAlign w:val="baseline"/>
        </w:rPr>
        <w:t>of the diet of his choice? Also, one can get to a usual place of meal only to know</w:t>
      </w:r>
      <w:r>
        <w:rPr>
          <w:spacing w:val="40"/>
          <w:vertAlign w:val="baseline"/>
        </w:rPr>
        <w:t> </w:t>
      </w:r>
      <w:r>
        <w:rPr>
          <w:vertAlign w:val="baseline"/>
        </w:rPr>
        <w:t>that</w:t>
      </w:r>
      <w:r>
        <w:rPr>
          <w:spacing w:val="40"/>
          <w:vertAlign w:val="baseline"/>
        </w:rPr>
        <w:t> </w:t>
      </w:r>
      <w:r>
        <w:rPr>
          <w:vertAlign w:val="baseline"/>
        </w:rPr>
        <w:t>the</w:t>
      </w:r>
      <w:r>
        <w:rPr>
          <w:spacing w:val="40"/>
          <w:vertAlign w:val="baseline"/>
        </w:rPr>
        <w:t> </w:t>
      </w:r>
      <w:r>
        <w:rPr>
          <w:vertAlign w:val="baseline"/>
        </w:rPr>
        <w:t>restaurant</w:t>
      </w:r>
      <w:r>
        <w:rPr>
          <w:spacing w:val="40"/>
          <w:vertAlign w:val="baseline"/>
        </w:rPr>
        <w:t> </w:t>
      </w:r>
      <w:r>
        <w:rPr>
          <w:vertAlign w:val="baseline"/>
        </w:rPr>
        <w:t>is</w:t>
      </w:r>
      <w:r>
        <w:rPr>
          <w:spacing w:val="40"/>
          <w:vertAlign w:val="baseline"/>
        </w:rPr>
        <w:t> </w:t>
      </w:r>
      <w:r>
        <w:rPr>
          <w:vertAlign w:val="baseline"/>
        </w:rPr>
        <w:t>shut</w:t>
      </w:r>
      <w:r>
        <w:rPr>
          <w:spacing w:val="40"/>
          <w:vertAlign w:val="baseline"/>
        </w:rPr>
        <w:t> </w:t>
      </w:r>
      <w:r>
        <w:rPr>
          <w:vertAlign w:val="baseline"/>
        </w:rPr>
        <w:t>down.</w:t>
      </w:r>
      <w:r>
        <w:rPr>
          <w:spacing w:val="40"/>
          <w:vertAlign w:val="baseline"/>
        </w:rPr>
        <w:t> </w:t>
      </w:r>
      <w:r>
        <w:rPr>
          <w:vertAlign w:val="baseline"/>
        </w:rPr>
        <w:t>On</w:t>
      </w:r>
      <w:r>
        <w:rPr>
          <w:spacing w:val="40"/>
          <w:vertAlign w:val="baseline"/>
        </w:rPr>
        <w:t> </w:t>
      </w:r>
      <w:r>
        <w:rPr>
          <w:vertAlign w:val="baseline"/>
        </w:rPr>
        <w:t>the</w:t>
      </w:r>
      <w:r>
        <w:rPr>
          <w:spacing w:val="40"/>
          <w:vertAlign w:val="baseline"/>
        </w:rPr>
        <w:t> </w:t>
      </w:r>
      <w:r>
        <w:rPr>
          <w:vertAlign w:val="baseline"/>
        </w:rPr>
        <w:t>issue</w:t>
      </w:r>
      <w:r>
        <w:rPr>
          <w:spacing w:val="40"/>
          <w:vertAlign w:val="baseline"/>
        </w:rPr>
        <w:t> </w:t>
      </w:r>
      <w:r>
        <w:rPr>
          <w:vertAlign w:val="baseline"/>
        </w:rPr>
        <w:t>of</w:t>
      </w:r>
      <w:r>
        <w:rPr>
          <w:spacing w:val="40"/>
          <w:vertAlign w:val="baseline"/>
        </w:rPr>
        <w:t> </w:t>
      </w:r>
      <w:r>
        <w:rPr>
          <w:vertAlign w:val="baseline"/>
        </w:rPr>
        <w:t>where</w:t>
      </w:r>
      <w:r>
        <w:rPr>
          <w:spacing w:val="40"/>
          <w:vertAlign w:val="baseline"/>
        </w:rPr>
        <w:t> </w:t>
      </w:r>
      <w:r>
        <w:rPr>
          <w:vertAlign w:val="baseline"/>
        </w:rPr>
        <w:t>the employee usually receives remuneration,</w:t>
      </w:r>
      <w:r>
        <w:rPr>
          <w:vertAlign w:val="superscript"/>
        </w:rPr>
        <w:t>178</w:t>
      </w:r>
      <w:r>
        <w:rPr>
          <w:vertAlign w:val="baseline"/>
        </w:rPr>
        <w:t> the idea of electronic</w:t>
      </w:r>
      <w:r>
        <w:rPr>
          <w:spacing w:val="80"/>
          <w:vertAlign w:val="baseline"/>
        </w:rPr>
        <w:t> </w:t>
      </w:r>
      <w:r>
        <w:rPr>
          <w:vertAlign w:val="baseline"/>
        </w:rPr>
        <w:t>transaction</w:t>
      </w:r>
      <w:r>
        <w:rPr>
          <w:spacing w:val="48"/>
          <w:w w:val="150"/>
          <w:vertAlign w:val="baseline"/>
        </w:rPr>
        <w:t> </w:t>
      </w:r>
      <w:r>
        <w:rPr>
          <w:vertAlign w:val="baseline"/>
        </w:rPr>
        <w:t>waters</w:t>
      </w:r>
      <w:r>
        <w:rPr>
          <w:spacing w:val="51"/>
          <w:w w:val="150"/>
          <w:vertAlign w:val="baseline"/>
        </w:rPr>
        <w:t> </w:t>
      </w:r>
      <w:r>
        <w:rPr>
          <w:vertAlign w:val="baseline"/>
        </w:rPr>
        <w:t>down</w:t>
      </w:r>
      <w:r>
        <w:rPr>
          <w:spacing w:val="48"/>
          <w:w w:val="150"/>
          <w:vertAlign w:val="baseline"/>
        </w:rPr>
        <w:t> </w:t>
      </w:r>
      <w:r>
        <w:rPr>
          <w:vertAlign w:val="baseline"/>
        </w:rPr>
        <w:t>the</w:t>
      </w:r>
      <w:r>
        <w:rPr>
          <w:spacing w:val="51"/>
          <w:w w:val="150"/>
          <w:vertAlign w:val="baseline"/>
        </w:rPr>
        <w:t> </w:t>
      </w:r>
      <w:r>
        <w:rPr>
          <w:vertAlign w:val="baseline"/>
        </w:rPr>
        <w:t>provision.</w:t>
      </w:r>
      <w:r>
        <w:rPr>
          <w:spacing w:val="56"/>
          <w:w w:val="150"/>
          <w:vertAlign w:val="baseline"/>
        </w:rPr>
        <w:t> </w:t>
      </w:r>
      <w:r>
        <w:rPr>
          <w:vertAlign w:val="baseline"/>
        </w:rPr>
        <w:t>This</w:t>
      </w:r>
      <w:r>
        <w:rPr>
          <w:spacing w:val="46"/>
          <w:w w:val="150"/>
          <w:vertAlign w:val="baseline"/>
        </w:rPr>
        <w:t> </w:t>
      </w:r>
      <w:r>
        <w:rPr>
          <w:vertAlign w:val="baseline"/>
        </w:rPr>
        <w:t>is</w:t>
      </w:r>
      <w:r>
        <w:rPr>
          <w:spacing w:val="46"/>
          <w:w w:val="150"/>
          <w:vertAlign w:val="baseline"/>
        </w:rPr>
        <w:t> </w:t>
      </w:r>
      <w:r>
        <w:rPr>
          <w:vertAlign w:val="baseline"/>
        </w:rPr>
        <w:t>because</w:t>
      </w:r>
      <w:r>
        <w:rPr>
          <w:spacing w:val="51"/>
          <w:w w:val="150"/>
          <w:vertAlign w:val="baseline"/>
        </w:rPr>
        <w:t> </w:t>
      </w:r>
      <w:r>
        <w:rPr>
          <w:vertAlign w:val="baseline"/>
        </w:rPr>
        <w:t>one</w:t>
      </w:r>
      <w:r>
        <w:rPr>
          <w:spacing w:val="46"/>
          <w:w w:val="150"/>
          <w:vertAlign w:val="baseline"/>
        </w:rPr>
        <w:t> </w:t>
      </w:r>
      <w:r>
        <w:rPr>
          <w:vertAlign w:val="baseline"/>
        </w:rPr>
        <w:t>can</w:t>
      </w:r>
      <w:r>
        <w:rPr>
          <w:spacing w:val="49"/>
          <w:w w:val="150"/>
          <w:vertAlign w:val="baseline"/>
        </w:rPr>
        <w:t> </w:t>
      </w:r>
      <w:r>
        <w:rPr>
          <w:spacing w:val="-5"/>
          <w:vertAlign w:val="baseline"/>
        </w:rPr>
        <w:t>use</w:t>
      </w:r>
    </w:p>
    <w:p>
      <w:pPr>
        <w:pStyle w:val="BodyText"/>
        <w:spacing w:before="119"/>
        <w:rPr>
          <w:sz w:val="20"/>
        </w:rPr>
      </w:pPr>
      <w:r>
        <w:rPr/>
        <mc:AlternateContent>
          <mc:Choice Requires="wps">
            <w:drawing>
              <wp:anchor distT="0" distB="0" distL="0" distR="0" allowOverlap="1" layoutInCell="1" locked="0" behindDoc="1" simplePos="0" relativeHeight="487622656">
                <wp:simplePos x="0" y="0"/>
                <wp:positionH relativeFrom="page">
                  <wp:posOffset>1185672</wp:posOffset>
                </wp:positionH>
                <wp:positionV relativeFrom="paragraph">
                  <wp:posOffset>244514</wp:posOffset>
                </wp:positionV>
                <wp:extent cx="1719580" cy="6350"/>
                <wp:effectExtent l="0" t="0" r="0" b="0"/>
                <wp:wrapTopAndBottom/>
                <wp:docPr id="83" name="Graphic 83"/>
                <wp:cNvGraphicFramePr>
                  <a:graphicFrameLocks/>
                </wp:cNvGraphicFramePr>
                <a:graphic>
                  <a:graphicData uri="http://schemas.microsoft.com/office/word/2010/wordprocessingShape">
                    <wps:wsp>
                      <wps:cNvPr id="83" name="Graphic 8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9.253124pt;width:135.360pt;height:.48pt;mso-position-horizontal-relative:page;mso-position-vertical-relative:paragraph;z-index:-15693824;mso-wrap-distance-left:0;mso-wrap-distance-right:0" id="docshape83" filled="true" fillcolor="#000000" stroked="false">
                <v:fill type="solid"/>
                <w10:wrap type="topAndBottom"/>
              </v:rect>
            </w:pict>
          </mc:Fallback>
        </mc:AlternateContent>
      </w:r>
    </w:p>
    <w:p>
      <w:pPr>
        <w:spacing w:line="217" w:lineRule="exact" w:before="91"/>
        <w:ind w:left="187" w:right="0" w:firstLine="0"/>
        <w:jc w:val="left"/>
        <w:rPr>
          <w:rFonts w:ascii="Times New Roman" w:hAnsi="Times New Roman"/>
          <w:i/>
          <w:sz w:val="19"/>
        </w:rPr>
      </w:pPr>
      <w:r>
        <w:rPr>
          <w:rFonts w:ascii="Times New Roman" w:hAnsi="Times New Roman"/>
          <w:sz w:val="19"/>
          <w:vertAlign w:val="superscript"/>
        </w:rPr>
        <w:t>177</w:t>
      </w:r>
      <w:r>
        <w:rPr>
          <w:rFonts w:ascii="Times New Roman" w:hAnsi="Times New Roman"/>
          <w:spacing w:val="-6"/>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7(2)</w:t>
      </w:r>
      <w:r>
        <w:rPr>
          <w:rFonts w:ascii="Times New Roman" w:hAnsi="Times New Roman"/>
          <w:spacing w:val="-11"/>
          <w:sz w:val="19"/>
          <w:vertAlign w:val="baseline"/>
        </w:rPr>
        <w:t> </w:t>
      </w:r>
      <w:r>
        <w:rPr>
          <w:rFonts w:ascii="Times New Roman" w:hAnsi="Times New Roman"/>
          <w:sz w:val="19"/>
          <w:vertAlign w:val="baseline"/>
        </w:rPr>
        <w:t>(b)</w:t>
      </w:r>
      <w:r>
        <w:rPr>
          <w:rFonts w:ascii="Times New Roman" w:hAnsi="Times New Roman"/>
          <w:spacing w:val="-10"/>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Employees’</w:t>
      </w:r>
      <w:r>
        <w:rPr>
          <w:rFonts w:ascii="Times New Roman" w:hAnsi="Times New Roman"/>
          <w:spacing w:val="-10"/>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5"/>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line="217" w:lineRule="exact" w:before="0"/>
        <w:ind w:left="187" w:right="0" w:firstLine="0"/>
        <w:jc w:val="left"/>
        <w:rPr>
          <w:rFonts w:ascii="Times New Roman"/>
          <w:i/>
          <w:sz w:val="19"/>
        </w:rPr>
      </w:pPr>
      <w:r>
        <w:rPr>
          <w:rFonts w:ascii="Times New Roman"/>
          <w:sz w:val="19"/>
          <w:vertAlign w:val="superscript"/>
        </w:rPr>
        <w:t>178</w:t>
      </w:r>
      <w:r>
        <w:rPr>
          <w:rFonts w:ascii="Times New Roman"/>
          <w:spacing w:val="-2"/>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72</w:t>
      </w:r>
      <w:r>
        <w:rPr>
          <w:rFonts w:ascii="Times New Roman"/>
          <w:spacing w:val="-2"/>
          <w:sz w:val="19"/>
          <w:vertAlign w:val="baseline"/>
        </w:rPr>
        <w:t> </w:t>
      </w:r>
      <w:r>
        <w:rPr>
          <w:rFonts w:ascii="Times New Roman"/>
          <w:sz w:val="19"/>
          <w:vertAlign w:val="baseline"/>
        </w:rPr>
        <w:t>(c</w:t>
      </w:r>
      <w:r>
        <w:rPr>
          <w:rFonts w:ascii="Times New Roman"/>
          <w:i/>
          <w:sz w:val="19"/>
          <w:vertAlign w:val="baseline"/>
        </w:rPr>
        <w:t>)</w:t>
      </w:r>
      <w:r>
        <w:rPr>
          <w:rFonts w:ascii="Times New Roman"/>
          <w:i/>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footerReference w:type="default" r:id="rId19"/>
          <w:pgSz w:w="12240" w:h="15840"/>
          <w:pgMar w:header="0" w:footer="1009" w:top="1260" w:bottom="1200" w:left="1680" w:right="1320"/>
          <w:pgNumType w:start="61"/>
        </w:sectPr>
      </w:pPr>
    </w:p>
    <w:p>
      <w:pPr>
        <w:pStyle w:val="BodyText"/>
        <w:spacing w:line="489" w:lineRule="auto" w:before="94"/>
        <w:ind w:left="864" w:right="565"/>
        <w:jc w:val="both"/>
      </w:pPr>
      <w:r>
        <w:rPr/>
        <w:t>Automated Teller Machines (ATM) belonging to any bank or any branch to withdraw money which is one’s remuneration. It is therefore practically archaic to insist on where the employee usually receives remuneration.</w:t>
      </w:r>
    </w:p>
    <w:p>
      <w:pPr>
        <w:pStyle w:val="BodyText"/>
        <w:spacing w:before="10"/>
      </w:pPr>
    </w:p>
    <w:p>
      <w:pPr>
        <w:pStyle w:val="BodyText"/>
        <w:spacing w:line="489" w:lineRule="auto"/>
        <w:ind w:left="864" w:right="563"/>
        <w:jc w:val="both"/>
      </w:pPr>
      <w:r>
        <w:rPr/>
        <w:t>Secondly,</w:t>
      </w:r>
      <w:r>
        <w:rPr>
          <w:spacing w:val="40"/>
        </w:rPr>
        <w:t> </w:t>
      </w:r>
      <w:r>
        <w:rPr/>
        <w:t>it</w:t>
      </w:r>
      <w:r>
        <w:rPr>
          <w:spacing w:val="40"/>
        </w:rPr>
        <w:t> </w:t>
      </w:r>
      <w:r>
        <w:rPr/>
        <w:t>is</w:t>
      </w:r>
      <w:r>
        <w:rPr>
          <w:spacing w:val="40"/>
        </w:rPr>
        <w:t> </w:t>
      </w:r>
      <w:r>
        <w:rPr/>
        <w:t>the</w:t>
      </w:r>
      <w:r>
        <w:rPr>
          <w:spacing w:val="40"/>
        </w:rPr>
        <w:t> </w:t>
      </w:r>
      <w:r>
        <w:rPr/>
        <w:t>view</w:t>
      </w:r>
      <w:r>
        <w:rPr>
          <w:spacing w:val="40"/>
        </w:rPr>
        <w:t> </w:t>
      </w:r>
      <w:r>
        <w:rPr/>
        <w:t>of</w:t>
      </w:r>
      <w:r>
        <w:rPr>
          <w:spacing w:val="40"/>
        </w:rPr>
        <w:t> </w:t>
      </w:r>
      <w:r>
        <w:rPr/>
        <w:t>the</w:t>
      </w:r>
      <w:r>
        <w:rPr>
          <w:spacing w:val="40"/>
        </w:rPr>
        <w:t> </w:t>
      </w:r>
      <w:r>
        <w:rPr/>
        <w:t>researcher</w:t>
      </w:r>
      <w:r>
        <w:rPr>
          <w:spacing w:val="40"/>
        </w:rPr>
        <w:t> </w:t>
      </w:r>
      <w:r>
        <w:rPr/>
        <w:t>that</w:t>
      </w:r>
      <w:r>
        <w:rPr>
          <w:spacing w:val="40"/>
        </w:rPr>
        <w:t> </w:t>
      </w:r>
      <w:r>
        <w:rPr/>
        <w:t>the</w:t>
      </w:r>
      <w:r>
        <w:rPr>
          <w:spacing w:val="40"/>
        </w:rPr>
        <w:t> </w:t>
      </w:r>
      <w:r>
        <w:rPr/>
        <w:t>second</w:t>
      </w:r>
      <w:r>
        <w:rPr>
          <w:spacing w:val="40"/>
        </w:rPr>
        <w:t> </w:t>
      </w:r>
      <w:r>
        <w:rPr/>
        <w:t>arm</w:t>
      </w:r>
      <w:r>
        <w:rPr>
          <w:spacing w:val="40"/>
        </w:rPr>
        <w:t> </w:t>
      </w:r>
      <w:r>
        <w:rPr/>
        <w:t>of</w:t>
      </w:r>
      <w:r>
        <w:rPr>
          <w:spacing w:val="40"/>
        </w:rPr>
        <w:t> </w:t>
      </w:r>
      <w:r>
        <w:rPr/>
        <w:t>the section which says “provided the employer has prior notification of such place</w:t>
      </w:r>
      <w:r>
        <w:rPr>
          <w:vertAlign w:val="superscript"/>
        </w:rPr>
        <w:t>179</w:t>
      </w:r>
      <w:r>
        <w:rPr>
          <w:spacing w:val="22"/>
          <w:vertAlign w:val="baseline"/>
        </w:rPr>
        <w:t> </w:t>
      </w:r>
      <w:r>
        <w:rPr>
          <w:vertAlign w:val="baseline"/>
        </w:rPr>
        <w:t>will</w:t>
      </w:r>
      <w:r>
        <w:rPr>
          <w:spacing w:val="25"/>
          <w:vertAlign w:val="baseline"/>
        </w:rPr>
        <w:t> </w:t>
      </w:r>
      <w:r>
        <w:rPr>
          <w:vertAlign w:val="baseline"/>
        </w:rPr>
        <w:t>mean</w:t>
      </w:r>
      <w:r>
        <w:rPr>
          <w:spacing w:val="25"/>
          <w:vertAlign w:val="baseline"/>
        </w:rPr>
        <w:t> </w:t>
      </w:r>
      <w:r>
        <w:rPr>
          <w:vertAlign w:val="baseline"/>
        </w:rPr>
        <w:t>that</w:t>
      </w:r>
      <w:r>
        <w:rPr>
          <w:spacing w:val="24"/>
          <w:vertAlign w:val="baseline"/>
        </w:rPr>
        <w:t> </w:t>
      </w:r>
      <w:r>
        <w:rPr>
          <w:vertAlign w:val="baseline"/>
        </w:rPr>
        <w:t>the</w:t>
      </w:r>
      <w:r>
        <w:rPr>
          <w:spacing w:val="28"/>
          <w:vertAlign w:val="baseline"/>
        </w:rPr>
        <w:t> </w:t>
      </w:r>
      <w:r>
        <w:rPr>
          <w:vertAlign w:val="baseline"/>
        </w:rPr>
        <w:t>employee</w:t>
      </w:r>
      <w:r>
        <w:rPr>
          <w:spacing w:val="23"/>
          <w:vertAlign w:val="baseline"/>
        </w:rPr>
        <w:t> </w:t>
      </w:r>
      <w:r>
        <w:rPr>
          <w:vertAlign w:val="baseline"/>
        </w:rPr>
        <w:t>in</w:t>
      </w:r>
      <w:r>
        <w:rPr>
          <w:spacing w:val="30"/>
          <w:vertAlign w:val="baseline"/>
        </w:rPr>
        <w:t> </w:t>
      </w:r>
      <w:r>
        <w:rPr>
          <w:vertAlign w:val="baseline"/>
        </w:rPr>
        <w:t>any</w:t>
      </w:r>
      <w:r>
        <w:rPr>
          <w:spacing w:val="24"/>
          <w:vertAlign w:val="baseline"/>
        </w:rPr>
        <w:t> </w:t>
      </w:r>
      <w:r>
        <w:rPr>
          <w:vertAlign w:val="baseline"/>
        </w:rPr>
        <w:t>case</w:t>
      </w:r>
      <w:r>
        <w:rPr>
          <w:spacing w:val="23"/>
          <w:vertAlign w:val="baseline"/>
        </w:rPr>
        <w:t> </w:t>
      </w:r>
      <w:r>
        <w:rPr>
          <w:vertAlign w:val="baseline"/>
        </w:rPr>
        <w:t>should</w:t>
      </w:r>
      <w:r>
        <w:rPr>
          <w:spacing w:val="26"/>
          <w:vertAlign w:val="baseline"/>
        </w:rPr>
        <w:t> </w:t>
      </w:r>
      <w:r>
        <w:rPr>
          <w:vertAlign w:val="baseline"/>
        </w:rPr>
        <w:t>tell</w:t>
      </w:r>
      <w:r>
        <w:rPr>
          <w:spacing w:val="31"/>
          <w:vertAlign w:val="baseline"/>
        </w:rPr>
        <w:t> </w:t>
      </w:r>
      <w:r>
        <w:rPr>
          <w:vertAlign w:val="baseline"/>
        </w:rPr>
        <w:t>the</w:t>
      </w:r>
      <w:r>
        <w:rPr>
          <w:spacing w:val="28"/>
          <w:vertAlign w:val="baseline"/>
        </w:rPr>
        <w:t> </w:t>
      </w:r>
      <w:r>
        <w:rPr>
          <w:vertAlign w:val="baseline"/>
        </w:rPr>
        <w:t>employer at any time where he is going to withdraw any amount being the</w:t>
      </w:r>
      <w:r>
        <w:rPr>
          <w:spacing w:val="80"/>
          <w:vertAlign w:val="baseline"/>
        </w:rPr>
        <w:t> </w:t>
      </w:r>
      <w:r>
        <w:rPr>
          <w:vertAlign w:val="baseline"/>
        </w:rPr>
        <w:t>employee’s remuneration, otherwise such employee cannot be heard to complain that he had accident between the place of work and where he went to receive his remuneration. It may also mean that the employer should have prior notice of the fact that the employer goes to take meal. Also, the employees should also notify their employers about their primary and</w:t>
      </w:r>
      <w:r>
        <w:rPr>
          <w:spacing w:val="40"/>
          <w:vertAlign w:val="baseline"/>
        </w:rPr>
        <w:t> </w:t>
      </w:r>
      <w:r>
        <w:rPr>
          <w:vertAlign w:val="baseline"/>
        </w:rPr>
        <w:t>secondary</w:t>
      </w:r>
      <w:r>
        <w:rPr>
          <w:spacing w:val="40"/>
          <w:vertAlign w:val="baseline"/>
        </w:rPr>
        <w:t> </w:t>
      </w:r>
      <w:r>
        <w:rPr>
          <w:vertAlign w:val="baseline"/>
        </w:rPr>
        <w:t>places</w:t>
      </w:r>
      <w:r>
        <w:rPr>
          <w:spacing w:val="40"/>
          <w:vertAlign w:val="baseline"/>
        </w:rPr>
        <w:t> </w:t>
      </w:r>
      <w:r>
        <w:rPr>
          <w:vertAlign w:val="baseline"/>
        </w:rPr>
        <w:t>of</w:t>
      </w:r>
      <w:r>
        <w:rPr>
          <w:spacing w:val="40"/>
          <w:vertAlign w:val="baseline"/>
        </w:rPr>
        <w:t> </w:t>
      </w:r>
      <w:r>
        <w:rPr>
          <w:vertAlign w:val="baseline"/>
        </w:rPr>
        <w:t>residence</w:t>
      </w:r>
      <w:r>
        <w:rPr>
          <w:spacing w:val="40"/>
          <w:vertAlign w:val="baseline"/>
        </w:rPr>
        <w:t> </w:t>
      </w:r>
      <w:r>
        <w:rPr>
          <w:vertAlign w:val="baseline"/>
        </w:rPr>
        <w:t>if</w:t>
      </w:r>
      <w:r>
        <w:rPr>
          <w:spacing w:val="40"/>
          <w:vertAlign w:val="baseline"/>
        </w:rPr>
        <w:t> </w:t>
      </w:r>
      <w:r>
        <w:rPr>
          <w:vertAlign w:val="baseline"/>
        </w:rPr>
        <w:t>they</w:t>
      </w:r>
      <w:r>
        <w:rPr>
          <w:spacing w:val="40"/>
          <w:vertAlign w:val="baseline"/>
        </w:rPr>
        <w:t> </w:t>
      </w:r>
      <w:r>
        <w:rPr>
          <w:vertAlign w:val="baseline"/>
        </w:rPr>
        <w:t>wish</w:t>
      </w:r>
      <w:r>
        <w:rPr>
          <w:spacing w:val="40"/>
          <w:vertAlign w:val="baseline"/>
        </w:rPr>
        <w:t> </w:t>
      </w:r>
      <w:r>
        <w:rPr>
          <w:vertAlign w:val="baseline"/>
        </w:rPr>
        <w:t>to</w:t>
      </w:r>
      <w:r>
        <w:rPr>
          <w:spacing w:val="40"/>
          <w:vertAlign w:val="baseline"/>
        </w:rPr>
        <w:t> </w:t>
      </w:r>
      <w:r>
        <w:rPr>
          <w:vertAlign w:val="baseline"/>
        </w:rPr>
        <w:t>be</w:t>
      </w:r>
      <w:r>
        <w:rPr>
          <w:spacing w:val="40"/>
          <w:vertAlign w:val="baseline"/>
        </w:rPr>
        <w:t> </w:t>
      </w:r>
      <w:r>
        <w:rPr>
          <w:vertAlign w:val="baseline"/>
        </w:rPr>
        <w:t>covered</w:t>
      </w:r>
      <w:r>
        <w:rPr>
          <w:spacing w:val="40"/>
          <w:vertAlign w:val="baseline"/>
        </w:rPr>
        <w:t> </w:t>
      </w:r>
      <w:r>
        <w:rPr>
          <w:vertAlign w:val="baseline"/>
        </w:rPr>
        <w:t>by</w:t>
      </w:r>
      <w:r>
        <w:rPr>
          <w:spacing w:val="40"/>
          <w:vertAlign w:val="baseline"/>
        </w:rPr>
        <w:t> </w:t>
      </w:r>
      <w:r>
        <w:rPr>
          <w:vertAlign w:val="baseline"/>
        </w:rPr>
        <w:t>this section of the Act.</w:t>
      </w:r>
    </w:p>
    <w:p>
      <w:pPr>
        <w:pStyle w:val="BodyText"/>
        <w:spacing w:line="489" w:lineRule="auto" w:before="257"/>
        <w:ind w:left="864" w:right="568"/>
        <w:jc w:val="both"/>
      </w:pPr>
      <w:r>
        <w:rPr/>
        <mc:AlternateContent>
          <mc:Choice Requires="wps">
            <w:drawing>
              <wp:anchor distT="0" distB="0" distL="0" distR="0" allowOverlap="1" layoutInCell="1" locked="0" behindDoc="1" simplePos="0" relativeHeight="486187008">
                <wp:simplePos x="0" y="0"/>
                <wp:positionH relativeFrom="page">
                  <wp:posOffset>1185672</wp:posOffset>
                </wp:positionH>
                <wp:positionV relativeFrom="paragraph">
                  <wp:posOffset>2627906</wp:posOffset>
                </wp:positionV>
                <wp:extent cx="1719580" cy="6350"/>
                <wp:effectExtent l="0" t="0" r="0" b="0"/>
                <wp:wrapNone/>
                <wp:docPr id="84" name="Graphic 84"/>
                <wp:cNvGraphicFramePr>
                  <a:graphicFrameLocks/>
                </wp:cNvGraphicFramePr>
                <a:graphic>
                  <a:graphicData uri="http://schemas.microsoft.com/office/word/2010/wordprocessingShape">
                    <wps:wsp>
                      <wps:cNvPr id="84" name="Graphic 84"/>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6.921799pt;width:135.360pt;height:.48pt;mso-position-horizontal-relative:page;mso-position-vertical-relative:paragraph;z-index:-17129472" id="docshape84" filled="true" fillcolor="#000000" stroked="false">
                <v:fill type="solid"/>
                <w10:wrap type="none"/>
              </v:rect>
            </w:pict>
          </mc:Fallback>
        </mc:AlternateContent>
      </w:r>
      <w:r>
        <w:rPr/>
        <w:t>Who is an employer for the purposes of such notification? Employer under the Act includes the agent, manager, factor of the employer or personal representative of a deceased employer.</w:t>
      </w:r>
      <w:r>
        <w:rPr>
          <w:vertAlign w:val="superscript"/>
        </w:rPr>
        <w:t>180</w:t>
      </w:r>
      <w:r>
        <w:rPr>
          <w:vertAlign w:val="baseline"/>
        </w:rPr>
        <w:t> It is okay if for example, in a university system the Head of Department</w:t>
      </w:r>
      <w:r>
        <w:rPr>
          <w:spacing w:val="40"/>
          <w:vertAlign w:val="baseline"/>
        </w:rPr>
        <w:t> </w:t>
      </w:r>
      <w:r>
        <w:rPr>
          <w:vertAlign w:val="baseline"/>
        </w:rPr>
        <w:t>has prior notification of</w:t>
      </w:r>
      <w:r>
        <w:rPr>
          <w:spacing w:val="40"/>
          <w:vertAlign w:val="baseline"/>
        </w:rPr>
        <w:t> </w:t>
      </w:r>
      <w:r>
        <w:rPr>
          <w:vertAlign w:val="baseline"/>
        </w:rPr>
        <w:t>such fact. This is because, he is an agent of the employer and so he is an employer in the circumstance. But then, this provision will work hardship if the</w:t>
      </w:r>
      <w:r>
        <w:rPr>
          <w:spacing w:val="28"/>
          <w:vertAlign w:val="baseline"/>
        </w:rPr>
        <w:t> </w:t>
      </w:r>
      <w:r>
        <w:rPr>
          <w:vertAlign w:val="baseline"/>
        </w:rPr>
        <w:t>qualification</w:t>
      </w:r>
      <w:r>
        <w:rPr>
          <w:spacing w:val="31"/>
          <w:vertAlign w:val="baseline"/>
        </w:rPr>
        <w:t> </w:t>
      </w:r>
      <w:r>
        <w:rPr>
          <w:vertAlign w:val="baseline"/>
        </w:rPr>
        <w:t>of</w:t>
      </w:r>
      <w:r>
        <w:rPr>
          <w:spacing w:val="34"/>
          <w:vertAlign w:val="baseline"/>
        </w:rPr>
        <w:t> </w:t>
      </w:r>
      <w:r>
        <w:rPr>
          <w:vertAlign w:val="baseline"/>
        </w:rPr>
        <w:t>prior</w:t>
      </w:r>
      <w:r>
        <w:rPr>
          <w:spacing w:val="33"/>
          <w:vertAlign w:val="baseline"/>
        </w:rPr>
        <w:t> </w:t>
      </w:r>
      <w:r>
        <w:rPr>
          <w:vertAlign w:val="baseline"/>
        </w:rPr>
        <w:t>notice</w:t>
      </w:r>
      <w:r>
        <w:rPr>
          <w:spacing w:val="28"/>
          <w:vertAlign w:val="baseline"/>
        </w:rPr>
        <w:t> </w:t>
      </w:r>
      <w:r>
        <w:rPr>
          <w:vertAlign w:val="baseline"/>
        </w:rPr>
        <w:t>is</w:t>
      </w:r>
      <w:r>
        <w:rPr>
          <w:spacing w:val="28"/>
          <w:vertAlign w:val="baseline"/>
        </w:rPr>
        <w:t> </w:t>
      </w:r>
      <w:r>
        <w:rPr>
          <w:vertAlign w:val="baseline"/>
        </w:rPr>
        <w:t>not</w:t>
      </w:r>
      <w:r>
        <w:rPr>
          <w:spacing w:val="25"/>
          <w:vertAlign w:val="baseline"/>
        </w:rPr>
        <w:t> </w:t>
      </w:r>
      <w:r>
        <w:rPr>
          <w:vertAlign w:val="baseline"/>
        </w:rPr>
        <w:t>removed.</w:t>
      </w:r>
      <w:r>
        <w:rPr>
          <w:spacing w:val="32"/>
          <w:vertAlign w:val="baseline"/>
        </w:rPr>
        <w:t> </w:t>
      </w:r>
      <w:r>
        <w:rPr>
          <w:vertAlign w:val="baseline"/>
        </w:rPr>
        <w:t>One</w:t>
      </w:r>
      <w:r>
        <w:rPr>
          <w:spacing w:val="28"/>
          <w:vertAlign w:val="baseline"/>
        </w:rPr>
        <w:t> </w:t>
      </w:r>
      <w:r>
        <w:rPr>
          <w:vertAlign w:val="baseline"/>
        </w:rPr>
        <w:t>wonders</w:t>
      </w:r>
      <w:r>
        <w:rPr>
          <w:spacing w:val="28"/>
          <w:vertAlign w:val="baseline"/>
        </w:rPr>
        <w:t> </w:t>
      </w:r>
      <w:r>
        <w:rPr>
          <w:vertAlign w:val="baseline"/>
        </w:rPr>
        <w:t>if</w:t>
      </w:r>
      <w:r>
        <w:rPr>
          <w:spacing w:val="29"/>
          <w:vertAlign w:val="baseline"/>
        </w:rPr>
        <w:t> </w:t>
      </w:r>
      <w:r>
        <w:rPr>
          <w:vertAlign w:val="baseline"/>
        </w:rPr>
        <w:t>a</w:t>
      </w:r>
      <w:r>
        <w:rPr>
          <w:spacing w:val="28"/>
          <w:vertAlign w:val="baseline"/>
        </w:rPr>
        <w:t> </w:t>
      </w:r>
      <w:r>
        <w:rPr>
          <w:vertAlign w:val="baseline"/>
        </w:rPr>
        <w:t>lecturer</w:t>
      </w:r>
    </w:p>
    <w:p>
      <w:pPr>
        <w:spacing w:line="217" w:lineRule="exact" w:before="18"/>
        <w:ind w:left="187" w:right="0" w:firstLine="0"/>
        <w:jc w:val="left"/>
        <w:rPr>
          <w:rFonts w:ascii="Times New Roman"/>
          <w:i/>
          <w:sz w:val="19"/>
        </w:rPr>
      </w:pPr>
      <w:r>
        <w:rPr>
          <w:rFonts w:ascii="Times New Roman"/>
          <w:sz w:val="19"/>
          <w:vertAlign w:val="superscript"/>
        </w:rPr>
        <w:t>179</w:t>
      </w:r>
      <w:r>
        <w:rPr>
          <w:rFonts w:ascii="Times New Roman"/>
          <w:spacing w:val="11"/>
          <w:sz w:val="19"/>
          <w:vertAlign w:val="baseline"/>
        </w:rPr>
        <w:t> </w:t>
      </w:r>
      <w:r>
        <w:rPr>
          <w:rFonts w:ascii="Times New Roman"/>
          <w:i/>
          <w:spacing w:val="-4"/>
          <w:sz w:val="19"/>
          <w:vertAlign w:val="baseline"/>
        </w:rPr>
        <w:t>Ibid</w:t>
      </w:r>
    </w:p>
    <w:p>
      <w:pPr>
        <w:spacing w:line="237" w:lineRule="auto" w:before="0"/>
        <w:ind w:left="187" w:right="661" w:firstLine="0"/>
        <w:jc w:val="left"/>
        <w:rPr>
          <w:rFonts w:ascii="Times New Roman"/>
          <w:sz w:val="19"/>
        </w:rPr>
      </w:pPr>
      <w:r>
        <w:rPr>
          <w:rFonts w:ascii="Times New Roman"/>
          <w:sz w:val="19"/>
          <w:vertAlign w:val="superscript"/>
        </w:rPr>
        <w:t>180</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91</w:t>
      </w:r>
      <w:r>
        <w:rPr>
          <w:rFonts w:ascii="Times New Roman"/>
          <w:spacing w:val="-9"/>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Labour</w:t>
      </w:r>
      <w:r>
        <w:rPr>
          <w:rFonts w:ascii="Times New Roman"/>
          <w:spacing w:val="-3"/>
          <w:sz w:val="19"/>
          <w:vertAlign w:val="baseline"/>
        </w:rPr>
        <w:t> </w:t>
      </w:r>
      <w:r>
        <w:rPr>
          <w:rFonts w:ascii="Times New Roman"/>
          <w:sz w:val="19"/>
          <w:vertAlign w:val="baseline"/>
        </w:rPr>
        <w:t>Act</w:t>
      </w:r>
      <w:r>
        <w:rPr>
          <w:rFonts w:ascii="Times New Roman"/>
          <w:i/>
          <w:sz w:val="19"/>
          <w:vertAlign w:val="baseline"/>
        </w:rPr>
        <w:t>,</w:t>
      </w:r>
      <w:r>
        <w:rPr>
          <w:rFonts w:ascii="Times New Roman"/>
          <w:i/>
          <w:spacing w:val="-10"/>
          <w:sz w:val="19"/>
          <w:vertAlign w:val="baseline"/>
        </w:rPr>
        <w:t> </w:t>
      </w:r>
      <w:r>
        <w:rPr>
          <w:rFonts w:ascii="Times New Roman"/>
          <w:i/>
          <w:sz w:val="19"/>
          <w:vertAlign w:val="baseline"/>
        </w:rPr>
        <w:t>op</w:t>
      </w:r>
      <w:r>
        <w:rPr>
          <w:rFonts w:ascii="Times New Roman"/>
          <w:i/>
          <w:spacing w:val="-9"/>
          <w:sz w:val="19"/>
          <w:vertAlign w:val="baseline"/>
        </w:rPr>
        <w:t> </w:t>
      </w:r>
      <w:r>
        <w:rPr>
          <w:rFonts w:ascii="Times New Roman"/>
          <w:i/>
          <w:sz w:val="19"/>
          <w:vertAlign w:val="baseline"/>
        </w:rPr>
        <w:t>cit</w:t>
      </w:r>
      <w:r>
        <w:rPr>
          <w:rFonts w:ascii="Times New Roman"/>
          <w:i/>
          <w:spacing w:val="35"/>
          <w:sz w:val="19"/>
          <w:vertAlign w:val="baseline"/>
        </w:rPr>
        <w:t> </w:t>
      </w:r>
      <w:r>
        <w:rPr>
          <w:rFonts w:ascii="Times New Roman"/>
          <w:sz w:val="19"/>
          <w:vertAlign w:val="baseline"/>
        </w:rPr>
        <w:t>which</w:t>
      </w:r>
      <w:r>
        <w:rPr>
          <w:rFonts w:ascii="Times New Roman"/>
          <w:spacing w:val="-5"/>
          <w:sz w:val="19"/>
          <w:vertAlign w:val="baseline"/>
        </w:rPr>
        <w:t> </w:t>
      </w:r>
      <w:r>
        <w:rPr>
          <w:rFonts w:ascii="Times New Roman"/>
          <w:sz w:val="19"/>
          <w:vertAlign w:val="baseline"/>
        </w:rPr>
        <w:t>defines</w:t>
      </w:r>
      <w:r>
        <w:rPr>
          <w:rFonts w:ascii="Times New Roman"/>
          <w:spacing w:val="-12"/>
          <w:sz w:val="19"/>
          <w:vertAlign w:val="baseline"/>
        </w:rPr>
        <w:t> </w:t>
      </w:r>
      <w:r>
        <w:rPr>
          <w:rFonts w:ascii="Times New Roman"/>
          <w:sz w:val="19"/>
          <w:vertAlign w:val="baseline"/>
        </w:rPr>
        <w:t>an</w:t>
      </w:r>
      <w:r>
        <w:rPr>
          <w:rFonts w:ascii="Times New Roman"/>
          <w:spacing w:val="-1"/>
          <w:sz w:val="19"/>
          <w:vertAlign w:val="baseline"/>
        </w:rPr>
        <w:t> </w:t>
      </w:r>
      <w:r>
        <w:rPr>
          <w:rFonts w:ascii="Times New Roman"/>
          <w:sz w:val="19"/>
          <w:vertAlign w:val="baseline"/>
        </w:rPr>
        <w:t>employer to</w:t>
      </w:r>
      <w:r>
        <w:rPr>
          <w:rFonts w:ascii="Times New Roman"/>
          <w:spacing w:val="-9"/>
          <w:sz w:val="19"/>
          <w:vertAlign w:val="baseline"/>
        </w:rPr>
        <w:t> </w:t>
      </w:r>
      <w:r>
        <w:rPr>
          <w:rFonts w:ascii="Times New Roman"/>
          <w:sz w:val="19"/>
          <w:vertAlign w:val="baseline"/>
        </w:rPr>
        <w:t>include</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agent,</w:t>
      </w:r>
      <w:r>
        <w:rPr>
          <w:rFonts w:ascii="Times New Roman"/>
          <w:spacing w:val="-6"/>
          <w:sz w:val="19"/>
          <w:vertAlign w:val="baseline"/>
        </w:rPr>
        <w:t> </w:t>
      </w:r>
      <w:r>
        <w:rPr>
          <w:rFonts w:ascii="Times New Roman"/>
          <w:sz w:val="19"/>
          <w:vertAlign w:val="baseline"/>
        </w:rPr>
        <w:t>manager</w:t>
      </w:r>
      <w:r>
        <w:rPr>
          <w:rFonts w:ascii="Times New Roman"/>
          <w:spacing w:val="-3"/>
          <w:sz w:val="19"/>
          <w:vertAlign w:val="baseline"/>
        </w:rPr>
        <w:t> </w:t>
      </w:r>
      <w:r>
        <w:rPr>
          <w:rFonts w:ascii="Times New Roman"/>
          <w:sz w:val="19"/>
          <w:vertAlign w:val="baseline"/>
        </w:rPr>
        <w:t>or</w:t>
      </w:r>
      <w:r>
        <w:rPr>
          <w:rFonts w:ascii="Times New Roman"/>
          <w:spacing w:val="-3"/>
          <w:sz w:val="19"/>
          <w:vertAlign w:val="baseline"/>
        </w:rPr>
        <w:t> </w:t>
      </w:r>
      <w:r>
        <w:rPr>
          <w:rFonts w:ascii="Times New Roman"/>
          <w:sz w:val="19"/>
          <w:vertAlign w:val="baseline"/>
        </w:rPr>
        <w:t>factor</w:t>
      </w:r>
      <w:r>
        <w:rPr>
          <w:rFonts w:ascii="Times New Roman"/>
          <w:spacing w:val="-3"/>
          <w:sz w:val="19"/>
          <w:vertAlign w:val="baseline"/>
        </w:rPr>
        <w:t> </w:t>
      </w:r>
      <w:r>
        <w:rPr>
          <w:rFonts w:ascii="Times New Roman"/>
          <w:sz w:val="19"/>
          <w:vertAlign w:val="baseline"/>
        </w:rPr>
        <w:t>of the employer or personal representatives of the deceased employer</w:t>
      </w:r>
    </w:p>
    <w:p>
      <w:pPr>
        <w:spacing w:after="0" w:line="237" w:lineRule="auto"/>
        <w:jc w:val="left"/>
        <w:rPr>
          <w:rFonts w:ascii="Times New Roman"/>
          <w:sz w:val="19"/>
        </w:rPr>
        <w:sectPr>
          <w:pgSz w:w="12240" w:h="15840"/>
          <w:pgMar w:header="0" w:footer="1009" w:top="1260" w:bottom="1200" w:left="1680" w:right="1320"/>
        </w:sectPr>
      </w:pPr>
    </w:p>
    <w:p>
      <w:pPr>
        <w:pStyle w:val="BodyText"/>
        <w:spacing w:line="489" w:lineRule="auto" w:before="94"/>
        <w:ind w:left="864" w:right="567"/>
        <w:jc w:val="both"/>
      </w:pPr>
      <w:r>
        <w:rPr/>
        <w:t>must notify the Head of Department if such lecturer wishes to □i|xdraw money</w:t>
      </w:r>
      <w:r>
        <w:rPr>
          <w:spacing w:val="40"/>
        </w:rPr>
        <w:t> </w:t>
      </w:r>
      <w:r>
        <w:rPr/>
        <w:t>from</w:t>
      </w:r>
      <w:r>
        <w:rPr>
          <w:spacing w:val="40"/>
        </w:rPr>
        <w:t> </w:t>
      </w:r>
      <w:r>
        <w:rPr/>
        <w:t>any</w:t>
      </w:r>
      <w:r>
        <w:rPr>
          <w:spacing w:val="40"/>
        </w:rPr>
        <w:t> </w:t>
      </w:r>
      <w:r>
        <w:rPr/>
        <w:t>bank</w:t>
      </w:r>
      <w:r>
        <w:rPr>
          <w:spacing w:val="40"/>
        </w:rPr>
        <w:t> </w:t>
      </w:r>
      <w:r>
        <w:rPr/>
        <w:t>or</w:t>
      </w:r>
      <w:r>
        <w:rPr>
          <w:spacing w:val="40"/>
        </w:rPr>
        <w:t> </w:t>
      </w:r>
      <w:r>
        <w:rPr/>
        <w:t>any</w:t>
      </w:r>
      <w:r>
        <w:rPr>
          <w:spacing w:val="40"/>
        </w:rPr>
        <w:t> </w:t>
      </w:r>
      <w:r>
        <w:rPr/>
        <w:t>ATM</w:t>
      </w:r>
      <w:r>
        <w:rPr>
          <w:spacing w:val="40"/>
        </w:rPr>
        <w:t> </w:t>
      </w:r>
      <w:r>
        <w:rPr/>
        <w:t>which</w:t>
      </w:r>
      <w:r>
        <w:rPr>
          <w:spacing w:val="40"/>
        </w:rPr>
        <w:t> </w:t>
      </w:r>
      <w:r>
        <w:rPr/>
        <w:t>money</w:t>
      </w:r>
      <w:r>
        <w:rPr>
          <w:spacing w:val="40"/>
        </w:rPr>
        <w:t> </w:t>
      </w:r>
      <w:r>
        <w:rPr/>
        <w:t>is</w:t>
      </w:r>
      <w:r>
        <w:rPr>
          <w:spacing w:val="40"/>
        </w:rPr>
        <w:t> </w:t>
      </w:r>
      <w:r>
        <w:rPr/>
        <w:t>part</w:t>
      </w:r>
      <w:r>
        <w:rPr>
          <w:spacing w:val="40"/>
        </w:rPr>
        <w:t> </w:t>
      </w:r>
      <w:r>
        <w:rPr/>
        <w:t>of</w:t>
      </w:r>
      <w:r>
        <w:rPr>
          <w:spacing w:val="40"/>
        </w:rPr>
        <w:t> </w:t>
      </w:r>
      <w:r>
        <w:rPr/>
        <w:t>his remuneration, before he can be entitled to compensation for accident that occurs, between his place of work and the place of receiving such </w:t>
      </w:r>
      <w:r>
        <w:rPr>
          <w:spacing w:val="-2"/>
        </w:rPr>
        <w:t>remuneration</w:t>
      </w:r>
    </w:p>
    <w:p>
      <w:pPr>
        <w:pStyle w:val="BodyText"/>
        <w:spacing w:before="10"/>
      </w:pPr>
    </w:p>
    <w:p>
      <w:pPr>
        <w:pStyle w:val="BodyText"/>
        <w:spacing w:line="489" w:lineRule="auto"/>
        <w:ind w:left="864" w:right="563"/>
        <w:jc w:val="both"/>
      </w:pPr>
      <w:r>
        <w:rPr/>
        <w:t>The Act provides that where an injury disables an employee from earning</w:t>
      </w:r>
      <w:r>
        <w:rPr>
          <w:spacing w:val="40"/>
        </w:rPr>
        <w:t> </w:t>
      </w:r>
      <w:r>
        <w:rPr/>
        <w:t>full</w:t>
      </w:r>
      <w:r>
        <w:rPr>
          <w:spacing w:val="40"/>
        </w:rPr>
        <w:t> </w:t>
      </w:r>
      <w:r>
        <w:rPr/>
        <w:t>remuneration</w:t>
      </w:r>
      <w:r>
        <w:rPr>
          <w:spacing w:val="40"/>
        </w:rPr>
        <w:t> </w:t>
      </w:r>
      <w:r>
        <w:rPr/>
        <w:t>at</w:t>
      </w:r>
      <w:r>
        <w:rPr>
          <w:spacing w:val="40"/>
        </w:rPr>
        <w:t> </w:t>
      </w:r>
      <w:r>
        <w:rPr/>
        <w:t>the</w:t>
      </w:r>
      <w:r>
        <w:rPr>
          <w:spacing w:val="40"/>
        </w:rPr>
        <w:t> </w:t>
      </w:r>
      <w:r>
        <w:rPr/>
        <w:t>workplace,</w:t>
      </w:r>
      <w:r>
        <w:rPr>
          <w:spacing w:val="40"/>
        </w:rPr>
        <w:t> </w:t>
      </w:r>
      <w:r>
        <w:rPr/>
        <w:t>compensation</w:t>
      </w:r>
      <w:r>
        <w:rPr>
          <w:spacing w:val="40"/>
        </w:rPr>
        <w:t> </w:t>
      </w:r>
      <w:r>
        <w:rPr/>
        <w:t>shall</w:t>
      </w:r>
      <w:r>
        <w:rPr>
          <w:spacing w:val="40"/>
        </w:rPr>
        <w:t> </w:t>
      </w:r>
      <w:r>
        <w:rPr/>
        <w:t>be</w:t>
      </w:r>
      <w:r>
        <w:rPr>
          <w:spacing w:val="40"/>
        </w:rPr>
        <w:t> </w:t>
      </w:r>
      <w:r>
        <w:rPr/>
        <w:t>payable pursuant to the Act from the first working day following the day of the injury, except that only a health care benefit shall be payable in respect of the day of the injury.</w:t>
      </w:r>
      <w:r>
        <w:rPr>
          <w:vertAlign w:val="superscript"/>
        </w:rPr>
        <w:t>181</w:t>
      </w:r>
      <w:r>
        <w:rPr>
          <w:vertAlign w:val="baseline"/>
        </w:rPr>
        <w:t>This provision may be in respect of daily paid workers, since the amount of compensation in other cases are calculated based on the amount of monthly remuneration.</w:t>
      </w:r>
    </w:p>
    <w:p>
      <w:pPr>
        <w:pStyle w:val="BodyText"/>
        <w:spacing w:before="16"/>
      </w:pPr>
    </w:p>
    <w:p>
      <w:pPr>
        <w:pStyle w:val="BodyText"/>
        <w:spacing w:line="489" w:lineRule="auto"/>
        <w:ind w:left="864" w:right="568"/>
        <w:jc w:val="both"/>
      </w:pPr>
      <w:r>
        <w:rPr/>
        <w:t>Also, section 7(4) of the Act says where the injury or disease is caused</w:t>
      </w:r>
      <w:r>
        <w:rPr>
          <w:spacing w:val="24"/>
        </w:rPr>
        <w:t> </w:t>
      </w:r>
      <w:r>
        <w:rPr/>
        <w:t>by</w:t>
      </w:r>
      <w:r>
        <w:rPr>
          <w:spacing w:val="40"/>
        </w:rPr>
        <w:t> </w:t>
      </w:r>
      <w:r>
        <w:rPr/>
        <w:t>an accident and the accident arose out of employment, unless the contrary is shown, it shall be presumed that the injury occurred in the course of employment. This presumption is not necessary because it gives the wrong impression that the two conditions must be met before one earns compensation. Section 7(1) which enumerates the objectives of the Act</w:t>
      </w:r>
      <w:r>
        <w:rPr>
          <w:spacing w:val="80"/>
        </w:rPr>
        <w:t> </w:t>
      </w:r>
      <w:r>
        <w:rPr/>
        <w:t>uses the phrase … “injury arising out of or in the course of employment.” The two conditions are interpreted disjunctively and not conjunctively. The section</w:t>
      </w:r>
      <w:r>
        <w:rPr>
          <w:spacing w:val="15"/>
        </w:rPr>
        <w:t> </w:t>
      </w:r>
      <w:r>
        <w:rPr/>
        <w:t>does</w:t>
      </w:r>
      <w:r>
        <w:rPr>
          <w:spacing w:val="18"/>
        </w:rPr>
        <w:t> </w:t>
      </w:r>
      <w:r>
        <w:rPr/>
        <w:t>not</w:t>
      </w:r>
      <w:r>
        <w:rPr>
          <w:spacing w:val="15"/>
        </w:rPr>
        <w:t> </w:t>
      </w:r>
      <w:r>
        <w:rPr/>
        <w:t>use</w:t>
      </w:r>
      <w:r>
        <w:rPr>
          <w:spacing w:val="19"/>
        </w:rPr>
        <w:t> </w:t>
      </w:r>
      <w:r>
        <w:rPr/>
        <w:t>the</w:t>
      </w:r>
      <w:r>
        <w:rPr>
          <w:spacing w:val="18"/>
        </w:rPr>
        <w:t> </w:t>
      </w:r>
      <w:r>
        <w:rPr/>
        <w:t>word</w:t>
      </w:r>
      <w:r>
        <w:rPr>
          <w:spacing w:val="22"/>
        </w:rPr>
        <w:t> </w:t>
      </w:r>
      <w:r>
        <w:rPr/>
        <w:t>“and”</w:t>
      </w:r>
      <w:r>
        <w:rPr>
          <w:spacing w:val="19"/>
        </w:rPr>
        <w:t> </w:t>
      </w:r>
      <w:r>
        <w:rPr/>
        <w:t>but</w:t>
      </w:r>
      <w:r>
        <w:rPr>
          <w:spacing w:val="15"/>
        </w:rPr>
        <w:t> </w:t>
      </w:r>
      <w:r>
        <w:rPr/>
        <w:t>“or.”</w:t>
      </w:r>
      <w:r>
        <w:rPr>
          <w:spacing w:val="19"/>
        </w:rPr>
        <w:t> </w:t>
      </w:r>
      <w:r>
        <w:rPr/>
        <w:t>Therefore,</w:t>
      </w:r>
      <w:r>
        <w:rPr>
          <w:spacing w:val="18"/>
        </w:rPr>
        <w:t> </w:t>
      </w:r>
      <w:r>
        <w:rPr/>
        <w:t>where</w:t>
      </w:r>
      <w:r>
        <w:rPr>
          <w:spacing w:val="18"/>
        </w:rPr>
        <w:t> </w:t>
      </w:r>
      <w:r>
        <w:rPr/>
        <w:t>the</w:t>
      </w:r>
      <w:r>
        <w:rPr>
          <w:spacing w:val="14"/>
        </w:rPr>
        <w:t> </w:t>
      </w:r>
      <w:r>
        <w:rPr>
          <w:spacing w:val="-2"/>
        </w:rPr>
        <w:t>injury</w:t>
      </w:r>
    </w:p>
    <w:p>
      <w:pPr>
        <w:pStyle w:val="BodyText"/>
        <w:spacing w:before="47"/>
        <w:rPr>
          <w:sz w:val="20"/>
        </w:rPr>
      </w:pPr>
      <w:r>
        <w:rPr/>
        <mc:AlternateContent>
          <mc:Choice Requires="wps">
            <w:drawing>
              <wp:anchor distT="0" distB="0" distL="0" distR="0" allowOverlap="1" layoutInCell="1" locked="0" behindDoc="1" simplePos="0" relativeHeight="487623680">
                <wp:simplePos x="0" y="0"/>
                <wp:positionH relativeFrom="page">
                  <wp:posOffset>1185672</wp:posOffset>
                </wp:positionH>
                <wp:positionV relativeFrom="paragraph">
                  <wp:posOffset>198402</wp:posOffset>
                </wp:positionV>
                <wp:extent cx="1719580" cy="6350"/>
                <wp:effectExtent l="0" t="0" r="0" b="0"/>
                <wp:wrapTopAndBottom/>
                <wp:docPr id="85" name="Graphic 85"/>
                <wp:cNvGraphicFramePr>
                  <a:graphicFrameLocks/>
                </wp:cNvGraphicFramePr>
                <a:graphic>
                  <a:graphicData uri="http://schemas.microsoft.com/office/word/2010/wordprocessingShape">
                    <wps:wsp>
                      <wps:cNvPr id="85" name="Graphic 85"/>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5.622266pt;width:135.360pt;height:.48pt;mso-position-horizontal-relative:page;mso-position-vertical-relative:paragraph;z-index:-15692800;mso-wrap-distance-left:0;mso-wrap-distance-right:0" id="docshape85" filled="true" fillcolor="#000000" stroked="false">
                <v:fill type="solid"/>
                <w10:wrap type="topAndBottom"/>
              </v:rect>
            </w:pict>
          </mc:Fallback>
        </mc:AlternateContent>
      </w:r>
    </w:p>
    <w:p>
      <w:pPr>
        <w:spacing w:before="91"/>
        <w:ind w:left="187" w:right="0" w:firstLine="0"/>
        <w:jc w:val="left"/>
        <w:rPr>
          <w:rFonts w:ascii="Times New Roman"/>
          <w:i/>
          <w:sz w:val="19"/>
        </w:rPr>
      </w:pPr>
      <w:r>
        <w:rPr>
          <w:rFonts w:ascii="Times New Roman"/>
          <w:sz w:val="19"/>
          <w:vertAlign w:val="superscript"/>
        </w:rPr>
        <w:t>181</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7(3</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after="0"/>
        <w:jc w:val="left"/>
        <w:rPr>
          <w:rFonts w:ascii="Times New Roman"/>
          <w:sz w:val="19"/>
        </w:rPr>
        <w:sectPr>
          <w:pgSz w:w="12240" w:h="15840"/>
          <w:pgMar w:header="0" w:footer="1009" w:top="1260" w:bottom="1200" w:left="1680" w:right="1320"/>
        </w:sectPr>
      </w:pPr>
    </w:p>
    <w:p>
      <w:pPr>
        <w:pStyle w:val="BodyText"/>
        <w:spacing w:line="489" w:lineRule="auto" w:before="94"/>
        <w:ind w:left="864" w:right="565"/>
        <w:jc w:val="both"/>
      </w:pPr>
      <w:r>
        <w:rPr/>
        <w:t>arises out of employment, it is compensated for and where it occurs in the course of employment, it is also compensated for.</w:t>
      </w:r>
    </w:p>
    <w:p>
      <w:pPr>
        <w:pStyle w:val="BodyText"/>
        <w:spacing w:line="489" w:lineRule="auto"/>
        <w:ind w:left="864" w:right="564"/>
        <w:jc w:val="both"/>
      </w:pPr>
      <w:r>
        <w:rPr/>
        <w:t>Where an employee suffers any existing disability and the injury or disease</w:t>
      </w:r>
      <w:r>
        <w:rPr>
          <w:spacing w:val="40"/>
        </w:rPr>
        <w:t> </w:t>
      </w:r>
      <w:r>
        <w:rPr/>
        <w:t>is</w:t>
      </w:r>
      <w:r>
        <w:rPr>
          <w:spacing w:val="40"/>
        </w:rPr>
        <w:t> </w:t>
      </w:r>
      <w:r>
        <w:rPr/>
        <w:t>superimposed</w:t>
      </w:r>
      <w:r>
        <w:rPr>
          <w:spacing w:val="40"/>
        </w:rPr>
        <w:t> </w:t>
      </w:r>
      <w:r>
        <w:rPr/>
        <w:t>on</w:t>
      </w:r>
      <w:r>
        <w:rPr>
          <w:spacing w:val="40"/>
        </w:rPr>
        <w:t> </w:t>
      </w:r>
      <w:r>
        <w:rPr/>
        <w:t>it,</w:t>
      </w:r>
      <w:r>
        <w:rPr>
          <w:spacing w:val="40"/>
        </w:rPr>
        <w:t> </w:t>
      </w:r>
      <w:r>
        <w:rPr/>
        <w:t>the</w:t>
      </w:r>
      <w:r>
        <w:rPr>
          <w:spacing w:val="40"/>
        </w:rPr>
        <w:t> </w:t>
      </w:r>
      <w:r>
        <w:rPr/>
        <w:t>compensation</w:t>
      </w:r>
      <w:r>
        <w:rPr>
          <w:spacing w:val="40"/>
        </w:rPr>
        <w:t> </w:t>
      </w:r>
      <w:r>
        <w:rPr/>
        <w:t>is</w:t>
      </w:r>
      <w:r>
        <w:rPr>
          <w:spacing w:val="40"/>
        </w:rPr>
        <w:t> </w:t>
      </w:r>
      <w:r>
        <w:rPr/>
        <w:t>calculated</w:t>
      </w:r>
      <w:r>
        <w:rPr>
          <w:spacing w:val="40"/>
        </w:rPr>
        <w:t> </w:t>
      </w:r>
      <w:r>
        <w:rPr/>
        <w:t>based</w:t>
      </w:r>
      <w:r>
        <w:rPr>
          <w:spacing w:val="40"/>
        </w:rPr>
        <w:t> </w:t>
      </w:r>
      <w:r>
        <w:rPr/>
        <w:t>on</w:t>
      </w:r>
      <w:r>
        <w:rPr>
          <w:spacing w:val="40"/>
        </w:rPr>
        <w:t> </w:t>
      </w:r>
      <w:r>
        <w:rPr/>
        <w:t>the amount of the difference between the two disabilities.</w:t>
      </w:r>
      <w:r>
        <w:rPr>
          <w:vertAlign w:val="superscript"/>
        </w:rPr>
        <w:t>182</w:t>
      </w:r>
      <w:r>
        <w:rPr>
          <w:vertAlign w:val="baseline"/>
        </w:rPr>
        <w:t>This is probably because, the Board can only compensate for disabilities which indeed happened out of or in the course of employment.</w:t>
      </w:r>
    </w:p>
    <w:p>
      <w:pPr>
        <w:pStyle w:val="Heading3"/>
        <w:numPr>
          <w:ilvl w:val="2"/>
          <w:numId w:val="13"/>
        </w:numPr>
        <w:tabs>
          <w:tab w:pos="860" w:val="left" w:leader="none"/>
        </w:tabs>
        <w:spacing w:line="240" w:lineRule="auto" w:before="5" w:after="0"/>
        <w:ind w:left="860" w:right="0" w:hanging="673"/>
        <w:jc w:val="left"/>
      </w:pPr>
      <w:bookmarkStart w:name="_TOC_250017" w:id="13"/>
      <w:r>
        <w:rPr/>
        <w:t>Hearing</w:t>
      </w:r>
      <w:r>
        <w:rPr>
          <w:spacing w:val="15"/>
        </w:rPr>
        <w:t> </w:t>
      </w:r>
      <w:bookmarkEnd w:id="13"/>
      <w:r>
        <w:rPr>
          <w:spacing w:val="-2"/>
        </w:rPr>
        <w:t>Impairment</w:t>
      </w:r>
    </w:p>
    <w:p>
      <w:pPr>
        <w:pStyle w:val="BodyText"/>
        <w:spacing w:before="16"/>
        <w:rPr>
          <w:b/>
        </w:rPr>
      </w:pPr>
    </w:p>
    <w:p>
      <w:pPr>
        <w:pStyle w:val="BodyText"/>
        <w:spacing w:line="489" w:lineRule="auto"/>
        <w:ind w:left="864" w:right="565"/>
        <w:jc w:val="both"/>
      </w:pPr>
      <w:r>
        <w:rPr/>
        <w:t>Section 10(1) of the Act provides that where an employee suffers from hearing impairment of non-traumatic origin, but arising out of or in the course of employment, the employee shall be entitled to compensation. Oayre</w:t>
      </w:r>
      <w:r>
        <w:rPr>
          <w:spacing w:val="40"/>
        </w:rPr>
        <w:t> </w:t>
      </w:r>
      <w:r>
        <w:rPr/>
        <w:t>hearing</w:t>
      </w:r>
      <w:r>
        <w:rPr>
          <w:spacing w:val="40"/>
        </w:rPr>
        <w:t> </w:t>
      </w:r>
      <w:r>
        <w:rPr/>
        <w:t>impairment</w:t>
      </w:r>
      <w:r>
        <w:rPr>
          <w:spacing w:val="40"/>
        </w:rPr>
        <w:t> </w:t>
      </w:r>
      <w:r>
        <w:rPr/>
        <w:t>has</w:t>
      </w:r>
      <w:r>
        <w:rPr>
          <w:spacing w:val="40"/>
        </w:rPr>
        <w:t> </w:t>
      </w:r>
      <w:r>
        <w:rPr/>
        <w:t>to</w:t>
      </w:r>
      <w:r>
        <w:rPr>
          <w:spacing w:val="40"/>
        </w:rPr>
        <w:t> </w:t>
      </w:r>
      <w:r>
        <w:rPr/>
        <w:t>be</w:t>
      </w:r>
      <w:r>
        <w:rPr>
          <w:spacing w:val="40"/>
        </w:rPr>
        <w:t> </w:t>
      </w:r>
      <w:r>
        <w:rPr/>
        <w:t>of</w:t>
      </w:r>
      <w:r>
        <w:rPr>
          <w:spacing w:val="40"/>
        </w:rPr>
        <w:t> </w:t>
      </w:r>
      <w:r>
        <w:rPr/>
        <w:t>non-traumatic</w:t>
      </w:r>
      <w:r>
        <w:rPr>
          <w:spacing w:val="40"/>
        </w:rPr>
        <w:t> </w:t>
      </w:r>
      <w:r>
        <w:rPr/>
        <w:t>origin</w:t>
      </w:r>
      <w:r>
        <w:rPr>
          <w:spacing w:val="40"/>
        </w:rPr>
        <w:t> </w:t>
      </w:r>
      <w:r>
        <w:rPr/>
        <w:t>because where</w:t>
      </w:r>
      <w:r>
        <w:rPr>
          <w:spacing w:val="23"/>
        </w:rPr>
        <w:t> </w:t>
      </w:r>
      <w:r>
        <w:rPr/>
        <w:t>it</w:t>
      </w:r>
      <w:r>
        <w:rPr>
          <w:spacing w:val="20"/>
        </w:rPr>
        <w:t> </w:t>
      </w:r>
      <w:r>
        <w:rPr/>
        <w:t>is</w:t>
      </w:r>
      <w:r>
        <w:rPr>
          <w:spacing w:val="28"/>
        </w:rPr>
        <w:t> </w:t>
      </w:r>
      <w:r>
        <w:rPr/>
        <w:t>of</w:t>
      </w:r>
      <w:r>
        <w:rPr>
          <w:spacing w:val="29"/>
        </w:rPr>
        <w:t> </w:t>
      </w:r>
      <w:r>
        <w:rPr/>
        <w:t>traumatic</w:t>
      </w:r>
      <w:r>
        <w:rPr>
          <w:spacing w:val="35"/>
        </w:rPr>
        <w:t> </w:t>
      </w:r>
      <w:r>
        <w:rPr/>
        <w:t>origin,</w:t>
      </w:r>
      <w:r>
        <w:rPr>
          <w:spacing w:val="27"/>
        </w:rPr>
        <w:t> </w:t>
      </w:r>
      <w:r>
        <w:rPr/>
        <w:t>it</w:t>
      </w:r>
      <w:r>
        <w:rPr>
          <w:spacing w:val="25"/>
        </w:rPr>
        <w:t> </w:t>
      </w:r>
      <w:r>
        <w:rPr/>
        <w:t>will</w:t>
      </w:r>
      <w:r>
        <w:rPr>
          <w:spacing w:val="27"/>
        </w:rPr>
        <w:t> </w:t>
      </w:r>
      <w:r>
        <w:rPr/>
        <w:t>belong</w:t>
      </w:r>
      <w:r>
        <w:rPr>
          <w:spacing w:val="26"/>
        </w:rPr>
        <w:t> </w:t>
      </w:r>
      <w:r>
        <w:rPr/>
        <w:t>to</w:t>
      </w:r>
      <w:r>
        <w:rPr>
          <w:spacing w:val="24"/>
        </w:rPr>
        <w:t> </w:t>
      </w:r>
      <w:r>
        <w:rPr/>
        <w:t>the</w:t>
      </w:r>
      <w:r>
        <w:rPr>
          <w:spacing w:val="24"/>
        </w:rPr>
        <w:t> </w:t>
      </w:r>
      <w:r>
        <w:rPr/>
        <w:t>class</w:t>
      </w:r>
      <w:r>
        <w:rPr>
          <w:spacing w:val="27"/>
        </w:rPr>
        <w:t> </w:t>
      </w:r>
      <w:r>
        <w:rPr/>
        <w:t>of</w:t>
      </w:r>
      <w:r>
        <w:rPr>
          <w:spacing w:val="29"/>
        </w:rPr>
        <w:t> </w:t>
      </w:r>
      <w:r>
        <w:rPr/>
        <w:t>mental</w:t>
      </w:r>
      <w:r>
        <w:rPr>
          <w:spacing w:val="26"/>
        </w:rPr>
        <w:t> </w:t>
      </w:r>
      <w:r>
        <w:rPr>
          <w:spacing w:val="-2"/>
        </w:rPr>
        <w:t>stress</w:t>
      </w:r>
    </w:p>
    <w:p>
      <w:pPr>
        <w:pStyle w:val="BodyText"/>
        <w:spacing w:line="489" w:lineRule="auto" w:before="5"/>
        <w:ind w:left="864" w:right="565"/>
        <w:jc w:val="both"/>
      </w:pPr>
      <w:r>
        <w:rPr/>
        <w:t>.As for</w:t>
      </w:r>
      <w:r>
        <w:rPr>
          <w:spacing w:val="80"/>
        </w:rPr>
        <w:t> </w:t>
      </w:r>
      <w:r>
        <w:rPr/>
        <w:t>the meaning of hearing impairment ,there is no definition for ‘hearing impairment’ in the Act. Medically, hearing impairment is a generic term including both deaf and hard of hearing which refers to persons with any type of degree of hearing loss that causes difficulty working in a traditional</w:t>
      </w:r>
      <w:r>
        <w:rPr>
          <w:spacing w:val="40"/>
        </w:rPr>
        <w:t> </w:t>
      </w:r>
      <w:r>
        <w:rPr/>
        <w:t>way.</w:t>
      </w:r>
      <w:r>
        <w:rPr>
          <w:vertAlign w:val="superscript"/>
        </w:rPr>
        <w:t>183</w:t>
      </w:r>
      <w:r>
        <w:rPr>
          <w:spacing w:val="40"/>
          <w:vertAlign w:val="baseline"/>
        </w:rPr>
        <w:t> </w:t>
      </w:r>
      <w:r>
        <w:rPr>
          <w:vertAlign w:val="baseline"/>
        </w:rPr>
        <w:t>The</w:t>
      </w:r>
      <w:r>
        <w:rPr>
          <w:spacing w:val="40"/>
          <w:vertAlign w:val="baseline"/>
        </w:rPr>
        <w:t> </w:t>
      </w:r>
      <w:r>
        <w:rPr>
          <w:vertAlign w:val="baseline"/>
        </w:rPr>
        <w:t>term</w:t>
      </w:r>
      <w:r>
        <w:rPr>
          <w:spacing w:val="40"/>
          <w:vertAlign w:val="baseline"/>
        </w:rPr>
        <w:t> </w:t>
      </w:r>
      <w:r>
        <w:rPr>
          <w:vertAlign w:val="baseline"/>
        </w:rPr>
        <w:t>“deaf”</w:t>
      </w:r>
      <w:r>
        <w:rPr>
          <w:spacing w:val="40"/>
          <w:vertAlign w:val="baseline"/>
        </w:rPr>
        <w:t> </w:t>
      </w:r>
      <w:r>
        <w:rPr>
          <w:vertAlign w:val="baseline"/>
        </w:rPr>
        <w:t>is</w:t>
      </w:r>
      <w:r>
        <w:rPr>
          <w:spacing w:val="40"/>
          <w:vertAlign w:val="baseline"/>
        </w:rPr>
        <w:t> </w:t>
      </w:r>
      <w:r>
        <w:rPr>
          <w:vertAlign w:val="baseline"/>
        </w:rPr>
        <w:t>used</w:t>
      </w:r>
      <w:r>
        <w:rPr>
          <w:spacing w:val="40"/>
          <w:vertAlign w:val="baseline"/>
        </w:rPr>
        <w:t> </w:t>
      </w:r>
      <w:r>
        <w:rPr>
          <w:vertAlign w:val="baseline"/>
        </w:rPr>
        <w:t>to</w:t>
      </w:r>
      <w:r>
        <w:rPr>
          <w:spacing w:val="40"/>
          <w:vertAlign w:val="baseline"/>
        </w:rPr>
        <w:t> </w:t>
      </w:r>
      <w:r>
        <w:rPr>
          <w:vertAlign w:val="baseline"/>
        </w:rPr>
        <w:t>describe</w:t>
      </w:r>
      <w:r>
        <w:rPr>
          <w:spacing w:val="40"/>
          <w:vertAlign w:val="baseline"/>
        </w:rPr>
        <w:t> </w:t>
      </w:r>
      <w:r>
        <w:rPr>
          <w:vertAlign w:val="baseline"/>
        </w:rPr>
        <w:t>people</w:t>
      </w:r>
      <w:r>
        <w:rPr>
          <w:spacing w:val="40"/>
          <w:vertAlign w:val="baseline"/>
        </w:rPr>
        <w:t> </w:t>
      </w:r>
      <w:r>
        <w:rPr>
          <w:vertAlign w:val="baseline"/>
        </w:rPr>
        <w:t>with profound hearing loss such that they cannot benefit from amplification,</w:t>
      </w:r>
      <w:r>
        <w:rPr>
          <w:spacing w:val="40"/>
          <w:vertAlign w:val="baseline"/>
        </w:rPr>
        <w:t> </w:t>
      </w:r>
      <w:r>
        <w:rPr>
          <w:vertAlign w:val="baseline"/>
        </w:rPr>
        <w:t>while hard of hearing is used for those with mild to severe hearing loss but who can benefit from amplification.</w:t>
      </w:r>
      <w:r>
        <w:rPr>
          <w:vertAlign w:val="superscript"/>
        </w:rPr>
        <w:t>184</w:t>
      </w:r>
    </w:p>
    <w:p>
      <w:pPr>
        <w:pStyle w:val="BodyText"/>
        <w:spacing w:before="181"/>
        <w:rPr>
          <w:sz w:val="20"/>
        </w:rPr>
      </w:pPr>
      <w:r>
        <w:rPr/>
        <mc:AlternateContent>
          <mc:Choice Requires="wps">
            <w:drawing>
              <wp:anchor distT="0" distB="0" distL="0" distR="0" allowOverlap="1" layoutInCell="1" locked="0" behindDoc="1" simplePos="0" relativeHeight="487624192">
                <wp:simplePos x="0" y="0"/>
                <wp:positionH relativeFrom="page">
                  <wp:posOffset>1185672</wp:posOffset>
                </wp:positionH>
                <wp:positionV relativeFrom="paragraph">
                  <wp:posOffset>283708</wp:posOffset>
                </wp:positionV>
                <wp:extent cx="1719580" cy="6350"/>
                <wp:effectExtent l="0" t="0" r="0" b="0"/>
                <wp:wrapTopAndBottom/>
                <wp:docPr id="86" name="Graphic 86"/>
                <wp:cNvGraphicFramePr>
                  <a:graphicFrameLocks/>
                </wp:cNvGraphicFramePr>
                <a:graphic>
                  <a:graphicData uri="http://schemas.microsoft.com/office/word/2010/wordprocessingShape">
                    <wps:wsp>
                      <wps:cNvPr id="86" name="Graphic 86"/>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2.339218pt;width:135.360pt;height:.48pt;mso-position-horizontal-relative:page;mso-position-vertical-relative:paragraph;z-index:-15692288;mso-wrap-distance-left:0;mso-wrap-distance-right:0" id="docshape86"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182</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7(5)</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pacing w:val="-2"/>
          <w:sz w:val="19"/>
          <w:vertAlign w:val="superscript"/>
        </w:rPr>
        <w:t>183</w:t>
      </w:r>
      <w:r>
        <w:rPr>
          <w:rFonts w:ascii="Times New Roman"/>
          <w:spacing w:val="8"/>
          <w:sz w:val="19"/>
          <w:vertAlign w:val="baseline"/>
        </w:rPr>
        <w:t> </w:t>
      </w:r>
      <w:hyperlink r:id="rId20">
        <w:r>
          <w:rPr>
            <w:rFonts w:ascii="Times New Roman"/>
            <w:spacing w:val="-2"/>
            <w:sz w:val="19"/>
            <w:vertAlign w:val="baseline"/>
          </w:rPr>
          <w:t>http://</w:t>
        </w:r>
        <w:r>
          <w:rPr>
            <w:rFonts w:ascii="Times New Roman"/>
            <w:i/>
            <w:spacing w:val="-2"/>
            <w:sz w:val="19"/>
            <w:vertAlign w:val="baseline"/>
          </w:rPr>
          <w:t>www.apt.gc.ca/wat/wb14200e.asp?did=</w:t>
        </w:r>
        <w:r>
          <w:rPr>
            <w:rFonts w:ascii="Times New Roman"/>
            <w:spacing w:val="-2"/>
            <w:sz w:val="19"/>
            <w:vertAlign w:val="baseline"/>
          </w:rPr>
          <w:t>5-April</w:t>
        </w:r>
      </w:hyperlink>
      <w:r>
        <w:rPr>
          <w:rFonts w:ascii="Times New Roman"/>
          <w:spacing w:val="6"/>
          <w:sz w:val="19"/>
          <w:vertAlign w:val="baseline"/>
        </w:rPr>
        <w:t> </w:t>
      </w:r>
      <w:r>
        <w:rPr>
          <w:rFonts w:ascii="Times New Roman"/>
          <w:spacing w:val="-2"/>
          <w:sz w:val="19"/>
          <w:vertAlign w:val="baseline"/>
        </w:rPr>
        <w:t>3,2012</w:t>
      </w:r>
      <w:r>
        <w:rPr>
          <w:rFonts w:ascii="Times New Roman"/>
          <w:spacing w:val="7"/>
          <w:sz w:val="19"/>
          <w:vertAlign w:val="baseline"/>
        </w:rPr>
        <w:t> </w:t>
      </w:r>
      <w:r>
        <w:rPr>
          <w:rFonts w:ascii="Times New Roman"/>
          <w:spacing w:val="-2"/>
          <w:sz w:val="19"/>
          <w:vertAlign w:val="baseline"/>
        </w:rPr>
        <w:t>7:51pm</w:t>
      </w:r>
    </w:p>
    <w:p>
      <w:pPr>
        <w:spacing w:line="217" w:lineRule="exact" w:before="0"/>
        <w:ind w:left="187" w:right="0" w:firstLine="0"/>
        <w:jc w:val="left"/>
        <w:rPr>
          <w:rFonts w:ascii="Times New Roman"/>
          <w:i/>
          <w:sz w:val="19"/>
        </w:rPr>
      </w:pPr>
      <w:r>
        <w:rPr>
          <w:rFonts w:ascii="Times New Roman"/>
          <w:sz w:val="19"/>
          <w:vertAlign w:val="superscript"/>
        </w:rPr>
        <w:t>184</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5"/>
        <w:jc w:val="both"/>
      </w:pPr>
      <w:r>
        <w:rPr/>
        <w:t>Where the hearing impairment amounts to deafness but with no loss of earnings</w:t>
      </w:r>
      <w:r>
        <w:rPr>
          <w:spacing w:val="40"/>
        </w:rPr>
        <w:t> </w:t>
      </w:r>
      <w:r>
        <w:rPr/>
        <w:t>resulting from</w:t>
      </w:r>
      <w:r>
        <w:rPr>
          <w:spacing w:val="40"/>
        </w:rPr>
        <w:t> </w:t>
      </w:r>
      <w:r>
        <w:rPr/>
        <w:t>such impairment,</w:t>
      </w:r>
      <w:r>
        <w:rPr>
          <w:spacing w:val="40"/>
        </w:rPr>
        <w:t> </w:t>
      </w:r>
      <w:r>
        <w:rPr/>
        <w:t>compensation is</w:t>
      </w:r>
      <w:r>
        <w:rPr>
          <w:spacing w:val="40"/>
        </w:rPr>
        <w:t> </w:t>
      </w:r>
      <w:r>
        <w:rPr/>
        <w:t>calculated as may be provided by regulations made by the Board under the Act in consultation</w:t>
      </w:r>
      <w:r>
        <w:rPr>
          <w:spacing w:val="34"/>
        </w:rPr>
        <w:t> </w:t>
      </w:r>
      <w:r>
        <w:rPr/>
        <w:t>with</w:t>
      </w:r>
      <w:r>
        <w:rPr>
          <w:spacing w:val="39"/>
        </w:rPr>
        <w:t> </w:t>
      </w:r>
      <w:r>
        <w:rPr/>
        <w:t>the</w:t>
      </w:r>
      <w:r>
        <w:rPr>
          <w:spacing w:val="31"/>
        </w:rPr>
        <w:t> </w:t>
      </w:r>
      <w:r>
        <w:rPr/>
        <w:t>National</w:t>
      </w:r>
      <w:r>
        <w:rPr>
          <w:spacing w:val="40"/>
        </w:rPr>
        <w:t> </w:t>
      </w:r>
      <w:r>
        <w:rPr/>
        <w:t>Council</w:t>
      </w:r>
      <w:r>
        <w:rPr>
          <w:spacing w:val="34"/>
        </w:rPr>
        <w:t> </w:t>
      </w:r>
      <w:r>
        <w:rPr/>
        <w:t>for</w:t>
      </w:r>
      <w:r>
        <w:rPr>
          <w:spacing w:val="36"/>
        </w:rPr>
        <w:t> </w:t>
      </w:r>
      <w:r>
        <w:rPr/>
        <w:t>Occupational</w:t>
      </w:r>
      <w:r>
        <w:rPr>
          <w:spacing w:val="34"/>
        </w:rPr>
        <w:t> </w:t>
      </w:r>
      <w:r>
        <w:rPr/>
        <w:t>Safety</w:t>
      </w:r>
      <w:r>
        <w:rPr>
          <w:spacing w:val="40"/>
        </w:rPr>
        <w:t> </w:t>
      </w:r>
      <w:r>
        <w:rPr/>
        <w:t>and</w:t>
      </w:r>
      <w:r>
        <w:rPr>
          <w:spacing w:val="34"/>
        </w:rPr>
        <w:t> </w:t>
      </w:r>
      <w:r>
        <w:rPr/>
        <w:t>Health in</w:t>
      </w:r>
      <w:r>
        <w:rPr>
          <w:spacing w:val="40"/>
        </w:rPr>
        <w:t> </w:t>
      </w:r>
      <w:r>
        <w:rPr/>
        <w:t>respect</w:t>
      </w:r>
      <w:r>
        <w:rPr>
          <w:spacing w:val="40"/>
        </w:rPr>
        <w:t> </w:t>
      </w:r>
      <w:r>
        <w:rPr/>
        <w:t>of</w:t>
      </w:r>
      <w:r>
        <w:rPr>
          <w:spacing w:val="40"/>
        </w:rPr>
        <w:t> </w:t>
      </w:r>
      <w:r>
        <w:rPr/>
        <w:t>the</w:t>
      </w:r>
      <w:r>
        <w:rPr>
          <w:spacing w:val="40"/>
        </w:rPr>
        <w:t> </w:t>
      </w:r>
      <w:r>
        <w:rPr/>
        <w:t>ranges</w:t>
      </w:r>
      <w:r>
        <w:rPr>
          <w:spacing w:val="40"/>
        </w:rPr>
        <w:t> </w:t>
      </w:r>
      <w:r>
        <w:rPr/>
        <w:t>of</w:t>
      </w:r>
      <w:r>
        <w:rPr>
          <w:spacing w:val="40"/>
        </w:rPr>
        <w:t> </w:t>
      </w:r>
      <w:r>
        <w:rPr/>
        <w:t>hearing</w:t>
      </w:r>
      <w:r>
        <w:rPr>
          <w:spacing w:val="40"/>
        </w:rPr>
        <w:t> </w:t>
      </w:r>
      <w:r>
        <w:rPr/>
        <w:t>impairment,</w:t>
      </w:r>
      <w:r>
        <w:rPr>
          <w:spacing w:val="40"/>
        </w:rPr>
        <w:t> </w:t>
      </w:r>
      <w:r>
        <w:rPr/>
        <w:t>the</w:t>
      </w:r>
      <w:r>
        <w:rPr>
          <w:spacing w:val="40"/>
        </w:rPr>
        <w:t> </w:t>
      </w:r>
      <w:r>
        <w:rPr/>
        <w:t>percentage</w:t>
      </w:r>
      <w:r>
        <w:rPr>
          <w:spacing w:val="40"/>
        </w:rPr>
        <w:t> </w:t>
      </w:r>
      <w:r>
        <w:rPr/>
        <w:t>of disability, the methods or frequencies to be used to measure hearing impairment and any other matter relating to hearing impairment.</w:t>
      </w:r>
      <w:r>
        <w:rPr>
          <w:vertAlign w:val="superscript"/>
        </w:rPr>
        <w:t>185</w:t>
      </w:r>
      <w:r>
        <w:rPr>
          <w:vertAlign w:val="baseline"/>
        </w:rPr>
        <w:t> It is better</w:t>
      </w:r>
      <w:r>
        <w:rPr>
          <w:spacing w:val="39"/>
          <w:vertAlign w:val="baseline"/>
        </w:rPr>
        <w:t> </w:t>
      </w:r>
      <w:r>
        <w:rPr>
          <w:vertAlign w:val="baseline"/>
        </w:rPr>
        <w:t>for</w:t>
      </w:r>
      <w:r>
        <w:rPr>
          <w:spacing w:val="39"/>
          <w:vertAlign w:val="baseline"/>
        </w:rPr>
        <w:t> </w:t>
      </w:r>
      <w:r>
        <w:rPr>
          <w:vertAlign w:val="baseline"/>
        </w:rPr>
        <w:t>compensation</w:t>
      </w:r>
      <w:r>
        <w:rPr>
          <w:spacing w:val="40"/>
          <w:vertAlign w:val="baseline"/>
        </w:rPr>
        <w:t> </w:t>
      </w:r>
      <w:r>
        <w:rPr>
          <w:vertAlign w:val="baseline"/>
        </w:rPr>
        <w:t>here</w:t>
      </w:r>
      <w:r>
        <w:rPr>
          <w:spacing w:val="40"/>
          <w:vertAlign w:val="baseline"/>
        </w:rPr>
        <w:t> </w:t>
      </w:r>
      <w:r>
        <w:rPr>
          <w:vertAlign w:val="baseline"/>
        </w:rPr>
        <w:t>to</w:t>
      </w:r>
      <w:r>
        <w:rPr>
          <w:spacing w:val="40"/>
          <w:vertAlign w:val="baseline"/>
        </w:rPr>
        <w:t> </w:t>
      </w:r>
      <w:r>
        <w:rPr>
          <w:vertAlign w:val="baseline"/>
        </w:rPr>
        <w:t>be</w:t>
      </w:r>
      <w:r>
        <w:rPr>
          <w:spacing w:val="39"/>
          <w:vertAlign w:val="baseline"/>
        </w:rPr>
        <w:t> </w:t>
      </w:r>
      <w:r>
        <w:rPr>
          <w:vertAlign w:val="baseline"/>
        </w:rPr>
        <w:t>prescribed</w:t>
      </w:r>
      <w:r>
        <w:rPr>
          <w:spacing w:val="40"/>
          <w:vertAlign w:val="baseline"/>
        </w:rPr>
        <w:t> </w:t>
      </w:r>
      <w:r>
        <w:rPr>
          <w:vertAlign w:val="baseline"/>
        </w:rPr>
        <w:t>under</w:t>
      </w:r>
      <w:r>
        <w:rPr>
          <w:spacing w:val="39"/>
          <w:vertAlign w:val="baseline"/>
        </w:rPr>
        <w:t> </w:t>
      </w:r>
      <w:r>
        <w:rPr>
          <w:vertAlign w:val="baseline"/>
        </w:rPr>
        <w:t>the</w:t>
      </w:r>
      <w:r>
        <w:rPr>
          <w:spacing w:val="39"/>
          <w:vertAlign w:val="baseline"/>
        </w:rPr>
        <w:t> </w:t>
      </w:r>
      <w:r>
        <w:rPr>
          <w:vertAlign w:val="baseline"/>
        </w:rPr>
        <w:t>Act</w:t>
      </w:r>
      <w:r>
        <w:rPr>
          <w:spacing w:val="40"/>
          <w:vertAlign w:val="baseline"/>
        </w:rPr>
        <w:t> </w:t>
      </w:r>
      <w:r>
        <w:rPr>
          <w:vertAlign w:val="baseline"/>
        </w:rPr>
        <w:t>than</w:t>
      </w:r>
      <w:r>
        <w:rPr>
          <w:spacing w:val="40"/>
          <w:vertAlign w:val="baseline"/>
        </w:rPr>
        <w:t> </w:t>
      </w:r>
      <w:r>
        <w:rPr>
          <w:vertAlign w:val="baseline"/>
        </w:rPr>
        <w:t>under any regulations. Also, the phrase “as may be provided by regulations made by the Board” suggests</w:t>
      </w:r>
      <w:r>
        <w:rPr>
          <w:spacing w:val="40"/>
          <w:vertAlign w:val="baseline"/>
        </w:rPr>
        <w:t> </w:t>
      </w:r>
      <w:r>
        <w:rPr>
          <w:vertAlign w:val="baseline"/>
        </w:rPr>
        <w:t>that the Board</w:t>
      </w:r>
      <w:r>
        <w:rPr>
          <w:spacing w:val="40"/>
          <w:vertAlign w:val="baseline"/>
        </w:rPr>
        <w:t> </w:t>
      </w:r>
      <w:r>
        <w:rPr>
          <w:vertAlign w:val="baseline"/>
        </w:rPr>
        <w:t>is not</w:t>
      </w:r>
      <w:r>
        <w:rPr>
          <w:spacing w:val="40"/>
          <w:vertAlign w:val="baseline"/>
        </w:rPr>
        <w:t> </w:t>
      </w:r>
      <w:r>
        <w:rPr>
          <w:vertAlign w:val="baseline"/>
        </w:rPr>
        <w:t>under</w:t>
      </w:r>
      <w:r>
        <w:rPr>
          <w:spacing w:val="40"/>
          <w:vertAlign w:val="baseline"/>
        </w:rPr>
        <w:t> </w:t>
      </w:r>
      <w:r>
        <w:rPr>
          <w:vertAlign w:val="baseline"/>
        </w:rPr>
        <w:t>any obligation to provide such regulation. If compensation on the scale for a total or partial disability as established under the Act is payable in a case where loss or reduction of earning results from hearing impairment,</w:t>
      </w:r>
      <w:r>
        <w:rPr>
          <w:vertAlign w:val="superscript"/>
        </w:rPr>
        <w:t>186</w:t>
      </w:r>
      <w:r>
        <w:rPr>
          <w:vertAlign w:val="baseline"/>
        </w:rPr>
        <w:t> then it may sound evasive</w:t>
      </w:r>
      <w:r>
        <w:rPr>
          <w:spacing w:val="40"/>
          <w:vertAlign w:val="baseline"/>
        </w:rPr>
        <w:t> </w:t>
      </w:r>
      <w:r>
        <w:rPr>
          <w:vertAlign w:val="baseline"/>
        </w:rPr>
        <w:t>to</w:t>
      </w:r>
      <w:r>
        <w:rPr>
          <w:spacing w:val="40"/>
          <w:vertAlign w:val="baseline"/>
        </w:rPr>
        <w:t> </w:t>
      </w:r>
      <w:r>
        <w:rPr>
          <w:vertAlign w:val="baseline"/>
        </w:rPr>
        <w:t>say</w:t>
      </w:r>
      <w:r>
        <w:rPr>
          <w:spacing w:val="40"/>
          <w:vertAlign w:val="baseline"/>
        </w:rPr>
        <w:t> </w:t>
      </w:r>
      <w:r>
        <w:rPr>
          <w:vertAlign w:val="baseline"/>
        </w:rPr>
        <w:t>where</w:t>
      </w:r>
      <w:r>
        <w:rPr>
          <w:spacing w:val="40"/>
          <w:vertAlign w:val="baseline"/>
        </w:rPr>
        <w:t> </w:t>
      </w:r>
      <w:r>
        <w:rPr>
          <w:vertAlign w:val="baseline"/>
        </w:rPr>
        <w:t>it</w:t>
      </w:r>
      <w:r>
        <w:rPr>
          <w:spacing w:val="40"/>
          <w:vertAlign w:val="baseline"/>
        </w:rPr>
        <w:t> </w:t>
      </w:r>
      <w:r>
        <w:rPr>
          <w:vertAlign w:val="baseline"/>
        </w:rPr>
        <w:t>amounts</w:t>
      </w:r>
      <w:r>
        <w:rPr>
          <w:spacing w:val="40"/>
          <w:vertAlign w:val="baseline"/>
        </w:rPr>
        <w:t> </w:t>
      </w:r>
      <w:r>
        <w:rPr>
          <w:vertAlign w:val="baseline"/>
        </w:rPr>
        <w:t>to</w:t>
      </w:r>
      <w:r>
        <w:rPr>
          <w:spacing w:val="40"/>
          <w:vertAlign w:val="baseline"/>
        </w:rPr>
        <w:t> </w:t>
      </w:r>
      <w:r>
        <w:rPr>
          <w:vertAlign w:val="baseline"/>
        </w:rPr>
        <w:t>deafness</w:t>
      </w:r>
      <w:r>
        <w:rPr>
          <w:spacing w:val="40"/>
          <w:vertAlign w:val="baseline"/>
        </w:rPr>
        <w:t> </w:t>
      </w:r>
      <w:r>
        <w:rPr>
          <w:vertAlign w:val="baseline"/>
        </w:rPr>
        <w:t>and</w:t>
      </w:r>
      <w:r>
        <w:rPr>
          <w:spacing w:val="40"/>
          <w:vertAlign w:val="baseline"/>
        </w:rPr>
        <w:t> </w:t>
      </w:r>
      <w:r>
        <w:rPr>
          <w:vertAlign w:val="baseline"/>
        </w:rPr>
        <w:t>there</w:t>
      </w:r>
      <w:r>
        <w:rPr>
          <w:spacing w:val="40"/>
          <w:vertAlign w:val="baseline"/>
        </w:rPr>
        <w:t> </w:t>
      </w:r>
      <w:r>
        <w:rPr>
          <w:vertAlign w:val="baseline"/>
        </w:rPr>
        <w:t>is</w:t>
      </w:r>
      <w:r>
        <w:rPr>
          <w:spacing w:val="40"/>
          <w:vertAlign w:val="baseline"/>
        </w:rPr>
        <w:t> </w:t>
      </w:r>
      <w:r>
        <w:rPr>
          <w:vertAlign w:val="baseline"/>
        </w:rPr>
        <w:t>no</w:t>
      </w:r>
      <w:r>
        <w:rPr>
          <w:spacing w:val="40"/>
          <w:vertAlign w:val="baseline"/>
        </w:rPr>
        <w:t> </w:t>
      </w:r>
      <w:r>
        <w:rPr>
          <w:vertAlign w:val="baseline"/>
        </w:rPr>
        <w:t>loss</w:t>
      </w:r>
      <w:r>
        <w:rPr>
          <w:spacing w:val="40"/>
          <w:vertAlign w:val="baseline"/>
        </w:rPr>
        <w:t> </w:t>
      </w:r>
      <w:r>
        <w:rPr>
          <w:vertAlign w:val="baseline"/>
        </w:rPr>
        <w:t>of earning resulting, from the hearing impairment, compensation shall be calculated “as may be provided by regulation made by the Board,” thereby making it discretionary. There is no deafness that does not affect one’s earning. It is only hard of hearing that may not suffer earning loss. This is because, hard of hearing can benefit from amplification.</w:t>
      </w:r>
    </w:p>
    <w:p>
      <w:pPr>
        <w:pStyle w:val="BodyText"/>
        <w:spacing w:before="25"/>
      </w:pPr>
    </w:p>
    <w:p>
      <w:pPr>
        <w:pStyle w:val="BodyText"/>
        <w:spacing w:line="489" w:lineRule="auto" w:before="1"/>
        <w:ind w:left="864" w:right="566"/>
        <w:jc w:val="both"/>
      </w:pPr>
      <w:r>
        <w:rPr/>
        <w:t>In a situatio~(where hearing impairment is superimposed on an already existing</w:t>
      </w:r>
      <w:r>
        <w:rPr>
          <w:spacing w:val="11"/>
        </w:rPr>
        <w:t> </w:t>
      </w:r>
      <w:r>
        <w:rPr/>
        <w:t>hearing</w:t>
      </w:r>
      <w:r>
        <w:rPr>
          <w:spacing w:val="5"/>
        </w:rPr>
        <w:t> </w:t>
      </w:r>
      <w:r>
        <w:rPr/>
        <w:t>impairment,</w:t>
      </w:r>
      <w:r>
        <w:rPr>
          <w:spacing w:val="7"/>
        </w:rPr>
        <w:t> </w:t>
      </w:r>
      <w:r>
        <w:rPr/>
        <w:t>compensation</w:t>
      </w:r>
      <w:r>
        <w:rPr>
          <w:spacing w:val="20"/>
        </w:rPr>
        <w:t> </w:t>
      </w:r>
      <w:r>
        <w:rPr/>
        <w:t>shall</w:t>
      </w:r>
      <w:r>
        <w:rPr>
          <w:spacing w:val="4"/>
        </w:rPr>
        <w:t> </w:t>
      </w:r>
      <w:r>
        <w:rPr/>
        <w:t>be</w:t>
      </w:r>
      <w:r>
        <w:rPr>
          <w:spacing w:val="7"/>
        </w:rPr>
        <w:t> </w:t>
      </w:r>
      <w:r>
        <w:rPr/>
        <w:t>the</w:t>
      </w:r>
      <w:r>
        <w:rPr>
          <w:spacing w:val="12"/>
        </w:rPr>
        <w:t> </w:t>
      </w:r>
      <w:r>
        <w:rPr/>
        <w:t>difference</w:t>
      </w:r>
      <w:r>
        <w:rPr>
          <w:spacing w:val="2"/>
        </w:rPr>
        <w:t> </w:t>
      </w:r>
      <w:r>
        <w:rPr>
          <w:spacing w:val="-2"/>
        </w:rPr>
        <w:t>between</w:t>
      </w:r>
    </w:p>
    <w:p>
      <w:pPr>
        <w:pStyle w:val="BodyText"/>
        <w:spacing w:before="108"/>
        <w:rPr>
          <w:sz w:val="20"/>
        </w:rPr>
      </w:pPr>
      <w:r>
        <w:rPr/>
        <mc:AlternateContent>
          <mc:Choice Requires="wps">
            <w:drawing>
              <wp:anchor distT="0" distB="0" distL="0" distR="0" allowOverlap="1" layoutInCell="1" locked="0" behindDoc="1" simplePos="0" relativeHeight="487624704">
                <wp:simplePos x="0" y="0"/>
                <wp:positionH relativeFrom="page">
                  <wp:posOffset>1185672</wp:posOffset>
                </wp:positionH>
                <wp:positionV relativeFrom="paragraph">
                  <wp:posOffset>237529</wp:posOffset>
                </wp:positionV>
                <wp:extent cx="1719580" cy="6350"/>
                <wp:effectExtent l="0" t="0" r="0" b="0"/>
                <wp:wrapTopAndBottom/>
                <wp:docPr id="87" name="Graphic 87"/>
                <wp:cNvGraphicFramePr>
                  <a:graphicFrameLocks/>
                </wp:cNvGraphicFramePr>
                <a:graphic>
                  <a:graphicData uri="http://schemas.microsoft.com/office/word/2010/wordprocessingShape">
                    <wps:wsp>
                      <wps:cNvPr id="87" name="Graphic 87"/>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8.703125pt;width:135.360pt;height:.48pt;mso-position-horizontal-relative:page;mso-position-vertical-relative:paragraph;z-index:-15691776;mso-wrap-distance-left:0;mso-wrap-distance-right:0" id="docshape87" filled="true" fillcolor="#000000" stroked="false">
                <v:fill type="solid"/>
                <w10:wrap type="topAndBottom"/>
              </v:rect>
            </w:pict>
          </mc:Fallback>
        </mc:AlternateContent>
      </w:r>
    </w:p>
    <w:p>
      <w:pPr>
        <w:spacing w:line="217" w:lineRule="exact" w:before="91"/>
        <w:ind w:left="187" w:right="0" w:firstLine="0"/>
        <w:jc w:val="left"/>
        <w:rPr>
          <w:rFonts w:ascii="Times New Roman" w:hAnsi="Times New Roman"/>
          <w:i/>
          <w:sz w:val="19"/>
        </w:rPr>
      </w:pPr>
      <w:r>
        <w:rPr>
          <w:rFonts w:ascii="Times New Roman" w:hAnsi="Times New Roman"/>
          <w:sz w:val="19"/>
          <w:vertAlign w:val="superscript"/>
        </w:rPr>
        <w:t>185</w:t>
      </w:r>
      <w:r>
        <w:rPr>
          <w:rFonts w:ascii="Times New Roman" w:hAnsi="Times New Roman"/>
          <w:spacing w:val="-7"/>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10(2)</w:t>
      </w:r>
      <w:r>
        <w:rPr>
          <w:rFonts w:ascii="Times New Roman" w:hAnsi="Times New Roman"/>
          <w:spacing w:val="-11"/>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0"/>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line="217" w:lineRule="exact" w:before="0"/>
        <w:ind w:left="187" w:right="0" w:firstLine="0"/>
        <w:jc w:val="left"/>
        <w:rPr>
          <w:rFonts w:ascii="Times New Roman"/>
          <w:i/>
          <w:sz w:val="19"/>
        </w:rPr>
      </w:pPr>
      <w:r>
        <w:rPr>
          <w:rFonts w:ascii="Times New Roman"/>
          <w:sz w:val="19"/>
          <w:vertAlign w:val="superscript"/>
        </w:rPr>
        <w:t>186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10(3</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72"/>
        <w:ind w:left="864" w:right="564"/>
        <w:jc w:val="both"/>
      </w:pPr>
      <w:r>
        <w:rPr/>
        <mc:AlternateContent>
          <mc:Choice Requires="wps">
            <w:drawing>
              <wp:anchor distT="0" distB="0" distL="0" distR="0" allowOverlap="1" layoutInCell="1" locked="0" behindDoc="0" simplePos="0" relativeHeight="15766016">
                <wp:simplePos x="0" y="0"/>
                <wp:positionH relativeFrom="page">
                  <wp:posOffset>1185672</wp:posOffset>
                </wp:positionH>
                <wp:positionV relativeFrom="paragraph">
                  <wp:posOffset>7904988</wp:posOffset>
                </wp:positionV>
                <wp:extent cx="1719580" cy="6350"/>
                <wp:effectExtent l="0" t="0" r="0" b="0"/>
                <wp:wrapNone/>
                <wp:docPr id="88" name="Graphic 88"/>
                <wp:cNvGraphicFramePr>
                  <a:graphicFrameLocks/>
                </wp:cNvGraphicFramePr>
                <a:graphic>
                  <a:graphicData uri="http://schemas.microsoft.com/office/word/2010/wordprocessingShape">
                    <wps:wsp>
                      <wps:cNvPr id="88" name="Graphic 8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622.440002pt;width:135.360pt;height:.48pt;mso-position-horizontal-relative:page;mso-position-vertical-relative:paragraph;z-index:15766016" id="docshape88" filled="true" fillcolor="#000000" stroked="false">
                <v:fill type="solid"/>
                <w10:wrap type="none"/>
              </v:rect>
            </w:pict>
          </mc:Fallback>
        </mc:AlternateContent>
      </w:r>
      <w:r>
        <w:rPr/>
        <w:t>the employee’s impairment before and impairment after the occurrence of the last exposure.</w:t>
      </w:r>
      <w:r>
        <w:rPr>
          <w:vertAlign w:val="superscript"/>
        </w:rPr>
        <w:t>187</w:t>
      </w:r>
      <w:r>
        <w:rPr>
          <w:vertAlign w:val="baseline"/>
        </w:rPr>
        <w:t> This is done by calculating the proportion of the impairment following the hearing impairment that may reasonable be attributed to the exposure in two or more classes or subclasses of industry</w:t>
      </w:r>
      <w:r>
        <w:rPr>
          <w:spacing w:val="40"/>
          <w:vertAlign w:val="baseline"/>
        </w:rPr>
        <w:t> </w:t>
      </w:r>
      <w:r>
        <w:rPr>
          <w:vertAlign w:val="baseline"/>
        </w:rPr>
        <w:t>in a workplace.</w:t>
      </w:r>
      <w:r>
        <w:rPr>
          <w:vertAlign w:val="superscript"/>
        </w:rPr>
        <w:t>188</w:t>
      </w:r>
      <w:r>
        <w:rPr>
          <w:vertAlign w:val="baseline"/>
        </w:rPr>
        <w:t> For example, Mr Dada a bread baker was employed in company “A” for five years and later resigned his appointment with</w:t>
      </w:r>
      <w:r>
        <w:rPr>
          <w:spacing w:val="80"/>
          <w:vertAlign w:val="baseline"/>
        </w:rPr>
        <w:t> </w:t>
      </w:r>
      <w:r>
        <w:rPr>
          <w:vertAlign w:val="baseline"/>
        </w:rPr>
        <w:t>company “A”</w:t>
      </w:r>
      <w:r>
        <w:rPr>
          <w:spacing w:val="40"/>
          <w:vertAlign w:val="baseline"/>
        </w:rPr>
        <w:t> </w:t>
      </w:r>
      <w:r>
        <w:rPr>
          <w:vertAlign w:val="baseline"/>
        </w:rPr>
        <w:t>for a more lucrative offer in company “B" .As a result of the sound of the baking machines in company “A,” Mr Dada, suffered hearing impairment but not to the degree of deafness. In company “B,” he was the chief baker and was actively involved in the baking process. The sound of the</w:t>
      </w:r>
      <w:r>
        <w:rPr>
          <w:spacing w:val="40"/>
          <w:vertAlign w:val="baseline"/>
        </w:rPr>
        <w:t> </w:t>
      </w:r>
      <w:r>
        <w:rPr>
          <w:vertAlign w:val="baseline"/>
        </w:rPr>
        <w:t>baking</w:t>
      </w:r>
      <w:r>
        <w:rPr>
          <w:spacing w:val="40"/>
          <w:vertAlign w:val="baseline"/>
        </w:rPr>
        <w:t> </w:t>
      </w:r>
      <w:r>
        <w:rPr>
          <w:vertAlign w:val="baseline"/>
        </w:rPr>
        <w:t>machines</w:t>
      </w:r>
      <w:r>
        <w:rPr>
          <w:spacing w:val="40"/>
          <w:vertAlign w:val="baseline"/>
        </w:rPr>
        <w:t> </w:t>
      </w:r>
      <w:r>
        <w:rPr>
          <w:vertAlign w:val="baseline"/>
        </w:rPr>
        <w:t>in</w:t>
      </w:r>
      <w:r>
        <w:rPr>
          <w:spacing w:val="40"/>
          <w:vertAlign w:val="baseline"/>
        </w:rPr>
        <w:t> </w:t>
      </w:r>
      <w:r>
        <w:rPr>
          <w:vertAlign w:val="baseline"/>
        </w:rPr>
        <w:t>company</w:t>
      </w:r>
      <w:r>
        <w:rPr>
          <w:spacing w:val="40"/>
          <w:vertAlign w:val="baseline"/>
        </w:rPr>
        <w:t> </w:t>
      </w:r>
      <w:r>
        <w:rPr>
          <w:vertAlign w:val="baseline"/>
        </w:rPr>
        <w:t>“B"</w:t>
      </w:r>
      <w:r>
        <w:rPr>
          <w:spacing w:val="40"/>
          <w:vertAlign w:val="baseline"/>
        </w:rPr>
        <w:t> </w:t>
      </w:r>
      <w:r>
        <w:rPr>
          <w:vertAlign w:val="baseline"/>
        </w:rPr>
        <w:t>worsened</w:t>
      </w:r>
      <w:r>
        <w:rPr>
          <w:spacing w:val="40"/>
          <w:vertAlign w:val="baseline"/>
        </w:rPr>
        <w:t> </w:t>
      </w:r>
      <w:r>
        <w:rPr>
          <w:vertAlign w:val="baseline"/>
        </w:rPr>
        <w:t>his</w:t>
      </w:r>
      <w:r>
        <w:rPr>
          <w:spacing w:val="40"/>
          <w:vertAlign w:val="baseline"/>
        </w:rPr>
        <w:t> </w:t>
      </w:r>
      <w:r>
        <w:rPr>
          <w:vertAlign w:val="baseline"/>
        </w:rPr>
        <w:t>previous</w:t>
      </w:r>
      <w:r>
        <w:rPr>
          <w:spacing w:val="40"/>
          <w:vertAlign w:val="baseline"/>
        </w:rPr>
        <w:t> </w:t>
      </w:r>
      <w:r>
        <w:rPr>
          <w:vertAlign w:val="baseline"/>
        </w:rPr>
        <w:t>condition, such that he became deaf. When it comes to compensation, the Board will calculate</w:t>
      </w:r>
      <w:r>
        <w:rPr>
          <w:spacing w:val="40"/>
          <w:vertAlign w:val="baseline"/>
        </w:rPr>
        <w:t> </w:t>
      </w:r>
      <w:r>
        <w:rPr>
          <w:vertAlign w:val="baseline"/>
        </w:rPr>
        <w:t>compensation</w:t>
      </w:r>
      <w:r>
        <w:rPr>
          <w:spacing w:val="40"/>
          <w:vertAlign w:val="baseline"/>
        </w:rPr>
        <w:t> </w:t>
      </w:r>
      <w:r>
        <w:rPr>
          <w:vertAlign w:val="baseline"/>
        </w:rPr>
        <w:t>based</w:t>
      </w:r>
      <w:r>
        <w:rPr>
          <w:spacing w:val="40"/>
          <w:vertAlign w:val="baseline"/>
        </w:rPr>
        <w:t> </w:t>
      </w:r>
      <w:r>
        <w:rPr>
          <w:vertAlign w:val="baseline"/>
        </w:rPr>
        <w:t>on</w:t>
      </w:r>
      <w:r>
        <w:rPr>
          <w:spacing w:val="40"/>
          <w:vertAlign w:val="baseline"/>
        </w:rPr>
        <w:t> </w:t>
      </w:r>
      <w:r>
        <w:rPr>
          <w:vertAlign w:val="baseline"/>
        </w:rPr>
        <w:t>the</w:t>
      </w:r>
      <w:r>
        <w:rPr>
          <w:spacing w:val="40"/>
          <w:vertAlign w:val="baseline"/>
        </w:rPr>
        <w:t> </w:t>
      </w:r>
      <w:r>
        <w:rPr>
          <w:vertAlign w:val="baseline"/>
        </w:rPr>
        <w:t>difference</w:t>
      </w:r>
      <w:r>
        <w:rPr>
          <w:spacing w:val="40"/>
          <w:vertAlign w:val="baseline"/>
        </w:rPr>
        <w:t> </w:t>
      </w:r>
      <w:r>
        <w:rPr>
          <w:vertAlign w:val="baseline"/>
        </w:rPr>
        <w:t>between</w:t>
      </w:r>
      <w:r>
        <w:rPr>
          <w:spacing w:val="40"/>
          <w:vertAlign w:val="baseline"/>
        </w:rPr>
        <w:t> </w:t>
      </w:r>
      <w:r>
        <w:rPr>
          <w:vertAlign w:val="baseline"/>
        </w:rPr>
        <w:t>the</w:t>
      </w:r>
      <w:r>
        <w:rPr>
          <w:spacing w:val="40"/>
          <w:vertAlign w:val="baseline"/>
        </w:rPr>
        <w:t> </w:t>
      </w:r>
      <w:r>
        <w:rPr>
          <w:vertAlign w:val="baseline"/>
        </w:rPr>
        <w:t>impairment in company “A" and the one in company “B.” Where an employee suffers from hearing impairment caused by exposure to two or more classes or subclasses of industry in a workplace, the Board may apportion the cost of compensation among the funds provided by those classes or subclasses on the basis of the duration or severity of the exposure in each.</w:t>
      </w:r>
      <w:r>
        <w:rPr>
          <w:vertAlign w:val="superscript"/>
        </w:rPr>
        <w:t>189</w:t>
      </w:r>
      <w:r>
        <w:rPr>
          <w:vertAlign w:val="baseline"/>
        </w:rPr>
        <w:t> This is a good provision except that the issue of discretion given to the Board as to whether or not to apportion the cost among the funds provided by these classes or subclasses of industry is likely to be abused. The law should be that</w:t>
      </w:r>
      <w:r>
        <w:rPr>
          <w:spacing w:val="69"/>
          <w:vertAlign w:val="baseline"/>
        </w:rPr>
        <w:t> </w:t>
      </w:r>
      <w:r>
        <w:rPr>
          <w:vertAlign w:val="baseline"/>
        </w:rPr>
        <w:t>once,</w:t>
      </w:r>
      <w:r>
        <w:rPr>
          <w:spacing w:val="72"/>
          <w:vertAlign w:val="baseline"/>
        </w:rPr>
        <w:t> </w:t>
      </w:r>
      <w:r>
        <w:rPr>
          <w:vertAlign w:val="baseline"/>
        </w:rPr>
        <w:t>it</w:t>
      </w:r>
      <w:r>
        <w:rPr>
          <w:spacing w:val="69"/>
          <w:vertAlign w:val="baseline"/>
        </w:rPr>
        <w:t> </w:t>
      </w:r>
      <w:r>
        <w:rPr>
          <w:vertAlign w:val="baseline"/>
        </w:rPr>
        <w:t>is</w:t>
      </w:r>
      <w:r>
        <w:rPr>
          <w:spacing w:val="73"/>
          <w:vertAlign w:val="baseline"/>
        </w:rPr>
        <w:t> </w:t>
      </w:r>
      <w:r>
        <w:rPr>
          <w:vertAlign w:val="baseline"/>
        </w:rPr>
        <w:t>ascertained</w:t>
      </w:r>
      <w:r>
        <w:rPr>
          <w:spacing w:val="71"/>
          <w:vertAlign w:val="baseline"/>
        </w:rPr>
        <w:t> </w:t>
      </w:r>
      <w:r>
        <w:rPr>
          <w:vertAlign w:val="baseline"/>
        </w:rPr>
        <w:t>that</w:t>
      </w:r>
      <w:r>
        <w:rPr>
          <w:spacing w:val="69"/>
          <w:vertAlign w:val="baseline"/>
        </w:rPr>
        <w:t> </w:t>
      </w:r>
      <w:r>
        <w:rPr>
          <w:vertAlign w:val="baseline"/>
        </w:rPr>
        <w:t>the</w:t>
      </w:r>
      <w:r>
        <w:rPr>
          <w:spacing w:val="75"/>
          <w:vertAlign w:val="baseline"/>
        </w:rPr>
        <w:t> </w:t>
      </w:r>
      <w:r>
        <w:rPr>
          <w:vertAlign w:val="baseline"/>
        </w:rPr>
        <w:t>hearing</w:t>
      </w:r>
      <w:r>
        <w:rPr>
          <w:spacing w:val="72"/>
          <w:vertAlign w:val="baseline"/>
        </w:rPr>
        <w:t> </w:t>
      </w:r>
      <w:r>
        <w:rPr>
          <w:vertAlign w:val="baseline"/>
        </w:rPr>
        <w:t>impairment</w:t>
      </w:r>
      <w:r>
        <w:rPr>
          <w:spacing w:val="69"/>
          <w:vertAlign w:val="baseline"/>
        </w:rPr>
        <w:t> </w:t>
      </w:r>
      <w:r>
        <w:rPr>
          <w:vertAlign w:val="baseline"/>
        </w:rPr>
        <w:t>is</w:t>
      </w:r>
      <w:r>
        <w:rPr>
          <w:spacing w:val="72"/>
          <w:vertAlign w:val="baseline"/>
        </w:rPr>
        <w:t> </w:t>
      </w:r>
      <w:r>
        <w:rPr>
          <w:vertAlign w:val="baseline"/>
        </w:rPr>
        <w:t>caused</w:t>
      </w:r>
      <w:r>
        <w:rPr>
          <w:spacing w:val="71"/>
          <w:vertAlign w:val="baseline"/>
        </w:rPr>
        <w:t> </w:t>
      </w:r>
      <w:r>
        <w:rPr>
          <w:spacing w:val="-5"/>
          <w:vertAlign w:val="baseline"/>
        </w:rPr>
        <w:t>by</w:t>
      </w:r>
    </w:p>
    <w:p>
      <w:pPr>
        <w:spacing w:line="217" w:lineRule="exact" w:before="18"/>
        <w:ind w:left="187" w:right="0" w:firstLine="0"/>
        <w:jc w:val="left"/>
        <w:rPr>
          <w:rFonts w:ascii="Times New Roman"/>
          <w:i/>
          <w:sz w:val="19"/>
        </w:rPr>
      </w:pPr>
      <w:r>
        <w:rPr>
          <w:rFonts w:ascii="Times New Roman"/>
          <w:sz w:val="19"/>
          <w:vertAlign w:val="superscript"/>
        </w:rPr>
        <w:t>187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10(5)</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188</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189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10(6)</w:t>
      </w:r>
      <w:r>
        <w:rPr>
          <w:rFonts w:ascii="Times New Roman"/>
          <w:spacing w:val="-8"/>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9"/>
        <w:jc w:val="both"/>
      </w:pPr>
      <w:r>
        <w:rPr/>
        <w:t>exposure to causes of hearing impairment in two or more classes or subclasses of industry the Board shall apportion the cost of the compensation among the funds provided by those classes or subclasses of industry on the basis of duration or severity of the exposure.</w:t>
      </w:r>
    </w:p>
    <w:p>
      <w:pPr>
        <w:pStyle w:val="BodyText"/>
        <w:spacing w:before="10"/>
      </w:pPr>
    </w:p>
    <w:p>
      <w:pPr>
        <w:pStyle w:val="Heading3"/>
        <w:numPr>
          <w:ilvl w:val="2"/>
          <w:numId w:val="13"/>
        </w:numPr>
        <w:tabs>
          <w:tab w:pos="860" w:val="left" w:leader="none"/>
        </w:tabs>
        <w:spacing w:line="240" w:lineRule="auto" w:before="0" w:after="0"/>
        <w:ind w:left="860" w:right="0" w:hanging="673"/>
        <w:jc w:val="left"/>
      </w:pPr>
      <w:bookmarkStart w:name="_TOC_250016" w:id="14"/>
      <w:r>
        <w:rPr/>
        <w:t>Occupational</w:t>
      </w:r>
      <w:r>
        <w:rPr>
          <w:spacing w:val="16"/>
        </w:rPr>
        <w:t> </w:t>
      </w:r>
      <w:bookmarkEnd w:id="14"/>
      <w:r>
        <w:rPr>
          <w:spacing w:val="-2"/>
        </w:rPr>
        <w:t>Disease</w:t>
      </w:r>
    </w:p>
    <w:p>
      <w:pPr>
        <w:pStyle w:val="BodyText"/>
        <w:spacing w:before="11"/>
        <w:rPr>
          <w:b/>
        </w:rPr>
      </w:pPr>
    </w:p>
    <w:p>
      <w:pPr>
        <w:pStyle w:val="BodyText"/>
        <w:spacing w:line="489" w:lineRule="auto"/>
        <w:ind w:left="864" w:right="565"/>
        <w:jc w:val="both"/>
      </w:pPr>
      <w:r>
        <w:rPr/>
        <w:t>Where an employee suffers from occupatio~i| disease and is disabled from earning</w:t>
      </w:r>
      <w:r>
        <w:rPr>
          <w:spacing w:val="34"/>
        </w:rPr>
        <w:t> </w:t>
      </w:r>
      <w:r>
        <w:rPr/>
        <w:t>full</w:t>
      </w:r>
      <w:r>
        <w:rPr>
          <w:spacing w:val="28"/>
        </w:rPr>
        <w:t> </w:t>
      </w:r>
      <w:r>
        <w:rPr/>
        <w:t>remuneration</w:t>
      </w:r>
      <w:r>
        <w:rPr>
          <w:spacing w:val="27"/>
        </w:rPr>
        <w:t> </w:t>
      </w:r>
      <w:r>
        <w:rPr/>
        <w:t>at</w:t>
      </w:r>
      <w:r>
        <w:rPr>
          <w:spacing w:val="27"/>
        </w:rPr>
        <w:t> </w:t>
      </w:r>
      <w:r>
        <w:rPr/>
        <w:t>workplace</w:t>
      </w:r>
      <w:r>
        <w:rPr>
          <w:spacing w:val="30"/>
        </w:rPr>
        <w:t> </w:t>
      </w:r>
      <w:r>
        <w:rPr/>
        <w:t>or</w:t>
      </w:r>
      <w:r>
        <w:rPr>
          <w:spacing w:val="26"/>
        </w:rPr>
        <w:t> </w:t>
      </w:r>
      <w:r>
        <w:rPr/>
        <w:t>the</w:t>
      </w:r>
      <w:r>
        <w:rPr>
          <w:spacing w:val="26"/>
        </w:rPr>
        <w:t> </w:t>
      </w:r>
      <w:r>
        <w:rPr/>
        <w:t>disease</w:t>
      </w:r>
      <w:r>
        <w:rPr>
          <w:spacing w:val="30"/>
        </w:rPr>
        <w:t> </w:t>
      </w:r>
      <w:r>
        <w:rPr/>
        <w:t>is</w:t>
      </w:r>
      <w:r>
        <w:rPr>
          <w:spacing w:val="25"/>
        </w:rPr>
        <w:t> </w:t>
      </w:r>
      <w:r>
        <w:rPr/>
        <w:t>shown</w:t>
      </w:r>
      <w:r>
        <w:rPr>
          <w:spacing w:val="28"/>
        </w:rPr>
        <w:t> </w:t>
      </w:r>
      <w:r>
        <w:rPr/>
        <w:t>to</w:t>
      </w:r>
      <w:r>
        <w:rPr>
          <w:spacing w:val="31"/>
        </w:rPr>
        <w:t> </w:t>
      </w:r>
      <w:r>
        <w:rPr/>
        <w:t>be</w:t>
      </w:r>
      <w:r>
        <w:rPr>
          <w:spacing w:val="25"/>
        </w:rPr>
        <w:t> </w:t>
      </w:r>
      <w:r>
        <w:rPr/>
        <w:t>due to the nature of any employment in which the employee was employed, whether in one or more employments, or an employee suffers from any of the occupational diseases listed in the First Schedule to the Act, compensation</w:t>
      </w:r>
      <w:r>
        <w:rPr>
          <w:spacing w:val="40"/>
        </w:rPr>
        <w:t> </w:t>
      </w:r>
      <w:r>
        <w:rPr/>
        <w:t>and</w:t>
      </w:r>
      <w:r>
        <w:rPr>
          <w:spacing w:val="40"/>
        </w:rPr>
        <w:t> </w:t>
      </w:r>
      <w:r>
        <w:rPr/>
        <w:t>health</w:t>
      </w:r>
      <w:r>
        <w:rPr>
          <w:spacing w:val="40"/>
        </w:rPr>
        <w:t> </w:t>
      </w:r>
      <w:r>
        <w:rPr/>
        <w:t>care</w:t>
      </w:r>
      <w:r>
        <w:rPr>
          <w:spacing w:val="40"/>
        </w:rPr>
        <w:t> </w:t>
      </w:r>
      <w:r>
        <w:rPr/>
        <w:t>benefits</w:t>
      </w:r>
      <w:r>
        <w:rPr>
          <w:spacing w:val="40"/>
        </w:rPr>
        <w:t> </w:t>
      </w:r>
      <w:r>
        <w:rPr/>
        <w:t>shall</w:t>
      </w:r>
      <w:r>
        <w:rPr>
          <w:spacing w:val="40"/>
        </w:rPr>
        <w:t> </w:t>
      </w:r>
      <w:r>
        <w:rPr/>
        <w:t>be</w:t>
      </w:r>
      <w:r>
        <w:rPr>
          <w:spacing w:val="40"/>
        </w:rPr>
        <w:t> </w:t>
      </w:r>
      <w:r>
        <w:rPr/>
        <w:t>paid.</w:t>
      </w:r>
      <w:r>
        <w:rPr>
          <w:vertAlign w:val="superscript"/>
        </w:rPr>
        <w:t>190</w:t>
      </w:r>
      <w:r>
        <w:rPr>
          <w:spacing w:val="40"/>
          <w:vertAlign w:val="baseline"/>
        </w:rPr>
        <w:t> </w:t>
      </w:r>
      <w:r>
        <w:rPr>
          <w:vertAlign w:val="baseline"/>
        </w:rPr>
        <w:t>The</w:t>
      </w:r>
      <w:r>
        <w:rPr>
          <w:spacing w:val="40"/>
          <w:vertAlign w:val="baseline"/>
        </w:rPr>
        <w:t> </w:t>
      </w:r>
      <w:r>
        <w:rPr>
          <w:vertAlign w:val="baseline"/>
        </w:rPr>
        <w:t>schedule</w:t>
      </w:r>
      <w:r>
        <w:rPr>
          <w:spacing w:val="40"/>
          <w:vertAlign w:val="baseline"/>
        </w:rPr>
        <w:t> </w:t>
      </w:r>
      <w:r>
        <w:rPr>
          <w:vertAlign w:val="baseline"/>
        </w:rPr>
        <w:t>to the Act lists so many occupational diseases that are compensable. For the purpose of compensation, the disease</w:t>
      </w:r>
      <w:r>
        <w:rPr>
          <w:spacing w:val="80"/>
          <w:vertAlign w:val="baseline"/>
        </w:rPr>
        <w:t> </w:t>
      </w:r>
      <w:r>
        <w:rPr>
          <w:vertAlign w:val="baseline"/>
        </w:rPr>
        <w:t>need not fall under the list provided in</w:t>
      </w:r>
      <w:r>
        <w:rPr>
          <w:spacing w:val="40"/>
          <w:vertAlign w:val="baseline"/>
        </w:rPr>
        <w:t> </w:t>
      </w:r>
      <w:r>
        <w:rPr>
          <w:vertAlign w:val="baseline"/>
        </w:rPr>
        <w:t>the</w:t>
      </w:r>
      <w:r>
        <w:rPr>
          <w:spacing w:val="40"/>
          <w:vertAlign w:val="baseline"/>
        </w:rPr>
        <w:t> </w:t>
      </w:r>
      <w:r>
        <w:rPr>
          <w:vertAlign w:val="baseline"/>
        </w:rPr>
        <w:t>First</w:t>
      </w:r>
      <w:r>
        <w:rPr>
          <w:spacing w:val="40"/>
          <w:vertAlign w:val="baseline"/>
        </w:rPr>
        <w:t> </w:t>
      </w:r>
      <w:r>
        <w:rPr>
          <w:vertAlign w:val="baseline"/>
        </w:rPr>
        <w:t>Schedule</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Act,</w:t>
      </w:r>
      <w:r>
        <w:rPr>
          <w:spacing w:val="40"/>
          <w:vertAlign w:val="baseline"/>
        </w:rPr>
        <w:t> </w:t>
      </w:r>
      <w:r>
        <w:rPr>
          <w:vertAlign w:val="baseline"/>
        </w:rPr>
        <w:t>.</w:t>
      </w:r>
      <w:r>
        <w:rPr>
          <w:spacing w:val="40"/>
          <w:vertAlign w:val="baseline"/>
        </w:rPr>
        <w:t> </w:t>
      </w:r>
      <w:r>
        <w:rPr>
          <w:vertAlign w:val="baseline"/>
        </w:rPr>
        <w:t>It</w:t>
      </w:r>
      <w:r>
        <w:rPr>
          <w:spacing w:val="40"/>
          <w:vertAlign w:val="baseline"/>
        </w:rPr>
        <w:t> </w:t>
      </w:r>
      <w:r>
        <w:rPr>
          <w:vertAlign w:val="baseline"/>
        </w:rPr>
        <w:t>is</w:t>
      </w:r>
      <w:r>
        <w:rPr>
          <w:spacing w:val="40"/>
          <w:vertAlign w:val="baseline"/>
        </w:rPr>
        <w:t> </w:t>
      </w:r>
      <w:r>
        <w:rPr>
          <w:vertAlign w:val="baseline"/>
        </w:rPr>
        <w:t>enough</w:t>
      </w:r>
      <w:r>
        <w:rPr>
          <w:spacing w:val="40"/>
          <w:vertAlign w:val="baseline"/>
        </w:rPr>
        <w:t> </w:t>
      </w:r>
      <w:r>
        <w:rPr>
          <w:vertAlign w:val="baseline"/>
        </w:rPr>
        <w:t>if</w:t>
      </w:r>
      <w:r>
        <w:rPr>
          <w:spacing w:val="40"/>
          <w:vertAlign w:val="baseline"/>
        </w:rPr>
        <w:t> </w:t>
      </w:r>
      <w:r>
        <w:rPr>
          <w:vertAlign w:val="baseline"/>
        </w:rPr>
        <w:t>it</w:t>
      </w:r>
      <w:r>
        <w:rPr>
          <w:spacing w:val="40"/>
          <w:vertAlign w:val="baseline"/>
        </w:rPr>
        <w:t> </w:t>
      </w:r>
      <w:r>
        <w:rPr>
          <w:vertAlign w:val="baseline"/>
        </w:rPr>
        <w:t>is</w:t>
      </w:r>
      <w:r>
        <w:rPr>
          <w:spacing w:val="40"/>
          <w:vertAlign w:val="baseline"/>
        </w:rPr>
        <w:t> </w:t>
      </w:r>
      <w:r>
        <w:rPr>
          <w:vertAlign w:val="baseline"/>
        </w:rPr>
        <w:t>shown</w:t>
      </w:r>
      <w:r>
        <w:rPr>
          <w:spacing w:val="40"/>
          <w:vertAlign w:val="baseline"/>
        </w:rPr>
        <w:t> </w:t>
      </w:r>
      <w:r>
        <w:rPr>
          <w:vertAlign w:val="baseline"/>
        </w:rPr>
        <w:t>that</w:t>
      </w:r>
      <w:r>
        <w:rPr>
          <w:spacing w:val="40"/>
          <w:vertAlign w:val="baseline"/>
        </w:rPr>
        <w:t> </w:t>
      </w:r>
      <w:r>
        <w:rPr>
          <w:vertAlign w:val="baseline"/>
        </w:rPr>
        <w:t>the disease</w:t>
      </w:r>
      <w:r>
        <w:rPr>
          <w:spacing w:val="40"/>
          <w:vertAlign w:val="baseline"/>
        </w:rPr>
        <w:t> </w:t>
      </w:r>
      <w:r>
        <w:rPr>
          <w:vertAlign w:val="baseline"/>
        </w:rPr>
        <w:t>is</w:t>
      </w:r>
      <w:r>
        <w:rPr>
          <w:spacing w:val="40"/>
          <w:vertAlign w:val="baseline"/>
        </w:rPr>
        <w:t> </w:t>
      </w:r>
      <w:r>
        <w:rPr>
          <w:vertAlign w:val="baseline"/>
        </w:rPr>
        <w:t>due</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nature</w:t>
      </w:r>
      <w:r>
        <w:rPr>
          <w:spacing w:val="40"/>
          <w:vertAlign w:val="baseline"/>
        </w:rPr>
        <w:t> </w:t>
      </w:r>
      <w:r>
        <w:rPr>
          <w:vertAlign w:val="baseline"/>
        </w:rPr>
        <w:t>of</w:t>
      </w:r>
      <w:r>
        <w:rPr>
          <w:spacing w:val="40"/>
          <w:vertAlign w:val="baseline"/>
        </w:rPr>
        <w:t> </w:t>
      </w:r>
      <w:r>
        <w:rPr>
          <w:vertAlign w:val="baseline"/>
        </w:rPr>
        <w:t>any</w:t>
      </w:r>
      <w:r>
        <w:rPr>
          <w:spacing w:val="40"/>
          <w:vertAlign w:val="baseline"/>
        </w:rPr>
        <w:t> </w:t>
      </w:r>
      <w:r>
        <w:rPr>
          <w:vertAlign w:val="baseline"/>
        </w:rPr>
        <w:t>employment</w:t>
      </w:r>
      <w:r>
        <w:rPr>
          <w:spacing w:val="40"/>
          <w:vertAlign w:val="baseline"/>
        </w:rPr>
        <w:t> </w:t>
      </w:r>
      <w:r>
        <w:rPr>
          <w:vertAlign w:val="baseline"/>
        </w:rPr>
        <w:t>in</w:t>
      </w:r>
      <w:r>
        <w:rPr>
          <w:spacing w:val="40"/>
          <w:vertAlign w:val="baseline"/>
        </w:rPr>
        <w:t> </w:t>
      </w:r>
      <w:r>
        <w:rPr>
          <w:vertAlign w:val="baseline"/>
        </w:rPr>
        <w:t>which</w:t>
      </w:r>
      <w:r>
        <w:rPr>
          <w:spacing w:val="40"/>
          <w:vertAlign w:val="baseline"/>
        </w:rPr>
        <w:t> </w:t>
      </w:r>
      <w:r>
        <w:rPr>
          <w:vertAlign w:val="baseline"/>
        </w:rPr>
        <w:t>the</w:t>
      </w:r>
      <w:r>
        <w:rPr>
          <w:spacing w:val="40"/>
          <w:vertAlign w:val="baseline"/>
        </w:rPr>
        <w:t> </w:t>
      </w:r>
      <w:r>
        <w:rPr>
          <w:vertAlign w:val="baseline"/>
        </w:rPr>
        <w:t>employee was employed.</w:t>
      </w:r>
      <w:r>
        <w:rPr>
          <w:vertAlign w:val="superscript"/>
        </w:rPr>
        <w:t>191</w:t>
      </w:r>
      <w:r>
        <w:rPr>
          <w:vertAlign w:val="baseline"/>
        </w:rPr>
        <w:t> What then is an occupational disease? The Act defines occupational disease to mean a disease contracted, arising out of or in the course of exposure to risk factors at work.</w:t>
      </w:r>
      <w:r>
        <w:rPr>
          <w:vertAlign w:val="superscript"/>
        </w:rPr>
        <w:t>192</w:t>
      </w:r>
      <w:r>
        <w:rPr>
          <w:vertAlign w:val="baseline"/>
        </w:rPr>
        <w:t> Where one suffers disability from any disease or any disease complicated by another disease such an employee</w:t>
      </w:r>
      <w:r>
        <w:rPr>
          <w:spacing w:val="25"/>
          <w:vertAlign w:val="baseline"/>
        </w:rPr>
        <w:t> </w:t>
      </w:r>
      <w:r>
        <w:rPr>
          <w:vertAlign w:val="baseline"/>
        </w:rPr>
        <w:t>shall</w:t>
      </w:r>
      <w:r>
        <w:rPr>
          <w:spacing w:val="23"/>
          <w:vertAlign w:val="baseline"/>
        </w:rPr>
        <w:t> </w:t>
      </w:r>
      <w:r>
        <w:rPr>
          <w:vertAlign w:val="baseline"/>
        </w:rPr>
        <w:t>be</w:t>
      </w:r>
      <w:r>
        <w:rPr>
          <w:spacing w:val="26"/>
          <w:vertAlign w:val="baseline"/>
        </w:rPr>
        <w:t> </w:t>
      </w:r>
      <w:r>
        <w:rPr>
          <w:vertAlign w:val="baseline"/>
        </w:rPr>
        <w:t>entitled</w:t>
      </w:r>
      <w:r>
        <w:rPr>
          <w:spacing w:val="24"/>
          <w:vertAlign w:val="baseline"/>
        </w:rPr>
        <w:t> </w:t>
      </w:r>
      <w:r>
        <w:rPr>
          <w:vertAlign w:val="baseline"/>
        </w:rPr>
        <w:t>to</w:t>
      </w:r>
      <w:r>
        <w:rPr>
          <w:spacing w:val="20"/>
          <w:vertAlign w:val="baseline"/>
        </w:rPr>
        <w:t> </w:t>
      </w:r>
      <w:r>
        <w:rPr>
          <w:vertAlign w:val="baseline"/>
        </w:rPr>
        <w:t>compensation</w:t>
      </w:r>
      <w:r>
        <w:rPr>
          <w:spacing w:val="27"/>
          <w:vertAlign w:val="baseline"/>
        </w:rPr>
        <w:t> </w:t>
      </w:r>
      <w:r>
        <w:rPr>
          <w:vertAlign w:val="baseline"/>
        </w:rPr>
        <w:t>for</w:t>
      </w:r>
      <w:r>
        <w:rPr>
          <w:spacing w:val="26"/>
          <w:vertAlign w:val="baseline"/>
        </w:rPr>
        <w:t> </w:t>
      </w:r>
      <w:r>
        <w:rPr>
          <w:vertAlign w:val="baseline"/>
        </w:rPr>
        <w:t>total</w:t>
      </w:r>
      <w:r>
        <w:rPr>
          <w:spacing w:val="23"/>
          <w:vertAlign w:val="baseline"/>
        </w:rPr>
        <w:t> </w:t>
      </w:r>
      <w:r>
        <w:rPr>
          <w:vertAlign w:val="baseline"/>
        </w:rPr>
        <w:t>or</w:t>
      </w:r>
      <w:r>
        <w:rPr>
          <w:spacing w:val="26"/>
          <w:vertAlign w:val="baseline"/>
        </w:rPr>
        <w:t> </w:t>
      </w:r>
      <w:r>
        <w:rPr>
          <w:vertAlign w:val="baseline"/>
        </w:rPr>
        <w:t>partial</w:t>
      </w:r>
      <w:r>
        <w:rPr>
          <w:spacing w:val="23"/>
          <w:vertAlign w:val="baseline"/>
        </w:rPr>
        <w:t> </w:t>
      </w:r>
      <w:r>
        <w:rPr>
          <w:vertAlign w:val="baseline"/>
        </w:rPr>
        <w:t>disability</w:t>
      </w:r>
      <w:r>
        <w:rPr>
          <w:spacing w:val="27"/>
          <w:vertAlign w:val="baseline"/>
        </w:rPr>
        <w:t> </w:t>
      </w:r>
      <w:r>
        <w:rPr>
          <w:vertAlign w:val="baseline"/>
        </w:rPr>
        <w:t>or</w:t>
      </w:r>
    </w:p>
    <w:p>
      <w:pPr>
        <w:pStyle w:val="BodyText"/>
        <w:rPr>
          <w:sz w:val="20"/>
        </w:rPr>
      </w:pPr>
    </w:p>
    <w:p>
      <w:pPr>
        <w:pStyle w:val="BodyText"/>
        <w:spacing w:before="233"/>
        <w:rPr>
          <w:sz w:val="20"/>
        </w:rPr>
      </w:pPr>
      <w:r>
        <w:rPr/>
        <mc:AlternateContent>
          <mc:Choice Requires="wps">
            <w:drawing>
              <wp:anchor distT="0" distB="0" distL="0" distR="0" allowOverlap="1" layoutInCell="1" locked="0" behindDoc="1" simplePos="0" relativeHeight="487625728">
                <wp:simplePos x="0" y="0"/>
                <wp:positionH relativeFrom="page">
                  <wp:posOffset>1185672</wp:posOffset>
                </wp:positionH>
                <wp:positionV relativeFrom="paragraph">
                  <wp:posOffset>316928</wp:posOffset>
                </wp:positionV>
                <wp:extent cx="1719580" cy="6350"/>
                <wp:effectExtent l="0" t="0" r="0" b="0"/>
                <wp:wrapTopAndBottom/>
                <wp:docPr id="89" name="Graphic 89"/>
                <wp:cNvGraphicFramePr>
                  <a:graphicFrameLocks/>
                </wp:cNvGraphicFramePr>
                <a:graphic>
                  <a:graphicData uri="http://schemas.microsoft.com/office/word/2010/wordprocessingShape">
                    <wps:wsp>
                      <wps:cNvPr id="89" name="Graphic 89"/>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4.955pt;width:135.360pt;height:.48pt;mso-position-horizontal-relative:page;mso-position-vertical-relative:paragraph;z-index:-15690752;mso-wrap-distance-left:0;mso-wrap-distance-right:0" id="docshape89"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190</w:t>
      </w:r>
      <w:r>
        <w:rPr>
          <w:rFonts w:ascii="Times New Roman"/>
          <w:spacing w:val="-11"/>
          <w:sz w:val="19"/>
          <w:vertAlign w:val="baseline"/>
        </w:rPr>
        <w:t> </w:t>
      </w:r>
      <w:r>
        <w:rPr>
          <w:rFonts w:ascii="Times New Roman"/>
          <w:sz w:val="19"/>
          <w:vertAlign w:val="baseline"/>
        </w:rPr>
        <w:t>Section</w:t>
      </w:r>
      <w:r>
        <w:rPr>
          <w:rFonts w:ascii="Times New Roman"/>
          <w:spacing w:val="-7"/>
          <w:sz w:val="19"/>
          <w:vertAlign w:val="baseline"/>
        </w:rPr>
        <w:t> </w:t>
      </w:r>
      <w:r>
        <w:rPr>
          <w:rFonts w:ascii="Times New Roman"/>
          <w:sz w:val="19"/>
          <w:vertAlign w:val="baseline"/>
        </w:rPr>
        <w:t>9(1)(a)(c)(d)</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191</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192</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73</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70"/>
        <w:jc w:val="both"/>
      </w:pPr>
      <w:r>
        <w:rPr/>
        <w:t>as shall be determined by the Act, or regulation made by the Board.</w:t>
      </w:r>
      <w:r>
        <w:rPr>
          <w:vertAlign w:val="superscript"/>
        </w:rPr>
        <w:t>193</w:t>
      </w:r>
      <w:r>
        <w:rPr>
          <w:vertAlign w:val="baseline"/>
        </w:rPr>
        <w:t>The date of disability here is treated as the date of the occurrence of the </w:t>
      </w:r>
      <w:r>
        <w:rPr>
          <w:spacing w:val="-2"/>
          <w:vertAlign w:val="baseline"/>
        </w:rPr>
        <w:t>disability.</w:t>
      </w:r>
      <w:r>
        <w:rPr>
          <w:spacing w:val="-2"/>
          <w:vertAlign w:val="superscript"/>
        </w:rPr>
        <w:t>194</w:t>
      </w:r>
    </w:p>
    <w:p>
      <w:pPr>
        <w:pStyle w:val="BodyText"/>
        <w:spacing w:before="10"/>
      </w:pPr>
    </w:p>
    <w:p>
      <w:pPr>
        <w:pStyle w:val="BodyText"/>
        <w:spacing w:line="489" w:lineRule="auto"/>
        <w:ind w:left="864" w:right="564"/>
        <w:jc w:val="both"/>
      </w:pPr>
      <w:r>
        <w:rPr/>
        <w:t>The Board may appoint Medical Board of Inquiry consisting of relevant specialists</w:t>
      </w:r>
      <w:r>
        <w:rPr>
          <w:spacing w:val="40"/>
        </w:rPr>
        <w:t> </w:t>
      </w:r>
      <w:r>
        <w:rPr/>
        <w:t>to</w:t>
      </w:r>
      <w:r>
        <w:rPr>
          <w:spacing w:val="40"/>
        </w:rPr>
        <w:t> </w:t>
      </w:r>
      <w:r>
        <w:rPr/>
        <w:t>ascertain</w:t>
      </w:r>
      <w:r>
        <w:rPr>
          <w:spacing w:val="40"/>
        </w:rPr>
        <w:t> </w:t>
      </w:r>
      <w:r>
        <w:rPr/>
        <w:t>whether</w:t>
      </w:r>
      <w:r>
        <w:rPr>
          <w:spacing w:val="40"/>
        </w:rPr>
        <w:t> </w:t>
      </w:r>
      <w:r>
        <w:rPr/>
        <w:t>the</w:t>
      </w:r>
      <w:r>
        <w:rPr>
          <w:spacing w:val="40"/>
        </w:rPr>
        <w:t> </w:t>
      </w:r>
      <w:r>
        <w:rPr/>
        <w:t>employee</w:t>
      </w:r>
      <w:r>
        <w:rPr>
          <w:spacing w:val="40"/>
        </w:rPr>
        <w:t> </w:t>
      </w:r>
      <w:r>
        <w:rPr/>
        <w:t>who</w:t>
      </w:r>
      <w:r>
        <w:rPr>
          <w:spacing w:val="40"/>
        </w:rPr>
        <w:t> </w:t>
      </w:r>
      <w:r>
        <w:rPr/>
        <w:t>claims</w:t>
      </w:r>
      <w:r>
        <w:rPr>
          <w:spacing w:val="40"/>
        </w:rPr>
        <w:t> </w:t>
      </w:r>
      <w:r>
        <w:rPr/>
        <w:t>compensation for occupational disease actually suffers from one and to know its cause.</w:t>
      </w:r>
      <w:r>
        <w:rPr>
          <w:vertAlign w:val="superscript"/>
        </w:rPr>
        <w:t>195</w:t>
      </w:r>
      <w:r>
        <w:rPr>
          <w:vertAlign w:val="baseline"/>
        </w:rPr>
        <w:t> Also, section 9(5) of the Act provides that where an employee has been exposed to the agent causing the disease in two or more classes or subclasses of the industry in the workplace, the Board may apportion the cost of the compensation among the funds provided by those classes or subclasses on the basis of duration and severity of the exposure of each. The</w:t>
      </w:r>
      <w:r>
        <w:rPr>
          <w:spacing w:val="40"/>
          <w:vertAlign w:val="baseline"/>
        </w:rPr>
        <w:t> </w:t>
      </w:r>
      <w:r>
        <w:rPr>
          <w:vertAlign w:val="baseline"/>
        </w:rPr>
        <w:t>word</w:t>
      </w:r>
      <w:r>
        <w:rPr>
          <w:spacing w:val="40"/>
          <w:vertAlign w:val="baseline"/>
        </w:rPr>
        <w:t> </w:t>
      </w:r>
      <w:r>
        <w:rPr>
          <w:vertAlign w:val="baseline"/>
        </w:rPr>
        <w:t>“may”</w:t>
      </w:r>
      <w:r>
        <w:rPr>
          <w:spacing w:val="40"/>
          <w:vertAlign w:val="baseline"/>
        </w:rPr>
        <w:t> </w:t>
      </w:r>
      <w:r>
        <w:rPr>
          <w:vertAlign w:val="baseline"/>
        </w:rPr>
        <w:t>used</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circumstances</w:t>
      </w:r>
      <w:r>
        <w:rPr>
          <w:spacing w:val="40"/>
          <w:vertAlign w:val="baseline"/>
        </w:rPr>
        <w:t> </w:t>
      </w:r>
      <w:r>
        <w:rPr>
          <w:vertAlign w:val="baseline"/>
        </w:rPr>
        <w:t>suggests</w:t>
      </w:r>
      <w:r>
        <w:rPr>
          <w:spacing w:val="40"/>
          <w:vertAlign w:val="baseline"/>
        </w:rPr>
        <w:t> </w:t>
      </w:r>
      <w:r>
        <w:rPr>
          <w:vertAlign w:val="baseline"/>
        </w:rPr>
        <w:t>that</w:t>
      </w:r>
      <w:r>
        <w:rPr>
          <w:spacing w:val="40"/>
          <w:vertAlign w:val="baseline"/>
        </w:rPr>
        <w:t> </w:t>
      </w:r>
      <w:r>
        <w:rPr>
          <w:vertAlign w:val="baseline"/>
        </w:rPr>
        <w:t>it</w:t>
      </w:r>
      <w:r>
        <w:rPr>
          <w:spacing w:val="40"/>
          <w:vertAlign w:val="baseline"/>
        </w:rPr>
        <w:t> </w:t>
      </w:r>
      <w:r>
        <w:rPr>
          <w:vertAlign w:val="baseline"/>
        </w:rPr>
        <w:t>is</w:t>
      </w:r>
      <w:r>
        <w:rPr>
          <w:spacing w:val="40"/>
          <w:vertAlign w:val="baseline"/>
        </w:rPr>
        <w:t> </w:t>
      </w:r>
      <w:r>
        <w:rPr>
          <w:vertAlign w:val="baseline"/>
        </w:rPr>
        <w:t>not obligatory</w:t>
      </w:r>
      <w:r>
        <w:rPr>
          <w:spacing w:val="40"/>
          <w:vertAlign w:val="baseline"/>
        </w:rPr>
        <w:t> </w:t>
      </w:r>
      <w:r>
        <w:rPr>
          <w:vertAlign w:val="baseline"/>
        </w:rPr>
        <w:t>on</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and</w:t>
      </w:r>
      <w:r>
        <w:rPr>
          <w:spacing w:val="40"/>
          <w:vertAlign w:val="baseline"/>
        </w:rPr>
        <w:t> </w:t>
      </w:r>
      <w:r>
        <w:rPr>
          <w:vertAlign w:val="baseline"/>
        </w:rPr>
        <w:t>this</w:t>
      </w:r>
      <w:r>
        <w:rPr>
          <w:spacing w:val="40"/>
          <w:vertAlign w:val="baseline"/>
        </w:rPr>
        <w:t> </w:t>
      </w:r>
      <w:r>
        <w:rPr>
          <w:vertAlign w:val="baseline"/>
        </w:rPr>
        <w:t>is</w:t>
      </w:r>
      <w:r>
        <w:rPr>
          <w:spacing w:val="40"/>
          <w:vertAlign w:val="baseline"/>
        </w:rPr>
        <w:t> </w:t>
      </w:r>
      <w:r>
        <w:rPr>
          <w:vertAlign w:val="baseline"/>
        </w:rPr>
        <w:t>appropriate</w:t>
      </w:r>
      <w:r>
        <w:rPr>
          <w:spacing w:val="40"/>
          <w:vertAlign w:val="baseline"/>
        </w:rPr>
        <w:t> </w:t>
      </w:r>
      <w:r>
        <w:rPr>
          <w:vertAlign w:val="baseline"/>
        </w:rPr>
        <w:t>because</w:t>
      </w:r>
      <w:r>
        <w:rPr>
          <w:spacing w:val="40"/>
          <w:vertAlign w:val="baseline"/>
        </w:rPr>
        <w:t> </w:t>
      </w:r>
      <w:r>
        <w:rPr>
          <w:vertAlign w:val="baseline"/>
        </w:rPr>
        <w:t>it</w:t>
      </w:r>
      <w:r>
        <w:rPr>
          <w:spacing w:val="38"/>
          <w:vertAlign w:val="baseline"/>
        </w:rPr>
        <w:t> </w:t>
      </w:r>
      <w:r>
        <w:rPr>
          <w:vertAlign w:val="baseline"/>
        </w:rPr>
        <w:t>will</w:t>
      </w:r>
      <w:r>
        <w:rPr>
          <w:spacing w:val="39"/>
          <w:vertAlign w:val="baseline"/>
        </w:rPr>
        <w:t> </w:t>
      </w:r>
      <w:r>
        <w:rPr>
          <w:vertAlign w:val="baseline"/>
        </w:rPr>
        <w:t>not</w:t>
      </w:r>
      <w:r>
        <w:rPr>
          <w:spacing w:val="40"/>
          <w:vertAlign w:val="baseline"/>
        </w:rPr>
        <w:t> </w:t>
      </w:r>
      <w:r>
        <w:rPr>
          <w:vertAlign w:val="baseline"/>
        </w:rPr>
        <w:t>make any difference in some cases if there are exposures in different classes or subclasses</w:t>
      </w:r>
      <w:r>
        <w:rPr>
          <w:spacing w:val="40"/>
          <w:vertAlign w:val="baseline"/>
        </w:rPr>
        <w:t> </w:t>
      </w:r>
      <w:r>
        <w:rPr>
          <w:vertAlign w:val="baseline"/>
        </w:rPr>
        <w:t>of</w:t>
      </w:r>
      <w:r>
        <w:rPr>
          <w:spacing w:val="40"/>
          <w:vertAlign w:val="baseline"/>
        </w:rPr>
        <w:t> </w:t>
      </w:r>
      <w:r>
        <w:rPr>
          <w:vertAlign w:val="baseline"/>
        </w:rPr>
        <w:t>industry.</w:t>
      </w:r>
      <w:r>
        <w:rPr>
          <w:spacing w:val="40"/>
          <w:vertAlign w:val="baseline"/>
        </w:rPr>
        <w:t> </w:t>
      </w:r>
      <w:r>
        <w:rPr>
          <w:vertAlign w:val="baseline"/>
        </w:rPr>
        <w:t>For</w:t>
      </w:r>
      <w:r>
        <w:rPr>
          <w:spacing w:val="40"/>
          <w:vertAlign w:val="baseline"/>
        </w:rPr>
        <w:t> </w:t>
      </w:r>
      <w:r>
        <w:rPr>
          <w:vertAlign w:val="baseline"/>
        </w:rPr>
        <w:t>instance,</w:t>
      </w:r>
      <w:r>
        <w:rPr>
          <w:spacing w:val="40"/>
          <w:vertAlign w:val="baseline"/>
        </w:rPr>
        <w:t> </w:t>
      </w:r>
      <w:r>
        <w:rPr>
          <w:vertAlign w:val="baseline"/>
        </w:rPr>
        <w:t>where</w:t>
      </w:r>
      <w:r>
        <w:rPr>
          <w:spacing w:val="40"/>
          <w:vertAlign w:val="baseline"/>
        </w:rPr>
        <w:t> </w:t>
      </w:r>
      <w:r>
        <w:rPr>
          <w:vertAlign w:val="baseline"/>
        </w:rPr>
        <w:t>an</w:t>
      </w:r>
      <w:r>
        <w:rPr>
          <w:spacing w:val="40"/>
          <w:vertAlign w:val="baseline"/>
        </w:rPr>
        <w:t> </w:t>
      </w:r>
      <w:r>
        <w:rPr>
          <w:vertAlign w:val="baseline"/>
        </w:rPr>
        <w:t>employee contractw(xepatitis “B" in industry “A” and without treatment, contracted same in industry “C", the issue of apportionment of cost will not arise. The issue of apportionment of cost will only arise where the second exposure is capable of complication or indeed complicated the situation of the</w:t>
      </w:r>
      <w:r>
        <w:rPr>
          <w:spacing w:val="80"/>
          <w:vertAlign w:val="baseline"/>
        </w:rPr>
        <w:t> </w:t>
      </w:r>
      <w:r>
        <w:rPr>
          <w:spacing w:val="-2"/>
          <w:vertAlign w:val="baseline"/>
        </w:rPr>
        <w:t>employee.</w:t>
      </w:r>
    </w:p>
    <w:p>
      <w:pPr>
        <w:pStyle w:val="BodyText"/>
        <w:rPr>
          <w:sz w:val="20"/>
        </w:rPr>
      </w:pPr>
    </w:p>
    <w:p>
      <w:pPr>
        <w:pStyle w:val="BodyText"/>
        <w:spacing w:before="233"/>
        <w:rPr>
          <w:sz w:val="20"/>
        </w:rPr>
      </w:pPr>
      <w:r>
        <w:rPr/>
        <mc:AlternateContent>
          <mc:Choice Requires="wps">
            <w:drawing>
              <wp:anchor distT="0" distB="0" distL="0" distR="0" allowOverlap="1" layoutInCell="1" locked="0" behindDoc="1" simplePos="0" relativeHeight="487626240">
                <wp:simplePos x="0" y="0"/>
                <wp:positionH relativeFrom="page">
                  <wp:posOffset>1185672</wp:posOffset>
                </wp:positionH>
                <wp:positionV relativeFrom="paragraph">
                  <wp:posOffset>316862</wp:posOffset>
                </wp:positionV>
                <wp:extent cx="1719580" cy="6350"/>
                <wp:effectExtent l="0" t="0" r="0" b="0"/>
                <wp:wrapTopAndBottom/>
                <wp:docPr id="90" name="Graphic 90"/>
                <wp:cNvGraphicFramePr>
                  <a:graphicFrameLocks/>
                </wp:cNvGraphicFramePr>
                <a:graphic>
                  <a:graphicData uri="http://schemas.microsoft.com/office/word/2010/wordprocessingShape">
                    <wps:wsp>
                      <wps:cNvPr id="90" name="Graphic 90"/>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4.949766pt;width:135.360pt;height:.48pt;mso-position-horizontal-relative:page;mso-position-vertical-relative:paragraph;z-index:-15690240;mso-wrap-distance-left:0;mso-wrap-distance-right:0" id="docshape90"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193</w:t>
      </w:r>
      <w:r>
        <w:rPr>
          <w:rFonts w:ascii="Times New Roman"/>
          <w:spacing w:val="-1"/>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9(3)</w:t>
      </w:r>
      <w:r>
        <w:rPr>
          <w:rFonts w:ascii="Times New Roman"/>
          <w:spacing w:val="-8"/>
          <w:sz w:val="19"/>
          <w:vertAlign w:val="baseline"/>
        </w:rPr>
        <w:t> </w:t>
      </w:r>
      <w:r>
        <w:rPr>
          <w:rFonts w:ascii="Times New Roman"/>
          <w:sz w:val="19"/>
          <w:vertAlign w:val="baseline"/>
        </w:rPr>
        <w:t>(7)</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194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9(2)</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195</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9(8)</w:t>
      </w:r>
      <w:r>
        <w:rPr>
          <w:rFonts w:ascii="Times New Roman"/>
          <w:spacing w:val="-8"/>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before="123"/>
        <w:rPr>
          <w:rFonts w:ascii="Times New Roman"/>
          <w:i/>
        </w:rPr>
      </w:pPr>
    </w:p>
    <w:p>
      <w:pPr>
        <w:pStyle w:val="Heading3"/>
        <w:numPr>
          <w:ilvl w:val="2"/>
          <w:numId w:val="13"/>
        </w:numPr>
        <w:tabs>
          <w:tab w:pos="860" w:val="left" w:leader="none"/>
        </w:tabs>
        <w:spacing w:line="240" w:lineRule="auto" w:before="1" w:after="0"/>
        <w:ind w:left="860" w:right="0" w:hanging="673"/>
        <w:jc w:val="left"/>
      </w:pPr>
      <w:bookmarkStart w:name="_TOC_250015" w:id="15"/>
      <w:bookmarkEnd w:id="15"/>
      <w:r>
        <w:rPr>
          <w:spacing w:val="-2"/>
        </w:rPr>
        <w:t>Death</w:t>
      </w:r>
    </w:p>
    <w:p>
      <w:pPr>
        <w:pStyle w:val="BodyText"/>
        <w:spacing w:before="6"/>
        <w:rPr>
          <w:b/>
        </w:rPr>
      </w:pPr>
    </w:p>
    <w:p>
      <w:pPr>
        <w:pStyle w:val="BodyText"/>
        <w:spacing w:line="489" w:lineRule="auto"/>
        <w:ind w:left="864" w:right="564"/>
        <w:jc w:val="both"/>
      </w:pPr>
      <w:r>
        <w:rPr/>
        <w:t>Where</w:t>
      </w:r>
      <w:r>
        <w:rPr>
          <w:spacing w:val="40"/>
        </w:rPr>
        <w:t> </w:t>
      </w:r>
      <w:r>
        <w:rPr/>
        <w:t>death</w:t>
      </w:r>
      <w:r>
        <w:rPr>
          <w:spacing w:val="40"/>
        </w:rPr>
        <w:t> </w:t>
      </w:r>
      <w:r>
        <w:rPr/>
        <w:t>results</w:t>
      </w:r>
      <w:r>
        <w:rPr>
          <w:spacing w:val="40"/>
        </w:rPr>
        <w:t> </w:t>
      </w:r>
      <w:r>
        <w:rPr/>
        <w:t>from</w:t>
      </w:r>
      <w:r>
        <w:rPr>
          <w:spacing w:val="40"/>
        </w:rPr>
        <w:t> </w:t>
      </w:r>
      <w:r>
        <w:rPr/>
        <w:t>the</w:t>
      </w:r>
      <w:r>
        <w:rPr>
          <w:spacing w:val="40"/>
        </w:rPr>
        <w:t> </w:t>
      </w:r>
      <w:r>
        <w:rPr/>
        <w:t>injury</w:t>
      </w:r>
      <w:r>
        <w:rPr>
          <w:spacing w:val="40"/>
        </w:rPr>
        <w:t> </w:t>
      </w:r>
      <w:r>
        <w:rPr/>
        <w:t>of</w:t>
      </w:r>
      <w:r>
        <w:rPr>
          <w:spacing w:val="40"/>
        </w:rPr>
        <w:t> </w:t>
      </w:r>
      <w:r>
        <w:rPr/>
        <w:t>an</w:t>
      </w:r>
      <w:r>
        <w:rPr>
          <w:spacing w:val="38"/>
        </w:rPr>
        <w:t> </w:t>
      </w:r>
      <w:r>
        <w:rPr/>
        <w:t>employee,</w:t>
      </w:r>
      <w:r>
        <w:rPr>
          <w:spacing w:val="40"/>
        </w:rPr>
        <w:t> </w:t>
      </w:r>
      <w:r>
        <w:rPr/>
        <w:t>compensation</w:t>
      </w:r>
      <w:r>
        <w:rPr>
          <w:spacing w:val="38"/>
        </w:rPr>
        <w:t> </w:t>
      </w:r>
      <w:r>
        <w:rPr/>
        <w:t>shall be paid to the dependants.</w:t>
      </w:r>
      <w:r>
        <w:rPr>
          <w:vertAlign w:val="superscript"/>
        </w:rPr>
        <w:t>196</w:t>
      </w:r>
      <w:r>
        <w:rPr>
          <w:vertAlign w:val="baseline"/>
        </w:rPr>
        <w:t> Injury includes disease resulting from an accident or exposure to critical agents and conditions in a workplace.</w:t>
      </w:r>
      <w:r>
        <w:rPr>
          <w:vertAlign w:val="superscript"/>
        </w:rPr>
        <w:t>197</w:t>
      </w:r>
      <w:r>
        <w:rPr>
          <w:vertAlign w:val="baseline"/>
        </w:rPr>
        <w:t> What</w:t>
      </w:r>
      <w:r>
        <w:rPr>
          <w:spacing w:val="40"/>
          <w:vertAlign w:val="baseline"/>
        </w:rPr>
        <w:t> </w:t>
      </w:r>
      <w:r>
        <w:rPr>
          <w:vertAlign w:val="baseline"/>
        </w:rPr>
        <w:t>then</w:t>
      </w:r>
      <w:r>
        <w:rPr>
          <w:spacing w:val="40"/>
          <w:vertAlign w:val="baseline"/>
        </w:rPr>
        <w:t> </w:t>
      </w:r>
      <w:r>
        <w:rPr>
          <w:vertAlign w:val="baseline"/>
        </w:rPr>
        <w:t>is</w:t>
      </w:r>
      <w:r>
        <w:rPr>
          <w:spacing w:val="40"/>
          <w:vertAlign w:val="baseline"/>
        </w:rPr>
        <w:t> </w:t>
      </w:r>
      <w:r>
        <w:rPr>
          <w:vertAlign w:val="baseline"/>
        </w:rPr>
        <w:t>death?</w:t>
      </w:r>
      <w:r>
        <w:rPr>
          <w:spacing w:val="40"/>
          <w:vertAlign w:val="baseline"/>
        </w:rPr>
        <w:t> </w:t>
      </w:r>
      <w:r>
        <w:rPr>
          <w:vertAlign w:val="baseline"/>
        </w:rPr>
        <w:t>There</w:t>
      </w:r>
      <w:r>
        <w:rPr>
          <w:spacing w:val="40"/>
          <w:vertAlign w:val="baseline"/>
        </w:rPr>
        <w:t> </w:t>
      </w:r>
      <w:r>
        <w:rPr>
          <w:vertAlign w:val="baseline"/>
        </w:rPr>
        <w:t>is</w:t>
      </w:r>
      <w:r>
        <w:rPr>
          <w:spacing w:val="40"/>
          <w:vertAlign w:val="baseline"/>
        </w:rPr>
        <w:t> </w:t>
      </w:r>
      <w:r>
        <w:rPr>
          <w:vertAlign w:val="baseline"/>
        </w:rPr>
        <w:t>no</w:t>
      </w:r>
      <w:r>
        <w:rPr>
          <w:spacing w:val="40"/>
          <w:vertAlign w:val="baseline"/>
        </w:rPr>
        <w:t> </w:t>
      </w:r>
      <w:r>
        <w:rPr>
          <w:vertAlign w:val="baseline"/>
        </w:rPr>
        <w:t>definition</w:t>
      </w:r>
      <w:r>
        <w:rPr>
          <w:spacing w:val="40"/>
          <w:vertAlign w:val="baseline"/>
        </w:rPr>
        <w:t> </w:t>
      </w:r>
      <w:r>
        <w:rPr>
          <w:vertAlign w:val="baseline"/>
        </w:rPr>
        <w:t>proffered</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Act,</w:t>
      </w:r>
      <w:r>
        <w:rPr>
          <w:spacing w:val="40"/>
          <w:vertAlign w:val="baseline"/>
        </w:rPr>
        <w:t> </w:t>
      </w:r>
      <w:r>
        <w:rPr>
          <w:vertAlign w:val="baseline"/>
        </w:rPr>
        <w:t>for</w:t>
      </w:r>
      <w:r>
        <w:rPr>
          <w:spacing w:val="40"/>
          <w:vertAlign w:val="baseline"/>
        </w:rPr>
        <w:t> </w:t>
      </w:r>
      <w:r>
        <w:rPr>
          <w:vertAlign w:val="baseline"/>
        </w:rPr>
        <w:t>the term “death.” Medically, death is the cessation of all vital functions of the body, including the heartbeat, brain activity (including brain stem) and breathing.</w:t>
      </w:r>
      <w:r>
        <w:rPr>
          <w:vertAlign w:val="superscript"/>
        </w:rPr>
        <w:t>198</w:t>
      </w:r>
      <w:r>
        <w:rPr>
          <w:spacing w:val="25"/>
          <w:vertAlign w:val="baseline"/>
        </w:rPr>
        <w:t> </w:t>
      </w:r>
      <w:r>
        <w:rPr>
          <w:vertAlign w:val="baseline"/>
        </w:rPr>
        <w:t>Death</w:t>
      </w:r>
      <w:r>
        <w:rPr>
          <w:spacing w:val="27"/>
          <w:vertAlign w:val="baseline"/>
        </w:rPr>
        <w:t> </w:t>
      </w:r>
      <w:r>
        <w:rPr>
          <w:vertAlign w:val="baseline"/>
        </w:rPr>
        <w:t>comes</w:t>
      </w:r>
      <w:r>
        <w:rPr>
          <w:spacing w:val="25"/>
          <w:vertAlign w:val="baseline"/>
        </w:rPr>
        <w:t> </w:t>
      </w:r>
      <w:r>
        <w:rPr>
          <w:vertAlign w:val="baseline"/>
        </w:rPr>
        <w:t>in</w:t>
      </w:r>
      <w:r>
        <w:rPr>
          <w:spacing w:val="23"/>
          <w:vertAlign w:val="baseline"/>
        </w:rPr>
        <w:t> </w:t>
      </w:r>
      <w:r>
        <w:rPr>
          <w:vertAlign w:val="baseline"/>
        </w:rPr>
        <w:t>many</w:t>
      </w:r>
      <w:r>
        <w:rPr>
          <w:spacing w:val="27"/>
          <w:vertAlign w:val="baseline"/>
        </w:rPr>
        <w:t> </w:t>
      </w:r>
      <w:r>
        <w:rPr>
          <w:vertAlign w:val="baseline"/>
        </w:rPr>
        <w:t>forms.</w:t>
      </w:r>
      <w:r>
        <w:rPr>
          <w:vertAlign w:val="superscript"/>
        </w:rPr>
        <w:t>199</w:t>
      </w:r>
      <w:r>
        <w:rPr>
          <w:spacing w:val="25"/>
          <w:vertAlign w:val="baseline"/>
        </w:rPr>
        <w:t> </w:t>
      </w:r>
      <w:r>
        <w:rPr>
          <w:vertAlign w:val="baseline"/>
        </w:rPr>
        <w:t>Whether</w:t>
      </w:r>
      <w:r>
        <w:rPr>
          <w:spacing w:val="32"/>
          <w:vertAlign w:val="baseline"/>
        </w:rPr>
        <w:t> </w:t>
      </w:r>
      <w:r>
        <w:rPr>
          <w:vertAlign w:val="baseline"/>
        </w:rPr>
        <w:t>it</w:t>
      </w:r>
      <w:r>
        <w:rPr>
          <w:spacing w:val="22"/>
          <w:vertAlign w:val="baseline"/>
        </w:rPr>
        <w:t> </w:t>
      </w:r>
      <w:r>
        <w:rPr>
          <w:vertAlign w:val="baseline"/>
        </w:rPr>
        <w:t>be</w:t>
      </w:r>
      <w:r>
        <w:rPr>
          <w:spacing w:val="20"/>
          <w:vertAlign w:val="baseline"/>
        </w:rPr>
        <w:t> </w:t>
      </w:r>
      <w:r>
        <w:rPr>
          <w:vertAlign w:val="baseline"/>
        </w:rPr>
        <w:t>expected</w:t>
      </w:r>
      <w:r>
        <w:rPr>
          <w:spacing w:val="29"/>
          <w:vertAlign w:val="baseline"/>
        </w:rPr>
        <w:t> </w:t>
      </w:r>
      <w:r>
        <w:rPr>
          <w:vertAlign w:val="baseline"/>
        </w:rPr>
        <w:t>after a diagnosis of a terminal illness or an unexpected accident or medical condition.</w:t>
      </w:r>
      <w:r>
        <w:rPr>
          <w:vertAlign w:val="superscript"/>
        </w:rPr>
        <w:t>200</w:t>
      </w:r>
      <w:r>
        <w:rPr>
          <w:vertAlign w:val="baseline"/>
        </w:rPr>
        <w:t> When a terminal illness is diagnosed, a person, family, friends and physicians are able to prepare for the impending death.</w:t>
      </w:r>
      <w:r>
        <w:rPr>
          <w:vertAlign w:val="superscript"/>
        </w:rPr>
        <w:t>201</w:t>
      </w:r>
    </w:p>
    <w:p>
      <w:pPr>
        <w:pStyle w:val="BodyText"/>
        <w:spacing w:before="20"/>
      </w:pPr>
    </w:p>
    <w:p>
      <w:pPr>
        <w:pStyle w:val="BodyText"/>
        <w:spacing w:line="489" w:lineRule="auto"/>
        <w:ind w:left="864" w:right="562"/>
        <w:jc w:val="both"/>
      </w:pPr>
      <w:r>
        <w:rPr/>
        <mc:AlternateContent>
          <mc:Choice Requires="wps">
            <w:drawing>
              <wp:anchor distT="0" distB="0" distL="0" distR="0" allowOverlap="1" layoutInCell="1" locked="0" behindDoc="1" simplePos="0" relativeHeight="487626752">
                <wp:simplePos x="0" y="0"/>
                <wp:positionH relativeFrom="page">
                  <wp:posOffset>1185672</wp:posOffset>
                </wp:positionH>
                <wp:positionV relativeFrom="paragraph">
                  <wp:posOffset>2554528</wp:posOffset>
                </wp:positionV>
                <wp:extent cx="1719580" cy="6350"/>
                <wp:effectExtent l="0" t="0" r="0" b="0"/>
                <wp:wrapTopAndBottom/>
                <wp:docPr id="91" name="Graphic 91"/>
                <wp:cNvGraphicFramePr>
                  <a:graphicFrameLocks/>
                </wp:cNvGraphicFramePr>
                <a:graphic>
                  <a:graphicData uri="http://schemas.microsoft.com/office/word/2010/wordprocessingShape">
                    <wps:wsp>
                      <wps:cNvPr id="91" name="Graphic 91"/>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1.144012pt;width:135.360pt;height:.48pt;mso-position-horizontal-relative:page;mso-position-vertical-relative:paragraph;z-index:-15689728;mso-wrap-distance-left:0;mso-wrap-distance-right:0" id="docshape91" filled="true" fillcolor="#000000" stroked="false">
                <v:fill type="solid"/>
                <w10:wrap type="topAndBottom"/>
              </v:rect>
            </w:pict>
          </mc:Fallback>
        </mc:AlternateContent>
      </w:r>
      <w:r>
        <w:rPr/>
        <w:t>The</w:t>
      </w:r>
      <w:r>
        <w:rPr>
          <w:spacing w:val="35"/>
        </w:rPr>
        <w:t> </w:t>
      </w:r>
      <w:r>
        <w:rPr/>
        <w:t>Act</w:t>
      </w:r>
      <w:r>
        <w:rPr>
          <w:spacing w:val="31"/>
        </w:rPr>
        <w:t> </w:t>
      </w:r>
      <w:r>
        <w:rPr/>
        <w:t>does</w:t>
      </w:r>
      <w:r>
        <w:rPr>
          <w:spacing w:val="29"/>
        </w:rPr>
        <w:t> </w:t>
      </w:r>
      <w:r>
        <w:rPr/>
        <w:t>not</w:t>
      </w:r>
      <w:r>
        <w:rPr>
          <w:spacing w:val="31"/>
        </w:rPr>
        <w:t> </w:t>
      </w:r>
      <w:r>
        <w:rPr/>
        <w:t>have</w:t>
      </w:r>
      <w:r>
        <w:rPr>
          <w:spacing w:val="29"/>
        </w:rPr>
        <w:t> </w:t>
      </w:r>
      <w:r>
        <w:rPr/>
        <w:t>an</w:t>
      </w:r>
      <w:r>
        <w:rPr>
          <w:spacing w:val="37"/>
        </w:rPr>
        <w:t> </w:t>
      </w:r>
      <w:r>
        <w:rPr/>
        <w:t>exhaustive</w:t>
      </w:r>
      <w:r>
        <w:rPr>
          <w:spacing w:val="29"/>
        </w:rPr>
        <w:t> </w:t>
      </w:r>
      <w:r>
        <w:rPr/>
        <w:t>definition</w:t>
      </w:r>
      <w:r>
        <w:rPr>
          <w:spacing w:val="32"/>
        </w:rPr>
        <w:t> </w:t>
      </w:r>
      <w:r>
        <w:rPr/>
        <w:t>of</w:t>
      </w:r>
      <w:r>
        <w:rPr>
          <w:spacing w:val="35"/>
        </w:rPr>
        <w:t> </w:t>
      </w:r>
      <w:r>
        <w:rPr/>
        <w:t>the</w:t>
      </w:r>
      <w:r>
        <w:rPr>
          <w:spacing w:val="35"/>
        </w:rPr>
        <w:t> </w:t>
      </w:r>
      <w:r>
        <w:rPr/>
        <w:t>word</w:t>
      </w:r>
      <w:r>
        <w:rPr>
          <w:spacing w:val="32"/>
        </w:rPr>
        <w:t> </w:t>
      </w:r>
      <w:r>
        <w:rPr/>
        <w:t>“dependant.” It merely says dependants include those members of the family including adoptive and foster family of the deceased or disabled employee wholly dependent on his earnings at the time of his death or would but for the disability due to the occupational accident or disease, have been so dependent.</w:t>
      </w:r>
      <w:r>
        <w:rPr>
          <w:vertAlign w:val="superscript"/>
        </w:rPr>
        <w:t>202</w:t>
      </w:r>
      <w:r>
        <w:rPr>
          <w:spacing w:val="40"/>
          <w:vertAlign w:val="baseline"/>
        </w:rPr>
        <w:t> </w:t>
      </w:r>
      <w:r>
        <w:rPr>
          <w:vertAlign w:val="baseline"/>
        </w:rPr>
        <w:t>The classes of dependants are not closed hence the word “include.”</w:t>
      </w:r>
      <w:r>
        <w:rPr>
          <w:spacing w:val="66"/>
          <w:vertAlign w:val="baseline"/>
        </w:rPr>
        <w:t> </w:t>
      </w:r>
      <w:r>
        <w:rPr>
          <w:vertAlign w:val="baseline"/>
        </w:rPr>
        <w:t>The</w:t>
      </w:r>
      <w:r>
        <w:rPr>
          <w:spacing w:val="65"/>
          <w:vertAlign w:val="baseline"/>
        </w:rPr>
        <w:t> </w:t>
      </w:r>
      <w:r>
        <w:rPr>
          <w:vertAlign w:val="baseline"/>
        </w:rPr>
        <w:t>deciding</w:t>
      </w:r>
      <w:r>
        <w:rPr>
          <w:spacing w:val="69"/>
          <w:vertAlign w:val="baseline"/>
        </w:rPr>
        <w:t> </w:t>
      </w:r>
      <w:r>
        <w:rPr>
          <w:vertAlign w:val="baseline"/>
        </w:rPr>
        <w:t>factor</w:t>
      </w:r>
      <w:r>
        <w:rPr>
          <w:spacing w:val="67"/>
          <w:vertAlign w:val="baseline"/>
        </w:rPr>
        <w:t> </w:t>
      </w:r>
      <w:r>
        <w:rPr>
          <w:vertAlign w:val="baseline"/>
        </w:rPr>
        <w:t>here</w:t>
      </w:r>
      <w:r>
        <w:rPr>
          <w:spacing w:val="65"/>
          <w:vertAlign w:val="baseline"/>
        </w:rPr>
        <w:t> </w:t>
      </w:r>
      <w:r>
        <w:rPr>
          <w:vertAlign w:val="baseline"/>
        </w:rPr>
        <w:t>is</w:t>
      </w:r>
      <w:r>
        <w:rPr>
          <w:spacing w:val="70"/>
          <w:vertAlign w:val="baseline"/>
        </w:rPr>
        <w:t> </w:t>
      </w:r>
      <w:r>
        <w:rPr>
          <w:vertAlign w:val="baseline"/>
        </w:rPr>
        <w:t>whether</w:t>
      </w:r>
      <w:r>
        <w:rPr>
          <w:spacing w:val="72"/>
          <w:vertAlign w:val="baseline"/>
        </w:rPr>
        <w:t> </w:t>
      </w:r>
      <w:r>
        <w:rPr>
          <w:vertAlign w:val="baseline"/>
        </w:rPr>
        <w:t>the</w:t>
      </w:r>
      <w:r>
        <w:rPr>
          <w:spacing w:val="70"/>
          <w:vertAlign w:val="baseline"/>
        </w:rPr>
        <w:t> </w:t>
      </w:r>
      <w:r>
        <w:rPr>
          <w:vertAlign w:val="baseline"/>
        </w:rPr>
        <w:t>persons</w:t>
      </w:r>
      <w:r>
        <w:rPr>
          <w:spacing w:val="71"/>
          <w:vertAlign w:val="baseline"/>
        </w:rPr>
        <w:t> </w:t>
      </w:r>
      <w:r>
        <w:rPr>
          <w:vertAlign w:val="baseline"/>
        </w:rPr>
        <w:t>are</w:t>
      </w:r>
      <w:r>
        <w:rPr>
          <w:spacing w:val="70"/>
          <w:vertAlign w:val="baseline"/>
        </w:rPr>
        <w:t> </w:t>
      </w:r>
      <w:r>
        <w:rPr>
          <w:spacing w:val="-2"/>
          <w:vertAlign w:val="baseline"/>
        </w:rPr>
        <w:t>wholly</w:t>
      </w:r>
    </w:p>
    <w:p>
      <w:pPr>
        <w:spacing w:line="215" w:lineRule="exact" w:before="101"/>
        <w:ind w:left="187" w:right="0" w:firstLine="0"/>
        <w:jc w:val="left"/>
        <w:rPr>
          <w:rFonts w:ascii="Times New Roman"/>
          <w:i/>
          <w:sz w:val="19"/>
        </w:rPr>
      </w:pPr>
      <w:r>
        <w:rPr>
          <w:rFonts w:ascii="Times New Roman"/>
          <w:sz w:val="19"/>
          <w:vertAlign w:val="superscript"/>
        </w:rPr>
        <w:t>196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17(1</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197</w:t>
      </w:r>
      <w:r>
        <w:rPr>
          <w:rFonts w:ascii="Times New Roman"/>
          <w:spacing w:val="-2"/>
          <w:sz w:val="19"/>
          <w:vertAlign w:val="baseline"/>
        </w:rPr>
        <w:t> </w:t>
      </w:r>
      <w:r>
        <w:rPr>
          <w:rFonts w:ascii="Times New Roman"/>
          <w:sz w:val="19"/>
          <w:vertAlign w:val="baseline"/>
        </w:rPr>
        <w:t>Sections</w:t>
      </w:r>
      <w:r>
        <w:rPr>
          <w:rFonts w:ascii="Times New Roman"/>
          <w:spacing w:val="-5"/>
          <w:sz w:val="19"/>
          <w:vertAlign w:val="baseline"/>
        </w:rPr>
        <w:t> </w:t>
      </w:r>
      <w:r>
        <w:rPr>
          <w:rFonts w:ascii="Times New Roman"/>
          <w:sz w:val="19"/>
          <w:vertAlign w:val="baseline"/>
        </w:rPr>
        <w:t>73</w:t>
      </w:r>
      <w:r>
        <w:rPr>
          <w:rFonts w:ascii="Times New Roman"/>
          <w:spacing w:val="-5"/>
          <w:sz w:val="19"/>
          <w:vertAlign w:val="baseline"/>
        </w:rPr>
        <w:t> </w:t>
      </w:r>
      <w:r>
        <w:rPr>
          <w:rFonts w:ascii="Times New Roman"/>
          <w:sz w:val="19"/>
          <w:vertAlign w:val="baseline"/>
        </w:rPr>
        <w:t>and</w:t>
      </w:r>
      <w:r>
        <w:rPr>
          <w:rFonts w:ascii="Times New Roman"/>
          <w:spacing w:val="-10"/>
          <w:sz w:val="19"/>
          <w:vertAlign w:val="baseline"/>
        </w:rPr>
        <w:t> </w:t>
      </w:r>
      <w:r>
        <w:rPr>
          <w:rFonts w:ascii="Times New Roman"/>
          <w:sz w:val="19"/>
          <w:vertAlign w:val="baseline"/>
        </w:rPr>
        <w:t>9(1)(b)</w:t>
      </w:r>
      <w:r>
        <w:rPr>
          <w:rFonts w:ascii="Times New Roman"/>
          <w:spacing w:val="-4"/>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pacing w:val="-2"/>
          <w:sz w:val="19"/>
          <w:vertAlign w:val="superscript"/>
        </w:rPr>
        <w:t>198</w:t>
      </w:r>
      <w:r>
        <w:rPr>
          <w:rFonts w:ascii="Times New Roman"/>
          <w:spacing w:val="34"/>
          <w:sz w:val="19"/>
          <w:vertAlign w:val="baseline"/>
        </w:rPr>
        <w:t> </w:t>
      </w:r>
      <w:r>
        <w:rPr>
          <w:rFonts w:ascii="Times New Roman"/>
          <w:i/>
          <w:spacing w:val="-2"/>
          <w:sz w:val="19"/>
          <w:vertAlign w:val="baseline"/>
        </w:rPr>
        <w:t>http://medical-dictionary.thefreedictionarycom/death</w:t>
      </w:r>
      <w:r>
        <w:rPr>
          <w:rFonts w:ascii="Times New Roman"/>
          <w:spacing w:val="-2"/>
          <w:sz w:val="19"/>
          <w:vertAlign w:val="baseline"/>
        </w:rPr>
        <w:t>-April7,2012-6:36pm</w:t>
      </w:r>
    </w:p>
    <w:p>
      <w:pPr>
        <w:spacing w:line="217" w:lineRule="exact" w:before="0"/>
        <w:ind w:left="187" w:right="0" w:firstLine="0"/>
        <w:jc w:val="left"/>
        <w:rPr>
          <w:rFonts w:ascii="Times New Roman"/>
          <w:i/>
          <w:sz w:val="19"/>
        </w:rPr>
      </w:pPr>
      <w:r>
        <w:rPr>
          <w:rFonts w:ascii="Times New Roman"/>
          <w:sz w:val="19"/>
          <w:vertAlign w:val="superscript"/>
        </w:rPr>
        <w:t>199</w:t>
      </w:r>
      <w:r>
        <w:rPr>
          <w:rFonts w:ascii="Times New Roman"/>
          <w:spacing w:val="11"/>
          <w:sz w:val="19"/>
          <w:vertAlign w:val="baseline"/>
        </w:rPr>
        <w:t> </w:t>
      </w:r>
      <w:r>
        <w:rPr>
          <w:rFonts w:ascii="Times New Roman"/>
          <w:i/>
          <w:spacing w:val="-4"/>
          <w:sz w:val="19"/>
          <w:vertAlign w:val="baseline"/>
        </w:rPr>
        <w:t>Ibid</w:t>
      </w:r>
    </w:p>
    <w:p>
      <w:pPr>
        <w:spacing w:before="8"/>
        <w:ind w:left="187" w:right="0" w:firstLine="0"/>
        <w:jc w:val="left"/>
        <w:rPr>
          <w:rFonts w:ascii="Times New Roman"/>
          <w:i/>
          <w:sz w:val="22"/>
        </w:rPr>
      </w:pPr>
      <w:r>
        <w:rPr>
          <w:rFonts w:ascii="Times New Roman"/>
          <w:w w:val="105"/>
          <w:sz w:val="22"/>
          <w:vertAlign w:val="superscript"/>
        </w:rPr>
        <w:t>200</w:t>
      </w:r>
      <w:r>
        <w:rPr>
          <w:rFonts w:ascii="Times New Roman"/>
          <w:spacing w:val="6"/>
          <w:w w:val="105"/>
          <w:sz w:val="22"/>
          <w:vertAlign w:val="baseline"/>
        </w:rPr>
        <w:t> </w:t>
      </w:r>
      <w:r>
        <w:rPr>
          <w:rFonts w:ascii="Times New Roman"/>
          <w:i/>
          <w:spacing w:val="-4"/>
          <w:w w:val="105"/>
          <w:sz w:val="22"/>
          <w:vertAlign w:val="baseline"/>
        </w:rPr>
        <w:t>Ibid</w:t>
      </w:r>
    </w:p>
    <w:p>
      <w:pPr>
        <w:spacing w:line="251" w:lineRule="exact" w:before="6"/>
        <w:ind w:left="187" w:right="0" w:firstLine="0"/>
        <w:jc w:val="left"/>
        <w:rPr>
          <w:rFonts w:ascii="Times New Roman"/>
          <w:i/>
          <w:sz w:val="22"/>
        </w:rPr>
      </w:pPr>
      <w:r>
        <w:rPr>
          <w:rFonts w:ascii="Times New Roman"/>
          <w:w w:val="105"/>
          <w:sz w:val="22"/>
          <w:vertAlign w:val="superscript"/>
        </w:rPr>
        <w:t>201</w:t>
      </w:r>
      <w:r>
        <w:rPr>
          <w:rFonts w:ascii="Times New Roman"/>
          <w:spacing w:val="6"/>
          <w:w w:val="105"/>
          <w:sz w:val="22"/>
          <w:vertAlign w:val="baseline"/>
        </w:rPr>
        <w:t> </w:t>
      </w:r>
      <w:r>
        <w:rPr>
          <w:rFonts w:ascii="Times New Roman"/>
          <w:i/>
          <w:spacing w:val="-4"/>
          <w:w w:val="105"/>
          <w:sz w:val="22"/>
          <w:vertAlign w:val="baseline"/>
        </w:rPr>
        <w:t>Ibid</w:t>
      </w:r>
    </w:p>
    <w:p>
      <w:pPr>
        <w:spacing w:line="216" w:lineRule="exact" w:before="0"/>
        <w:ind w:left="187" w:right="0" w:firstLine="0"/>
        <w:jc w:val="left"/>
        <w:rPr>
          <w:rFonts w:ascii="Times New Roman" w:hAnsi="Times New Roman"/>
          <w:i/>
          <w:sz w:val="19"/>
        </w:rPr>
      </w:pPr>
      <w:r>
        <w:rPr>
          <w:rFonts w:ascii="Times New Roman" w:hAnsi="Times New Roman"/>
          <w:sz w:val="19"/>
          <w:vertAlign w:val="superscript"/>
        </w:rPr>
        <w:t>202</w:t>
      </w:r>
      <w:r>
        <w:rPr>
          <w:rFonts w:ascii="Times New Roman" w:hAnsi="Times New Roman"/>
          <w:spacing w:val="-7"/>
          <w:sz w:val="19"/>
          <w:vertAlign w:val="baseline"/>
        </w:rPr>
        <w:t> </w:t>
      </w:r>
      <w:r>
        <w:rPr>
          <w:rFonts w:ascii="Times New Roman" w:hAnsi="Times New Roman"/>
          <w:sz w:val="19"/>
          <w:vertAlign w:val="baseline"/>
        </w:rPr>
        <w:t>See</w:t>
      </w:r>
      <w:r>
        <w:rPr>
          <w:rFonts w:ascii="Times New Roman" w:hAnsi="Times New Roman"/>
          <w:spacing w:val="-6"/>
          <w:sz w:val="19"/>
          <w:vertAlign w:val="baseline"/>
        </w:rPr>
        <w:t> </w:t>
      </w:r>
      <w:r>
        <w:rPr>
          <w:rFonts w:ascii="Times New Roman" w:hAnsi="Times New Roman"/>
          <w:sz w:val="19"/>
          <w:vertAlign w:val="baseline"/>
        </w:rPr>
        <w:t>section</w:t>
      </w:r>
      <w:r>
        <w:rPr>
          <w:rFonts w:ascii="Times New Roman" w:hAnsi="Times New Roman"/>
          <w:spacing w:val="-4"/>
          <w:sz w:val="19"/>
          <w:vertAlign w:val="baseline"/>
        </w:rPr>
        <w:t> </w:t>
      </w:r>
      <w:r>
        <w:rPr>
          <w:rFonts w:ascii="Times New Roman" w:hAnsi="Times New Roman"/>
          <w:sz w:val="19"/>
          <w:vertAlign w:val="baseline"/>
        </w:rPr>
        <w:t>73</w:t>
      </w:r>
      <w:r>
        <w:rPr>
          <w:rFonts w:ascii="Times New Roman" w:hAnsi="Times New Roman"/>
          <w:spacing w:val="-11"/>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6"/>
          <w:sz w:val="19"/>
          <w:vertAlign w:val="baseline"/>
        </w:rPr>
        <w:t> </w:t>
      </w:r>
      <w:r>
        <w:rPr>
          <w:rFonts w:ascii="Times New Roman" w:hAnsi="Times New Roman"/>
          <w:sz w:val="19"/>
          <w:vertAlign w:val="baseline"/>
        </w:rPr>
        <w:t>Compensation</w:t>
      </w:r>
      <w:r>
        <w:rPr>
          <w:rFonts w:ascii="Times New Roman" w:hAnsi="Times New Roman"/>
          <w:spacing w:val="-8"/>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i/>
          <w:sz w:val="19"/>
          <w:vertAlign w:val="baseline"/>
        </w:rPr>
        <w:t>op</w:t>
      </w:r>
      <w:r>
        <w:rPr>
          <w:rFonts w:ascii="Times New Roman" w:hAnsi="Times New Roman"/>
          <w:i/>
          <w:spacing w:val="-11"/>
          <w:sz w:val="19"/>
          <w:vertAlign w:val="baseline"/>
        </w:rPr>
        <w:t> </w:t>
      </w:r>
      <w:r>
        <w:rPr>
          <w:rFonts w:ascii="Times New Roman" w:hAnsi="Times New Roman"/>
          <w:i/>
          <w:spacing w:val="-5"/>
          <w:sz w:val="19"/>
          <w:vertAlign w:val="baseline"/>
        </w:rPr>
        <w:t>cit</w:t>
      </w:r>
    </w:p>
    <w:p>
      <w:pPr>
        <w:spacing w:after="0" w:line="216" w:lineRule="exact"/>
        <w:jc w:val="left"/>
        <w:rPr>
          <w:rFonts w:ascii="Times New Roman" w:hAnsi="Times New Roman"/>
          <w:sz w:val="19"/>
        </w:rPr>
        <w:sectPr>
          <w:pgSz w:w="12240" w:h="15840"/>
          <w:pgMar w:header="0" w:footer="1009" w:top="1820" w:bottom="1200" w:left="1680" w:right="1320"/>
        </w:sectPr>
      </w:pPr>
    </w:p>
    <w:p>
      <w:pPr>
        <w:pStyle w:val="BodyText"/>
        <w:spacing w:line="489" w:lineRule="auto" w:before="94"/>
        <w:ind w:left="864" w:right="567"/>
        <w:jc w:val="both"/>
      </w:pPr>
      <w:r>
        <w:rPr/>
        <w:t>dependent on the deceased employee. There must be evidence of actual support and reliance.</w:t>
      </w:r>
      <w:r>
        <w:rPr>
          <w:vertAlign w:val="superscript"/>
        </w:rPr>
        <w:t>203</w:t>
      </w:r>
      <w:r>
        <w:rPr>
          <w:vertAlign w:val="baseline"/>
        </w:rPr>
        <w:t> Whether</w:t>
      </w:r>
      <w:r>
        <w:rPr>
          <w:spacing w:val="19"/>
          <w:vertAlign w:val="baseline"/>
        </w:rPr>
        <w:t> </w:t>
      </w:r>
      <w:r>
        <w:rPr>
          <w:vertAlign w:val="baseline"/>
        </w:rPr>
        <w:t>a person</w:t>
      </w:r>
      <w:r>
        <w:rPr>
          <w:spacing w:val="21"/>
          <w:vertAlign w:val="baseline"/>
        </w:rPr>
        <w:t> </w:t>
      </w:r>
      <w:r>
        <w:rPr>
          <w:vertAlign w:val="baseline"/>
        </w:rPr>
        <w:t>is dependent on the</w:t>
      </w:r>
      <w:r>
        <w:rPr>
          <w:spacing w:val="18"/>
          <w:vertAlign w:val="baseline"/>
        </w:rPr>
        <w:t> </w:t>
      </w:r>
      <w:r>
        <w:rPr>
          <w:vertAlign w:val="baseline"/>
        </w:rPr>
        <w:t>earnings</w:t>
      </w:r>
      <w:r>
        <w:rPr>
          <w:spacing w:val="18"/>
          <w:vertAlign w:val="baseline"/>
        </w:rPr>
        <w:t> </w:t>
      </w:r>
      <w:r>
        <w:rPr>
          <w:vertAlign w:val="baseline"/>
        </w:rPr>
        <w:t>of a deceased employee, is a question of fact in each case.</w:t>
      </w:r>
      <w:r>
        <w:rPr>
          <w:vertAlign w:val="superscript"/>
        </w:rPr>
        <w:t>204</w:t>
      </w:r>
      <w:r>
        <w:rPr>
          <w:vertAlign w:val="baseline"/>
        </w:rPr>
        <w:t> A husband and wife lived apart for over 20 years during which period, the husband did not contribute a kobo of his earnings to the support or maintenance on |the wife. It was held that the wife was not a dependant. To establish partial dependency is not enough</w:t>
      </w:r>
      <w:r>
        <w:rPr>
          <w:spacing w:val="21"/>
          <w:vertAlign w:val="baseline"/>
        </w:rPr>
        <w:t> </w:t>
      </w:r>
      <w:r>
        <w:rPr>
          <w:vertAlign w:val="baseline"/>
        </w:rPr>
        <w:t>to show</w:t>
      </w:r>
      <w:r>
        <w:rPr>
          <w:spacing w:val="27"/>
          <w:vertAlign w:val="baseline"/>
        </w:rPr>
        <w:t> </w:t>
      </w:r>
      <w:r>
        <w:rPr>
          <w:vertAlign w:val="baseline"/>
        </w:rPr>
        <w:t>pecuniary loss as</w:t>
      </w:r>
      <w:r>
        <w:rPr>
          <w:spacing w:val="23"/>
          <w:vertAlign w:val="baseline"/>
        </w:rPr>
        <w:t> </w:t>
      </w:r>
      <w:r>
        <w:rPr>
          <w:vertAlign w:val="baseline"/>
        </w:rPr>
        <w:t>a result of</w:t>
      </w:r>
      <w:r>
        <w:rPr>
          <w:spacing w:val="24"/>
          <w:vertAlign w:val="baseline"/>
        </w:rPr>
        <w:t> </w:t>
      </w:r>
      <w:r>
        <w:rPr>
          <w:vertAlign w:val="baseline"/>
        </w:rPr>
        <w:t>the death of the employee?(yt must be shown that there was reliance on his contribution in order for the person to provide himself with the ordinary necessaries of life suitable to his class and position. These necessaries include, foods, clothing and shelter and the necessaries concomitant thereto.</w:t>
      </w:r>
      <w:r>
        <w:rPr>
          <w:vertAlign w:val="superscript"/>
        </w:rPr>
        <w:t>205</w:t>
      </w:r>
      <w:r>
        <w:rPr>
          <w:vertAlign w:val="baseline"/>
        </w:rPr>
        <w:t> In Simmons v. White Brothers the English Court of Appeal held that to be partially dependent, it is not sufficient that the person merely derives benefit from the earnings of the deceased but that “he must be to some extent dependent on him for the ordinary necessaries of life, having regard to his class and position.</w:t>
      </w:r>
      <w:r>
        <w:rPr>
          <w:vertAlign w:val="superscript"/>
        </w:rPr>
        <w:t>206</w:t>
      </w:r>
      <w:r>
        <w:rPr>
          <w:spacing w:val="40"/>
          <w:vertAlign w:val="baseline"/>
        </w:rPr>
        <w:t> </w:t>
      </w:r>
      <w:r>
        <w:rPr>
          <w:vertAlign w:val="baseline"/>
        </w:rPr>
        <w:t>However, the Board shall still make monthly payment of an amount to be determined by the Board to the spouse, children, or parents of the deceased where they do not depend on the</w:t>
      </w:r>
      <w:r>
        <w:rPr>
          <w:spacing w:val="9"/>
          <w:vertAlign w:val="baseline"/>
        </w:rPr>
        <w:t> </w:t>
      </w:r>
      <w:r>
        <w:rPr>
          <w:vertAlign w:val="baseline"/>
        </w:rPr>
        <w:t>remuneration</w:t>
      </w:r>
      <w:r>
        <w:rPr>
          <w:spacing w:val="6"/>
          <w:vertAlign w:val="baseline"/>
        </w:rPr>
        <w:t> </w:t>
      </w:r>
      <w:r>
        <w:rPr>
          <w:vertAlign w:val="baseline"/>
        </w:rPr>
        <w:t>at the</w:t>
      </w:r>
      <w:r>
        <w:rPr>
          <w:spacing w:val="4"/>
          <w:vertAlign w:val="baseline"/>
        </w:rPr>
        <w:t> </w:t>
      </w:r>
      <w:r>
        <w:rPr>
          <w:vertAlign w:val="baseline"/>
        </w:rPr>
        <w:t>time</w:t>
      </w:r>
      <w:r>
        <w:rPr>
          <w:spacing w:val="4"/>
          <w:vertAlign w:val="baseline"/>
        </w:rPr>
        <w:t> </w:t>
      </w:r>
      <w:r>
        <w:rPr>
          <w:vertAlign w:val="baseline"/>
        </w:rPr>
        <w:t>of</w:t>
      </w:r>
      <w:r>
        <w:rPr>
          <w:spacing w:val="9"/>
          <w:vertAlign w:val="baseline"/>
        </w:rPr>
        <w:t> </w:t>
      </w:r>
      <w:r>
        <w:rPr>
          <w:vertAlign w:val="baseline"/>
        </w:rPr>
        <w:t>his</w:t>
      </w:r>
      <w:r>
        <w:rPr>
          <w:spacing w:val="4"/>
          <w:vertAlign w:val="baseline"/>
        </w:rPr>
        <w:t> </w:t>
      </w:r>
      <w:r>
        <w:rPr>
          <w:vertAlign w:val="baseline"/>
        </w:rPr>
        <w:t>death,</w:t>
      </w:r>
      <w:r>
        <w:rPr>
          <w:spacing w:val="8"/>
          <w:vertAlign w:val="baseline"/>
        </w:rPr>
        <w:t> </w:t>
      </w:r>
      <w:r>
        <w:rPr>
          <w:vertAlign w:val="baseline"/>
        </w:rPr>
        <w:t>but</w:t>
      </w:r>
      <w:r>
        <w:rPr>
          <w:spacing w:val="6"/>
          <w:vertAlign w:val="baseline"/>
        </w:rPr>
        <w:t> </w:t>
      </w:r>
      <w:r>
        <w:rPr>
          <w:vertAlign w:val="baseline"/>
        </w:rPr>
        <w:t>this</w:t>
      </w:r>
      <w:r>
        <w:rPr>
          <w:spacing w:val="4"/>
          <w:vertAlign w:val="baseline"/>
        </w:rPr>
        <w:t> </w:t>
      </w:r>
      <w:r>
        <w:rPr>
          <w:vertAlign w:val="baseline"/>
        </w:rPr>
        <w:t>is</w:t>
      </w:r>
      <w:r>
        <w:rPr>
          <w:spacing w:val="4"/>
          <w:vertAlign w:val="baseline"/>
        </w:rPr>
        <w:t> </w:t>
      </w:r>
      <w:r>
        <w:rPr>
          <w:vertAlign w:val="baseline"/>
        </w:rPr>
        <w:t>only</w:t>
      </w:r>
      <w:r>
        <w:rPr>
          <w:spacing w:val="10"/>
          <w:vertAlign w:val="baseline"/>
        </w:rPr>
        <w:t> </w:t>
      </w:r>
      <w:r>
        <w:rPr>
          <w:vertAlign w:val="baseline"/>
        </w:rPr>
        <w:t>if</w:t>
      </w:r>
      <w:r>
        <w:rPr>
          <w:spacing w:val="10"/>
          <w:vertAlign w:val="baseline"/>
        </w:rPr>
        <w:t> </w:t>
      </w:r>
      <w:r>
        <w:rPr>
          <w:vertAlign w:val="baseline"/>
        </w:rPr>
        <w:t>they</w:t>
      </w:r>
      <w:r>
        <w:rPr>
          <w:spacing w:val="10"/>
          <w:vertAlign w:val="baseline"/>
        </w:rPr>
        <w:t> </w:t>
      </w:r>
      <w:r>
        <w:rPr>
          <w:vertAlign w:val="baseline"/>
        </w:rPr>
        <w:t>show</w:t>
      </w:r>
      <w:r>
        <w:rPr>
          <w:spacing w:val="11"/>
          <w:vertAlign w:val="baseline"/>
        </w:rPr>
        <w:t> </w:t>
      </w:r>
      <w:r>
        <w:rPr>
          <w:spacing w:val="-4"/>
          <w:vertAlign w:val="baseline"/>
        </w:rPr>
        <w:t>that</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47"/>
        <w:rPr>
          <w:sz w:val="20"/>
        </w:rPr>
      </w:pPr>
      <w:r>
        <w:rPr/>
        <mc:AlternateContent>
          <mc:Choice Requires="wps">
            <w:drawing>
              <wp:anchor distT="0" distB="0" distL="0" distR="0" allowOverlap="1" layoutInCell="1" locked="0" behindDoc="1" simplePos="0" relativeHeight="487627264">
                <wp:simplePos x="0" y="0"/>
                <wp:positionH relativeFrom="page">
                  <wp:posOffset>1185672</wp:posOffset>
                </wp:positionH>
                <wp:positionV relativeFrom="paragraph">
                  <wp:posOffset>262085</wp:posOffset>
                </wp:positionV>
                <wp:extent cx="1719580" cy="3175"/>
                <wp:effectExtent l="0" t="0" r="0" b="0"/>
                <wp:wrapTopAndBottom/>
                <wp:docPr id="92" name="Graphic 92"/>
                <wp:cNvGraphicFramePr>
                  <a:graphicFrameLocks/>
                </wp:cNvGraphicFramePr>
                <a:graphic>
                  <a:graphicData uri="http://schemas.microsoft.com/office/word/2010/wordprocessingShape">
                    <wps:wsp>
                      <wps:cNvPr id="92" name="Graphic 92"/>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636641pt;width:135.360pt;height:.24pt;mso-position-horizontal-relative:page;mso-position-vertical-relative:paragraph;z-index:-15689216;mso-wrap-distance-left:0;mso-wrap-distance-right:0" id="docshape92" filled="true" fillcolor="#000000" stroked="false">
                <v:fill type="solid"/>
                <w10:wrap type="topAndBottom"/>
              </v:rect>
            </w:pict>
          </mc:Fallback>
        </mc:AlternateContent>
      </w:r>
    </w:p>
    <w:p>
      <w:pPr>
        <w:spacing w:line="217" w:lineRule="exact" w:before="96"/>
        <w:ind w:left="187" w:right="0" w:firstLine="0"/>
        <w:jc w:val="left"/>
        <w:rPr>
          <w:rFonts w:ascii="Times New Roman"/>
          <w:sz w:val="19"/>
        </w:rPr>
      </w:pPr>
      <w:r>
        <w:rPr>
          <w:rFonts w:ascii="Times New Roman"/>
          <w:sz w:val="19"/>
          <w:vertAlign w:val="superscript"/>
        </w:rPr>
        <w:t>203</w:t>
      </w:r>
      <w:r>
        <w:rPr>
          <w:rFonts w:ascii="Times New Roman"/>
          <w:spacing w:val="-4"/>
          <w:sz w:val="19"/>
          <w:vertAlign w:val="baseline"/>
        </w:rPr>
        <w:t> </w:t>
      </w:r>
      <w:r>
        <w:rPr>
          <w:rFonts w:ascii="Times New Roman"/>
          <w:sz w:val="19"/>
          <w:vertAlign w:val="baseline"/>
        </w:rPr>
        <w:t>New</w:t>
      </w:r>
      <w:r>
        <w:rPr>
          <w:rFonts w:ascii="Times New Roman"/>
          <w:spacing w:val="-9"/>
          <w:sz w:val="19"/>
          <w:vertAlign w:val="baseline"/>
        </w:rPr>
        <w:t> </w:t>
      </w:r>
      <w:r>
        <w:rPr>
          <w:rFonts w:ascii="Times New Roman"/>
          <w:sz w:val="19"/>
          <w:vertAlign w:val="baseline"/>
        </w:rPr>
        <w:t>Monchkton</w:t>
      </w:r>
      <w:r>
        <w:rPr>
          <w:rFonts w:ascii="Times New Roman"/>
          <w:spacing w:val="-8"/>
          <w:sz w:val="19"/>
          <w:vertAlign w:val="baseline"/>
        </w:rPr>
        <w:t> </w:t>
      </w:r>
      <w:r>
        <w:rPr>
          <w:rFonts w:ascii="Times New Roman"/>
          <w:sz w:val="19"/>
          <w:vertAlign w:val="baseline"/>
        </w:rPr>
        <w:t>Collieries</w:t>
      </w:r>
      <w:r>
        <w:rPr>
          <w:rFonts w:ascii="Times New Roman"/>
          <w:spacing w:val="-9"/>
          <w:sz w:val="19"/>
          <w:vertAlign w:val="baseline"/>
        </w:rPr>
        <w:t> </w:t>
      </w:r>
      <w:r>
        <w:rPr>
          <w:rFonts w:ascii="Times New Roman"/>
          <w:sz w:val="19"/>
          <w:vertAlign w:val="baseline"/>
        </w:rPr>
        <w:t>Ltd</w:t>
      </w:r>
      <w:r>
        <w:rPr>
          <w:rFonts w:ascii="Times New Roman"/>
          <w:spacing w:val="-8"/>
          <w:sz w:val="19"/>
          <w:vertAlign w:val="baseline"/>
        </w:rPr>
        <w:t> </w:t>
      </w:r>
      <w:r>
        <w:rPr>
          <w:rFonts w:ascii="Times New Roman"/>
          <w:sz w:val="19"/>
          <w:vertAlign w:val="baseline"/>
        </w:rPr>
        <w:t>v.</w:t>
      </w:r>
      <w:r>
        <w:rPr>
          <w:rFonts w:ascii="Times New Roman"/>
          <w:spacing w:val="-11"/>
          <w:sz w:val="19"/>
          <w:vertAlign w:val="baseline"/>
        </w:rPr>
        <w:t> </w:t>
      </w:r>
      <w:r>
        <w:rPr>
          <w:rFonts w:ascii="Times New Roman"/>
          <w:sz w:val="19"/>
          <w:vertAlign w:val="baseline"/>
        </w:rPr>
        <w:t>Keeling</w:t>
      </w:r>
      <w:r>
        <w:rPr>
          <w:rFonts w:ascii="Times New Roman"/>
          <w:spacing w:val="-11"/>
          <w:sz w:val="19"/>
          <w:vertAlign w:val="baseline"/>
        </w:rPr>
        <w:t> </w:t>
      </w:r>
      <w:r>
        <w:rPr>
          <w:rFonts w:ascii="Times New Roman"/>
          <w:spacing w:val="-4"/>
          <w:sz w:val="19"/>
          <w:vertAlign w:val="baseline"/>
        </w:rPr>
        <w:t>1911</w:t>
      </w:r>
    </w:p>
    <w:p>
      <w:pPr>
        <w:spacing w:line="216" w:lineRule="exact" w:before="0"/>
        <w:ind w:left="187" w:right="0" w:firstLine="0"/>
        <w:jc w:val="left"/>
        <w:rPr>
          <w:rFonts w:ascii="Times New Roman"/>
          <w:i/>
          <w:sz w:val="19"/>
        </w:rPr>
      </w:pPr>
      <w:r>
        <w:rPr>
          <w:rFonts w:ascii="Times New Roman"/>
          <w:sz w:val="19"/>
          <w:vertAlign w:val="superscript"/>
        </w:rPr>
        <w:t>204</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205</w:t>
      </w:r>
      <w:r>
        <w:rPr>
          <w:rFonts w:ascii="Times New Roman"/>
          <w:spacing w:val="-9"/>
          <w:sz w:val="19"/>
          <w:vertAlign w:val="baseline"/>
        </w:rPr>
        <w:t> </w:t>
      </w:r>
      <w:r>
        <w:rPr>
          <w:rFonts w:ascii="Times New Roman"/>
          <w:sz w:val="19"/>
          <w:vertAlign w:val="baseline"/>
        </w:rPr>
        <w:t>Welsh</w:t>
      </w:r>
      <w:r>
        <w:rPr>
          <w:rFonts w:ascii="Times New Roman"/>
          <w:spacing w:val="-8"/>
          <w:sz w:val="19"/>
          <w:vertAlign w:val="baseline"/>
        </w:rPr>
        <w:t> </w:t>
      </w:r>
      <w:r>
        <w:rPr>
          <w:rFonts w:ascii="Times New Roman"/>
          <w:sz w:val="19"/>
          <w:vertAlign w:val="baseline"/>
        </w:rPr>
        <w:t>Navigation</w:t>
      </w:r>
      <w:r>
        <w:rPr>
          <w:rFonts w:ascii="Times New Roman"/>
          <w:spacing w:val="-5"/>
          <w:sz w:val="19"/>
          <w:vertAlign w:val="baseline"/>
        </w:rPr>
        <w:t> </w:t>
      </w:r>
      <w:r>
        <w:rPr>
          <w:rFonts w:ascii="Times New Roman"/>
          <w:sz w:val="19"/>
          <w:vertAlign w:val="baseline"/>
        </w:rPr>
        <w:t>Steam</w:t>
      </w:r>
      <w:r>
        <w:rPr>
          <w:rFonts w:ascii="Times New Roman"/>
          <w:spacing w:val="-12"/>
          <w:sz w:val="19"/>
          <w:vertAlign w:val="baseline"/>
        </w:rPr>
        <w:t> </w:t>
      </w:r>
      <w:r>
        <w:rPr>
          <w:rFonts w:ascii="Times New Roman"/>
          <w:sz w:val="19"/>
          <w:vertAlign w:val="baseline"/>
        </w:rPr>
        <w:t>and</w:t>
      </w:r>
      <w:r>
        <w:rPr>
          <w:rFonts w:ascii="Times New Roman"/>
          <w:spacing w:val="-9"/>
          <w:sz w:val="19"/>
          <w:vertAlign w:val="baseline"/>
        </w:rPr>
        <w:t> </w:t>
      </w:r>
      <w:r>
        <w:rPr>
          <w:rFonts w:ascii="Times New Roman"/>
          <w:sz w:val="19"/>
          <w:vertAlign w:val="baseline"/>
        </w:rPr>
        <w:t>Co</w:t>
      </w:r>
      <w:r>
        <w:rPr>
          <w:rFonts w:ascii="Times New Roman"/>
          <w:spacing w:val="-11"/>
          <w:sz w:val="19"/>
          <w:vertAlign w:val="baseline"/>
        </w:rPr>
        <w:t> </w:t>
      </w:r>
      <w:r>
        <w:rPr>
          <w:rFonts w:ascii="Times New Roman"/>
          <w:sz w:val="19"/>
          <w:vertAlign w:val="baseline"/>
        </w:rPr>
        <w:t>Ltd</w:t>
      </w:r>
      <w:r>
        <w:rPr>
          <w:rFonts w:ascii="Times New Roman"/>
          <w:spacing w:val="-12"/>
          <w:sz w:val="19"/>
          <w:vertAlign w:val="baseline"/>
        </w:rPr>
        <w:t> </w:t>
      </w:r>
      <w:r>
        <w:rPr>
          <w:rFonts w:ascii="Times New Roman"/>
          <w:sz w:val="19"/>
          <w:vertAlign w:val="baseline"/>
        </w:rPr>
        <w:t>v.Evans</w:t>
      </w:r>
      <w:r>
        <w:rPr>
          <w:rFonts w:ascii="Times New Roman"/>
          <w:spacing w:val="-7"/>
          <w:sz w:val="19"/>
          <w:vertAlign w:val="baseline"/>
        </w:rPr>
        <w:t> </w:t>
      </w:r>
      <w:r>
        <w:rPr>
          <w:rFonts w:ascii="Times New Roman"/>
          <w:sz w:val="19"/>
          <w:vertAlign w:val="baseline"/>
        </w:rPr>
        <w:t>(1927)</w:t>
      </w:r>
      <w:r>
        <w:rPr>
          <w:rFonts w:ascii="Times New Roman"/>
          <w:spacing w:val="-12"/>
          <w:sz w:val="19"/>
          <w:vertAlign w:val="baseline"/>
        </w:rPr>
        <w:t> </w:t>
      </w:r>
      <w:r>
        <w:rPr>
          <w:rFonts w:ascii="Times New Roman"/>
          <w:sz w:val="19"/>
          <w:vertAlign w:val="baseline"/>
        </w:rPr>
        <w:t>AC</w:t>
      </w:r>
      <w:r>
        <w:rPr>
          <w:rFonts w:ascii="Times New Roman"/>
          <w:spacing w:val="-12"/>
          <w:sz w:val="19"/>
          <w:vertAlign w:val="baseline"/>
        </w:rPr>
        <w:t> </w:t>
      </w:r>
      <w:r>
        <w:rPr>
          <w:rFonts w:ascii="Times New Roman"/>
          <w:sz w:val="19"/>
          <w:vertAlign w:val="baseline"/>
        </w:rPr>
        <w:t>834,842-</w:t>
      </w:r>
      <w:r>
        <w:rPr>
          <w:rFonts w:ascii="Times New Roman"/>
          <w:spacing w:val="-5"/>
          <w:sz w:val="19"/>
          <w:vertAlign w:val="baseline"/>
        </w:rPr>
        <w:t>843</w:t>
      </w:r>
    </w:p>
    <w:p>
      <w:pPr>
        <w:spacing w:line="217" w:lineRule="exact" w:before="0"/>
        <w:ind w:left="187" w:right="0" w:firstLine="0"/>
        <w:jc w:val="left"/>
        <w:rPr>
          <w:rFonts w:ascii="Times New Roman"/>
          <w:i/>
          <w:sz w:val="19"/>
        </w:rPr>
      </w:pPr>
      <w:r>
        <w:rPr>
          <w:rFonts w:ascii="Times New Roman"/>
          <w:sz w:val="19"/>
          <w:vertAlign w:val="superscript"/>
        </w:rPr>
        <w:t>206</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6"/>
        <w:jc w:val="both"/>
      </w:pPr>
      <w:r>
        <w:rPr/>
        <w:t>they</w:t>
      </w:r>
      <w:r>
        <w:rPr>
          <w:spacing w:val="40"/>
        </w:rPr>
        <w:t> </w:t>
      </w:r>
      <w:r>
        <w:rPr/>
        <w:t>had</w:t>
      </w:r>
      <w:r>
        <w:rPr>
          <w:spacing w:val="40"/>
        </w:rPr>
        <w:t> </w:t>
      </w:r>
      <w:r>
        <w:rPr/>
        <w:t>reasonable</w:t>
      </w:r>
      <w:r>
        <w:rPr>
          <w:spacing w:val="40"/>
        </w:rPr>
        <w:t> </w:t>
      </w:r>
      <w:r>
        <w:rPr/>
        <w:t>expectation</w:t>
      </w:r>
      <w:r>
        <w:rPr>
          <w:spacing w:val="40"/>
        </w:rPr>
        <w:t> </w:t>
      </w:r>
      <w:r>
        <w:rPr/>
        <w:t>of</w:t>
      </w:r>
      <w:r>
        <w:rPr>
          <w:spacing w:val="40"/>
        </w:rPr>
        <w:t> </w:t>
      </w:r>
      <w:r>
        <w:rPr/>
        <w:t>pecuniary</w:t>
      </w:r>
      <w:r>
        <w:rPr>
          <w:spacing w:val="40"/>
        </w:rPr>
        <w:t> </w:t>
      </w:r>
      <w:r>
        <w:rPr/>
        <w:t>benefit</w:t>
      </w:r>
      <w:r>
        <w:rPr>
          <w:spacing w:val="40"/>
        </w:rPr>
        <w:t> </w:t>
      </w:r>
      <w:r>
        <w:rPr/>
        <w:t>from</w:t>
      </w:r>
      <w:r>
        <w:rPr>
          <w:spacing w:val="40"/>
        </w:rPr>
        <w:t> </w:t>
      </w:r>
      <w:r>
        <w:rPr/>
        <w:t>the continuation of the life of the employee.</w:t>
      </w:r>
      <w:r>
        <w:rPr>
          <w:vertAlign w:val="superscript"/>
        </w:rPr>
        <w:t>207</w:t>
      </w:r>
    </w:p>
    <w:p>
      <w:pPr>
        <w:pStyle w:val="BodyText"/>
        <w:spacing w:before="5"/>
      </w:pPr>
    </w:p>
    <w:p>
      <w:pPr>
        <w:pStyle w:val="BodyText"/>
        <w:spacing w:line="489" w:lineRule="auto"/>
        <w:ind w:left="864" w:right="561"/>
        <w:jc w:val="both"/>
      </w:pPr>
      <w:r>
        <w:rPr/>
        <w:t>Where death results from any disability the dependants will not be entitled</w:t>
      </w:r>
      <w:r>
        <w:rPr>
          <w:spacing w:val="40"/>
        </w:rPr>
        <w:t> </w:t>
      </w:r>
      <w:r>
        <w:rPr/>
        <w:t>to compensation unless the deceased employee has been in the</w:t>
      </w:r>
      <w:r>
        <w:rPr>
          <w:spacing w:val="40"/>
        </w:rPr>
        <w:t> </w:t>
      </w:r>
      <w:r>
        <w:rPr/>
        <w:t>employment</w:t>
      </w:r>
      <w:r>
        <w:rPr>
          <w:spacing w:val="40"/>
        </w:rPr>
        <w:t> </w:t>
      </w:r>
      <w:r>
        <w:rPr/>
        <w:t>in</w:t>
      </w:r>
      <w:r>
        <w:rPr>
          <w:spacing w:val="40"/>
        </w:rPr>
        <w:t> </w:t>
      </w:r>
      <w:r>
        <w:rPr/>
        <w:t>a</w:t>
      </w:r>
      <w:r>
        <w:rPr>
          <w:spacing w:val="40"/>
        </w:rPr>
        <w:t> </w:t>
      </w:r>
      <w:r>
        <w:rPr/>
        <w:t>workplace</w:t>
      </w:r>
      <w:r>
        <w:rPr>
          <w:spacing w:val="40"/>
        </w:rPr>
        <w:t> </w:t>
      </w:r>
      <w:r>
        <w:rPr/>
        <w:t>associated</w:t>
      </w:r>
      <w:r>
        <w:rPr>
          <w:spacing w:val="40"/>
        </w:rPr>
        <w:t> </w:t>
      </w:r>
      <w:r>
        <w:rPr/>
        <w:t>with</w:t>
      </w:r>
      <w:r>
        <w:rPr>
          <w:spacing w:val="40"/>
        </w:rPr>
        <w:t> </w:t>
      </w:r>
      <w:r>
        <w:rPr/>
        <w:t>exposure</w:t>
      </w:r>
      <w:r>
        <w:rPr>
          <w:spacing w:val="40"/>
        </w:rPr>
        <w:t> </w:t>
      </w:r>
      <w:r>
        <w:rPr/>
        <w:t>to</w:t>
      </w:r>
      <w:r>
        <w:rPr>
          <w:spacing w:val="40"/>
        </w:rPr>
        <w:t> </w:t>
      </w:r>
      <w:r>
        <w:rPr/>
        <w:t>an</w:t>
      </w:r>
      <w:r>
        <w:rPr>
          <w:spacing w:val="40"/>
        </w:rPr>
        <w:t> </w:t>
      </w:r>
      <w:r>
        <w:rPr/>
        <w:t>agent</w:t>
      </w:r>
      <w:r>
        <w:rPr>
          <w:spacing w:val="40"/>
        </w:rPr>
        <w:t> </w:t>
      </w:r>
      <w:r>
        <w:rPr/>
        <w:t>or agents leading to that condition. In addition, the employee must be free from such disease before being exposed to</w:t>
      </w:r>
      <w:r>
        <w:rPr>
          <w:spacing w:val="30"/>
        </w:rPr>
        <w:t> </w:t>
      </w:r>
      <w:r>
        <w:rPr/>
        <w:t>the agent causing</w:t>
      </w:r>
      <w:r>
        <w:rPr>
          <w:spacing w:val="32"/>
        </w:rPr>
        <w:t> </w:t>
      </w:r>
      <w:r>
        <w:rPr/>
        <w:t>the disease</w:t>
      </w:r>
      <w:r>
        <w:rPr>
          <w:spacing w:val="40"/>
        </w:rPr>
        <w:t> </w:t>
      </w:r>
      <w:r>
        <w:rPr/>
        <w:t>he contracted in his place of work. Where a deceased employee was at the date</w:t>
      </w:r>
      <w:r>
        <w:rPr>
          <w:spacing w:val="40"/>
        </w:rPr>
        <w:t> </w:t>
      </w:r>
      <w:r>
        <w:rPr/>
        <w:t>of</w:t>
      </w:r>
      <w:r>
        <w:rPr>
          <w:spacing w:val="40"/>
        </w:rPr>
        <w:t> </w:t>
      </w:r>
      <w:r>
        <w:rPr/>
        <w:t>death,</w:t>
      </w:r>
      <w:r>
        <w:rPr>
          <w:spacing w:val="40"/>
        </w:rPr>
        <w:t> </w:t>
      </w:r>
      <w:r>
        <w:rPr/>
        <w:t>under</w:t>
      </w:r>
      <w:r>
        <w:rPr>
          <w:spacing w:val="40"/>
        </w:rPr>
        <w:t> </w:t>
      </w:r>
      <w:r>
        <w:rPr/>
        <w:t>the</w:t>
      </w:r>
      <w:r>
        <w:rPr>
          <w:spacing w:val="40"/>
        </w:rPr>
        <w:t> </w:t>
      </w:r>
      <w:r>
        <w:rPr/>
        <w:t>age</w:t>
      </w:r>
      <w:r>
        <w:rPr>
          <w:spacing w:val="40"/>
        </w:rPr>
        <w:t> </w:t>
      </w:r>
      <w:r>
        <w:rPr/>
        <w:t>of</w:t>
      </w:r>
      <w:r>
        <w:rPr>
          <w:spacing w:val="40"/>
        </w:rPr>
        <w:t> </w:t>
      </w:r>
      <w:r>
        <w:rPr/>
        <w:t>70</w:t>
      </w:r>
      <w:r>
        <w:rPr>
          <w:spacing w:val="40"/>
        </w:rPr>
        <w:t> </w:t>
      </w:r>
      <w:r>
        <w:rPr/>
        <w:t>years</w:t>
      </w:r>
      <w:r>
        <w:rPr>
          <w:spacing w:val="40"/>
        </w:rPr>
        <w:t> </w:t>
      </w:r>
      <w:r>
        <w:rPr/>
        <w:t>and</w:t>
      </w:r>
      <w:r>
        <w:rPr>
          <w:spacing w:val="40"/>
        </w:rPr>
        <w:t> </w:t>
      </w:r>
      <w:r>
        <w:rPr/>
        <w:t>suffering</w:t>
      </w:r>
      <w:r>
        <w:rPr>
          <w:spacing w:val="40"/>
        </w:rPr>
        <w:t> </w:t>
      </w:r>
      <w:r>
        <w:rPr/>
        <w:t>from</w:t>
      </w:r>
      <w:r>
        <w:rPr>
          <w:spacing w:val="40"/>
        </w:rPr>
        <w:t> </w:t>
      </w:r>
      <w:r>
        <w:rPr/>
        <w:t>an occupational disease of a type that impairs the capacity of the vital organs</w:t>
      </w:r>
      <w:r>
        <w:rPr>
          <w:spacing w:val="40"/>
        </w:rPr>
        <w:t> </w:t>
      </w:r>
      <w:r>
        <w:rPr/>
        <w:t>of non-traumatic origin, it shall be presumed that the death resulted from the occupational</w:t>
      </w:r>
      <w:r>
        <w:rPr>
          <w:spacing w:val="27"/>
        </w:rPr>
        <w:t> </w:t>
      </w:r>
      <w:r>
        <w:rPr/>
        <w:t>disease.</w:t>
      </w:r>
      <w:r>
        <w:rPr>
          <w:spacing w:val="29"/>
        </w:rPr>
        <w:t> </w:t>
      </w:r>
      <w:r>
        <w:rPr/>
        <w:t>This</w:t>
      </w:r>
      <w:r>
        <w:rPr>
          <w:spacing w:val="29"/>
        </w:rPr>
        <w:t> </w:t>
      </w:r>
      <w:r>
        <w:rPr/>
        <w:t>presumption</w:t>
      </w:r>
      <w:r>
        <w:rPr>
          <w:spacing w:val="31"/>
        </w:rPr>
        <w:t> </w:t>
      </w:r>
      <w:r>
        <w:rPr/>
        <w:t>is in favour</w:t>
      </w:r>
      <w:r>
        <w:rPr>
          <w:spacing w:val="30"/>
        </w:rPr>
        <w:t> </w:t>
      </w:r>
      <w:r>
        <w:rPr/>
        <w:t>of</w:t>
      </w:r>
      <w:r>
        <w:rPr>
          <w:spacing w:val="30"/>
        </w:rPr>
        <w:t> </w:t>
      </w:r>
      <w:r>
        <w:rPr/>
        <w:t>the dependants of</w:t>
      </w:r>
      <w:r>
        <w:rPr>
          <w:spacing w:val="40"/>
        </w:rPr>
        <w:t> </w:t>
      </w:r>
      <w:r>
        <w:rPr/>
        <w:t>the</w:t>
      </w:r>
      <w:r>
        <w:rPr>
          <w:spacing w:val="40"/>
        </w:rPr>
        <w:t> </w:t>
      </w:r>
      <w:r>
        <w:rPr/>
        <w:t>employee</w:t>
      </w:r>
      <w:r>
        <w:rPr>
          <w:spacing w:val="40"/>
        </w:rPr>
        <w:t> </w:t>
      </w:r>
      <w:r>
        <w:rPr/>
        <w:t>as</w:t>
      </w:r>
      <w:r>
        <w:rPr>
          <w:spacing w:val="40"/>
        </w:rPr>
        <w:t> </w:t>
      </w:r>
      <w:r>
        <w:rPr/>
        <w:t>they</w:t>
      </w:r>
      <w:r>
        <w:rPr>
          <w:spacing w:val="40"/>
        </w:rPr>
        <w:t> </w:t>
      </w:r>
      <w:r>
        <w:rPr/>
        <w:t>will</w:t>
      </w:r>
      <w:r>
        <w:rPr>
          <w:spacing w:val="40"/>
        </w:rPr>
        <w:t> </w:t>
      </w:r>
      <w:r>
        <w:rPr/>
        <w:t>not</w:t>
      </w:r>
      <w:r>
        <w:rPr>
          <w:spacing w:val="40"/>
        </w:rPr>
        <w:t> </w:t>
      </w:r>
      <w:r>
        <w:rPr/>
        <w:t>need</w:t>
      </w:r>
      <w:r>
        <w:rPr>
          <w:spacing w:val="40"/>
        </w:rPr>
        <w:t> </w:t>
      </w:r>
      <w:r>
        <w:rPr/>
        <w:t>to</w:t>
      </w:r>
      <w:r>
        <w:rPr>
          <w:spacing w:val="40"/>
        </w:rPr>
        <w:t> </w:t>
      </w:r>
      <w:r>
        <w:rPr/>
        <w:t>prove</w:t>
      </w:r>
      <w:r>
        <w:rPr>
          <w:spacing w:val="40"/>
        </w:rPr>
        <w:t> </w:t>
      </w:r>
      <w:r>
        <w:rPr/>
        <w:t>that</w:t>
      </w:r>
      <w:r>
        <w:rPr>
          <w:spacing w:val="40"/>
        </w:rPr>
        <w:t> </w:t>
      </w:r>
      <w:r>
        <w:rPr/>
        <w:t>the</w:t>
      </w:r>
      <w:r>
        <w:rPr>
          <w:spacing w:val="40"/>
        </w:rPr>
        <w:t> </w:t>
      </w:r>
      <w:r>
        <w:rPr/>
        <w:t>deceased employee died of occupational disease, provided all the requirements are </w:t>
      </w:r>
      <w:r>
        <w:rPr>
          <w:spacing w:val="-4"/>
        </w:rPr>
        <w:t>met.</w:t>
      </w:r>
    </w:p>
    <w:p>
      <w:pPr>
        <w:pStyle w:val="BodyText"/>
        <w:spacing w:before="21"/>
      </w:pPr>
    </w:p>
    <w:p>
      <w:pPr>
        <w:pStyle w:val="Heading3"/>
        <w:numPr>
          <w:ilvl w:val="1"/>
          <w:numId w:val="13"/>
        </w:numPr>
        <w:tabs>
          <w:tab w:pos="863" w:val="left" w:leader="none"/>
        </w:tabs>
        <w:spacing w:line="240" w:lineRule="auto" w:before="0" w:after="0"/>
        <w:ind w:left="863" w:right="0" w:hanging="676"/>
        <w:jc w:val="left"/>
      </w:pPr>
      <w:r>
        <w:rPr/>
        <w:t>Scale</w:t>
      </w:r>
      <w:r>
        <w:rPr>
          <w:spacing w:val="2"/>
        </w:rPr>
        <w:t> </w:t>
      </w:r>
      <w:r>
        <w:rPr/>
        <w:t>of</w:t>
      </w:r>
      <w:r>
        <w:rPr>
          <w:spacing w:val="5"/>
        </w:rPr>
        <w:t> </w:t>
      </w:r>
      <w:r>
        <w:rPr>
          <w:spacing w:val="-2"/>
        </w:rPr>
        <w:t>Compensation</w:t>
      </w:r>
    </w:p>
    <w:p>
      <w:pPr>
        <w:pStyle w:val="BodyText"/>
        <w:spacing w:before="11"/>
        <w:rPr>
          <w:b/>
        </w:rPr>
      </w:pPr>
    </w:p>
    <w:p>
      <w:pPr>
        <w:pStyle w:val="BodyText"/>
        <w:spacing w:line="491" w:lineRule="auto"/>
        <w:ind w:left="864" w:right="568"/>
        <w:jc w:val="both"/>
      </w:pPr>
      <w:r>
        <w:rPr/>
        <w:t>The Act uses some scales for measuring the amount of compensation to employees or dependants of employees with compensable cases. These scales are,</w:t>
      </w:r>
    </w:p>
    <w:p>
      <w:pPr>
        <w:pStyle w:val="ListParagraph"/>
        <w:numPr>
          <w:ilvl w:val="0"/>
          <w:numId w:val="15"/>
        </w:numPr>
        <w:tabs>
          <w:tab w:pos="1540" w:val="left" w:leader="none"/>
        </w:tabs>
        <w:spacing w:line="277" w:lineRule="exact" w:before="0" w:after="0"/>
        <w:ind w:left="1540" w:right="0" w:hanging="676"/>
        <w:jc w:val="left"/>
        <w:rPr>
          <w:sz w:val="23"/>
        </w:rPr>
      </w:pPr>
      <w:r>
        <w:rPr>
          <w:sz w:val="23"/>
        </w:rPr>
        <w:t>Scale</w:t>
      </w:r>
      <w:r>
        <w:rPr>
          <w:spacing w:val="3"/>
          <w:sz w:val="23"/>
        </w:rPr>
        <w:t> </w:t>
      </w:r>
      <w:r>
        <w:rPr>
          <w:sz w:val="23"/>
        </w:rPr>
        <w:t>of</w:t>
      </w:r>
      <w:r>
        <w:rPr>
          <w:spacing w:val="8"/>
          <w:sz w:val="23"/>
        </w:rPr>
        <w:t> </w:t>
      </w:r>
      <w:r>
        <w:rPr>
          <w:sz w:val="23"/>
        </w:rPr>
        <w:t>Compensation</w:t>
      </w:r>
      <w:r>
        <w:rPr>
          <w:spacing w:val="10"/>
          <w:sz w:val="23"/>
        </w:rPr>
        <w:t> </w:t>
      </w:r>
      <w:r>
        <w:rPr>
          <w:sz w:val="23"/>
        </w:rPr>
        <w:t>for</w:t>
      </w:r>
      <w:r>
        <w:rPr>
          <w:spacing w:val="9"/>
          <w:sz w:val="23"/>
        </w:rPr>
        <w:t> </w:t>
      </w:r>
      <w:r>
        <w:rPr>
          <w:sz w:val="23"/>
        </w:rPr>
        <w:t>Temporary</w:t>
      </w:r>
      <w:r>
        <w:rPr>
          <w:spacing w:val="4"/>
          <w:sz w:val="23"/>
        </w:rPr>
        <w:t> </w:t>
      </w:r>
      <w:r>
        <w:rPr>
          <w:sz w:val="23"/>
        </w:rPr>
        <w:t>Partial</w:t>
      </w:r>
      <w:r>
        <w:rPr>
          <w:spacing w:val="5"/>
          <w:sz w:val="23"/>
        </w:rPr>
        <w:t> </w:t>
      </w:r>
      <w:r>
        <w:rPr>
          <w:spacing w:val="-2"/>
          <w:sz w:val="23"/>
        </w:rPr>
        <w:t>Disability</w:t>
      </w:r>
      <w:r>
        <w:rPr>
          <w:spacing w:val="-2"/>
          <w:sz w:val="23"/>
          <w:vertAlign w:val="superscript"/>
        </w:rPr>
        <w:t>208</w:t>
      </w:r>
    </w:p>
    <w:p>
      <w:pPr>
        <w:pStyle w:val="BodyText"/>
        <w:spacing w:before="194"/>
      </w:pPr>
    </w:p>
    <w:p>
      <w:pPr>
        <w:pStyle w:val="ListParagraph"/>
        <w:numPr>
          <w:ilvl w:val="0"/>
          <w:numId w:val="15"/>
        </w:numPr>
        <w:tabs>
          <w:tab w:pos="1540" w:val="left" w:leader="none"/>
        </w:tabs>
        <w:spacing w:line="240" w:lineRule="auto" w:before="0" w:after="0"/>
        <w:ind w:left="1540" w:right="0" w:hanging="676"/>
        <w:jc w:val="left"/>
        <w:rPr>
          <w:sz w:val="23"/>
        </w:rPr>
      </w:pPr>
      <w:r>
        <w:rPr>
          <w:sz w:val="23"/>
        </w:rPr>
        <w:t>Scale</w:t>
      </w:r>
      <w:r>
        <w:rPr>
          <w:spacing w:val="2"/>
          <w:sz w:val="23"/>
        </w:rPr>
        <w:t> </w:t>
      </w:r>
      <w:r>
        <w:rPr>
          <w:sz w:val="23"/>
        </w:rPr>
        <w:t>of</w:t>
      </w:r>
      <w:r>
        <w:rPr>
          <w:spacing w:val="8"/>
          <w:sz w:val="23"/>
        </w:rPr>
        <w:t> </w:t>
      </w:r>
      <w:r>
        <w:rPr>
          <w:sz w:val="23"/>
        </w:rPr>
        <w:t>Compensation</w:t>
      </w:r>
      <w:r>
        <w:rPr>
          <w:spacing w:val="9"/>
          <w:sz w:val="23"/>
        </w:rPr>
        <w:t> </w:t>
      </w:r>
      <w:r>
        <w:rPr>
          <w:sz w:val="23"/>
        </w:rPr>
        <w:t>for</w:t>
      </w:r>
      <w:r>
        <w:rPr>
          <w:spacing w:val="8"/>
          <w:sz w:val="23"/>
        </w:rPr>
        <w:t> </w:t>
      </w:r>
      <w:r>
        <w:rPr>
          <w:sz w:val="23"/>
        </w:rPr>
        <w:t>Temporary</w:t>
      </w:r>
      <w:r>
        <w:rPr>
          <w:spacing w:val="4"/>
          <w:sz w:val="23"/>
        </w:rPr>
        <w:t> </w:t>
      </w:r>
      <w:r>
        <w:rPr>
          <w:sz w:val="23"/>
        </w:rPr>
        <w:t>Total</w:t>
      </w:r>
      <w:r>
        <w:rPr>
          <w:spacing w:val="10"/>
          <w:sz w:val="23"/>
        </w:rPr>
        <w:t> </w:t>
      </w:r>
      <w:r>
        <w:rPr>
          <w:spacing w:val="-2"/>
          <w:sz w:val="23"/>
        </w:rPr>
        <w:t>Disability</w:t>
      </w:r>
      <w:r>
        <w:rPr>
          <w:spacing w:val="-2"/>
          <w:sz w:val="23"/>
          <w:vertAlign w:val="superscript"/>
        </w:rPr>
        <w:t>209</w:t>
      </w:r>
    </w:p>
    <w:p>
      <w:pPr>
        <w:pStyle w:val="BodyText"/>
        <w:spacing w:before="9"/>
        <w:rPr>
          <w:sz w:val="13"/>
        </w:rPr>
      </w:pPr>
      <w:r>
        <w:rPr/>
        <mc:AlternateContent>
          <mc:Choice Requires="wps">
            <w:drawing>
              <wp:anchor distT="0" distB="0" distL="0" distR="0" allowOverlap="1" layoutInCell="1" locked="0" behindDoc="1" simplePos="0" relativeHeight="487627776">
                <wp:simplePos x="0" y="0"/>
                <wp:positionH relativeFrom="page">
                  <wp:posOffset>1185672</wp:posOffset>
                </wp:positionH>
                <wp:positionV relativeFrom="paragraph">
                  <wp:posOffset>120781</wp:posOffset>
                </wp:positionV>
                <wp:extent cx="1719580" cy="6350"/>
                <wp:effectExtent l="0" t="0" r="0" b="0"/>
                <wp:wrapTopAndBottom/>
                <wp:docPr id="93" name="Graphic 93"/>
                <wp:cNvGraphicFramePr>
                  <a:graphicFrameLocks/>
                </wp:cNvGraphicFramePr>
                <a:graphic>
                  <a:graphicData uri="http://schemas.microsoft.com/office/word/2010/wordprocessingShape">
                    <wps:wsp>
                      <wps:cNvPr id="93" name="Graphic 9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9.510316pt;width:135.360pt;height:.48pt;mso-position-horizontal-relative:page;mso-position-vertical-relative:paragraph;z-index:-15688704;mso-wrap-distance-left:0;mso-wrap-distance-right:0" id="docshape93" filled="true" fillcolor="#000000" stroked="false">
                <v:fill type="solid"/>
                <w10:wrap type="topAndBottom"/>
              </v:rect>
            </w:pict>
          </mc:Fallback>
        </mc:AlternateContent>
      </w:r>
    </w:p>
    <w:p>
      <w:pPr>
        <w:spacing w:line="217" w:lineRule="exact" w:before="91"/>
        <w:ind w:left="187" w:right="0" w:firstLine="0"/>
        <w:jc w:val="left"/>
        <w:rPr>
          <w:rFonts w:ascii="Times New Roman" w:hAnsi="Times New Roman"/>
          <w:sz w:val="19"/>
        </w:rPr>
      </w:pPr>
      <w:r>
        <w:rPr>
          <w:rFonts w:ascii="Times New Roman" w:hAnsi="Times New Roman"/>
          <w:sz w:val="19"/>
          <w:vertAlign w:val="superscript"/>
        </w:rPr>
        <w:t>207</w:t>
      </w:r>
      <w:r>
        <w:rPr>
          <w:rFonts w:ascii="Times New Roman" w:hAnsi="Times New Roman"/>
          <w:spacing w:val="-6"/>
          <w:sz w:val="19"/>
          <w:vertAlign w:val="baseline"/>
        </w:rPr>
        <w:t> </w:t>
      </w:r>
      <w:r>
        <w:rPr>
          <w:rFonts w:ascii="Times New Roman" w:hAnsi="Times New Roman"/>
          <w:sz w:val="19"/>
          <w:vertAlign w:val="baseline"/>
        </w:rPr>
        <w:t>See</w:t>
      </w:r>
      <w:r>
        <w:rPr>
          <w:rFonts w:ascii="Times New Roman" w:hAnsi="Times New Roman"/>
          <w:spacing w:val="-9"/>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17(1)(f)(ii)</w:t>
      </w:r>
      <w:r>
        <w:rPr>
          <w:rFonts w:ascii="Times New Roman" w:hAnsi="Times New Roman"/>
          <w:spacing w:val="-11"/>
          <w:sz w:val="19"/>
          <w:vertAlign w:val="baseline"/>
        </w:rPr>
        <w:t> </w:t>
      </w:r>
      <w:r>
        <w:rPr>
          <w:rFonts w:ascii="Times New Roman" w:hAnsi="Times New Roman"/>
          <w:sz w:val="19"/>
          <w:vertAlign w:val="baseline"/>
        </w:rPr>
        <w:t>of</w:t>
      </w:r>
      <w:r>
        <w:rPr>
          <w:rFonts w:ascii="Times New Roman" w:hAnsi="Times New Roman"/>
          <w:spacing w:val="26"/>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6"/>
          <w:sz w:val="19"/>
          <w:vertAlign w:val="baseline"/>
        </w:rPr>
        <w:t> </w:t>
      </w:r>
      <w:r>
        <w:rPr>
          <w:rFonts w:ascii="Times New Roman" w:hAnsi="Times New Roman"/>
          <w:sz w:val="19"/>
          <w:vertAlign w:val="baseline"/>
        </w:rPr>
        <w:t>Act</w:t>
      </w:r>
      <w:r>
        <w:rPr>
          <w:rFonts w:ascii="Times New Roman" w:hAnsi="Times New Roman"/>
          <w:spacing w:val="-10"/>
          <w:sz w:val="19"/>
          <w:vertAlign w:val="baseline"/>
        </w:rPr>
        <w:t> </w:t>
      </w:r>
      <w:r>
        <w:rPr>
          <w:rFonts w:ascii="Times New Roman" w:hAnsi="Times New Roman"/>
          <w:i/>
          <w:sz w:val="19"/>
          <w:vertAlign w:val="baseline"/>
        </w:rPr>
        <w:t>op</w:t>
      </w:r>
      <w:r>
        <w:rPr>
          <w:rFonts w:ascii="Times New Roman" w:hAnsi="Times New Roman"/>
          <w:i/>
          <w:spacing w:val="-10"/>
          <w:sz w:val="19"/>
          <w:vertAlign w:val="baseline"/>
        </w:rPr>
        <w:t> </w:t>
      </w:r>
      <w:r>
        <w:rPr>
          <w:rFonts w:ascii="Times New Roman" w:hAnsi="Times New Roman"/>
          <w:spacing w:val="-5"/>
          <w:sz w:val="19"/>
          <w:vertAlign w:val="baseline"/>
        </w:rPr>
        <w:t>cit</w:t>
      </w:r>
    </w:p>
    <w:p>
      <w:pPr>
        <w:spacing w:line="217" w:lineRule="exact" w:before="0"/>
        <w:ind w:left="187" w:right="0" w:firstLine="0"/>
        <w:jc w:val="left"/>
        <w:rPr>
          <w:rFonts w:ascii="Times New Roman"/>
          <w:i/>
          <w:sz w:val="19"/>
        </w:rPr>
      </w:pPr>
      <w:r>
        <w:rPr>
          <w:rFonts w:ascii="Times New Roman"/>
          <w:sz w:val="19"/>
          <w:vertAlign w:val="superscript"/>
        </w:rPr>
        <w:t>208</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25</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ListParagraph"/>
        <w:numPr>
          <w:ilvl w:val="0"/>
          <w:numId w:val="15"/>
        </w:numPr>
        <w:tabs>
          <w:tab w:pos="1540" w:val="left" w:leader="none"/>
          <w:tab w:pos="2327" w:val="left" w:leader="none"/>
          <w:tab w:pos="2778" w:val="left" w:leader="none"/>
          <w:tab w:pos="4487" w:val="left" w:leader="none"/>
          <w:tab w:pos="5024" w:val="left" w:leader="none"/>
          <w:tab w:pos="6391" w:val="left" w:leader="none"/>
          <w:tab w:pos="7288" w:val="left" w:leader="none"/>
          <w:tab w:pos="8459" w:val="left" w:leader="none"/>
        </w:tabs>
        <w:spacing w:line="482" w:lineRule="auto" w:before="92" w:after="0"/>
        <w:ind w:left="1540" w:right="569" w:hanging="677"/>
        <w:jc w:val="left"/>
        <w:rPr>
          <w:sz w:val="23"/>
        </w:rPr>
      </w:pPr>
      <w:r>
        <w:rPr>
          <w:spacing w:val="-2"/>
          <w:sz w:val="23"/>
        </w:rPr>
        <w:t>Scale</w:t>
      </w:r>
      <w:r>
        <w:rPr>
          <w:sz w:val="23"/>
        </w:rPr>
        <w:tab/>
      </w:r>
      <w:r>
        <w:rPr>
          <w:spacing w:val="-6"/>
          <w:sz w:val="23"/>
        </w:rPr>
        <w:t>of</w:t>
      </w:r>
      <w:r>
        <w:rPr>
          <w:sz w:val="23"/>
        </w:rPr>
        <w:tab/>
      </w:r>
      <w:r>
        <w:rPr>
          <w:spacing w:val="-2"/>
          <w:sz w:val="23"/>
        </w:rPr>
        <w:t>Compensation</w:t>
      </w:r>
      <w:r>
        <w:rPr>
          <w:sz w:val="23"/>
        </w:rPr>
        <w:tab/>
      </w:r>
      <w:r>
        <w:rPr>
          <w:spacing w:val="-4"/>
          <w:sz w:val="23"/>
        </w:rPr>
        <w:t>for</w:t>
      </w:r>
      <w:r>
        <w:rPr>
          <w:sz w:val="23"/>
        </w:rPr>
        <w:tab/>
      </w:r>
      <w:r>
        <w:rPr>
          <w:spacing w:val="-2"/>
          <w:sz w:val="23"/>
        </w:rPr>
        <w:t>Permanent</w:t>
      </w:r>
      <w:r>
        <w:rPr>
          <w:sz w:val="23"/>
        </w:rPr>
        <w:tab/>
      </w:r>
      <w:r>
        <w:rPr>
          <w:spacing w:val="-2"/>
          <w:sz w:val="23"/>
        </w:rPr>
        <w:t>Partial</w:t>
      </w:r>
      <w:r>
        <w:rPr>
          <w:sz w:val="23"/>
        </w:rPr>
        <w:tab/>
      </w:r>
      <w:r>
        <w:rPr>
          <w:spacing w:val="-2"/>
          <w:sz w:val="23"/>
        </w:rPr>
        <w:t>Disability</w:t>
      </w:r>
      <w:r>
        <w:rPr>
          <w:sz w:val="23"/>
        </w:rPr>
        <w:tab/>
      </w:r>
      <w:r>
        <w:rPr>
          <w:spacing w:val="-6"/>
          <w:sz w:val="23"/>
        </w:rPr>
        <w:t>or </w:t>
      </w:r>
      <w:r>
        <w:rPr>
          <w:spacing w:val="-2"/>
          <w:sz w:val="23"/>
        </w:rPr>
        <w:t>Disfigurement</w:t>
      </w:r>
      <w:r>
        <w:rPr>
          <w:spacing w:val="-2"/>
          <w:sz w:val="23"/>
          <w:vertAlign w:val="superscript"/>
        </w:rPr>
        <w:t>210</w:t>
      </w:r>
    </w:p>
    <w:p>
      <w:pPr>
        <w:pStyle w:val="ListParagraph"/>
        <w:numPr>
          <w:ilvl w:val="0"/>
          <w:numId w:val="15"/>
        </w:numPr>
        <w:tabs>
          <w:tab w:pos="1540" w:val="left" w:leader="none"/>
        </w:tabs>
        <w:spacing w:line="240" w:lineRule="auto" w:before="196" w:after="0"/>
        <w:ind w:left="1540" w:right="0" w:hanging="676"/>
        <w:jc w:val="left"/>
        <w:rPr>
          <w:sz w:val="23"/>
        </w:rPr>
      </w:pPr>
      <w:r>
        <w:rPr>
          <w:sz w:val="23"/>
        </w:rPr>
        <w:t>Scale</w:t>
      </w:r>
      <w:r>
        <w:rPr>
          <w:spacing w:val="2"/>
          <w:sz w:val="23"/>
        </w:rPr>
        <w:t> </w:t>
      </w:r>
      <w:r>
        <w:rPr>
          <w:sz w:val="23"/>
        </w:rPr>
        <w:t>of</w:t>
      </w:r>
      <w:r>
        <w:rPr>
          <w:spacing w:val="8"/>
          <w:sz w:val="23"/>
        </w:rPr>
        <w:t> </w:t>
      </w:r>
      <w:r>
        <w:rPr>
          <w:sz w:val="23"/>
        </w:rPr>
        <w:t>Compensation</w:t>
      </w:r>
      <w:r>
        <w:rPr>
          <w:spacing w:val="9"/>
          <w:sz w:val="23"/>
        </w:rPr>
        <w:t> </w:t>
      </w:r>
      <w:r>
        <w:rPr>
          <w:sz w:val="23"/>
        </w:rPr>
        <w:t>for</w:t>
      </w:r>
      <w:r>
        <w:rPr>
          <w:spacing w:val="9"/>
          <w:sz w:val="23"/>
        </w:rPr>
        <w:t> </w:t>
      </w:r>
      <w:r>
        <w:rPr>
          <w:sz w:val="23"/>
        </w:rPr>
        <w:t>Permanent</w:t>
      </w:r>
      <w:r>
        <w:rPr>
          <w:spacing w:val="9"/>
          <w:sz w:val="23"/>
        </w:rPr>
        <w:t> </w:t>
      </w:r>
      <w:r>
        <w:rPr>
          <w:sz w:val="23"/>
        </w:rPr>
        <w:t>Total</w:t>
      </w:r>
      <w:r>
        <w:rPr>
          <w:spacing w:val="10"/>
          <w:sz w:val="23"/>
        </w:rPr>
        <w:t> </w:t>
      </w:r>
      <w:r>
        <w:rPr>
          <w:spacing w:val="-2"/>
          <w:sz w:val="23"/>
        </w:rPr>
        <w:t>Disability</w:t>
      </w:r>
      <w:r>
        <w:rPr>
          <w:spacing w:val="-2"/>
          <w:sz w:val="23"/>
          <w:vertAlign w:val="superscript"/>
        </w:rPr>
        <w:t>211</w:t>
      </w:r>
    </w:p>
    <w:p>
      <w:pPr>
        <w:pStyle w:val="BodyText"/>
        <w:spacing w:before="199"/>
      </w:pPr>
    </w:p>
    <w:p>
      <w:pPr>
        <w:pStyle w:val="ListParagraph"/>
        <w:numPr>
          <w:ilvl w:val="0"/>
          <w:numId w:val="15"/>
        </w:numPr>
        <w:tabs>
          <w:tab w:pos="1540" w:val="left" w:leader="none"/>
        </w:tabs>
        <w:spacing w:line="240" w:lineRule="auto" w:before="0" w:after="0"/>
        <w:ind w:left="1540" w:right="0" w:hanging="676"/>
        <w:jc w:val="left"/>
        <w:rPr>
          <w:sz w:val="23"/>
        </w:rPr>
      </w:pPr>
      <w:r>
        <w:rPr>
          <w:sz w:val="23"/>
        </w:rPr>
        <w:t>Scale</w:t>
      </w:r>
      <w:r>
        <w:rPr>
          <w:spacing w:val="2"/>
          <w:sz w:val="23"/>
        </w:rPr>
        <w:t> </w:t>
      </w:r>
      <w:r>
        <w:rPr>
          <w:sz w:val="23"/>
        </w:rPr>
        <w:t>of</w:t>
      </w:r>
      <w:r>
        <w:rPr>
          <w:spacing w:val="7"/>
          <w:sz w:val="23"/>
        </w:rPr>
        <w:t> </w:t>
      </w:r>
      <w:r>
        <w:rPr>
          <w:sz w:val="23"/>
        </w:rPr>
        <w:t>Compensation</w:t>
      </w:r>
      <w:r>
        <w:rPr>
          <w:spacing w:val="9"/>
          <w:sz w:val="23"/>
        </w:rPr>
        <w:t> </w:t>
      </w:r>
      <w:r>
        <w:rPr>
          <w:sz w:val="23"/>
        </w:rPr>
        <w:t>in</w:t>
      </w:r>
      <w:r>
        <w:rPr>
          <w:spacing w:val="4"/>
          <w:sz w:val="23"/>
        </w:rPr>
        <w:t> </w:t>
      </w:r>
      <w:r>
        <w:rPr>
          <w:sz w:val="23"/>
        </w:rPr>
        <w:t>Fatal</w:t>
      </w:r>
      <w:r>
        <w:rPr>
          <w:spacing w:val="10"/>
          <w:sz w:val="23"/>
        </w:rPr>
        <w:t> </w:t>
      </w:r>
      <w:r>
        <w:rPr>
          <w:spacing w:val="-2"/>
          <w:sz w:val="23"/>
        </w:rPr>
        <w:t>Cases</w:t>
      </w:r>
      <w:r>
        <w:rPr>
          <w:spacing w:val="-2"/>
          <w:sz w:val="23"/>
          <w:vertAlign w:val="superscript"/>
        </w:rPr>
        <w:t>212</w:t>
      </w:r>
    </w:p>
    <w:p>
      <w:pPr>
        <w:pStyle w:val="BodyText"/>
        <w:spacing w:before="199"/>
      </w:pPr>
    </w:p>
    <w:p>
      <w:pPr>
        <w:pStyle w:val="ListParagraph"/>
        <w:numPr>
          <w:ilvl w:val="0"/>
          <w:numId w:val="15"/>
        </w:numPr>
        <w:tabs>
          <w:tab w:pos="1540" w:val="left" w:leader="none"/>
        </w:tabs>
        <w:spacing w:line="240" w:lineRule="auto" w:before="0" w:after="0"/>
        <w:ind w:left="1540" w:right="0" w:hanging="676"/>
        <w:jc w:val="left"/>
        <w:rPr>
          <w:sz w:val="23"/>
        </w:rPr>
      </w:pPr>
      <w:r>
        <w:rPr>
          <w:sz w:val="23"/>
        </w:rPr>
        <w:t>Scale</w:t>
      </w:r>
      <w:r>
        <w:rPr>
          <w:spacing w:val="2"/>
          <w:sz w:val="23"/>
        </w:rPr>
        <w:t> </w:t>
      </w:r>
      <w:r>
        <w:rPr>
          <w:sz w:val="23"/>
        </w:rPr>
        <w:t>of</w:t>
      </w:r>
      <w:r>
        <w:rPr>
          <w:spacing w:val="7"/>
          <w:sz w:val="23"/>
        </w:rPr>
        <w:t> </w:t>
      </w:r>
      <w:r>
        <w:rPr>
          <w:sz w:val="23"/>
        </w:rPr>
        <w:t>Compensation</w:t>
      </w:r>
      <w:r>
        <w:rPr>
          <w:spacing w:val="9"/>
          <w:sz w:val="23"/>
        </w:rPr>
        <w:t> </w:t>
      </w:r>
      <w:r>
        <w:rPr>
          <w:sz w:val="23"/>
        </w:rPr>
        <w:t>Relating</w:t>
      </w:r>
      <w:r>
        <w:rPr>
          <w:spacing w:val="15"/>
          <w:sz w:val="23"/>
        </w:rPr>
        <w:t> </w:t>
      </w:r>
      <w:r>
        <w:rPr>
          <w:sz w:val="23"/>
        </w:rPr>
        <w:t>to</w:t>
      </w:r>
      <w:r>
        <w:rPr>
          <w:spacing w:val="8"/>
          <w:sz w:val="23"/>
        </w:rPr>
        <w:t> </w:t>
      </w:r>
      <w:r>
        <w:rPr>
          <w:sz w:val="23"/>
        </w:rPr>
        <w:t>Enemy</w:t>
      </w:r>
      <w:r>
        <w:rPr>
          <w:spacing w:val="8"/>
          <w:sz w:val="23"/>
        </w:rPr>
        <w:t> </w:t>
      </w:r>
      <w:r>
        <w:rPr>
          <w:sz w:val="23"/>
        </w:rPr>
        <w:t>War-like</w:t>
      </w:r>
      <w:r>
        <w:rPr>
          <w:spacing w:val="3"/>
          <w:sz w:val="23"/>
        </w:rPr>
        <w:t> </w:t>
      </w:r>
      <w:r>
        <w:rPr>
          <w:spacing w:val="-2"/>
          <w:sz w:val="23"/>
        </w:rPr>
        <w:t>Actions</w:t>
      </w:r>
      <w:r>
        <w:rPr>
          <w:spacing w:val="-2"/>
          <w:sz w:val="23"/>
          <w:vertAlign w:val="superscript"/>
        </w:rPr>
        <w:t>213</w:t>
      </w:r>
    </w:p>
    <w:p>
      <w:pPr>
        <w:pStyle w:val="BodyText"/>
        <w:spacing w:before="195"/>
      </w:pPr>
    </w:p>
    <w:p>
      <w:pPr>
        <w:pStyle w:val="Heading3"/>
        <w:numPr>
          <w:ilvl w:val="2"/>
          <w:numId w:val="13"/>
        </w:numPr>
        <w:tabs>
          <w:tab w:pos="860" w:val="left" w:leader="none"/>
        </w:tabs>
        <w:spacing w:line="240" w:lineRule="auto" w:before="0" w:after="0"/>
        <w:ind w:left="860" w:right="0" w:hanging="673"/>
        <w:jc w:val="left"/>
      </w:pPr>
      <w:bookmarkStart w:name="_TOC_250014" w:id="16"/>
      <w:r>
        <w:rPr/>
        <w:t>Scale</w:t>
      </w:r>
      <w:r>
        <w:rPr>
          <w:spacing w:val="8"/>
        </w:rPr>
        <w:t> </w:t>
      </w:r>
      <w:r>
        <w:rPr/>
        <w:t>of</w:t>
      </w:r>
      <w:r>
        <w:rPr>
          <w:spacing w:val="11"/>
        </w:rPr>
        <w:t> </w:t>
      </w:r>
      <w:r>
        <w:rPr/>
        <w:t>Compensation</w:t>
      </w:r>
      <w:r>
        <w:rPr>
          <w:spacing w:val="8"/>
        </w:rPr>
        <w:t> </w:t>
      </w:r>
      <w:r>
        <w:rPr/>
        <w:t>for</w:t>
      </w:r>
      <w:r>
        <w:rPr>
          <w:spacing w:val="14"/>
        </w:rPr>
        <w:t> </w:t>
      </w:r>
      <w:r>
        <w:rPr/>
        <w:t>Temporary</w:t>
      </w:r>
      <w:r>
        <w:rPr>
          <w:spacing w:val="3"/>
        </w:rPr>
        <w:t> </w:t>
      </w:r>
      <w:r>
        <w:rPr/>
        <w:t>Partial</w:t>
      </w:r>
      <w:r>
        <w:rPr>
          <w:spacing w:val="11"/>
        </w:rPr>
        <w:t> </w:t>
      </w:r>
      <w:bookmarkEnd w:id="16"/>
      <w:r>
        <w:rPr>
          <w:spacing w:val="-2"/>
        </w:rPr>
        <w:t>Disability</w:t>
      </w:r>
    </w:p>
    <w:p>
      <w:pPr>
        <w:pStyle w:val="BodyText"/>
        <w:spacing w:before="16"/>
        <w:rPr>
          <w:b/>
        </w:rPr>
      </w:pPr>
    </w:p>
    <w:p>
      <w:pPr>
        <w:pStyle w:val="BodyText"/>
        <w:ind w:left="864"/>
        <w:jc w:val="both"/>
      </w:pPr>
      <w:r>
        <w:rPr/>
        <w:t>Section</w:t>
      </w:r>
      <w:r>
        <w:rPr>
          <w:spacing w:val="2"/>
        </w:rPr>
        <w:t> </w:t>
      </w:r>
      <w:r>
        <w:rPr/>
        <w:t>25</w:t>
      </w:r>
      <w:r>
        <w:rPr>
          <w:spacing w:val="6"/>
        </w:rPr>
        <w:t> </w:t>
      </w:r>
      <w:r>
        <w:rPr/>
        <w:t>of</w:t>
      </w:r>
      <w:r>
        <w:rPr>
          <w:spacing w:val="2"/>
        </w:rPr>
        <w:t> </w:t>
      </w:r>
      <w:r>
        <w:rPr/>
        <w:t>the</w:t>
      </w:r>
      <w:r>
        <w:rPr>
          <w:spacing w:val="6"/>
        </w:rPr>
        <w:t> </w:t>
      </w:r>
      <w:r>
        <w:rPr/>
        <w:t>Act</w:t>
      </w:r>
      <w:r>
        <w:rPr>
          <w:spacing w:val="3"/>
        </w:rPr>
        <w:t> </w:t>
      </w:r>
      <w:r>
        <w:rPr>
          <w:spacing w:val="-2"/>
        </w:rPr>
        <w:t>provides;</w:t>
      </w:r>
    </w:p>
    <w:p>
      <w:pPr>
        <w:pStyle w:val="BodyText"/>
        <w:spacing w:before="11"/>
      </w:pPr>
    </w:p>
    <w:p>
      <w:pPr>
        <w:pStyle w:val="ListParagraph"/>
        <w:numPr>
          <w:ilvl w:val="0"/>
          <w:numId w:val="16"/>
        </w:numPr>
        <w:tabs>
          <w:tab w:pos="1879" w:val="left" w:leader="none"/>
          <w:tab w:pos="1881" w:val="left" w:leader="none"/>
        </w:tabs>
        <w:spacing w:line="244" w:lineRule="auto" w:before="1" w:after="0"/>
        <w:ind w:left="1881" w:right="1917" w:hanging="509"/>
        <w:jc w:val="both"/>
        <w:rPr>
          <w:sz w:val="23"/>
        </w:rPr>
      </w:pPr>
      <w:r>
        <w:rPr>
          <w:sz w:val="23"/>
        </w:rPr>
        <w:t>Subject to section 28(4) of this Act, if a temporary partial disability results from an employee’s injury, the Board may pay the employee of a lump sum in accordance with the Second Schedule to this Act or regulation made under section 22(3) of this Act.</w:t>
      </w:r>
    </w:p>
    <w:p>
      <w:pPr>
        <w:pStyle w:val="ListParagraph"/>
        <w:numPr>
          <w:ilvl w:val="0"/>
          <w:numId w:val="16"/>
        </w:numPr>
        <w:tabs>
          <w:tab w:pos="1879" w:val="left" w:leader="none"/>
          <w:tab w:pos="1881" w:val="left" w:leader="none"/>
        </w:tabs>
        <w:spacing w:line="244" w:lineRule="auto" w:before="192" w:after="0"/>
        <w:ind w:left="1881" w:right="1920" w:hanging="509"/>
        <w:jc w:val="both"/>
        <w:rPr>
          <w:sz w:val="23"/>
        </w:rPr>
      </w:pPr>
      <w:r>
        <w:rPr>
          <w:sz w:val="23"/>
        </w:rPr>
        <w:t>The payment referred to in sub-section (1) of this section shall not be in respect of any disability that lasts for a period of more than 12 months.</w:t>
      </w:r>
    </w:p>
    <w:p>
      <w:pPr>
        <w:pStyle w:val="BodyText"/>
        <w:spacing w:line="489" w:lineRule="auto" w:before="187"/>
        <w:ind w:left="864" w:right="566"/>
        <w:jc w:val="both"/>
      </w:pPr>
      <w:r>
        <w:rPr/>
        <w:t>The</w:t>
      </w:r>
      <w:r>
        <w:rPr>
          <w:spacing w:val="40"/>
        </w:rPr>
        <w:t> </w:t>
      </w:r>
      <w:r>
        <w:rPr/>
        <w:t>Act</w:t>
      </w:r>
      <w:r>
        <w:rPr>
          <w:spacing w:val="40"/>
        </w:rPr>
        <w:t> </w:t>
      </w:r>
      <w:r>
        <w:rPr/>
        <w:t>fails</w:t>
      </w:r>
      <w:r>
        <w:rPr>
          <w:spacing w:val="40"/>
        </w:rPr>
        <w:t> </w:t>
      </w:r>
      <w:r>
        <w:rPr/>
        <w:t>to</w:t>
      </w:r>
      <w:r>
        <w:rPr>
          <w:spacing w:val="40"/>
        </w:rPr>
        <w:t> </w:t>
      </w:r>
      <w:r>
        <w:rPr/>
        <w:t>define</w:t>
      </w:r>
      <w:r>
        <w:rPr>
          <w:spacing w:val="40"/>
        </w:rPr>
        <w:t> </w:t>
      </w:r>
      <w:r>
        <w:rPr/>
        <w:t>what</w:t>
      </w:r>
      <w:r>
        <w:rPr>
          <w:spacing w:val="40"/>
        </w:rPr>
        <w:t> </w:t>
      </w:r>
      <w:r>
        <w:rPr/>
        <w:t>“temporary</w:t>
      </w:r>
      <w:r>
        <w:rPr>
          <w:spacing w:val="40"/>
        </w:rPr>
        <w:t> </w:t>
      </w:r>
      <w:r>
        <w:rPr/>
        <w:t>partial</w:t>
      </w:r>
      <w:r>
        <w:rPr>
          <w:spacing w:val="40"/>
        </w:rPr>
        <w:t> </w:t>
      </w:r>
      <w:r>
        <w:rPr/>
        <w:t>disability”</w:t>
      </w:r>
      <w:r>
        <w:rPr>
          <w:spacing w:val="40"/>
        </w:rPr>
        <w:t> </w:t>
      </w:r>
      <w:r>
        <w:rPr/>
        <w:t>means.</w:t>
      </w:r>
      <w:r>
        <w:rPr>
          <w:spacing w:val="40"/>
        </w:rPr>
        <w:t> </w:t>
      </w:r>
      <w:r>
        <w:rPr/>
        <w:t>It however provides a definition for “permanent partial disability” and the definition of the latter gives an idea of what the former means, under the Act. It defines “permanent partial disability” as</w:t>
      </w:r>
    </w:p>
    <w:p>
      <w:pPr>
        <w:pStyle w:val="BodyText"/>
        <w:spacing w:line="244" w:lineRule="auto" w:before="5"/>
        <w:ind w:left="1540" w:right="3100"/>
        <w:jc w:val="both"/>
      </w:pPr>
      <w:r>
        <w:rPr/>
        <w:t>the physical function or conditions, mental capacity or physiological health arising from and in the course of employment that cause a deviation for more than 12 months from the</w:t>
      </w:r>
      <w:r>
        <w:rPr>
          <w:spacing w:val="34"/>
        </w:rPr>
        <w:t> </w:t>
      </w:r>
      <w:r>
        <w:rPr/>
        <w:t>condition</w:t>
      </w:r>
      <w:r>
        <w:rPr>
          <w:spacing w:val="31"/>
        </w:rPr>
        <w:t> </w:t>
      </w:r>
      <w:r>
        <w:rPr/>
        <w:t>typical</w:t>
      </w:r>
      <w:r>
        <w:rPr>
          <w:spacing w:val="36"/>
        </w:rPr>
        <w:t> </w:t>
      </w:r>
      <w:r>
        <w:rPr/>
        <w:t>for</w:t>
      </w:r>
      <w:r>
        <w:rPr>
          <w:spacing w:val="34"/>
        </w:rPr>
        <w:t> </w:t>
      </w:r>
      <w:r>
        <w:rPr/>
        <w:t>the</w:t>
      </w:r>
      <w:r>
        <w:rPr>
          <w:spacing w:val="35"/>
        </w:rPr>
        <w:t> </w:t>
      </w:r>
      <w:r>
        <w:rPr/>
        <w:t>respective</w:t>
      </w:r>
      <w:r>
        <w:rPr>
          <w:spacing w:val="34"/>
        </w:rPr>
        <w:t> </w:t>
      </w:r>
      <w:r>
        <w:rPr>
          <w:spacing w:val="-5"/>
        </w:rPr>
        <w:t>age</w:t>
      </w:r>
    </w:p>
    <w:p>
      <w:pPr>
        <w:pStyle w:val="BodyText"/>
        <w:rPr>
          <w:sz w:val="20"/>
        </w:rPr>
      </w:pPr>
    </w:p>
    <w:p>
      <w:pPr>
        <w:pStyle w:val="BodyText"/>
        <w:rPr>
          <w:sz w:val="20"/>
        </w:rPr>
      </w:pPr>
    </w:p>
    <w:p>
      <w:pPr>
        <w:pStyle w:val="BodyText"/>
        <w:spacing w:before="111"/>
        <w:rPr>
          <w:sz w:val="20"/>
        </w:rPr>
      </w:pPr>
      <w:r>
        <w:rPr/>
        <mc:AlternateContent>
          <mc:Choice Requires="wps">
            <w:drawing>
              <wp:anchor distT="0" distB="0" distL="0" distR="0" allowOverlap="1" layoutInCell="1" locked="0" behindDoc="1" simplePos="0" relativeHeight="487628288">
                <wp:simplePos x="0" y="0"/>
                <wp:positionH relativeFrom="page">
                  <wp:posOffset>1185672</wp:posOffset>
                </wp:positionH>
                <wp:positionV relativeFrom="paragraph">
                  <wp:posOffset>239151</wp:posOffset>
                </wp:positionV>
                <wp:extent cx="5389245" cy="6350"/>
                <wp:effectExtent l="0" t="0" r="0" b="0"/>
                <wp:wrapTopAndBottom/>
                <wp:docPr id="94" name="Graphic 94"/>
                <wp:cNvGraphicFramePr>
                  <a:graphicFrameLocks/>
                </wp:cNvGraphicFramePr>
                <a:graphic>
                  <a:graphicData uri="http://schemas.microsoft.com/office/word/2010/wordprocessingShape">
                    <wps:wsp>
                      <wps:cNvPr id="94" name="Graphic 94"/>
                      <wps:cNvSpPr/>
                      <wps:spPr>
                        <a:xfrm>
                          <a:off x="0" y="0"/>
                          <a:ext cx="5389245" cy="6350"/>
                        </a:xfrm>
                        <a:custGeom>
                          <a:avLst/>
                          <a:gdLst/>
                          <a:ahLst/>
                          <a:cxnLst/>
                          <a:rect l="l" t="t" r="r" b="b"/>
                          <a:pathLst>
                            <a:path w="5389245" h="6350">
                              <a:moveTo>
                                <a:pt x="5388863" y="0"/>
                              </a:moveTo>
                              <a:lnTo>
                                <a:pt x="0" y="0"/>
                              </a:lnTo>
                              <a:lnTo>
                                <a:pt x="0" y="6095"/>
                              </a:lnTo>
                              <a:lnTo>
                                <a:pt x="5388863" y="6095"/>
                              </a:lnTo>
                              <a:lnTo>
                                <a:pt x="538886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8.830822pt;width:424.32pt;height:.48pt;mso-position-horizontal-relative:page;mso-position-vertical-relative:paragraph;z-index:-15688192;mso-wrap-distance-left:0;mso-wrap-distance-right:0" id="docshape94"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209</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24</w:t>
      </w:r>
      <w:r>
        <w:rPr>
          <w:rFonts w:ascii="Times New Roman"/>
          <w:spacing w:val="-5"/>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210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22</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211</w:t>
      </w:r>
      <w:r>
        <w:rPr>
          <w:rFonts w:ascii="Times New Roman"/>
          <w:sz w:val="19"/>
          <w:vertAlign w:val="baseline"/>
        </w:rPr>
        <w:t>Section</w:t>
      </w:r>
      <w:r>
        <w:rPr>
          <w:rFonts w:ascii="Times New Roman"/>
          <w:spacing w:val="46"/>
          <w:sz w:val="19"/>
          <w:vertAlign w:val="baseline"/>
        </w:rPr>
        <w:t> </w:t>
      </w:r>
      <w:r>
        <w:rPr>
          <w:rFonts w:ascii="Times New Roman"/>
          <w:sz w:val="19"/>
          <w:vertAlign w:val="baseline"/>
        </w:rPr>
        <w:t>21</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212</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w:t>
      </w:r>
      <w:r>
        <w:rPr>
          <w:rFonts w:ascii="Times New Roman"/>
          <w:spacing w:val="-5"/>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213</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18</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244" w:lineRule="auto" w:before="94"/>
        <w:ind w:left="1540" w:right="2866"/>
      </w:pPr>
      <w:r>
        <w:rPr/>
        <w:t>which</w:t>
      </w:r>
      <w:r>
        <w:rPr>
          <w:spacing w:val="80"/>
        </w:rPr>
        <w:t> </w:t>
      </w:r>
      <w:r>
        <w:rPr/>
        <w:t>restrict</w:t>
      </w:r>
      <w:r>
        <w:rPr>
          <w:spacing w:val="80"/>
        </w:rPr>
        <w:t> </w:t>
      </w:r>
      <w:r>
        <w:rPr/>
        <w:t>participation</w:t>
      </w:r>
      <w:r>
        <w:rPr>
          <w:spacing w:val="80"/>
        </w:rPr>
        <w:t> </w:t>
      </w:r>
      <w:r>
        <w:rPr/>
        <w:t>in</w:t>
      </w:r>
      <w:r>
        <w:rPr>
          <w:spacing w:val="80"/>
        </w:rPr>
        <w:t> </w:t>
      </w:r>
      <w:r>
        <w:rPr/>
        <w:t>the</w:t>
      </w:r>
      <w:r>
        <w:rPr>
          <w:spacing w:val="80"/>
        </w:rPr>
        <w:t> </w:t>
      </w:r>
      <w:r>
        <w:rPr/>
        <w:t>life</w:t>
      </w:r>
      <w:r>
        <w:rPr>
          <w:spacing w:val="80"/>
        </w:rPr>
        <w:t> </w:t>
      </w:r>
      <w:r>
        <w:rPr/>
        <w:t>of society and includes disfigurement.</w:t>
      </w:r>
      <w:r>
        <w:rPr>
          <w:vertAlign w:val="superscript"/>
        </w:rPr>
        <w:t>214</w:t>
      </w:r>
    </w:p>
    <w:p>
      <w:pPr>
        <w:pStyle w:val="BodyText"/>
        <w:spacing w:before="10"/>
      </w:pPr>
    </w:p>
    <w:p>
      <w:pPr>
        <w:pStyle w:val="BodyText"/>
        <w:spacing w:line="489" w:lineRule="auto"/>
        <w:ind w:left="864" w:right="571"/>
        <w:jc w:val="both"/>
      </w:pPr>
      <w:r>
        <w:rPr/>
        <w:t>It suffices to say that “temporary partial disability” means a disability that does not last for a period of more than 12 months. This is because, while section 25(2) of the Act provides that payment in respect of temporary partial disability shall not be in respect of disability that lasts for more than 12 months, section 73 of the Act is to the effect that ‘permanent partial disability’ is a disability that lasts for more than 12 months.</w:t>
      </w:r>
    </w:p>
    <w:p>
      <w:pPr>
        <w:pStyle w:val="BodyText"/>
        <w:spacing w:before="11"/>
      </w:pPr>
    </w:p>
    <w:p>
      <w:pPr>
        <w:pStyle w:val="BodyText"/>
        <w:spacing w:line="489" w:lineRule="auto"/>
        <w:ind w:left="864" w:right="568"/>
        <w:jc w:val="both"/>
      </w:pPr>
      <w:r>
        <w:rPr/>
        <w:t>The use of the phrase “the Board may pay the employee...”</w:t>
      </w:r>
      <w:r>
        <w:rPr>
          <w:vertAlign w:val="superscript"/>
        </w:rPr>
        <w:t>215</w:t>
      </w:r>
      <w:r>
        <w:rPr>
          <w:vertAlign w:val="baseline"/>
        </w:rPr>
        <w:t> in the Act suggests</w:t>
      </w:r>
      <w:r>
        <w:rPr>
          <w:spacing w:val="40"/>
          <w:vertAlign w:val="baseline"/>
        </w:rPr>
        <w:t> </w:t>
      </w:r>
      <w:r>
        <w:rPr>
          <w:vertAlign w:val="baseline"/>
        </w:rPr>
        <w:t>discretion</w:t>
      </w:r>
      <w:r>
        <w:rPr>
          <w:spacing w:val="40"/>
          <w:vertAlign w:val="baseline"/>
        </w:rPr>
        <w:t> </w:t>
      </w:r>
      <w:r>
        <w:rPr>
          <w:vertAlign w:val="baseline"/>
        </w:rPr>
        <w:t>on</w:t>
      </w:r>
      <w:r>
        <w:rPr>
          <w:spacing w:val="40"/>
          <w:vertAlign w:val="baseline"/>
        </w:rPr>
        <w:t> </w:t>
      </w:r>
      <w:r>
        <w:rPr>
          <w:vertAlign w:val="baseline"/>
        </w:rPr>
        <w:t>the part</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to pay</w:t>
      </w:r>
      <w:r>
        <w:rPr>
          <w:spacing w:val="40"/>
          <w:vertAlign w:val="baseline"/>
        </w:rPr>
        <w:t> </w:t>
      </w:r>
      <w:r>
        <w:rPr>
          <w:vertAlign w:val="baseline"/>
        </w:rPr>
        <w:t>or not to pay.</w:t>
      </w:r>
      <w:r>
        <w:rPr>
          <w:spacing w:val="40"/>
          <w:vertAlign w:val="baseline"/>
        </w:rPr>
        <w:t> </w:t>
      </w:r>
      <w:r>
        <w:rPr>
          <w:vertAlign w:val="baseline"/>
        </w:rPr>
        <w:t>The Board</w:t>
      </w:r>
      <w:r>
        <w:rPr>
          <w:spacing w:val="40"/>
          <w:vertAlign w:val="baseline"/>
        </w:rPr>
        <w:t> </w:t>
      </w:r>
      <w:r>
        <w:rPr>
          <w:vertAlign w:val="baseline"/>
        </w:rPr>
        <w:t>may</w:t>
      </w:r>
      <w:r>
        <w:rPr>
          <w:spacing w:val="40"/>
          <w:vertAlign w:val="baseline"/>
        </w:rPr>
        <w:t> </w:t>
      </w:r>
      <w:r>
        <w:rPr>
          <w:vertAlign w:val="baseline"/>
        </w:rPr>
        <w:t>refuse</w:t>
      </w:r>
      <w:r>
        <w:rPr>
          <w:spacing w:val="40"/>
          <w:vertAlign w:val="baseline"/>
        </w:rPr>
        <w:t> </w:t>
      </w:r>
      <w:r>
        <w:rPr>
          <w:vertAlign w:val="baseline"/>
        </w:rPr>
        <w:t>to</w:t>
      </w:r>
      <w:r>
        <w:rPr>
          <w:spacing w:val="40"/>
          <w:vertAlign w:val="baseline"/>
        </w:rPr>
        <w:t> </w:t>
      </w:r>
      <w:r>
        <w:rPr>
          <w:vertAlign w:val="baseline"/>
        </w:rPr>
        <w:t>pay</w:t>
      </w:r>
      <w:r>
        <w:rPr>
          <w:spacing w:val="40"/>
          <w:vertAlign w:val="baseline"/>
        </w:rPr>
        <w:t> </w:t>
      </w:r>
      <w:r>
        <w:rPr>
          <w:vertAlign w:val="baseline"/>
        </w:rPr>
        <w:t>compensation</w:t>
      </w:r>
      <w:r>
        <w:rPr>
          <w:spacing w:val="40"/>
          <w:vertAlign w:val="baseline"/>
        </w:rPr>
        <w:t> </w:t>
      </w:r>
      <w:r>
        <w:rPr>
          <w:vertAlign w:val="baseline"/>
        </w:rPr>
        <w:t>for</w:t>
      </w:r>
      <w:r>
        <w:rPr>
          <w:spacing w:val="40"/>
          <w:vertAlign w:val="baseline"/>
        </w:rPr>
        <w:t> </w:t>
      </w:r>
      <w:r>
        <w:rPr>
          <w:vertAlign w:val="baseline"/>
        </w:rPr>
        <w:t>any</w:t>
      </w:r>
      <w:r>
        <w:rPr>
          <w:spacing w:val="40"/>
          <w:vertAlign w:val="baseline"/>
        </w:rPr>
        <w:t> </w:t>
      </w:r>
      <w:r>
        <w:rPr>
          <w:vertAlign w:val="baseline"/>
        </w:rPr>
        <w:t>reason.</w:t>
      </w:r>
      <w:r>
        <w:rPr>
          <w:spacing w:val="40"/>
          <w:vertAlign w:val="baseline"/>
        </w:rPr>
        <w:t> </w:t>
      </w:r>
      <w:r>
        <w:rPr>
          <w:vertAlign w:val="baseline"/>
        </w:rPr>
        <w:t>Once</w:t>
      </w:r>
      <w:r>
        <w:rPr>
          <w:spacing w:val="40"/>
          <w:vertAlign w:val="baseline"/>
        </w:rPr>
        <w:t> </w:t>
      </w:r>
      <w:r>
        <w:rPr>
          <w:vertAlign w:val="baseline"/>
        </w:rPr>
        <w:t>there</w:t>
      </w:r>
      <w:r>
        <w:rPr>
          <w:spacing w:val="40"/>
          <w:vertAlign w:val="baseline"/>
        </w:rPr>
        <w:t> </w:t>
      </w:r>
      <w:r>
        <w:rPr>
          <w:vertAlign w:val="baseline"/>
        </w:rPr>
        <w:t>is</w:t>
      </w:r>
      <w:r>
        <w:rPr>
          <w:spacing w:val="40"/>
          <w:vertAlign w:val="baseline"/>
        </w:rPr>
        <w:t> </w:t>
      </w:r>
      <w:r>
        <w:rPr>
          <w:vertAlign w:val="baseline"/>
        </w:rPr>
        <w:t>a case</w:t>
      </w:r>
      <w:r>
        <w:rPr>
          <w:spacing w:val="40"/>
          <w:vertAlign w:val="baseline"/>
        </w:rPr>
        <w:t> </w:t>
      </w:r>
      <w:r>
        <w:rPr>
          <w:vertAlign w:val="baseline"/>
        </w:rPr>
        <w:t>of</w:t>
      </w:r>
      <w:r>
        <w:rPr>
          <w:spacing w:val="40"/>
          <w:vertAlign w:val="baseline"/>
        </w:rPr>
        <w:t> </w:t>
      </w:r>
      <w:r>
        <w:rPr>
          <w:vertAlign w:val="baseline"/>
        </w:rPr>
        <w:t>temporary</w:t>
      </w:r>
      <w:r>
        <w:rPr>
          <w:spacing w:val="40"/>
          <w:vertAlign w:val="baseline"/>
        </w:rPr>
        <w:t> </w:t>
      </w:r>
      <w:r>
        <w:rPr>
          <w:vertAlign w:val="baseline"/>
        </w:rPr>
        <w:t>partial</w:t>
      </w:r>
      <w:r>
        <w:rPr>
          <w:spacing w:val="40"/>
          <w:vertAlign w:val="baseline"/>
        </w:rPr>
        <w:t> </w:t>
      </w:r>
      <w:r>
        <w:rPr>
          <w:vertAlign w:val="baseline"/>
        </w:rPr>
        <w:t>disability</w:t>
      </w:r>
      <w:r>
        <w:rPr>
          <w:spacing w:val="40"/>
          <w:vertAlign w:val="baseline"/>
        </w:rPr>
        <w:t> </w:t>
      </w:r>
      <w:r>
        <w:rPr>
          <w:vertAlign w:val="baseline"/>
        </w:rPr>
        <w:t>which</w:t>
      </w:r>
      <w:r>
        <w:rPr>
          <w:spacing w:val="40"/>
          <w:vertAlign w:val="baseline"/>
        </w:rPr>
        <w:t> </w:t>
      </w:r>
      <w:r>
        <w:rPr>
          <w:vertAlign w:val="baseline"/>
        </w:rPr>
        <w:t>is</w:t>
      </w:r>
      <w:r>
        <w:rPr>
          <w:spacing w:val="40"/>
          <w:vertAlign w:val="baseline"/>
        </w:rPr>
        <w:t> </w:t>
      </w:r>
      <w:r>
        <w:rPr>
          <w:vertAlign w:val="baseline"/>
        </w:rPr>
        <w:t>compensable</w:t>
      </w:r>
      <w:r>
        <w:rPr>
          <w:spacing w:val="40"/>
          <w:vertAlign w:val="baseline"/>
        </w:rPr>
        <w:t> </w:t>
      </w:r>
      <w:r>
        <w:rPr>
          <w:vertAlign w:val="baseline"/>
        </w:rPr>
        <w:t>under</w:t>
      </w:r>
      <w:r>
        <w:rPr>
          <w:spacing w:val="40"/>
          <w:vertAlign w:val="baseline"/>
        </w:rPr>
        <w:t> </w:t>
      </w:r>
      <w:r>
        <w:rPr>
          <w:vertAlign w:val="baseline"/>
        </w:rPr>
        <w:t>the</w:t>
      </w:r>
      <w:r>
        <w:rPr>
          <w:spacing w:val="40"/>
          <w:vertAlign w:val="baseline"/>
        </w:rPr>
        <w:t> </w:t>
      </w:r>
      <w:r>
        <w:rPr>
          <w:vertAlign w:val="baseline"/>
        </w:rPr>
        <w:t>Act, the Board should be made compulsory under the Act to pay compensation for such case.</w:t>
      </w:r>
    </w:p>
    <w:p>
      <w:pPr>
        <w:pStyle w:val="BodyText"/>
        <w:spacing w:before="10"/>
      </w:pPr>
    </w:p>
    <w:p>
      <w:pPr>
        <w:pStyle w:val="BodyText"/>
        <w:spacing w:line="489" w:lineRule="auto" w:before="1"/>
        <w:ind w:left="864" w:right="570"/>
        <w:jc w:val="both"/>
      </w:pPr>
      <w:r>
        <w:rPr/>
        <w:t>Another</w:t>
      </w:r>
      <w:r>
        <w:rPr>
          <w:spacing w:val="33"/>
        </w:rPr>
        <w:t> </w:t>
      </w:r>
      <w:r>
        <w:rPr/>
        <w:t>important</w:t>
      </w:r>
      <w:r>
        <w:rPr>
          <w:spacing w:val="25"/>
        </w:rPr>
        <w:t> </w:t>
      </w:r>
      <w:r>
        <w:rPr/>
        <w:t>point</w:t>
      </w:r>
      <w:r>
        <w:rPr>
          <w:spacing w:val="25"/>
        </w:rPr>
        <w:t> </w:t>
      </w:r>
      <w:r>
        <w:rPr/>
        <w:t>is</w:t>
      </w:r>
      <w:r>
        <w:rPr>
          <w:spacing w:val="28"/>
        </w:rPr>
        <w:t> </w:t>
      </w:r>
      <w:r>
        <w:rPr/>
        <w:t>that</w:t>
      </w:r>
      <w:r>
        <w:rPr>
          <w:spacing w:val="27"/>
        </w:rPr>
        <w:t> </w:t>
      </w:r>
      <w:r>
        <w:rPr/>
        <w:t>the</w:t>
      </w:r>
      <w:r>
        <w:rPr>
          <w:spacing w:val="33"/>
        </w:rPr>
        <w:t> </w:t>
      </w:r>
      <w:r>
        <w:rPr/>
        <w:t>Act</w:t>
      </w:r>
      <w:r>
        <w:rPr>
          <w:spacing w:val="30"/>
        </w:rPr>
        <w:t> </w:t>
      </w:r>
      <w:r>
        <w:rPr/>
        <w:t>merely</w:t>
      </w:r>
      <w:r>
        <w:rPr>
          <w:spacing w:val="25"/>
        </w:rPr>
        <w:t> </w:t>
      </w:r>
      <w:r>
        <w:rPr/>
        <w:t>says</w:t>
      </w:r>
      <w:r>
        <w:rPr>
          <w:spacing w:val="28"/>
        </w:rPr>
        <w:t> </w:t>
      </w:r>
      <w:r>
        <w:rPr/>
        <w:t>lump</w:t>
      </w:r>
      <w:r>
        <w:rPr>
          <w:spacing w:val="27"/>
        </w:rPr>
        <w:t> </w:t>
      </w:r>
      <w:r>
        <w:rPr/>
        <w:t>sum</w:t>
      </w:r>
      <w:r>
        <w:rPr>
          <w:spacing w:val="27"/>
        </w:rPr>
        <w:t> </w:t>
      </w:r>
      <w:r>
        <w:rPr/>
        <w:t>is</w:t>
      </w:r>
      <w:r>
        <w:rPr>
          <w:spacing w:val="33"/>
        </w:rPr>
        <w:t> </w:t>
      </w:r>
      <w:r>
        <w:rPr/>
        <w:t>payable, in accordance with the Second Schedule to the Act or regulations made under section 22(3) of the Act,</w:t>
      </w:r>
      <w:r>
        <w:rPr>
          <w:vertAlign w:val="superscript"/>
        </w:rPr>
        <w:t>216</w:t>
      </w:r>
      <w:r>
        <w:rPr>
          <w:vertAlign w:val="baseline"/>
        </w:rPr>
        <w:t> without giving any idea as to how much money</w:t>
      </w:r>
      <w:r>
        <w:rPr>
          <w:spacing w:val="40"/>
          <w:vertAlign w:val="baseline"/>
        </w:rPr>
        <w:t> </w:t>
      </w:r>
      <w:r>
        <w:rPr>
          <w:vertAlign w:val="baseline"/>
        </w:rPr>
        <w:t>will</w:t>
      </w:r>
      <w:r>
        <w:rPr>
          <w:spacing w:val="40"/>
          <w:vertAlign w:val="baseline"/>
        </w:rPr>
        <w:t> </w:t>
      </w:r>
      <w:r>
        <w:rPr>
          <w:vertAlign w:val="baseline"/>
        </w:rPr>
        <w:t>be</w:t>
      </w:r>
      <w:r>
        <w:rPr>
          <w:spacing w:val="38"/>
          <w:vertAlign w:val="baseline"/>
        </w:rPr>
        <w:t> </w:t>
      </w:r>
      <w:r>
        <w:rPr>
          <w:vertAlign w:val="baseline"/>
        </w:rPr>
        <w:t>paid.</w:t>
      </w:r>
      <w:r>
        <w:rPr>
          <w:spacing w:val="40"/>
          <w:vertAlign w:val="baseline"/>
        </w:rPr>
        <w:t> </w:t>
      </w:r>
      <w:r>
        <w:rPr>
          <w:vertAlign w:val="baseline"/>
        </w:rPr>
        <w:t>It</w:t>
      </w:r>
      <w:r>
        <w:rPr>
          <w:spacing w:val="40"/>
          <w:vertAlign w:val="baseline"/>
        </w:rPr>
        <w:t> </w:t>
      </w:r>
      <w:r>
        <w:rPr>
          <w:vertAlign w:val="baseline"/>
        </w:rPr>
        <w:t>is</w:t>
      </w:r>
      <w:r>
        <w:rPr>
          <w:spacing w:val="40"/>
          <w:vertAlign w:val="baseline"/>
        </w:rPr>
        <w:t> </w:t>
      </w:r>
      <w:r>
        <w:rPr>
          <w:vertAlign w:val="baseline"/>
        </w:rPr>
        <w:t>the</w:t>
      </w:r>
      <w:r>
        <w:rPr>
          <w:spacing w:val="40"/>
          <w:vertAlign w:val="baseline"/>
        </w:rPr>
        <w:t> </w:t>
      </w:r>
      <w:r>
        <w:rPr>
          <w:vertAlign w:val="baseline"/>
        </w:rPr>
        <w:t>researcher’s</w:t>
      </w:r>
      <w:r>
        <w:rPr>
          <w:spacing w:val="40"/>
          <w:vertAlign w:val="baseline"/>
        </w:rPr>
        <w:t> </w:t>
      </w:r>
      <w:r>
        <w:rPr>
          <w:vertAlign w:val="baseline"/>
        </w:rPr>
        <w:t>view</w:t>
      </w:r>
      <w:r>
        <w:rPr>
          <w:spacing w:val="40"/>
          <w:vertAlign w:val="baseline"/>
        </w:rPr>
        <w:t> </w:t>
      </w:r>
      <w:r>
        <w:rPr>
          <w:vertAlign w:val="baseline"/>
        </w:rPr>
        <w:t>that</w:t>
      </w:r>
      <w:r>
        <w:rPr>
          <w:spacing w:val="39"/>
          <w:vertAlign w:val="baseline"/>
        </w:rPr>
        <w:t> </w:t>
      </w:r>
      <w:r>
        <w:rPr>
          <w:vertAlign w:val="baseline"/>
        </w:rPr>
        <w:t>the</w:t>
      </w:r>
      <w:r>
        <w:rPr>
          <w:spacing w:val="38"/>
          <w:vertAlign w:val="baseline"/>
        </w:rPr>
        <w:t> </w:t>
      </w:r>
      <w:r>
        <w:rPr>
          <w:vertAlign w:val="baseline"/>
        </w:rPr>
        <w:t>monthly</w:t>
      </w:r>
      <w:r>
        <w:rPr>
          <w:spacing w:val="40"/>
          <w:vertAlign w:val="baseline"/>
        </w:rPr>
        <w:t> </w:t>
      </w:r>
      <w:r>
        <w:rPr>
          <w:vertAlign w:val="baseline"/>
        </w:rPr>
        <w:t>amount the disabled employee receives as remuneration and the medical expenses incurred</w:t>
      </w:r>
      <w:r>
        <w:rPr>
          <w:spacing w:val="28"/>
          <w:vertAlign w:val="baseline"/>
        </w:rPr>
        <w:t> </w:t>
      </w:r>
      <w:r>
        <w:rPr>
          <w:vertAlign w:val="baseline"/>
        </w:rPr>
        <w:t>should be the reference points in</w:t>
      </w:r>
      <w:r>
        <w:rPr>
          <w:spacing w:val="27"/>
          <w:vertAlign w:val="baseline"/>
        </w:rPr>
        <w:t> </w:t>
      </w:r>
      <w:r>
        <w:rPr>
          <w:vertAlign w:val="baseline"/>
        </w:rPr>
        <w:t>determining</w:t>
      </w:r>
      <w:r>
        <w:rPr>
          <w:spacing w:val="28"/>
          <w:vertAlign w:val="baseline"/>
        </w:rPr>
        <w:t> </w:t>
      </w:r>
      <w:r>
        <w:rPr>
          <w:vertAlign w:val="baseline"/>
        </w:rPr>
        <w:t>how</w:t>
      </w:r>
      <w:r>
        <w:rPr>
          <w:spacing w:val="27"/>
          <w:vertAlign w:val="baseline"/>
        </w:rPr>
        <w:t> </w:t>
      </w:r>
      <w:r>
        <w:rPr>
          <w:vertAlign w:val="baseline"/>
        </w:rPr>
        <w:t>much is given to</w:t>
      </w:r>
      <w:r>
        <w:rPr>
          <w:spacing w:val="12"/>
          <w:vertAlign w:val="baseline"/>
        </w:rPr>
        <w:t> </w:t>
      </w:r>
      <w:r>
        <w:rPr>
          <w:vertAlign w:val="baseline"/>
        </w:rPr>
        <w:t>such</w:t>
      </w:r>
      <w:r>
        <w:rPr>
          <w:spacing w:val="19"/>
          <w:vertAlign w:val="baseline"/>
        </w:rPr>
        <w:t> </w:t>
      </w:r>
      <w:r>
        <w:rPr>
          <w:vertAlign w:val="baseline"/>
        </w:rPr>
        <w:t>employee</w:t>
      </w:r>
      <w:r>
        <w:rPr>
          <w:spacing w:val="11"/>
          <w:vertAlign w:val="baseline"/>
        </w:rPr>
        <w:t> </w:t>
      </w:r>
      <w:r>
        <w:rPr>
          <w:vertAlign w:val="baseline"/>
        </w:rPr>
        <w:t>as</w:t>
      </w:r>
      <w:r>
        <w:rPr>
          <w:spacing w:val="11"/>
          <w:vertAlign w:val="baseline"/>
        </w:rPr>
        <w:t> </w:t>
      </w:r>
      <w:r>
        <w:rPr>
          <w:vertAlign w:val="baseline"/>
        </w:rPr>
        <w:t>a</w:t>
      </w:r>
      <w:r>
        <w:rPr>
          <w:spacing w:val="22"/>
          <w:vertAlign w:val="baseline"/>
        </w:rPr>
        <w:t> </w:t>
      </w:r>
      <w:r>
        <w:rPr>
          <w:vertAlign w:val="baseline"/>
        </w:rPr>
        <w:t>lump</w:t>
      </w:r>
      <w:r>
        <w:rPr>
          <w:spacing w:val="20"/>
          <w:vertAlign w:val="baseline"/>
        </w:rPr>
        <w:t> </w:t>
      </w:r>
      <w:r>
        <w:rPr>
          <w:vertAlign w:val="baseline"/>
        </w:rPr>
        <w:t>sum</w:t>
      </w:r>
      <w:r>
        <w:rPr>
          <w:spacing w:val="15"/>
          <w:vertAlign w:val="baseline"/>
        </w:rPr>
        <w:t> </w:t>
      </w:r>
      <w:r>
        <w:rPr>
          <w:vertAlign w:val="baseline"/>
        </w:rPr>
        <w:t>for</w:t>
      </w:r>
      <w:r>
        <w:rPr>
          <w:spacing w:val="16"/>
          <w:vertAlign w:val="baseline"/>
        </w:rPr>
        <w:t> </w:t>
      </w:r>
      <w:r>
        <w:rPr>
          <w:vertAlign w:val="baseline"/>
        </w:rPr>
        <w:t>such</w:t>
      </w:r>
      <w:r>
        <w:rPr>
          <w:spacing w:val="14"/>
          <w:vertAlign w:val="baseline"/>
        </w:rPr>
        <w:t> </w:t>
      </w:r>
      <w:r>
        <w:rPr>
          <w:vertAlign w:val="baseline"/>
        </w:rPr>
        <w:t>temporary</w:t>
      </w:r>
      <w:r>
        <w:rPr>
          <w:spacing w:val="13"/>
          <w:vertAlign w:val="baseline"/>
        </w:rPr>
        <w:t> </w:t>
      </w:r>
      <w:r>
        <w:rPr>
          <w:vertAlign w:val="baseline"/>
        </w:rPr>
        <w:t>partial</w:t>
      </w:r>
      <w:r>
        <w:rPr>
          <w:spacing w:val="14"/>
          <w:vertAlign w:val="baseline"/>
        </w:rPr>
        <w:t> </w:t>
      </w:r>
      <w:r>
        <w:rPr>
          <w:vertAlign w:val="baseline"/>
        </w:rPr>
        <w:t>disability.</w:t>
      </w:r>
      <w:r>
        <w:rPr>
          <w:spacing w:val="15"/>
          <w:vertAlign w:val="baseline"/>
        </w:rPr>
        <w:t> </w:t>
      </w:r>
      <w:r>
        <w:rPr>
          <w:spacing w:val="-5"/>
          <w:vertAlign w:val="baseline"/>
        </w:rPr>
        <w:t>The</w:t>
      </w:r>
    </w:p>
    <w:p>
      <w:pPr>
        <w:pStyle w:val="BodyText"/>
        <w:spacing w:before="6"/>
        <w:rPr>
          <w:sz w:val="11"/>
        </w:rPr>
      </w:pPr>
      <w:r>
        <w:rPr/>
        <mc:AlternateContent>
          <mc:Choice Requires="wps">
            <w:drawing>
              <wp:anchor distT="0" distB="0" distL="0" distR="0" allowOverlap="1" layoutInCell="1" locked="0" behindDoc="1" simplePos="0" relativeHeight="487628800">
                <wp:simplePos x="0" y="0"/>
                <wp:positionH relativeFrom="page">
                  <wp:posOffset>1185672</wp:posOffset>
                </wp:positionH>
                <wp:positionV relativeFrom="paragraph">
                  <wp:posOffset>103611</wp:posOffset>
                </wp:positionV>
                <wp:extent cx="1719580" cy="6350"/>
                <wp:effectExtent l="0" t="0" r="0" b="0"/>
                <wp:wrapTopAndBottom/>
                <wp:docPr id="95" name="Graphic 95"/>
                <wp:cNvGraphicFramePr>
                  <a:graphicFrameLocks/>
                </wp:cNvGraphicFramePr>
                <a:graphic>
                  <a:graphicData uri="http://schemas.microsoft.com/office/word/2010/wordprocessingShape">
                    <wps:wsp>
                      <wps:cNvPr id="95" name="Graphic 9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8.15836pt;width:135.360pt;height:.48pt;mso-position-horizontal-relative:page;mso-position-vertical-relative:paragraph;z-index:-15687680;mso-wrap-distance-left:0;mso-wrap-distance-right:0" id="docshape95"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214</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73</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215</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25(1)</w:t>
      </w:r>
      <w:r>
        <w:rPr>
          <w:rFonts w:ascii="Times New Roman"/>
          <w:spacing w:val="-8"/>
          <w:sz w:val="19"/>
          <w:vertAlign w:val="baseline"/>
        </w:rPr>
        <w:t> </w:t>
      </w:r>
      <w:r>
        <w:rPr>
          <w:rFonts w:ascii="Times New Roman"/>
          <w:i/>
          <w:spacing w:val="-4"/>
          <w:sz w:val="19"/>
          <w:vertAlign w:val="baseline"/>
        </w:rPr>
        <w:t>ibids</w:t>
      </w:r>
    </w:p>
    <w:p>
      <w:pPr>
        <w:spacing w:line="217" w:lineRule="exact" w:before="0"/>
        <w:ind w:left="187" w:right="0" w:firstLine="0"/>
        <w:jc w:val="left"/>
        <w:rPr>
          <w:rFonts w:ascii="Times New Roman"/>
          <w:i/>
          <w:sz w:val="19"/>
        </w:rPr>
      </w:pPr>
      <w:r>
        <w:rPr>
          <w:rFonts w:ascii="Times New Roman"/>
          <w:sz w:val="19"/>
          <w:vertAlign w:val="superscript"/>
        </w:rPr>
        <w:t>216</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58"/>
        <w:jc w:val="both"/>
      </w:pPr>
      <w:r>
        <w:rPr/>
        <w:t>Second Schedule does not give any idea of how much will be paid as compensation but only states some forms of disability and their corresponding degrees of severity. The Act also gives the Board, the discretion to revise or amend the Second Schedule to the Act through regulations published in the Federal Gazette.</w:t>
      </w:r>
      <w:r>
        <w:rPr>
          <w:vertAlign w:val="superscript"/>
        </w:rPr>
        <w:t>217</w:t>
      </w:r>
    </w:p>
    <w:p>
      <w:pPr>
        <w:pStyle w:val="BodyText"/>
        <w:spacing w:before="10"/>
      </w:pPr>
    </w:p>
    <w:p>
      <w:pPr>
        <w:pStyle w:val="BodyText"/>
        <w:spacing w:line="489" w:lineRule="auto"/>
        <w:ind w:left="864" w:right="563"/>
        <w:jc w:val="both"/>
      </w:pPr>
      <w:r>
        <w:rPr/>
        <w:t>Where the employee is less than 55 years at the date of the injury, compensation may be paid until he reaches 55 years of age or the Board is satisfied that the employee will retire after reaching 55 years of age or will be</w:t>
      </w:r>
      <w:r>
        <w:rPr>
          <w:spacing w:val="26"/>
        </w:rPr>
        <w:t> </w:t>
      </w:r>
      <w:r>
        <w:rPr/>
        <w:t>determined</w:t>
      </w:r>
      <w:r>
        <w:rPr>
          <w:spacing w:val="25"/>
        </w:rPr>
        <w:t> </w:t>
      </w:r>
      <w:r>
        <w:rPr/>
        <w:t>by</w:t>
      </w:r>
      <w:r>
        <w:rPr>
          <w:spacing w:val="28"/>
        </w:rPr>
        <w:t> </w:t>
      </w:r>
      <w:r>
        <w:rPr/>
        <w:t>the Board.</w:t>
      </w:r>
      <w:r>
        <w:rPr>
          <w:vertAlign w:val="superscript"/>
        </w:rPr>
        <w:t>218</w:t>
      </w:r>
      <w:r>
        <w:rPr>
          <w:vertAlign w:val="baseline"/>
        </w:rPr>
        <w:t> Where however, the</w:t>
      </w:r>
      <w:r>
        <w:rPr>
          <w:spacing w:val="27"/>
          <w:vertAlign w:val="baseline"/>
        </w:rPr>
        <w:t> </w:t>
      </w:r>
      <w:r>
        <w:rPr>
          <w:vertAlign w:val="baseline"/>
        </w:rPr>
        <w:t>employee is</w:t>
      </w:r>
      <w:r>
        <w:rPr>
          <w:spacing w:val="26"/>
          <w:vertAlign w:val="baseline"/>
        </w:rPr>
        <w:t> </w:t>
      </w:r>
      <w:r>
        <w:rPr>
          <w:vertAlign w:val="baseline"/>
        </w:rPr>
        <w:t>55</w:t>
      </w:r>
      <w:r>
        <w:rPr>
          <w:spacing w:val="26"/>
          <w:vertAlign w:val="baseline"/>
        </w:rPr>
        <w:t> </w:t>
      </w:r>
      <w:r>
        <w:rPr>
          <w:vertAlign w:val="baseline"/>
        </w:rPr>
        <w:t>years of age or older on the date of the injury, compensation may be paid until 2 years</w:t>
      </w:r>
      <w:r>
        <w:rPr>
          <w:spacing w:val="36"/>
          <w:vertAlign w:val="baseline"/>
        </w:rPr>
        <w:t> </w:t>
      </w:r>
      <w:r>
        <w:rPr>
          <w:vertAlign w:val="baseline"/>
        </w:rPr>
        <w:t>after</w:t>
      </w:r>
      <w:r>
        <w:rPr>
          <w:spacing w:val="37"/>
          <w:vertAlign w:val="baseline"/>
        </w:rPr>
        <w:t> </w:t>
      </w:r>
      <w:r>
        <w:rPr>
          <w:vertAlign w:val="baseline"/>
        </w:rPr>
        <w:t>the</w:t>
      </w:r>
      <w:r>
        <w:rPr>
          <w:spacing w:val="37"/>
          <w:vertAlign w:val="baseline"/>
        </w:rPr>
        <w:t> </w:t>
      </w:r>
      <w:r>
        <w:rPr>
          <w:vertAlign w:val="baseline"/>
        </w:rPr>
        <w:t>date</w:t>
      </w:r>
      <w:r>
        <w:rPr>
          <w:spacing w:val="37"/>
          <w:vertAlign w:val="baseline"/>
        </w:rPr>
        <w:t> </w:t>
      </w:r>
      <w:r>
        <w:rPr>
          <w:vertAlign w:val="baseline"/>
        </w:rPr>
        <w:t>of</w:t>
      </w:r>
      <w:r>
        <w:rPr>
          <w:spacing w:val="37"/>
          <w:vertAlign w:val="baseline"/>
        </w:rPr>
        <w:t> </w:t>
      </w:r>
      <w:r>
        <w:rPr>
          <w:vertAlign w:val="baseline"/>
        </w:rPr>
        <w:t>injury</w:t>
      </w:r>
      <w:r>
        <w:rPr>
          <w:spacing w:val="39"/>
          <w:vertAlign w:val="baseline"/>
        </w:rPr>
        <w:t> </w:t>
      </w:r>
      <w:r>
        <w:rPr>
          <w:vertAlign w:val="baseline"/>
        </w:rPr>
        <w:t>or</w:t>
      </w:r>
      <w:r>
        <w:rPr>
          <w:spacing w:val="40"/>
          <w:vertAlign w:val="baseline"/>
        </w:rPr>
        <w:t> </w:t>
      </w:r>
      <w:r>
        <w:rPr>
          <w:vertAlign w:val="baseline"/>
        </w:rPr>
        <w:t>the</w:t>
      </w:r>
      <w:r>
        <w:rPr>
          <w:spacing w:val="37"/>
          <w:vertAlign w:val="baseline"/>
        </w:rPr>
        <w:t> </w:t>
      </w:r>
      <w:r>
        <w:rPr>
          <w:vertAlign w:val="baseline"/>
        </w:rPr>
        <w:t>date</w:t>
      </w:r>
      <w:r>
        <w:rPr>
          <w:spacing w:val="40"/>
          <w:vertAlign w:val="baseline"/>
        </w:rPr>
        <w:t> </w:t>
      </w:r>
      <w:r>
        <w:rPr>
          <w:vertAlign w:val="baseline"/>
        </w:rPr>
        <w:t>the</w:t>
      </w:r>
      <w:r>
        <w:rPr>
          <w:spacing w:val="80"/>
          <w:vertAlign w:val="baseline"/>
        </w:rPr>
        <w:t> </w:t>
      </w:r>
      <w:r>
        <w:rPr>
          <w:vertAlign w:val="baseline"/>
        </w:rPr>
        <w:t>employee</w:t>
      </w:r>
      <w:r>
        <w:rPr>
          <w:spacing w:val="40"/>
          <w:vertAlign w:val="baseline"/>
        </w:rPr>
        <w:t> </w:t>
      </w:r>
      <w:r>
        <w:rPr>
          <w:vertAlign w:val="baseline"/>
        </w:rPr>
        <w:t>would</w:t>
      </w:r>
      <w:r>
        <w:rPr>
          <w:spacing w:val="40"/>
          <w:vertAlign w:val="baseline"/>
        </w:rPr>
        <w:t> </w:t>
      </w:r>
      <w:r>
        <w:rPr>
          <w:vertAlign w:val="baseline"/>
        </w:rPr>
        <w:t>retire</w:t>
      </w:r>
      <w:r>
        <w:rPr>
          <w:spacing w:val="40"/>
          <w:vertAlign w:val="baseline"/>
        </w:rPr>
        <w:t> </w:t>
      </w:r>
      <w:r>
        <w:rPr>
          <w:vertAlign w:val="baseline"/>
        </w:rPr>
        <w:t>as may</w:t>
      </w:r>
      <w:r>
        <w:rPr>
          <w:spacing w:val="40"/>
          <w:vertAlign w:val="baseline"/>
        </w:rPr>
        <w:t> </w:t>
      </w:r>
      <w:r>
        <w:rPr>
          <w:vertAlign w:val="baseline"/>
        </w:rPr>
        <w:t>be</w:t>
      </w:r>
      <w:r>
        <w:rPr>
          <w:spacing w:val="40"/>
          <w:vertAlign w:val="baseline"/>
        </w:rPr>
        <w:t> </w:t>
      </w:r>
      <w:r>
        <w:rPr>
          <w:vertAlign w:val="baseline"/>
        </w:rPr>
        <w:t>determined</w:t>
      </w:r>
      <w:r>
        <w:rPr>
          <w:spacing w:val="40"/>
          <w:vertAlign w:val="baseline"/>
        </w:rPr>
        <w:t> </w:t>
      </w:r>
      <w:r>
        <w:rPr>
          <w:vertAlign w:val="baseline"/>
        </w:rPr>
        <w:t>by</w:t>
      </w:r>
      <w:r>
        <w:rPr>
          <w:spacing w:val="40"/>
          <w:vertAlign w:val="baseline"/>
        </w:rPr>
        <w:t> </w:t>
      </w:r>
      <w:r>
        <w:rPr>
          <w:vertAlign w:val="baseline"/>
        </w:rPr>
        <w:t>the</w:t>
      </w:r>
      <w:r>
        <w:rPr>
          <w:spacing w:val="40"/>
          <w:vertAlign w:val="baseline"/>
        </w:rPr>
        <w:t> </w:t>
      </w:r>
      <w:r>
        <w:rPr>
          <w:vertAlign w:val="baseline"/>
        </w:rPr>
        <w:t>Act.</w:t>
      </w:r>
      <w:r>
        <w:rPr>
          <w:vertAlign w:val="superscript"/>
        </w:rPr>
        <w:t>219</w:t>
      </w:r>
      <w:r>
        <w:rPr>
          <w:spacing w:val="40"/>
          <w:vertAlign w:val="baseline"/>
        </w:rPr>
        <w:t> </w:t>
      </w:r>
      <w:r>
        <w:rPr>
          <w:vertAlign w:val="baseline"/>
        </w:rPr>
        <w:t>It</w:t>
      </w:r>
      <w:r>
        <w:rPr>
          <w:spacing w:val="40"/>
          <w:vertAlign w:val="baseline"/>
        </w:rPr>
        <w:t> </w:t>
      </w:r>
      <w:r>
        <w:rPr>
          <w:vertAlign w:val="baseline"/>
        </w:rPr>
        <w:t>is</w:t>
      </w:r>
      <w:r>
        <w:rPr>
          <w:spacing w:val="40"/>
          <w:vertAlign w:val="baseline"/>
        </w:rPr>
        <w:t> </w:t>
      </w:r>
      <w:r>
        <w:rPr>
          <w:vertAlign w:val="baseline"/>
        </w:rPr>
        <w:t>the</w:t>
      </w:r>
      <w:r>
        <w:rPr>
          <w:spacing w:val="40"/>
          <w:vertAlign w:val="baseline"/>
        </w:rPr>
        <w:t> </w:t>
      </w:r>
      <w:r>
        <w:rPr>
          <w:vertAlign w:val="baseline"/>
        </w:rPr>
        <w:t>view</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writer</w:t>
      </w:r>
      <w:r>
        <w:rPr>
          <w:spacing w:val="40"/>
          <w:vertAlign w:val="baseline"/>
        </w:rPr>
        <w:t> </w:t>
      </w:r>
      <w:r>
        <w:rPr>
          <w:vertAlign w:val="baseline"/>
        </w:rPr>
        <w:t>that</w:t>
      </w:r>
      <w:r>
        <w:rPr>
          <w:spacing w:val="40"/>
          <w:vertAlign w:val="baseline"/>
        </w:rPr>
        <w:t> </w:t>
      </w:r>
      <w:r>
        <w:rPr>
          <w:vertAlign w:val="baseline"/>
        </w:rPr>
        <w:t>the period for payment of compensation should not be at the discretion of the Board.</w:t>
      </w:r>
      <w:r>
        <w:rPr>
          <w:spacing w:val="32"/>
          <w:vertAlign w:val="baseline"/>
        </w:rPr>
        <w:t> </w:t>
      </w:r>
      <w:r>
        <w:rPr>
          <w:vertAlign w:val="baseline"/>
        </w:rPr>
        <w:t>The Act uses “may be paid” making it discretionary on the part of</w:t>
      </w:r>
      <w:r>
        <w:rPr>
          <w:spacing w:val="40"/>
          <w:vertAlign w:val="baseline"/>
        </w:rPr>
        <w:t> </w:t>
      </w:r>
      <w:r>
        <w:rPr>
          <w:vertAlign w:val="baseline"/>
        </w:rPr>
        <w:t>the</w:t>
      </w:r>
      <w:r>
        <w:rPr>
          <w:spacing w:val="26"/>
          <w:vertAlign w:val="baseline"/>
        </w:rPr>
        <w:t> </w:t>
      </w:r>
      <w:r>
        <w:rPr>
          <w:vertAlign w:val="baseline"/>
        </w:rPr>
        <w:t>Board</w:t>
      </w:r>
      <w:r>
        <w:rPr>
          <w:spacing w:val="29"/>
          <w:vertAlign w:val="baseline"/>
        </w:rPr>
        <w:t> </w:t>
      </w:r>
      <w:r>
        <w:rPr>
          <w:vertAlign w:val="baseline"/>
        </w:rPr>
        <w:t>to</w:t>
      </w:r>
      <w:r>
        <w:rPr>
          <w:spacing w:val="27"/>
          <w:vertAlign w:val="baseline"/>
        </w:rPr>
        <w:t> </w:t>
      </w:r>
      <w:r>
        <w:rPr>
          <w:vertAlign w:val="baseline"/>
        </w:rPr>
        <w:t>keep</w:t>
      </w:r>
      <w:r>
        <w:rPr>
          <w:spacing w:val="29"/>
          <w:vertAlign w:val="baseline"/>
        </w:rPr>
        <w:t> </w:t>
      </w:r>
      <w:r>
        <w:rPr>
          <w:vertAlign w:val="baseline"/>
        </w:rPr>
        <w:t>to</w:t>
      </w:r>
      <w:r>
        <w:rPr>
          <w:spacing w:val="27"/>
          <w:vertAlign w:val="baseline"/>
        </w:rPr>
        <w:t> </w:t>
      </w:r>
      <w:r>
        <w:rPr>
          <w:vertAlign w:val="baseline"/>
        </w:rPr>
        <w:t>it.</w:t>
      </w:r>
      <w:r>
        <w:rPr>
          <w:spacing w:val="26"/>
          <w:vertAlign w:val="baseline"/>
        </w:rPr>
        <w:t> </w:t>
      </w:r>
      <w:r>
        <w:rPr>
          <w:vertAlign w:val="baseline"/>
        </w:rPr>
        <w:t>It</w:t>
      </w:r>
      <w:r>
        <w:rPr>
          <w:spacing w:val="28"/>
          <w:vertAlign w:val="baseline"/>
        </w:rPr>
        <w:t> </w:t>
      </w:r>
      <w:r>
        <w:rPr>
          <w:vertAlign w:val="baseline"/>
        </w:rPr>
        <w:t>is</w:t>
      </w:r>
      <w:r>
        <w:rPr>
          <w:spacing w:val="30"/>
          <w:vertAlign w:val="baseline"/>
        </w:rPr>
        <w:t> </w:t>
      </w:r>
      <w:r>
        <w:rPr>
          <w:vertAlign w:val="baseline"/>
        </w:rPr>
        <w:t>neater</w:t>
      </w:r>
      <w:r>
        <w:rPr>
          <w:spacing w:val="27"/>
          <w:vertAlign w:val="baseline"/>
        </w:rPr>
        <w:t> </w:t>
      </w:r>
      <w:r>
        <w:rPr>
          <w:vertAlign w:val="baseline"/>
        </w:rPr>
        <w:t>if</w:t>
      </w:r>
      <w:r>
        <w:rPr>
          <w:spacing w:val="27"/>
          <w:vertAlign w:val="baseline"/>
        </w:rPr>
        <w:t> </w:t>
      </w:r>
      <w:r>
        <w:rPr>
          <w:vertAlign w:val="baseline"/>
        </w:rPr>
        <w:t>the</w:t>
      </w:r>
      <w:r>
        <w:rPr>
          <w:spacing w:val="26"/>
          <w:vertAlign w:val="baseline"/>
        </w:rPr>
        <w:t> </w:t>
      </w:r>
      <w:r>
        <w:rPr>
          <w:vertAlign w:val="baseline"/>
        </w:rPr>
        <w:t>word</w:t>
      </w:r>
      <w:r>
        <w:rPr>
          <w:spacing w:val="29"/>
          <w:vertAlign w:val="baseline"/>
        </w:rPr>
        <w:t> </w:t>
      </w:r>
      <w:r>
        <w:rPr>
          <w:vertAlign w:val="baseline"/>
        </w:rPr>
        <w:t>‘shall,”</w:t>
      </w:r>
      <w:r>
        <w:rPr>
          <w:spacing w:val="27"/>
          <w:vertAlign w:val="baseline"/>
        </w:rPr>
        <w:t> </w:t>
      </w:r>
      <w:r>
        <w:rPr>
          <w:vertAlign w:val="baseline"/>
        </w:rPr>
        <w:t>replaces</w:t>
      </w:r>
      <w:r>
        <w:rPr>
          <w:spacing w:val="30"/>
          <w:vertAlign w:val="baseline"/>
        </w:rPr>
        <w:t> </w:t>
      </w:r>
      <w:r>
        <w:rPr>
          <w:vertAlign w:val="baseline"/>
        </w:rPr>
        <w:t>“may”</w:t>
      </w:r>
      <w:r>
        <w:rPr>
          <w:spacing w:val="27"/>
          <w:vertAlign w:val="baseline"/>
        </w:rPr>
        <w:t> </w:t>
      </w:r>
      <w:r>
        <w:rPr>
          <w:vertAlign w:val="baseline"/>
        </w:rPr>
        <w:t>so as to make it an obligation on the Board to keep to the statutory period.</w:t>
      </w:r>
    </w:p>
    <w:p>
      <w:pPr>
        <w:pStyle w:val="BodyText"/>
        <w:spacing w:line="491" w:lineRule="auto" w:before="11"/>
        <w:ind w:left="864" w:right="565"/>
        <w:jc w:val="both"/>
      </w:pPr>
      <w:r>
        <w:rPr/>
        <w:t>An</w:t>
      </w:r>
      <w:r>
        <w:rPr>
          <w:spacing w:val="40"/>
        </w:rPr>
        <w:t> </w:t>
      </w:r>
      <w:r>
        <w:rPr/>
        <w:t>employee</w:t>
      </w:r>
      <w:r>
        <w:rPr>
          <w:spacing w:val="40"/>
        </w:rPr>
        <w:t> </w:t>
      </w:r>
      <w:r>
        <w:rPr/>
        <w:t>may</w:t>
      </w:r>
      <w:r>
        <w:rPr>
          <w:spacing w:val="40"/>
        </w:rPr>
        <w:t> </w:t>
      </w:r>
      <w:r>
        <w:rPr/>
        <w:t>apply</w:t>
      </w:r>
      <w:r>
        <w:rPr>
          <w:spacing w:val="40"/>
        </w:rPr>
        <w:t> </w:t>
      </w:r>
      <w:r>
        <w:rPr/>
        <w:t>to</w:t>
      </w:r>
      <w:r>
        <w:rPr>
          <w:spacing w:val="40"/>
        </w:rPr>
        <w:t> </w:t>
      </w:r>
      <w:r>
        <w:rPr/>
        <w:t>the</w:t>
      </w:r>
      <w:r>
        <w:rPr>
          <w:spacing w:val="40"/>
        </w:rPr>
        <w:t> </w:t>
      </w:r>
      <w:r>
        <w:rPr/>
        <w:t>Board</w:t>
      </w:r>
      <w:r>
        <w:rPr>
          <w:spacing w:val="40"/>
        </w:rPr>
        <w:t> </w:t>
      </w:r>
      <w:r>
        <w:rPr/>
        <w:t>for</w:t>
      </w:r>
      <w:r>
        <w:rPr>
          <w:spacing w:val="40"/>
        </w:rPr>
        <w:t> </w:t>
      </w:r>
      <w:r>
        <w:rPr/>
        <w:t>an</w:t>
      </w:r>
      <w:r>
        <w:rPr>
          <w:spacing w:val="40"/>
        </w:rPr>
        <w:t> </w:t>
      </w:r>
      <w:r>
        <w:rPr/>
        <w:t>amount</w:t>
      </w:r>
      <w:r>
        <w:rPr>
          <w:spacing w:val="40"/>
        </w:rPr>
        <w:t> </w:t>
      </w:r>
      <w:r>
        <w:rPr/>
        <w:t>not</w:t>
      </w:r>
      <w:r>
        <w:rPr>
          <w:spacing w:val="40"/>
        </w:rPr>
        <w:t> </w:t>
      </w:r>
      <w:r>
        <w:rPr/>
        <w:t>less</w:t>
      </w:r>
      <w:r>
        <w:rPr>
          <w:spacing w:val="40"/>
        </w:rPr>
        <w:t> </w:t>
      </w:r>
      <w:r>
        <w:rPr/>
        <w:t>than</w:t>
      </w:r>
      <w:r>
        <w:rPr>
          <w:spacing w:val="40"/>
        </w:rPr>
        <w:t> </w:t>
      </w:r>
      <w:r>
        <w:rPr/>
        <w:t>1 percent and not greater than 7.5 percent of the compensation to be</w:t>
      </w:r>
      <w:r>
        <w:rPr>
          <w:spacing w:val="40"/>
        </w:rPr>
        <w:t> </w:t>
      </w:r>
      <w:r>
        <w:rPr/>
        <w:t>remitted to the retirement savings account pursuant to Pension Reform Act.</w:t>
      </w:r>
      <w:r>
        <w:rPr>
          <w:vertAlign w:val="superscript"/>
        </w:rPr>
        <w:t>220</w:t>
      </w:r>
      <w:r>
        <w:rPr>
          <w:vertAlign w:val="baseline"/>
        </w:rPr>
        <w:t> This is at the discretion of the employee.</w:t>
      </w:r>
    </w:p>
    <w:p>
      <w:pPr>
        <w:pStyle w:val="BodyText"/>
        <w:spacing w:before="236"/>
        <w:rPr>
          <w:sz w:val="20"/>
        </w:rPr>
      </w:pPr>
      <w:r>
        <w:rPr/>
        <mc:AlternateContent>
          <mc:Choice Requires="wps">
            <w:drawing>
              <wp:anchor distT="0" distB="0" distL="0" distR="0" allowOverlap="1" layoutInCell="1" locked="0" behindDoc="1" simplePos="0" relativeHeight="487629312">
                <wp:simplePos x="0" y="0"/>
                <wp:positionH relativeFrom="page">
                  <wp:posOffset>1185672</wp:posOffset>
                </wp:positionH>
                <wp:positionV relativeFrom="paragraph">
                  <wp:posOffset>318958</wp:posOffset>
                </wp:positionV>
                <wp:extent cx="1719580" cy="3175"/>
                <wp:effectExtent l="0" t="0" r="0" b="0"/>
                <wp:wrapTopAndBottom/>
                <wp:docPr id="96" name="Graphic 96"/>
                <wp:cNvGraphicFramePr>
                  <a:graphicFrameLocks/>
                </wp:cNvGraphicFramePr>
                <a:graphic>
                  <a:graphicData uri="http://schemas.microsoft.com/office/word/2010/wordprocessingShape">
                    <wps:wsp>
                      <wps:cNvPr id="96" name="Graphic 96"/>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5.114843pt;width:135.360pt;height:.24pt;mso-position-horizontal-relative:page;mso-position-vertical-relative:paragraph;z-index:-15687168;mso-wrap-distance-left:0;mso-wrap-distance-right:0" id="docshape96"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217</w:t>
      </w:r>
      <w:r>
        <w:rPr>
          <w:rFonts w:ascii="Times New Roman"/>
          <w:spacing w:val="-6"/>
          <w:sz w:val="19"/>
          <w:vertAlign w:val="baseline"/>
        </w:rPr>
        <w:t> </w:t>
      </w:r>
      <w:r>
        <w:rPr>
          <w:rFonts w:ascii="Times New Roman"/>
          <w:sz w:val="19"/>
          <w:vertAlign w:val="baseline"/>
        </w:rPr>
        <w:t>Section</w:t>
      </w:r>
      <w:r>
        <w:rPr>
          <w:rFonts w:ascii="Times New Roman"/>
          <w:spacing w:val="-4"/>
          <w:sz w:val="19"/>
          <w:vertAlign w:val="baseline"/>
        </w:rPr>
        <w:t> </w:t>
      </w:r>
      <w:r>
        <w:rPr>
          <w:rFonts w:ascii="Times New Roman"/>
          <w:sz w:val="19"/>
          <w:vertAlign w:val="baseline"/>
        </w:rPr>
        <w:t>231(b</w:t>
      </w:r>
      <w:r>
        <w:rPr>
          <w:rFonts w:ascii="Times New Roman"/>
          <w:i/>
          <w:sz w:val="19"/>
          <w:vertAlign w:val="baseline"/>
        </w:rPr>
        <w:t>)</w:t>
      </w:r>
      <w:r>
        <w:rPr>
          <w:rFonts w:ascii="Times New Roman"/>
          <w:i/>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218</w:t>
      </w:r>
      <w:r>
        <w:rPr>
          <w:rFonts w:ascii="Times New Roman"/>
          <w:spacing w:val="-5"/>
          <w:sz w:val="19"/>
          <w:vertAlign w:val="baseline"/>
        </w:rPr>
        <w:t> </w:t>
      </w:r>
      <w:r>
        <w:rPr>
          <w:rFonts w:ascii="Times New Roman"/>
          <w:sz w:val="19"/>
          <w:vertAlign w:val="baseline"/>
        </w:rPr>
        <w:t>Section</w:t>
      </w:r>
      <w:r>
        <w:rPr>
          <w:rFonts w:ascii="Times New Roman"/>
          <w:spacing w:val="-5"/>
          <w:sz w:val="19"/>
          <w:vertAlign w:val="baseline"/>
        </w:rPr>
        <w:t> </w:t>
      </w:r>
      <w:r>
        <w:rPr>
          <w:rFonts w:ascii="Times New Roman"/>
          <w:sz w:val="19"/>
          <w:vertAlign w:val="baseline"/>
        </w:rPr>
        <w:t>23(1)(a</w:t>
      </w:r>
      <w:r>
        <w:rPr>
          <w:rFonts w:ascii="Times New Roman"/>
          <w:i/>
          <w:sz w:val="19"/>
          <w:vertAlign w:val="baseline"/>
        </w:rPr>
        <w:t>)</w:t>
      </w:r>
      <w:r>
        <w:rPr>
          <w:rFonts w:ascii="Times New Roman"/>
          <w:i/>
          <w:spacing w:val="-10"/>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219</w:t>
      </w:r>
      <w:r>
        <w:rPr>
          <w:rFonts w:ascii="Times New Roman"/>
          <w:spacing w:val="-4"/>
          <w:sz w:val="19"/>
          <w:vertAlign w:val="baseline"/>
        </w:rPr>
        <w:t> </w:t>
      </w:r>
      <w:r>
        <w:rPr>
          <w:rFonts w:ascii="Times New Roman"/>
          <w:sz w:val="19"/>
          <w:vertAlign w:val="baseline"/>
        </w:rPr>
        <w:t>Section</w:t>
      </w:r>
      <w:r>
        <w:rPr>
          <w:rFonts w:ascii="Times New Roman"/>
          <w:spacing w:val="-4"/>
          <w:sz w:val="19"/>
          <w:vertAlign w:val="baseline"/>
        </w:rPr>
        <w:t> </w:t>
      </w:r>
      <w:r>
        <w:rPr>
          <w:rFonts w:ascii="Times New Roman"/>
          <w:sz w:val="19"/>
          <w:vertAlign w:val="baseline"/>
        </w:rPr>
        <w:t>23</w:t>
      </w:r>
      <w:r>
        <w:rPr>
          <w:rFonts w:ascii="Times New Roman"/>
          <w:spacing w:val="-4"/>
          <w:sz w:val="19"/>
          <w:vertAlign w:val="baseline"/>
        </w:rPr>
        <w:t> </w:t>
      </w:r>
      <w:r>
        <w:rPr>
          <w:rFonts w:ascii="Times New Roman"/>
          <w:sz w:val="19"/>
          <w:vertAlign w:val="baseline"/>
        </w:rPr>
        <w:t>(1)(b)</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220</w:t>
      </w:r>
      <w:r>
        <w:rPr>
          <w:rFonts w:ascii="Times New Roman"/>
          <w:spacing w:val="-2"/>
          <w:sz w:val="19"/>
          <w:vertAlign w:val="baseline"/>
        </w:rPr>
        <w:t> </w:t>
      </w:r>
      <w:r>
        <w:rPr>
          <w:rFonts w:ascii="Times New Roman"/>
          <w:sz w:val="19"/>
          <w:vertAlign w:val="baseline"/>
        </w:rPr>
        <w:t>Sections</w:t>
      </w:r>
      <w:r>
        <w:rPr>
          <w:rFonts w:ascii="Times New Roman"/>
          <w:spacing w:val="-4"/>
          <w:sz w:val="19"/>
          <w:vertAlign w:val="baseline"/>
        </w:rPr>
        <w:t> </w:t>
      </w:r>
      <w:r>
        <w:rPr>
          <w:rFonts w:ascii="Times New Roman"/>
          <w:sz w:val="19"/>
          <w:vertAlign w:val="baseline"/>
        </w:rPr>
        <w:t>28(4)</w:t>
      </w:r>
      <w:r>
        <w:rPr>
          <w:rFonts w:ascii="Times New Roman"/>
          <w:spacing w:val="-8"/>
          <w:sz w:val="19"/>
          <w:vertAlign w:val="baseline"/>
        </w:rPr>
        <w:t> </w:t>
      </w:r>
      <w:r>
        <w:rPr>
          <w:rFonts w:ascii="Times New Roman"/>
          <w:sz w:val="19"/>
          <w:vertAlign w:val="baseline"/>
        </w:rPr>
        <w:t>and</w:t>
      </w:r>
      <w:r>
        <w:rPr>
          <w:rFonts w:ascii="Times New Roman"/>
          <w:spacing w:val="-9"/>
          <w:sz w:val="19"/>
          <w:vertAlign w:val="baseline"/>
        </w:rPr>
        <w:t> </w:t>
      </w:r>
      <w:r>
        <w:rPr>
          <w:rFonts w:ascii="Times New Roman"/>
          <w:spacing w:val="-2"/>
          <w:sz w:val="19"/>
          <w:vertAlign w:val="baseline"/>
        </w:rPr>
        <w:t>25(1)</w:t>
      </w:r>
      <w:r>
        <w:rPr>
          <w:rFonts w:ascii="Times New Roman"/>
          <w:i/>
          <w:spacing w:val="-2"/>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Heading3"/>
        <w:numPr>
          <w:ilvl w:val="2"/>
          <w:numId w:val="13"/>
        </w:numPr>
        <w:tabs>
          <w:tab w:pos="841" w:val="left" w:leader="none"/>
        </w:tabs>
        <w:spacing w:line="240" w:lineRule="auto" w:before="78" w:after="0"/>
        <w:ind w:left="841" w:right="0" w:hanging="654"/>
        <w:jc w:val="left"/>
      </w:pPr>
      <w:bookmarkStart w:name="_TOC_250013" w:id="17"/>
      <w:r>
        <w:rPr/>
        <w:t>Scale</w:t>
      </w:r>
      <w:r>
        <w:rPr>
          <w:spacing w:val="8"/>
        </w:rPr>
        <w:t> </w:t>
      </w:r>
      <w:r>
        <w:rPr/>
        <w:t>of</w:t>
      </w:r>
      <w:r>
        <w:rPr>
          <w:spacing w:val="11"/>
        </w:rPr>
        <w:t> </w:t>
      </w:r>
      <w:r>
        <w:rPr/>
        <w:t>Compensation</w:t>
      </w:r>
      <w:r>
        <w:rPr>
          <w:spacing w:val="13"/>
        </w:rPr>
        <w:t> </w:t>
      </w:r>
      <w:r>
        <w:rPr/>
        <w:t>for</w:t>
      </w:r>
      <w:r>
        <w:rPr>
          <w:spacing w:val="13"/>
        </w:rPr>
        <w:t> </w:t>
      </w:r>
      <w:r>
        <w:rPr/>
        <w:t>Temporary</w:t>
      </w:r>
      <w:r>
        <w:rPr>
          <w:spacing w:val="8"/>
        </w:rPr>
        <w:t> </w:t>
      </w:r>
      <w:r>
        <w:rPr/>
        <w:t>Total</w:t>
      </w:r>
      <w:r>
        <w:rPr>
          <w:spacing w:val="11"/>
        </w:rPr>
        <w:t> </w:t>
      </w:r>
      <w:bookmarkEnd w:id="17"/>
      <w:r>
        <w:rPr>
          <w:spacing w:val="-2"/>
        </w:rPr>
        <w:t>Disability</w:t>
      </w:r>
    </w:p>
    <w:p>
      <w:pPr>
        <w:pStyle w:val="BodyText"/>
        <w:spacing w:line="491" w:lineRule="auto" w:before="140"/>
        <w:ind w:left="864" w:right="123"/>
      </w:pPr>
      <w:r>
        <w:rPr/>
        <w:t>Te}x□rary</w:t>
      </w:r>
      <w:r>
        <w:rPr>
          <w:spacing w:val="35"/>
        </w:rPr>
        <w:t> </w:t>
      </w:r>
      <w:r>
        <w:rPr/>
        <w:t>total</w:t>
      </w:r>
      <w:r>
        <w:rPr>
          <w:spacing w:val="36"/>
        </w:rPr>
        <w:t> </w:t>
      </w:r>
      <w:r>
        <w:rPr/>
        <w:t>disability</w:t>
      </w:r>
      <w:r>
        <w:rPr>
          <w:spacing w:val="35"/>
        </w:rPr>
        <w:t> </w:t>
      </w:r>
      <w:r>
        <w:rPr/>
        <w:t>and</w:t>
      </w:r>
      <w:r>
        <w:rPr>
          <w:spacing w:val="37"/>
        </w:rPr>
        <w:t> </w:t>
      </w:r>
      <w:r>
        <w:rPr/>
        <w:t>temporary</w:t>
      </w:r>
      <w:r>
        <w:rPr>
          <w:spacing w:val="40"/>
        </w:rPr>
        <w:t> </w:t>
      </w:r>
      <w:r>
        <w:rPr/>
        <w:t>partial</w:t>
      </w:r>
      <w:r>
        <w:rPr>
          <w:spacing w:val="36"/>
        </w:rPr>
        <w:t> </w:t>
      </w:r>
      <w:r>
        <w:rPr/>
        <w:t>disability</w:t>
      </w:r>
      <w:r>
        <w:rPr>
          <w:spacing w:val="40"/>
        </w:rPr>
        <w:t> </w:t>
      </w:r>
      <w:r>
        <w:rPr/>
        <w:t>are</w:t>
      </w:r>
      <w:r>
        <w:rPr>
          <w:spacing w:val="34"/>
        </w:rPr>
        <w:t> </w:t>
      </w:r>
      <w:r>
        <w:rPr/>
        <w:t>of</w:t>
      </w:r>
      <w:r>
        <w:rPr>
          <w:spacing w:val="40"/>
        </w:rPr>
        <w:t> </w:t>
      </w:r>
      <w:r>
        <w:rPr/>
        <w:t>the</w:t>
      </w:r>
      <w:r>
        <w:rPr>
          <w:spacing w:val="38"/>
        </w:rPr>
        <w:t> </w:t>
      </w:r>
      <w:r>
        <w:rPr/>
        <w:t>same family. This is because they have similar provisions for compensation.</w:t>
      </w:r>
      <w:r>
        <w:rPr>
          <w:vertAlign w:val="superscript"/>
        </w:rPr>
        <w:t>221</w:t>
      </w:r>
      <w:r>
        <w:rPr>
          <w:vertAlign w:val="baseline"/>
        </w:rPr>
        <w:t> Temporary</w:t>
      </w:r>
      <w:r>
        <w:rPr>
          <w:spacing w:val="31"/>
          <w:vertAlign w:val="baseline"/>
        </w:rPr>
        <w:t> </w:t>
      </w:r>
      <w:r>
        <w:rPr>
          <w:vertAlign w:val="baseline"/>
        </w:rPr>
        <w:t>total</w:t>
      </w:r>
      <w:r>
        <w:rPr>
          <w:spacing w:val="37"/>
          <w:vertAlign w:val="baseline"/>
        </w:rPr>
        <w:t> </w:t>
      </w:r>
      <w:r>
        <w:rPr>
          <w:vertAlign w:val="baseline"/>
        </w:rPr>
        <w:t>disability</w:t>
      </w:r>
      <w:r>
        <w:rPr>
          <w:spacing w:val="31"/>
          <w:vertAlign w:val="baseline"/>
        </w:rPr>
        <w:t> </w:t>
      </w:r>
      <w:r>
        <w:rPr>
          <w:vertAlign w:val="baseline"/>
        </w:rPr>
        <w:t>is</w:t>
      </w:r>
      <w:r>
        <w:rPr>
          <w:spacing w:val="38"/>
          <w:vertAlign w:val="baseline"/>
        </w:rPr>
        <w:t> </w:t>
      </w:r>
      <w:r>
        <w:rPr>
          <w:vertAlign w:val="baseline"/>
        </w:rPr>
        <w:t>principally</w:t>
      </w:r>
      <w:r>
        <w:rPr>
          <w:spacing w:val="36"/>
          <w:vertAlign w:val="baseline"/>
        </w:rPr>
        <w:t> </w:t>
      </w:r>
      <w:r>
        <w:rPr>
          <w:vertAlign w:val="baseline"/>
        </w:rPr>
        <w:t>governed</w:t>
      </w:r>
      <w:r>
        <w:rPr>
          <w:spacing w:val="32"/>
          <w:vertAlign w:val="baseline"/>
        </w:rPr>
        <w:t> </w:t>
      </w:r>
      <w:r>
        <w:rPr>
          <w:vertAlign w:val="baseline"/>
        </w:rPr>
        <w:t>by</w:t>
      </w:r>
      <w:r>
        <w:rPr>
          <w:spacing w:val="31"/>
          <w:vertAlign w:val="baseline"/>
        </w:rPr>
        <w:t> </w:t>
      </w:r>
      <w:r>
        <w:rPr>
          <w:vertAlign w:val="baseline"/>
        </w:rPr>
        <w:t>section</w:t>
      </w:r>
      <w:r>
        <w:rPr>
          <w:spacing w:val="36"/>
          <w:vertAlign w:val="baseline"/>
        </w:rPr>
        <w:t> </w:t>
      </w:r>
      <w:r>
        <w:rPr>
          <w:vertAlign w:val="baseline"/>
        </w:rPr>
        <w:t>24</w:t>
      </w:r>
      <w:r>
        <w:rPr>
          <w:spacing w:val="28"/>
          <w:vertAlign w:val="baseline"/>
        </w:rPr>
        <w:t> </w:t>
      </w:r>
      <w:r>
        <w:rPr>
          <w:vertAlign w:val="baseline"/>
        </w:rPr>
        <w:t>of</w:t>
      </w:r>
      <w:r>
        <w:rPr>
          <w:spacing w:val="34"/>
          <w:vertAlign w:val="baseline"/>
        </w:rPr>
        <w:t> </w:t>
      </w:r>
      <w:r>
        <w:rPr>
          <w:vertAlign w:val="baseline"/>
        </w:rPr>
        <w:t>the</w:t>
      </w:r>
      <w:r>
        <w:rPr>
          <w:spacing w:val="34"/>
          <w:vertAlign w:val="baseline"/>
        </w:rPr>
        <w:t> </w:t>
      </w:r>
      <w:r>
        <w:rPr>
          <w:vertAlign w:val="baseline"/>
        </w:rPr>
        <w:t>Act which provides that;</w:t>
      </w:r>
    </w:p>
    <w:p>
      <w:pPr>
        <w:pStyle w:val="ListParagraph"/>
        <w:numPr>
          <w:ilvl w:val="0"/>
          <w:numId w:val="12"/>
        </w:numPr>
        <w:tabs>
          <w:tab w:pos="2129" w:val="left" w:leader="none"/>
          <w:tab w:pos="2131" w:val="left" w:leader="none"/>
        </w:tabs>
        <w:spacing w:line="244" w:lineRule="auto" w:before="0" w:after="0"/>
        <w:ind w:left="2131" w:right="1748" w:hanging="677"/>
        <w:jc w:val="both"/>
        <w:rPr>
          <w:sz w:val="23"/>
        </w:rPr>
      </w:pPr>
      <w:r>
        <w:rPr>
          <w:sz w:val="23"/>
        </w:rPr>
        <w:t>Subject to section 28(4) of this Act, if a temporary total disability results</w:t>
      </w:r>
      <w:r>
        <w:rPr>
          <w:spacing w:val="40"/>
          <w:sz w:val="23"/>
        </w:rPr>
        <w:t> </w:t>
      </w:r>
      <w:r>
        <w:rPr>
          <w:sz w:val="23"/>
        </w:rPr>
        <w:t>from an</w:t>
      </w:r>
      <w:r>
        <w:rPr>
          <w:spacing w:val="40"/>
          <w:sz w:val="23"/>
        </w:rPr>
        <w:t> </w:t>
      </w:r>
      <w:r>
        <w:rPr>
          <w:sz w:val="23"/>
        </w:rPr>
        <w:t>employee’s</w:t>
      </w:r>
      <w:r>
        <w:rPr>
          <w:spacing w:val="40"/>
          <w:sz w:val="23"/>
        </w:rPr>
        <w:t> </w:t>
      </w:r>
      <w:r>
        <w:rPr>
          <w:sz w:val="23"/>
        </w:rPr>
        <w:t>injury, the</w:t>
      </w:r>
      <w:r>
        <w:rPr>
          <w:spacing w:val="29"/>
          <w:sz w:val="23"/>
        </w:rPr>
        <w:t> </w:t>
      </w:r>
      <w:r>
        <w:rPr>
          <w:sz w:val="23"/>
        </w:rPr>
        <w:t>Board</w:t>
      </w:r>
      <w:r>
        <w:rPr>
          <w:spacing w:val="28"/>
          <w:sz w:val="23"/>
        </w:rPr>
        <w:t> </w:t>
      </w:r>
      <w:r>
        <w:rPr>
          <w:sz w:val="23"/>
        </w:rPr>
        <w:t>may</w:t>
      </w:r>
      <w:r>
        <w:rPr>
          <w:spacing w:val="31"/>
          <w:sz w:val="23"/>
        </w:rPr>
        <w:t> </w:t>
      </w:r>
      <w:r>
        <w:rPr>
          <w:sz w:val="23"/>
        </w:rPr>
        <w:t>pay the</w:t>
      </w:r>
      <w:r>
        <w:rPr>
          <w:spacing w:val="29"/>
          <w:sz w:val="23"/>
        </w:rPr>
        <w:t> </w:t>
      </w:r>
      <w:r>
        <w:rPr>
          <w:sz w:val="23"/>
        </w:rPr>
        <w:t>employee compensation</w:t>
      </w:r>
      <w:r>
        <w:rPr>
          <w:spacing w:val="32"/>
          <w:sz w:val="23"/>
        </w:rPr>
        <w:t> </w:t>
      </w:r>
      <w:r>
        <w:rPr>
          <w:sz w:val="23"/>
        </w:rPr>
        <w:t>of a lump sum in accordance with the Second</w:t>
      </w:r>
      <w:r>
        <w:rPr>
          <w:spacing w:val="80"/>
          <w:sz w:val="23"/>
        </w:rPr>
        <w:t> </w:t>
      </w:r>
      <w:r>
        <w:rPr>
          <w:sz w:val="23"/>
        </w:rPr>
        <w:t>Schedule to this Act or any regulation made pursuant to section 22(3) of this Act.</w:t>
      </w:r>
    </w:p>
    <w:p>
      <w:pPr>
        <w:pStyle w:val="ListParagraph"/>
        <w:numPr>
          <w:ilvl w:val="0"/>
          <w:numId w:val="12"/>
        </w:numPr>
        <w:tabs>
          <w:tab w:pos="2129" w:val="left" w:leader="none"/>
          <w:tab w:pos="2131" w:val="left" w:leader="none"/>
        </w:tabs>
        <w:spacing w:line="244" w:lineRule="auto" w:before="186" w:after="0"/>
        <w:ind w:left="2131" w:right="1751" w:hanging="677"/>
        <w:jc w:val="both"/>
        <w:rPr>
          <w:sz w:val="23"/>
        </w:rPr>
      </w:pPr>
      <w:r>
        <w:rPr>
          <w:sz w:val="23"/>
        </w:rPr>
        <w:t>The payment referred to in sub-section 1 of this section shall not be in respect of any disability that last for a period of more than 12 months.</w:t>
      </w:r>
    </w:p>
    <w:p>
      <w:pPr>
        <w:pStyle w:val="BodyText"/>
        <w:spacing w:line="491" w:lineRule="auto" w:before="188"/>
        <w:ind w:left="864" w:right="564"/>
        <w:jc w:val="both"/>
      </w:pPr>
      <w:r>
        <w:rPr/>
        <mc:AlternateContent>
          <mc:Choice Requires="wps">
            <w:drawing>
              <wp:anchor distT="0" distB="0" distL="0" distR="0" allowOverlap="1" layoutInCell="1" locked="0" behindDoc="1" simplePos="0" relativeHeight="487629824">
                <wp:simplePos x="0" y="0"/>
                <wp:positionH relativeFrom="page">
                  <wp:posOffset>1185672</wp:posOffset>
                </wp:positionH>
                <wp:positionV relativeFrom="paragraph">
                  <wp:posOffset>4118226</wp:posOffset>
                </wp:positionV>
                <wp:extent cx="1719580" cy="6350"/>
                <wp:effectExtent l="0" t="0" r="0" b="0"/>
                <wp:wrapTopAndBottom/>
                <wp:docPr id="97" name="Graphic 97"/>
                <wp:cNvGraphicFramePr>
                  <a:graphicFrameLocks/>
                </wp:cNvGraphicFramePr>
                <a:graphic>
                  <a:graphicData uri="http://schemas.microsoft.com/office/word/2010/wordprocessingShape">
                    <wps:wsp>
                      <wps:cNvPr id="97" name="Graphic 97"/>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324.269806pt;width:135.360pt;height:.48pt;mso-position-horizontal-relative:page;mso-position-vertical-relative:paragraph;z-index:-15686656;mso-wrap-distance-left:0;mso-wrap-distance-right:0" id="docshape97" filled="true" fillcolor="#000000" stroked="false">
                <v:fill type="solid"/>
                <w10:wrap type="topAndBottom"/>
              </v:rect>
            </w:pict>
          </mc:Fallback>
        </mc:AlternateContent>
      </w:r>
      <w:r>
        <w:rPr/>
        <w:t>The difference between temporary total disability and temporary partial disability is that, in temporary partial disability, the disability is not</w:t>
      </w:r>
      <w:r>
        <w:rPr>
          <w:spacing w:val="80"/>
        </w:rPr>
        <w:t> </w:t>
      </w:r>
      <w:r>
        <w:rPr/>
        <w:t>complete, while in temporary total disability, the disability is complete.</w:t>
      </w:r>
      <w:r>
        <w:rPr>
          <w:vertAlign w:val="superscript"/>
        </w:rPr>
        <w:t>222</w:t>
      </w:r>
      <w:r>
        <w:rPr>
          <w:spacing w:val="80"/>
          <w:vertAlign w:val="baseline"/>
        </w:rPr>
        <w:t> </w:t>
      </w:r>
      <w:r>
        <w:rPr>
          <w:vertAlign w:val="baseline"/>
        </w:rPr>
        <w:t>For example, an eye that is completely closed for a period of 12 months or less than, will amount to temporary total disability while an eye that is not completely closed i.e. one can still see through it amounts to a temporary partial disability. In both cases the disability should not exceed 12 months, for it to amount to either temporary partial disability or temporary total disability.</w:t>
      </w:r>
      <w:r>
        <w:rPr>
          <w:vertAlign w:val="superscript"/>
        </w:rPr>
        <w:t>223</w:t>
      </w:r>
      <w:r>
        <w:rPr>
          <w:spacing w:val="25"/>
          <w:vertAlign w:val="baseline"/>
        </w:rPr>
        <w:t> </w:t>
      </w:r>
      <w:r>
        <w:rPr>
          <w:vertAlign w:val="baseline"/>
        </w:rPr>
        <w:t>A</w:t>
      </w:r>
      <w:r>
        <w:rPr>
          <w:spacing w:val="24"/>
          <w:vertAlign w:val="baseline"/>
        </w:rPr>
        <w:t> </w:t>
      </w:r>
      <w:r>
        <w:rPr>
          <w:vertAlign w:val="baseline"/>
        </w:rPr>
        <w:t>lump</w:t>
      </w:r>
      <w:r>
        <w:rPr>
          <w:spacing w:val="25"/>
          <w:vertAlign w:val="baseline"/>
        </w:rPr>
        <w:t> </w:t>
      </w:r>
      <w:r>
        <w:rPr>
          <w:vertAlign w:val="baseline"/>
        </w:rPr>
        <w:t>sum</w:t>
      </w:r>
      <w:r>
        <w:rPr>
          <w:spacing w:val="30"/>
          <w:vertAlign w:val="baseline"/>
        </w:rPr>
        <w:t> </w:t>
      </w:r>
      <w:r>
        <w:rPr>
          <w:vertAlign w:val="baseline"/>
        </w:rPr>
        <w:t>is</w:t>
      </w:r>
      <w:r>
        <w:rPr>
          <w:spacing w:val="21"/>
          <w:vertAlign w:val="baseline"/>
        </w:rPr>
        <w:t> </w:t>
      </w:r>
      <w:r>
        <w:rPr>
          <w:vertAlign w:val="baseline"/>
        </w:rPr>
        <w:t>payable</w:t>
      </w:r>
      <w:r>
        <w:rPr>
          <w:spacing w:val="26"/>
          <w:vertAlign w:val="baseline"/>
        </w:rPr>
        <w:t> </w:t>
      </w:r>
      <w:r>
        <w:rPr>
          <w:vertAlign w:val="baseline"/>
        </w:rPr>
        <w:t>in</w:t>
      </w:r>
      <w:r>
        <w:rPr>
          <w:spacing w:val="24"/>
          <w:vertAlign w:val="baseline"/>
        </w:rPr>
        <w:t> </w:t>
      </w:r>
      <w:r>
        <w:rPr>
          <w:vertAlign w:val="baseline"/>
        </w:rPr>
        <w:t>the</w:t>
      </w:r>
      <w:r>
        <w:rPr>
          <w:spacing w:val="22"/>
          <w:vertAlign w:val="baseline"/>
        </w:rPr>
        <w:t> </w:t>
      </w:r>
      <w:r>
        <w:rPr>
          <w:vertAlign w:val="baseline"/>
        </w:rPr>
        <w:t>two</w:t>
      </w:r>
      <w:r>
        <w:rPr>
          <w:spacing w:val="22"/>
          <w:vertAlign w:val="baseline"/>
        </w:rPr>
        <w:t> </w:t>
      </w:r>
      <w:r>
        <w:rPr>
          <w:vertAlign w:val="baseline"/>
        </w:rPr>
        <w:t>cases</w:t>
      </w:r>
      <w:r>
        <w:rPr>
          <w:spacing w:val="26"/>
          <w:vertAlign w:val="baseline"/>
        </w:rPr>
        <w:t> </w:t>
      </w:r>
      <w:r>
        <w:rPr>
          <w:vertAlign w:val="baseline"/>
        </w:rPr>
        <w:t>and</w:t>
      </w:r>
      <w:r>
        <w:rPr>
          <w:spacing w:val="25"/>
          <w:vertAlign w:val="baseline"/>
        </w:rPr>
        <w:t> </w:t>
      </w:r>
      <w:r>
        <w:rPr>
          <w:vertAlign w:val="baseline"/>
        </w:rPr>
        <w:t>at</w:t>
      </w:r>
      <w:r>
        <w:rPr>
          <w:spacing w:val="28"/>
          <w:vertAlign w:val="baseline"/>
        </w:rPr>
        <w:t> </w:t>
      </w:r>
      <w:r>
        <w:rPr>
          <w:vertAlign w:val="baseline"/>
        </w:rPr>
        <w:t>the</w:t>
      </w:r>
      <w:r>
        <w:rPr>
          <w:spacing w:val="26"/>
          <w:vertAlign w:val="baseline"/>
        </w:rPr>
        <w:t> </w:t>
      </w:r>
      <w:r>
        <w:rPr>
          <w:vertAlign w:val="baseline"/>
        </w:rPr>
        <w:t>discretion of the Board.</w:t>
      </w:r>
      <w:r>
        <w:rPr>
          <w:vertAlign w:val="superscript"/>
        </w:rPr>
        <w:t>224</w:t>
      </w:r>
      <w:r>
        <w:rPr>
          <w:vertAlign w:val="baseline"/>
        </w:rPr>
        <w:t> It seems that the amount of compensation in respect of temporary</w:t>
      </w:r>
      <w:r>
        <w:rPr>
          <w:spacing w:val="61"/>
          <w:vertAlign w:val="baseline"/>
        </w:rPr>
        <w:t> </w:t>
      </w:r>
      <w:r>
        <w:rPr>
          <w:vertAlign w:val="baseline"/>
        </w:rPr>
        <w:t>total</w:t>
      </w:r>
      <w:r>
        <w:rPr>
          <w:spacing w:val="62"/>
          <w:vertAlign w:val="baseline"/>
        </w:rPr>
        <w:t> </w:t>
      </w:r>
      <w:r>
        <w:rPr>
          <w:vertAlign w:val="baseline"/>
        </w:rPr>
        <w:t>disability</w:t>
      </w:r>
      <w:r>
        <w:rPr>
          <w:spacing w:val="61"/>
          <w:vertAlign w:val="baseline"/>
        </w:rPr>
        <w:t> </w:t>
      </w:r>
      <w:r>
        <w:rPr>
          <w:vertAlign w:val="baseline"/>
        </w:rPr>
        <w:t>will</w:t>
      </w:r>
      <w:r>
        <w:rPr>
          <w:spacing w:val="62"/>
          <w:vertAlign w:val="baseline"/>
        </w:rPr>
        <w:t> </w:t>
      </w:r>
      <w:r>
        <w:rPr>
          <w:vertAlign w:val="baseline"/>
        </w:rPr>
        <w:t>be</w:t>
      </w:r>
      <w:r>
        <w:rPr>
          <w:spacing w:val="40"/>
          <w:vertAlign w:val="baseline"/>
        </w:rPr>
        <w:t> </w:t>
      </w:r>
      <w:r>
        <w:rPr>
          <w:vertAlign w:val="baseline"/>
        </w:rPr>
        <w:t>more</w:t>
      </w:r>
      <w:r>
        <w:rPr>
          <w:spacing w:val="40"/>
          <w:vertAlign w:val="baseline"/>
        </w:rPr>
        <w:t> </w:t>
      </w:r>
      <w:r>
        <w:rPr>
          <w:vertAlign w:val="baseline"/>
        </w:rPr>
        <w:t>than</w:t>
      </w:r>
      <w:r>
        <w:rPr>
          <w:spacing w:val="40"/>
          <w:vertAlign w:val="baseline"/>
        </w:rPr>
        <w:t> </w:t>
      </w:r>
      <w:r>
        <w:rPr>
          <w:vertAlign w:val="baseline"/>
        </w:rPr>
        <w:t>compensation</w:t>
      </w:r>
      <w:r>
        <w:rPr>
          <w:spacing w:val="61"/>
          <w:vertAlign w:val="baseline"/>
        </w:rPr>
        <w:t> </w:t>
      </w:r>
      <w:r>
        <w:rPr>
          <w:vertAlign w:val="baseline"/>
        </w:rPr>
        <w:t>in</w:t>
      </w:r>
      <w:r>
        <w:rPr>
          <w:spacing w:val="61"/>
          <w:vertAlign w:val="baseline"/>
        </w:rPr>
        <w:t> </w:t>
      </w:r>
      <w:r>
        <w:rPr>
          <w:vertAlign w:val="baseline"/>
        </w:rPr>
        <w:t>respect</w:t>
      </w:r>
      <w:r>
        <w:rPr>
          <w:spacing w:val="40"/>
          <w:vertAlign w:val="baseline"/>
        </w:rPr>
        <w:t> </w:t>
      </w:r>
      <w:r>
        <w:rPr>
          <w:vertAlign w:val="baseline"/>
        </w:rPr>
        <w:t>of</w:t>
      </w:r>
    </w:p>
    <w:p>
      <w:pPr>
        <w:spacing w:line="215" w:lineRule="exact" w:before="101"/>
        <w:ind w:left="187" w:right="0" w:firstLine="0"/>
        <w:jc w:val="left"/>
        <w:rPr>
          <w:rFonts w:ascii="Times New Roman"/>
          <w:i/>
          <w:sz w:val="19"/>
        </w:rPr>
      </w:pPr>
      <w:r>
        <w:rPr>
          <w:rFonts w:ascii="Times New Roman"/>
          <w:sz w:val="19"/>
          <w:vertAlign w:val="superscript"/>
        </w:rPr>
        <w:t>221</w:t>
      </w:r>
      <w:r>
        <w:rPr>
          <w:rFonts w:ascii="Times New Roman"/>
          <w:spacing w:val="-1"/>
          <w:sz w:val="19"/>
          <w:vertAlign w:val="baseline"/>
        </w:rPr>
        <w:t> </w:t>
      </w:r>
      <w:r>
        <w:rPr>
          <w:rFonts w:ascii="Times New Roman"/>
          <w:sz w:val="19"/>
          <w:vertAlign w:val="baseline"/>
        </w:rPr>
        <w:t>Sections</w:t>
      </w:r>
      <w:r>
        <w:rPr>
          <w:rFonts w:ascii="Times New Roman"/>
          <w:spacing w:val="-2"/>
          <w:sz w:val="19"/>
          <w:vertAlign w:val="baseline"/>
        </w:rPr>
        <w:t> </w:t>
      </w:r>
      <w:r>
        <w:rPr>
          <w:rFonts w:ascii="Times New Roman"/>
          <w:sz w:val="19"/>
          <w:vertAlign w:val="baseline"/>
        </w:rPr>
        <w:t>25</w:t>
      </w:r>
      <w:r>
        <w:rPr>
          <w:rFonts w:ascii="Times New Roman"/>
          <w:spacing w:val="-4"/>
          <w:sz w:val="19"/>
          <w:vertAlign w:val="baseline"/>
        </w:rPr>
        <w:t> </w:t>
      </w:r>
      <w:r>
        <w:rPr>
          <w:rFonts w:ascii="Times New Roman"/>
          <w:sz w:val="19"/>
          <w:vertAlign w:val="baseline"/>
        </w:rPr>
        <w:t>and</w:t>
      </w:r>
      <w:r>
        <w:rPr>
          <w:rFonts w:ascii="Times New Roman"/>
          <w:spacing w:val="-8"/>
          <w:sz w:val="19"/>
          <w:vertAlign w:val="baseline"/>
        </w:rPr>
        <w:t> </w:t>
      </w:r>
      <w:r>
        <w:rPr>
          <w:rFonts w:ascii="Times New Roman"/>
          <w:sz w:val="19"/>
          <w:vertAlign w:val="baseline"/>
        </w:rPr>
        <w:t>24</w:t>
      </w:r>
      <w:r>
        <w:rPr>
          <w:rFonts w:ascii="Times New Roman"/>
          <w:spacing w:val="-9"/>
          <w:sz w:val="19"/>
          <w:vertAlign w:val="baseline"/>
        </w:rPr>
        <w:t> </w:t>
      </w:r>
      <w:r>
        <w:rPr>
          <w:rFonts w:ascii="Times New Roman"/>
          <w:i/>
          <w:spacing w:val="-4"/>
          <w:sz w:val="19"/>
          <w:vertAlign w:val="baseline"/>
        </w:rPr>
        <w:t>ibid</w:t>
      </w:r>
    </w:p>
    <w:p>
      <w:pPr>
        <w:spacing w:line="237" w:lineRule="auto" w:before="0"/>
        <w:ind w:left="187" w:right="563" w:firstLine="0"/>
        <w:jc w:val="left"/>
        <w:rPr>
          <w:rFonts w:ascii="Times New Roman"/>
          <w:sz w:val="19"/>
        </w:rPr>
      </w:pPr>
      <w:r>
        <w:rPr>
          <w:rFonts w:ascii="Times New Roman"/>
          <w:sz w:val="19"/>
          <w:vertAlign w:val="superscript"/>
        </w:rPr>
        <w:t>222</w:t>
      </w:r>
      <w:r>
        <w:rPr>
          <w:rFonts w:ascii="Times New Roman"/>
          <w:spacing w:val="-12"/>
          <w:sz w:val="19"/>
          <w:vertAlign w:val="baseline"/>
        </w:rPr>
        <w:t> </w:t>
      </w:r>
      <w:r>
        <w:rPr>
          <w:rFonts w:ascii="Times New Roman"/>
          <w:sz w:val="19"/>
          <w:vertAlign w:val="baseline"/>
        </w:rPr>
        <w:t>Summers,</w:t>
      </w:r>
      <w:r>
        <w:rPr>
          <w:rFonts w:ascii="Times New Roman"/>
          <w:spacing w:val="-8"/>
          <w:sz w:val="19"/>
          <w:vertAlign w:val="baseline"/>
        </w:rPr>
        <w:t> </w:t>
      </w:r>
      <w:r>
        <w:rPr>
          <w:rFonts w:ascii="Times New Roman"/>
          <w:sz w:val="19"/>
          <w:vertAlign w:val="baseline"/>
        </w:rPr>
        <w:t>D</w:t>
      </w:r>
      <w:r>
        <w:rPr>
          <w:rFonts w:ascii="Times New Roman"/>
          <w:sz w:val="19"/>
          <w:u w:val="single"/>
          <w:vertAlign w:val="baseline"/>
        </w:rPr>
        <w:t>.</w:t>
      </w:r>
      <w:r>
        <w:rPr>
          <w:rFonts w:ascii="Times New Roman"/>
          <w:spacing w:val="-7"/>
          <w:sz w:val="19"/>
          <w:u w:val="single"/>
          <w:vertAlign w:val="baseline"/>
        </w:rPr>
        <w:t> </w:t>
      </w:r>
      <w:r>
        <w:rPr>
          <w:rFonts w:ascii="Times New Roman"/>
          <w:sz w:val="19"/>
          <w:u w:val="single"/>
          <w:vertAlign w:val="baseline"/>
        </w:rPr>
        <w:t>Longman</w:t>
      </w:r>
      <w:r>
        <w:rPr>
          <w:rFonts w:ascii="Times New Roman"/>
          <w:spacing w:val="-7"/>
          <w:sz w:val="19"/>
          <w:u w:val="single"/>
          <w:vertAlign w:val="baseline"/>
        </w:rPr>
        <w:t> </w:t>
      </w:r>
      <w:r>
        <w:rPr>
          <w:rFonts w:ascii="Times New Roman"/>
          <w:sz w:val="19"/>
          <w:u w:val="single"/>
          <w:vertAlign w:val="baseline"/>
        </w:rPr>
        <w:t>Dictionary</w:t>
      </w:r>
      <w:r>
        <w:rPr>
          <w:rFonts w:ascii="Times New Roman"/>
          <w:spacing w:val="-12"/>
          <w:sz w:val="19"/>
          <w:u w:val="single"/>
          <w:vertAlign w:val="baseline"/>
        </w:rPr>
        <w:t> </w:t>
      </w:r>
      <w:r>
        <w:rPr>
          <w:rFonts w:ascii="Times New Roman"/>
          <w:sz w:val="19"/>
          <w:u w:val="single"/>
          <w:vertAlign w:val="baseline"/>
        </w:rPr>
        <w:t>of</w:t>
      </w:r>
      <w:r>
        <w:rPr>
          <w:rFonts w:ascii="Times New Roman"/>
          <w:spacing w:val="-12"/>
          <w:sz w:val="19"/>
          <w:u w:val="single"/>
          <w:vertAlign w:val="baseline"/>
        </w:rPr>
        <w:t> </w:t>
      </w:r>
      <w:r>
        <w:rPr>
          <w:rFonts w:ascii="Times New Roman"/>
          <w:sz w:val="19"/>
          <w:u w:val="single"/>
          <w:vertAlign w:val="baseline"/>
        </w:rPr>
        <w:t>Contemporary</w:t>
      </w:r>
      <w:r>
        <w:rPr>
          <w:rFonts w:ascii="Times New Roman"/>
          <w:spacing w:val="-12"/>
          <w:sz w:val="19"/>
          <w:u w:val="single"/>
          <w:vertAlign w:val="baseline"/>
        </w:rPr>
        <w:t> </w:t>
      </w:r>
      <w:r>
        <w:rPr>
          <w:rFonts w:ascii="Times New Roman"/>
          <w:sz w:val="19"/>
          <w:u w:val="single"/>
          <w:vertAlign w:val="baseline"/>
        </w:rPr>
        <w:t>English</w:t>
      </w:r>
      <w:r>
        <w:rPr>
          <w:rFonts w:ascii="Times New Roman"/>
          <w:i/>
          <w:sz w:val="19"/>
          <w:vertAlign w:val="baseline"/>
        </w:rPr>
        <w:t>,</w:t>
      </w:r>
      <w:r>
        <w:rPr>
          <w:rFonts w:ascii="Times New Roman"/>
          <w:i/>
          <w:spacing w:val="-6"/>
          <w:sz w:val="19"/>
          <w:vertAlign w:val="baseline"/>
        </w:rPr>
        <w:t> </w:t>
      </w:r>
      <w:r>
        <w:rPr>
          <w:rFonts w:ascii="Times New Roman"/>
          <w:sz w:val="19"/>
          <w:vertAlign w:val="baseline"/>
        </w:rPr>
        <w:t>Fourth</w:t>
      </w:r>
      <w:r>
        <w:rPr>
          <w:rFonts w:ascii="Times New Roman"/>
          <w:spacing w:val="-10"/>
          <w:sz w:val="19"/>
          <w:vertAlign w:val="baseline"/>
        </w:rPr>
        <w:t> </w:t>
      </w:r>
      <w:r>
        <w:rPr>
          <w:rFonts w:ascii="Times New Roman"/>
          <w:sz w:val="19"/>
          <w:vertAlign w:val="baseline"/>
        </w:rPr>
        <w:t>Edition,</w:t>
      </w:r>
      <w:r>
        <w:rPr>
          <w:rFonts w:ascii="Times New Roman"/>
          <w:spacing w:val="-7"/>
          <w:sz w:val="19"/>
          <w:vertAlign w:val="baseline"/>
        </w:rPr>
        <w:t> </w:t>
      </w:r>
      <w:r>
        <w:rPr>
          <w:rFonts w:ascii="Times New Roman"/>
          <w:sz w:val="19"/>
          <w:vertAlign w:val="baseline"/>
        </w:rPr>
        <w:t>Pearson</w:t>
      </w:r>
      <w:r>
        <w:rPr>
          <w:rFonts w:ascii="Times New Roman"/>
          <w:spacing w:val="-10"/>
          <w:sz w:val="19"/>
          <w:vertAlign w:val="baseline"/>
        </w:rPr>
        <w:t> </w:t>
      </w:r>
      <w:r>
        <w:rPr>
          <w:rFonts w:ascii="Times New Roman"/>
          <w:sz w:val="19"/>
          <w:vertAlign w:val="baseline"/>
        </w:rPr>
        <w:t>Education</w:t>
      </w:r>
      <w:r>
        <w:rPr>
          <w:rFonts w:ascii="Times New Roman"/>
          <w:spacing w:val="-10"/>
          <w:sz w:val="19"/>
          <w:vertAlign w:val="baseline"/>
        </w:rPr>
        <w:t> </w:t>
      </w:r>
      <w:r>
        <w:rPr>
          <w:rFonts w:ascii="Times New Roman"/>
          <w:sz w:val="19"/>
          <w:vertAlign w:val="baseline"/>
        </w:rPr>
        <w:t>Limited, England (2003) pp. 1754, 1199</w:t>
      </w:r>
    </w:p>
    <w:p>
      <w:pPr>
        <w:spacing w:line="215" w:lineRule="exact" w:before="0"/>
        <w:ind w:left="187" w:right="0" w:firstLine="0"/>
        <w:jc w:val="left"/>
        <w:rPr>
          <w:rFonts w:ascii="Times New Roman" w:hAnsi="Times New Roman"/>
          <w:i/>
          <w:sz w:val="19"/>
        </w:rPr>
      </w:pPr>
      <w:r>
        <w:rPr>
          <w:rFonts w:ascii="Times New Roman" w:hAnsi="Times New Roman"/>
          <w:sz w:val="19"/>
          <w:vertAlign w:val="superscript"/>
        </w:rPr>
        <w:t>223</w:t>
      </w:r>
      <w:r>
        <w:rPr>
          <w:rFonts w:ascii="Times New Roman" w:hAnsi="Times New Roman"/>
          <w:spacing w:val="-5"/>
          <w:sz w:val="19"/>
          <w:vertAlign w:val="baseline"/>
        </w:rPr>
        <w:t> </w:t>
      </w:r>
      <w:r>
        <w:rPr>
          <w:rFonts w:ascii="Times New Roman" w:hAnsi="Times New Roman"/>
          <w:sz w:val="19"/>
          <w:vertAlign w:val="baseline"/>
        </w:rPr>
        <w:t>Sections</w:t>
      </w:r>
      <w:r>
        <w:rPr>
          <w:rFonts w:ascii="Times New Roman" w:hAnsi="Times New Roman"/>
          <w:spacing w:val="-6"/>
          <w:sz w:val="19"/>
          <w:vertAlign w:val="baseline"/>
        </w:rPr>
        <w:t> </w:t>
      </w:r>
      <w:r>
        <w:rPr>
          <w:rFonts w:ascii="Times New Roman" w:hAnsi="Times New Roman"/>
          <w:sz w:val="19"/>
          <w:vertAlign w:val="baseline"/>
        </w:rPr>
        <w:t>25</w:t>
      </w:r>
      <w:r>
        <w:rPr>
          <w:rFonts w:ascii="Times New Roman" w:hAnsi="Times New Roman"/>
          <w:spacing w:val="-8"/>
          <w:sz w:val="19"/>
          <w:vertAlign w:val="baseline"/>
        </w:rPr>
        <w:t> </w:t>
      </w:r>
      <w:r>
        <w:rPr>
          <w:rFonts w:ascii="Times New Roman" w:hAnsi="Times New Roman"/>
          <w:sz w:val="19"/>
          <w:vertAlign w:val="baseline"/>
        </w:rPr>
        <w:t>and</w:t>
      </w:r>
      <w:r>
        <w:rPr>
          <w:rFonts w:ascii="Times New Roman" w:hAnsi="Times New Roman"/>
          <w:spacing w:val="-11"/>
          <w:sz w:val="19"/>
          <w:vertAlign w:val="baseline"/>
        </w:rPr>
        <w:t> </w:t>
      </w:r>
      <w:r>
        <w:rPr>
          <w:rFonts w:ascii="Times New Roman" w:hAnsi="Times New Roman"/>
          <w:sz w:val="19"/>
          <w:vertAlign w:val="baseline"/>
        </w:rPr>
        <w:t>24</w:t>
      </w:r>
      <w:r>
        <w:rPr>
          <w:rFonts w:ascii="Times New Roman" w:hAnsi="Times New Roman"/>
          <w:spacing w:val="-9"/>
          <w:sz w:val="19"/>
          <w:vertAlign w:val="baseline"/>
        </w:rPr>
        <w:t> </w:t>
      </w:r>
      <w:r>
        <w:rPr>
          <w:rFonts w:ascii="Times New Roman" w:hAnsi="Times New Roman"/>
          <w:sz w:val="19"/>
          <w:vertAlign w:val="baseline"/>
        </w:rPr>
        <w:t>of</w:t>
      </w:r>
      <w:r>
        <w:rPr>
          <w:rFonts w:ascii="Times New Roman" w:hAnsi="Times New Roman"/>
          <w:spacing w:val="-10"/>
          <w:sz w:val="19"/>
          <w:vertAlign w:val="baseline"/>
        </w:rPr>
        <w:t> </w:t>
      </w:r>
      <w:r>
        <w:rPr>
          <w:rFonts w:ascii="Times New Roman" w:hAnsi="Times New Roman"/>
          <w:sz w:val="19"/>
          <w:vertAlign w:val="baseline"/>
        </w:rPr>
        <w:t>Employees’</w:t>
      </w:r>
      <w:r>
        <w:rPr>
          <w:rFonts w:ascii="Times New Roman" w:hAnsi="Times New Roman"/>
          <w:spacing w:val="-9"/>
          <w:sz w:val="19"/>
          <w:vertAlign w:val="baseline"/>
        </w:rPr>
        <w:t> </w:t>
      </w:r>
      <w:r>
        <w:rPr>
          <w:rFonts w:ascii="Times New Roman" w:hAnsi="Times New Roman"/>
          <w:sz w:val="19"/>
          <w:vertAlign w:val="baseline"/>
        </w:rPr>
        <w:t>Compensation</w:t>
      </w:r>
      <w:r>
        <w:rPr>
          <w:rFonts w:ascii="Times New Roman" w:hAnsi="Times New Roman"/>
          <w:spacing w:val="-9"/>
          <w:sz w:val="19"/>
          <w:vertAlign w:val="baseline"/>
        </w:rPr>
        <w:t> </w:t>
      </w:r>
      <w:r>
        <w:rPr>
          <w:rFonts w:ascii="Times New Roman" w:hAnsi="Times New Roman"/>
          <w:sz w:val="19"/>
          <w:vertAlign w:val="baseline"/>
        </w:rPr>
        <w:t>Act</w:t>
      </w:r>
      <w:r>
        <w:rPr>
          <w:rFonts w:ascii="Times New Roman" w:hAnsi="Times New Roman"/>
          <w:spacing w:val="-6"/>
          <w:sz w:val="19"/>
          <w:vertAlign w:val="baseline"/>
        </w:rPr>
        <w:t> </w:t>
      </w:r>
      <w:r>
        <w:rPr>
          <w:rFonts w:ascii="Times New Roman" w:hAnsi="Times New Roman"/>
          <w:i/>
          <w:sz w:val="19"/>
          <w:vertAlign w:val="baseline"/>
        </w:rPr>
        <w:t>op</w:t>
      </w:r>
      <w:r>
        <w:rPr>
          <w:rFonts w:ascii="Times New Roman" w:hAnsi="Times New Roman"/>
          <w:i/>
          <w:spacing w:val="-11"/>
          <w:sz w:val="19"/>
          <w:vertAlign w:val="baseline"/>
        </w:rPr>
        <w:t> </w:t>
      </w:r>
      <w:r>
        <w:rPr>
          <w:rFonts w:ascii="Times New Roman" w:hAnsi="Times New Roman"/>
          <w:i/>
          <w:spacing w:val="-5"/>
          <w:sz w:val="19"/>
          <w:vertAlign w:val="baseline"/>
        </w:rPr>
        <w:t>cit</w:t>
      </w:r>
    </w:p>
    <w:p>
      <w:pPr>
        <w:spacing w:line="217" w:lineRule="exact" w:before="0"/>
        <w:ind w:left="187" w:right="0" w:firstLine="0"/>
        <w:jc w:val="left"/>
        <w:rPr>
          <w:rFonts w:ascii="Times New Roman"/>
          <w:i/>
          <w:sz w:val="19"/>
        </w:rPr>
      </w:pPr>
      <w:r>
        <w:rPr>
          <w:rFonts w:ascii="Times New Roman"/>
          <w:sz w:val="19"/>
          <w:vertAlign w:val="superscript"/>
        </w:rPr>
        <w:t>224</w:t>
      </w:r>
      <w:r>
        <w:rPr>
          <w:rFonts w:ascii="Times New Roman"/>
          <w:spacing w:val="-1"/>
          <w:sz w:val="19"/>
          <w:vertAlign w:val="baseline"/>
        </w:rPr>
        <w:t> </w:t>
      </w:r>
      <w:r>
        <w:rPr>
          <w:rFonts w:ascii="Times New Roman"/>
          <w:sz w:val="19"/>
          <w:vertAlign w:val="baseline"/>
        </w:rPr>
        <w:t>Section 25</w:t>
      </w:r>
      <w:r>
        <w:rPr>
          <w:rFonts w:ascii="Times New Roman"/>
          <w:spacing w:val="-4"/>
          <w:sz w:val="19"/>
          <w:vertAlign w:val="baseline"/>
        </w:rPr>
        <w:t> </w:t>
      </w:r>
      <w:r>
        <w:rPr>
          <w:rFonts w:ascii="Times New Roman"/>
          <w:sz w:val="19"/>
          <w:vertAlign w:val="baseline"/>
        </w:rPr>
        <w:t>and</w:t>
      </w:r>
      <w:r>
        <w:rPr>
          <w:rFonts w:ascii="Times New Roman"/>
          <w:spacing w:val="-8"/>
          <w:sz w:val="19"/>
          <w:vertAlign w:val="baseline"/>
        </w:rPr>
        <w:t> </w:t>
      </w:r>
      <w:r>
        <w:rPr>
          <w:rFonts w:ascii="Times New Roman"/>
          <w:sz w:val="19"/>
          <w:vertAlign w:val="baseline"/>
        </w:rPr>
        <w:t>24</w:t>
      </w:r>
      <w:r>
        <w:rPr>
          <w:rFonts w:ascii="Times New Roman"/>
          <w:spacing w:val="-8"/>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80" w:bottom="1200" w:left="1680" w:right="1320"/>
        </w:sectPr>
      </w:pPr>
    </w:p>
    <w:p>
      <w:pPr>
        <w:pStyle w:val="BodyText"/>
        <w:spacing w:line="489" w:lineRule="auto" w:before="94"/>
        <w:ind w:left="864" w:right="568"/>
        <w:jc w:val="both"/>
      </w:pPr>
      <w:r>
        <w:rPr/>
        <w:t>temporary partial disability, since the degree of inconvenience is higher in the former. It seems also, that where the disability affects earning capacity the loss of earning capacity will be used in determining the amount of compensation to be paid.</w:t>
      </w:r>
      <w:r>
        <w:rPr>
          <w:vertAlign w:val="superscript"/>
        </w:rPr>
        <w:t>225</w:t>
      </w:r>
    </w:p>
    <w:p>
      <w:pPr>
        <w:pStyle w:val="BodyText"/>
        <w:spacing w:before="10"/>
      </w:pPr>
    </w:p>
    <w:p>
      <w:pPr>
        <w:pStyle w:val="BodyText"/>
        <w:spacing w:line="489" w:lineRule="auto"/>
        <w:ind w:left="864" w:right="566"/>
        <w:jc w:val="both"/>
      </w:pPr>
      <w:r>
        <w:rPr/>
        <w:t>The Act has failed to prescribe with some precision, the amount of compensation payable. It merely says the compensation will be payable in accordance with the Second Schedule while the Second Schedule only</w:t>
      </w:r>
      <w:r>
        <w:rPr>
          <w:spacing w:val="80"/>
        </w:rPr>
        <w:t> </w:t>
      </w:r>
      <w:r>
        <w:rPr/>
        <w:t>states some disability and their corresponding ratings in terms of degree of disability, without attaching any monetary percentages to the disabilities either with reference</w:t>
      </w:r>
      <w:r>
        <w:rPr>
          <w:spacing w:val="40"/>
        </w:rPr>
        <w:t> </w:t>
      </w:r>
      <w:r>
        <w:rPr/>
        <w:t>to the amount of remuneration received by the employee or medical expenses incurred.</w:t>
      </w:r>
      <w:r>
        <w:rPr>
          <w:vertAlign w:val="superscript"/>
        </w:rPr>
        <w:t>226</w:t>
      </w:r>
      <w:r>
        <w:rPr>
          <w:vertAlign w:val="baseline"/>
        </w:rPr>
        <w:t> The Act also empowers the</w:t>
      </w:r>
      <w:r>
        <w:rPr>
          <w:spacing w:val="40"/>
          <w:vertAlign w:val="baseline"/>
        </w:rPr>
        <w:t> </w:t>
      </w:r>
      <w:r>
        <w:rPr>
          <w:vertAlign w:val="baseline"/>
        </w:rPr>
        <w:t>Board to revise or amend the Second Schedule through any regulations published in the Federal Gazette.</w:t>
      </w:r>
      <w:r>
        <w:rPr>
          <w:vertAlign w:val="superscript"/>
        </w:rPr>
        <w:t>227</w:t>
      </w:r>
    </w:p>
    <w:p>
      <w:pPr>
        <w:pStyle w:val="BodyText"/>
      </w:pPr>
    </w:p>
    <w:p>
      <w:pPr>
        <w:pStyle w:val="BodyText"/>
        <w:spacing w:before="21"/>
      </w:pPr>
    </w:p>
    <w:p>
      <w:pPr>
        <w:pStyle w:val="BodyText"/>
        <w:spacing w:line="489" w:lineRule="auto" w:before="1"/>
        <w:ind w:left="864" w:right="567"/>
        <w:jc w:val="both"/>
      </w:pPr>
      <w:r>
        <w:rPr/>
        <w:t>Where the employee is less than 55 years of age on the date of the injury, compensation</w:t>
      </w:r>
      <w:r>
        <w:rPr>
          <w:spacing w:val="36"/>
        </w:rPr>
        <w:t> </w:t>
      </w:r>
      <w:r>
        <w:rPr/>
        <w:t>for</w:t>
      </w:r>
      <w:r>
        <w:rPr>
          <w:spacing w:val="35"/>
        </w:rPr>
        <w:t> </w:t>
      </w:r>
      <w:r>
        <w:rPr/>
        <w:t>temporary</w:t>
      </w:r>
      <w:r>
        <w:rPr>
          <w:spacing w:val="36"/>
        </w:rPr>
        <w:t> </w:t>
      </w:r>
      <w:r>
        <w:rPr/>
        <w:t>total</w:t>
      </w:r>
      <w:r>
        <w:rPr>
          <w:spacing w:val="37"/>
        </w:rPr>
        <w:t> </w:t>
      </w:r>
      <w:r>
        <w:rPr/>
        <w:t>disability</w:t>
      </w:r>
      <w:r>
        <w:rPr>
          <w:spacing w:val="39"/>
        </w:rPr>
        <w:t> </w:t>
      </w:r>
      <w:r>
        <w:rPr/>
        <w:t>may</w:t>
      </w:r>
      <w:r>
        <w:rPr>
          <w:spacing w:val="37"/>
        </w:rPr>
        <w:t> </w:t>
      </w:r>
      <w:r>
        <w:rPr/>
        <w:t>be</w:t>
      </w:r>
      <w:r>
        <w:rPr>
          <w:spacing w:val="34"/>
        </w:rPr>
        <w:t> </w:t>
      </w:r>
      <w:r>
        <w:rPr/>
        <w:t>paid</w:t>
      </w:r>
      <w:r>
        <w:rPr>
          <w:spacing w:val="38"/>
        </w:rPr>
        <w:t> </w:t>
      </w:r>
      <w:r>
        <w:rPr/>
        <w:t>until</w:t>
      </w:r>
      <w:r>
        <w:rPr>
          <w:spacing w:val="37"/>
        </w:rPr>
        <w:t> </w:t>
      </w:r>
      <w:r>
        <w:rPr/>
        <w:t>he</w:t>
      </w:r>
      <w:r>
        <w:rPr>
          <w:spacing w:val="34"/>
        </w:rPr>
        <w:t> </w:t>
      </w:r>
      <w:r>
        <w:rPr>
          <w:spacing w:val="-2"/>
        </w:rPr>
        <w:t>reaches</w:t>
      </w:r>
    </w:p>
    <w:p>
      <w:pPr>
        <w:pStyle w:val="BodyText"/>
        <w:spacing w:line="491" w:lineRule="auto"/>
        <w:ind w:left="864" w:right="571"/>
        <w:jc w:val="both"/>
      </w:pPr>
      <w:r>
        <w:rPr/>
        <w:t>55 years of age or any date the employee will retire and this will be determined by the Board.</w:t>
      </w:r>
      <w:r>
        <w:rPr>
          <w:vertAlign w:val="superscript"/>
        </w:rPr>
        <w:t>228</w:t>
      </w:r>
      <w:r>
        <w:rPr>
          <w:vertAlign w:val="baseline"/>
        </w:rPr>
        <w:t> Where however, the employee is 55 years of age or more on the date of the injury, compensation for temporary total disability</w:t>
      </w:r>
      <w:r>
        <w:rPr>
          <w:spacing w:val="11"/>
          <w:vertAlign w:val="baseline"/>
        </w:rPr>
        <w:t> </w:t>
      </w:r>
      <w:r>
        <w:rPr>
          <w:vertAlign w:val="baseline"/>
        </w:rPr>
        <w:t>may</w:t>
      </w:r>
      <w:r>
        <w:rPr>
          <w:spacing w:val="11"/>
          <w:vertAlign w:val="baseline"/>
        </w:rPr>
        <w:t> </w:t>
      </w:r>
      <w:r>
        <w:rPr>
          <w:vertAlign w:val="baseline"/>
        </w:rPr>
        <w:t>be</w:t>
      </w:r>
      <w:r>
        <w:rPr>
          <w:spacing w:val="13"/>
          <w:vertAlign w:val="baseline"/>
        </w:rPr>
        <w:t> </w:t>
      </w:r>
      <w:r>
        <w:rPr>
          <w:vertAlign w:val="baseline"/>
        </w:rPr>
        <w:t>paid</w:t>
      </w:r>
      <w:r>
        <w:rPr>
          <w:spacing w:val="12"/>
          <w:vertAlign w:val="baseline"/>
        </w:rPr>
        <w:t> </w:t>
      </w:r>
      <w:r>
        <w:rPr>
          <w:vertAlign w:val="baseline"/>
        </w:rPr>
        <w:t>by</w:t>
      </w:r>
      <w:r>
        <w:rPr>
          <w:spacing w:val="12"/>
          <w:vertAlign w:val="baseline"/>
        </w:rPr>
        <w:t> </w:t>
      </w:r>
      <w:r>
        <w:rPr>
          <w:vertAlign w:val="baseline"/>
        </w:rPr>
        <w:t>the</w:t>
      </w:r>
      <w:r>
        <w:rPr>
          <w:spacing w:val="9"/>
          <w:vertAlign w:val="baseline"/>
        </w:rPr>
        <w:t> </w:t>
      </w:r>
      <w:r>
        <w:rPr>
          <w:vertAlign w:val="baseline"/>
        </w:rPr>
        <w:t>Board</w:t>
      </w:r>
      <w:r>
        <w:rPr>
          <w:spacing w:val="12"/>
          <w:vertAlign w:val="baseline"/>
        </w:rPr>
        <w:t> </w:t>
      </w:r>
      <w:r>
        <w:rPr>
          <w:vertAlign w:val="baseline"/>
        </w:rPr>
        <w:t>until</w:t>
      </w:r>
      <w:r>
        <w:rPr>
          <w:spacing w:val="12"/>
          <w:vertAlign w:val="baseline"/>
        </w:rPr>
        <w:t> </w:t>
      </w:r>
      <w:r>
        <w:rPr>
          <w:vertAlign w:val="baseline"/>
        </w:rPr>
        <w:t>2</w:t>
      </w:r>
      <w:r>
        <w:rPr>
          <w:spacing w:val="4"/>
          <w:vertAlign w:val="baseline"/>
        </w:rPr>
        <w:t> </w:t>
      </w:r>
      <w:r>
        <w:rPr>
          <w:vertAlign w:val="baseline"/>
        </w:rPr>
        <w:t>years</w:t>
      </w:r>
      <w:r>
        <w:rPr>
          <w:spacing w:val="14"/>
          <w:vertAlign w:val="baseline"/>
        </w:rPr>
        <w:t> </w:t>
      </w:r>
      <w:r>
        <w:rPr>
          <w:vertAlign w:val="baseline"/>
        </w:rPr>
        <w:t>after</w:t>
      </w:r>
      <w:r>
        <w:rPr>
          <w:spacing w:val="14"/>
          <w:vertAlign w:val="baseline"/>
        </w:rPr>
        <w:t> </w:t>
      </w:r>
      <w:r>
        <w:rPr>
          <w:vertAlign w:val="baseline"/>
        </w:rPr>
        <w:t>the</w:t>
      </w:r>
      <w:r>
        <w:rPr>
          <w:spacing w:val="13"/>
          <w:vertAlign w:val="baseline"/>
        </w:rPr>
        <w:t> </w:t>
      </w:r>
      <w:r>
        <w:rPr>
          <w:vertAlign w:val="baseline"/>
        </w:rPr>
        <w:t>year</w:t>
      </w:r>
      <w:r>
        <w:rPr>
          <w:spacing w:val="15"/>
          <w:vertAlign w:val="baseline"/>
        </w:rPr>
        <w:t> </w:t>
      </w:r>
      <w:r>
        <w:rPr>
          <w:vertAlign w:val="baseline"/>
        </w:rPr>
        <w:t>of</w:t>
      </w:r>
      <w:r>
        <w:rPr>
          <w:spacing w:val="14"/>
          <w:vertAlign w:val="baseline"/>
        </w:rPr>
        <w:t> </w:t>
      </w:r>
      <w:r>
        <w:rPr>
          <w:vertAlign w:val="baseline"/>
        </w:rPr>
        <w:t>injury</w:t>
      </w:r>
      <w:r>
        <w:rPr>
          <w:spacing w:val="11"/>
          <w:vertAlign w:val="baseline"/>
        </w:rPr>
        <w:t> </w:t>
      </w:r>
      <w:r>
        <w:rPr>
          <w:spacing w:val="-5"/>
          <w:vertAlign w:val="baseline"/>
        </w:rPr>
        <w:t>or</w:t>
      </w:r>
    </w:p>
    <w:p>
      <w:pPr>
        <w:pStyle w:val="BodyText"/>
        <w:spacing w:before="16"/>
        <w:rPr>
          <w:sz w:val="20"/>
        </w:rPr>
      </w:pPr>
      <w:r>
        <w:rPr/>
        <mc:AlternateContent>
          <mc:Choice Requires="wps">
            <w:drawing>
              <wp:anchor distT="0" distB="0" distL="0" distR="0" allowOverlap="1" layoutInCell="1" locked="0" behindDoc="1" simplePos="0" relativeHeight="487630336">
                <wp:simplePos x="0" y="0"/>
                <wp:positionH relativeFrom="page">
                  <wp:posOffset>1185672</wp:posOffset>
                </wp:positionH>
                <wp:positionV relativeFrom="paragraph">
                  <wp:posOffset>178816</wp:posOffset>
                </wp:positionV>
                <wp:extent cx="1719580" cy="6350"/>
                <wp:effectExtent l="0" t="0" r="0" b="0"/>
                <wp:wrapTopAndBottom/>
                <wp:docPr id="98" name="Graphic 98"/>
                <wp:cNvGraphicFramePr>
                  <a:graphicFrameLocks/>
                </wp:cNvGraphicFramePr>
                <a:graphic>
                  <a:graphicData uri="http://schemas.microsoft.com/office/word/2010/wordprocessingShape">
                    <wps:wsp>
                      <wps:cNvPr id="98" name="Graphic 9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080078pt;width:135.360pt;height:.48pt;mso-position-horizontal-relative:page;mso-position-vertical-relative:paragraph;z-index:-15686144;mso-wrap-distance-left:0;mso-wrap-distance-right:0" id="docshape98" filled="true" fillcolor="#000000" stroked="false">
                <v:fill type="solid"/>
                <w10:wrap type="topAndBottom"/>
              </v:rect>
            </w:pict>
          </mc:Fallback>
        </mc:AlternateContent>
      </w:r>
    </w:p>
    <w:p>
      <w:pPr>
        <w:spacing w:line="232" w:lineRule="auto" w:before="106"/>
        <w:ind w:left="187" w:right="563" w:firstLine="0"/>
        <w:jc w:val="left"/>
        <w:rPr>
          <w:rFonts w:ascii="Times New Roman" w:hAnsi="Times New Roman"/>
          <w:sz w:val="19"/>
        </w:rPr>
      </w:pPr>
      <w:r>
        <w:rPr>
          <w:rFonts w:ascii="Times New Roman" w:hAnsi="Times New Roman"/>
          <w:sz w:val="19"/>
          <w:vertAlign w:val="superscript"/>
        </w:rPr>
        <w:t>225</w:t>
      </w:r>
      <w:r>
        <w:rPr>
          <w:rFonts w:ascii="Times New Roman" w:hAnsi="Times New Roman"/>
          <w:spacing w:val="-2"/>
          <w:sz w:val="19"/>
          <w:vertAlign w:val="baseline"/>
        </w:rPr>
        <w:t> </w:t>
      </w:r>
      <w:r>
        <w:rPr>
          <w:rFonts w:ascii="Times New Roman" w:hAnsi="Times New Roman"/>
          <w:sz w:val="19"/>
          <w:vertAlign w:val="baseline"/>
        </w:rPr>
        <w:t>See</w:t>
      </w:r>
      <w:r>
        <w:rPr>
          <w:rFonts w:ascii="Times New Roman" w:hAnsi="Times New Roman"/>
          <w:spacing w:val="-5"/>
          <w:sz w:val="19"/>
          <w:vertAlign w:val="baseline"/>
        </w:rPr>
        <w:t> </w:t>
      </w:r>
      <w:r>
        <w:rPr>
          <w:rFonts w:ascii="Times New Roman" w:hAnsi="Times New Roman"/>
          <w:i/>
          <w:sz w:val="19"/>
          <w:vertAlign w:val="baseline"/>
        </w:rPr>
        <w:t>Thompson</w:t>
      </w:r>
      <w:r>
        <w:rPr>
          <w:rFonts w:ascii="Times New Roman" w:hAnsi="Times New Roman"/>
          <w:i/>
          <w:spacing w:val="-1"/>
          <w:sz w:val="19"/>
          <w:vertAlign w:val="baseline"/>
        </w:rPr>
        <w:t> </w:t>
      </w:r>
      <w:r>
        <w:rPr>
          <w:rFonts w:ascii="Times New Roman" w:hAnsi="Times New Roman"/>
          <w:i/>
          <w:sz w:val="19"/>
          <w:vertAlign w:val="baseline"/>
        </w:rPr>
        <w:t>v.</w:t>
      </w:r>
      <w:r>
        <w:rPr>
          <w:rFonts w:ascii="Times New Roman" w:hAnsi="Times New Roman"/>
          <w:i/>
          <w:spacing w:val="-6"/>
          <w:sz w:val="19"/>
          <w:vertAlign w:val="baseline"/>
        </w:rPr>
        <w:t> </w:t>
      </w:r>
      <w:r>
        <w:rPr>
          <w:rFonts w:ascii="Times New Roman" w:hAnsi="Times New Roman"/>
          <w:i/>
          <w:sz w:val="19"/>
          <w:vertAlign w:val="baseline"/>
        </w:rPr>
        <w:t>Armstrong</w:t>
      </w:r>
      <w:r>
        <w:rPr>
          <w:rFonts w:ascii="Times New Roman" w:hAnsi="Times New Roman"/>
          <w:i/>
          <w:spacing w:val="-9"/>
          <w:sz w:val="19"/>
          <w:vertAlign w:val="baseline"/>
        </w:rPr>
        <w:t> </w:t>
      </w:r>
      <w:r>
        <w:rPr>
          <w:rFonts w:ascii="Times New Roman" w:hAnsi="Times New Roman"/>
          <w:i/>
          <w:sz w:val="19"/>
          <w:vertAlign w:val="baseline"/>
        </w:rPr>
        <w:t>&amp;</w:t>
      </w:r>
      <w:r>
        <w:rPr>
          <w:rFonts w:ascii="Times New Roman" w:hAnsi="Times New Roman"/>
          <w:i/>
          <w:spacing w:val="-12"/>
          <w:sz w:val="19"/>
          <w:vertAlign w:val="baseline"/>
        </w:rPr>
        <w:t> </w:t>
      </w:r>
      <w:r>
        <w:rPr>
          <w:rFonts w:ascii="Times New Roman" w:hAnsi="Times New Roman"/>
          <w:i/>
          <w:sz w:val="19"/>
          <w:vertAlign w:val="baseline"/>
        </w:rPr>
        <w:t>Royse Proprietary</w:t>
      </w:r>
      <w:r>
        <w:rPr>
          <w:rFonts w:ascii="Times New Roman" w:hAnsi="Times New Roman"/>
          <w:i/>
          <w:spacing w:val="-5"/>
          <w:sz w:val="19"/>
          <w:vertAlign w:val="baseline"/>
        </w:rPr>
        <w:t> </w:t>
      </w:r>
      <w:r>
        <w:rPr>
          <w:rFonts w:ascii="Times New Roman" w:hAnsi="Times New Roman"/>
          <w:i/>
          <w:sz w:val="19"/>
          <w:vertAlign w:val="baseline"/>
        </w:rPr>
        <w:t>Ltd</w:t>
      </w:r>
      <w:r>
        <w:rPr>
          <w:rFonts w:ascii="Times New Roman" w:hAnsi="Times New Roman"/>
          <w:i/>
          <w:spacing w:val="-5"/>
          <w:sz w:val="19"/>
          <w:vertAlign w:val="baseline"/>
        </w:rPr>
        <w:t> </w:t>
      </w:r>
      <w:r>
        <w:rPr>
          <w:rFonts w:ascii="Times New Roman" w:hAnsi="Times New Roman"/>
          <w:sz w:val="19"/>
          <w:vertAlign w:val="baseline"/>
        </w:rPr>
        <w:t>(1950)</w:t>
      </w:r>
      <w:r>
        <w:rPr>
          <w:rFonts w:ascii="Times New Roman" w:hAnsi="Times New Roman"/>
          <w:spacing w:val="-7"/>
          <w:sz w:val="19"/>
          <w:vertAlign w:val="baseline"/>
        </w:rPr>
        <w:t> </w:t>
      </w:r>
      <w:r>
        <w:rPr>
          <w:rFonts w:ascii="Times New Roman" w:hAnsi="Times New Roman"/>
          <w:sz w:val="19"/>
          <w:vertAlign w:val="baseline"/>
        </w:rPr>
        <w:t>81</w:t>
      </w:r>
      <w:r>
        <w:rPr>
          <w:rFonts w:ascii="Times New Roman" w:hAnsi="Times New Roman"/>
          <w:spacing w:val="-9"/>
          <w:sz w:val="19"/>
          <w:vertAlign w:val="baseline"/>
        </w:rPr>
        <w:t> </w:t>
      </w:r>
      <w:r>
        <w:rPr>
          <w:rFonts w:ascii="Times New Roman" w:hAnsi="Times New Roman"/>
          <w:sz w:val="19"/>
          <w:vertAlign w:val="baseline"/>
        </w:rPr>
        <w:t>CLR</w:t>
      </w:r>
      <w:r>
        <w:rPr>
          <w:rFonts w:ascii="Times New Roman" w:hAnsi="Times New Roman"/>
          <w:spacing w:val="-12"/>
          <w:sz w:val="19"/>
          <w:vertAlign w:val="baseline"/>
        </w:rPr>
        <w:t> </w:t>
      </w:r>
      <w:r>
        <w:rPr>
          <w:rFonts w:ascii="Times New Roman" w:hAnsi="Times New Roman"/>
          <w:sz w:val="19"/>
          <w:vertAlign w:val="baseline"/>
        </w:rPr>
        <w:t>585</w:t>
      </w:r>
      <w:r>
        <w:rPr>
          <w:rFonts w:ascii="Times New Roman" w:hAnsi="Times New Roman"/>
          <w:spacing w:val="-5"/>
          <w:sz w:val="19"/>
          <w:vertAlign w:val="baseline"/>
        </w:rPr>
        <w:t> </w:t>
      </w:r>
      <w:r>
        <w:rPr>
          <w:rFonts w:ascii="Times New Roman" w:hAnsi="Times New Roman"/>
          <w:sz w:val="19"/>
          <w:vertAlign w:val="baseline"/>
        </w:rPr>
        <w:t>where</w:t>
      </w:r>
      <w:r>
        <w:rPr>
          <w:rFonts w:ascii="Times New Roman" w:hAnsi="Times New Roman"/>
          <w:spacing w:val="-8"/>
          <w:sz w:val="19"/>
          <w:vertAlign w:val="baseline"/>
        </w:rPr>
        <w:t> </w:t>
      </w:r>
      <w:r>
        <w:rPr>
          <w:rFonts w:ascii="Times New Roman" w:hAnsi="Times New Roman"/>
          <w:sz w:val="19"/>
          <w:vertAlign w:val="baseline"/>
        </w:rPr>
        <w:t>one</w:t>
      </w:r>
      <w:r>
        <w:rPr>
          <w:rFonts w:ascii="Times New Roman" w:hAnsi="Times New Roman"/>
          <w:spacing w:val="-12"/>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the</w:t>
      </w:r>
      <w:r>
        <w:rPr>
          <w:rFonts w:ascii="Times New Roman" w:hAnsi="Times New Roman"/>
          <w:spacing w:val="-4"/>
          <w:sz w:val="19"/>
          <w:vertAlign w:val="baseline"/>
        </w:rPr>
        <w:t> </w:t>
      </w:r>
      <w:r>
        <w:rPr>
          <w:rFonts w:ascii="Times New Roman" w:hAnsi="Times New Roman"/>
          <w:sz w:val="19"/>
          <w:vertAlign w:val="baseline"/>
        </w:rPr>
        <w:t>Judges</w:t>
      </w:r>
      <w:r>
        <w:rPr>
          <w:rFonts w:ascii="Times New Roman" w:hAnsi="Times New Roman"/>
          <w:spacing w:val="-8"/>
          <w:sz w:val="19"/>
          <w:vertAlign w:val="baseline"/>
        </w:rPr>
        <w:t> </w:t>
      </w:r>
      <w:r>
        <w:rPr>
          <w:rFonts w:ascii="Times New Roman" w:hAnsi="Times New Roman"/>
          <w:sz w:val="19"/>
          <w:vertAlign w:val="baseline"/>
        </w:rPr>
        <w:t>said</w:t>
      </w:r>
      <w:r>
        <w:rPr>
          <w:rFonts w:ascii="Times New Roman" w:hAnsi="Times New Roman"/>
          <w:spacing w:val="-5"/>
          <w:sz w:val="19"/>
          <w:vertAlign w:val="baseline"/>
        </w:rPr>
        <w:t> </w:t>
      </w:r>
      <w:r>
        <w:rPr>
          <w:rFonts w:ascii="Times New Roman" w:hAnsi="Times New Roman"/>
          <w:sz w:val="19"/>
          <w:vertAlign w:val="baseline"/>
        </w:rPr>
        <w:t>inter alia “… the</w:t>
      </w:r>
      <w:r>
        <w:rPr>
          <w:rFonts w:ascii="Times New Roman" w:hAnsi="Times New Roman"/>
          <w:spacing w:val="-4"/>
          <w:sz w:val="19"/>
          <w:vertAlign w:val="baseline"/>
        </w:rPr>
        <w:t> </w:t>
      </w:r>
      <w:r>
        <w:rPr>
          <w:rFonts w:ascii="Times New Roman" w:hAnsi="Times New Roman"/>
          <w:sz w:val="19"/>
          <w:vertAlign w:val="baseline"/>
        </w:rPr>
        <w:t>test is whether he was physically</w:t>
      </w:r>
      <w:r>
        <w:rPr>
          <w:rFonts w:ascii="Times New Roman" w:hAnsi="Times New Roman"/>
          <w:spacing w:val="-5"/>
          <w:sz w:val="19"/>
          <w:vertAlign w:val="baseline"/>
        </w:rPr>
        <w:t> </w:t>
      </w:r>
      <w:r>
        <w:rPr>
          <w:rFonts w:ascii="Times New Roman" w:hAnsi="Times New Roman"/>
          <w:sz w:val="19"/>
          <w:vertAlign w:val="baseline"/>
        </w:rPr>
        <w:t>able to earn wages. It</w:t>
      </w:r>
      <w:r>
        <w:rPr>
          <w:rFonts w:ascii="Times New Roman" w:hAnsi="Times New Roman"/>
          <w:spacing w:val="-2"/>
          <w:sz w:val="19"/>
          <w:vertAlign w:val="baseline"/>
        </w:rPr>
        <w:t> </w:t>
      </w:r>
      <w:r>
        <w:rPr>
          <w:rFonts w:ascii="Times New Roman" w:hAnsi="Times New Roman"/>
          <w:sz w:val="19"/>
          <w:vertAlign w:val="baseline"/>
        </w:rPr>
        <w:t>is</w:t>
      </w:r>
      <w:r>
        <w:rPr>
          <w:rFonts w:ascii="Times New Roman" w:hAnsi="Times New Roman"/>
          <w:spacing w:val="-9"/>
          <w:sz w:val="19"/>
          <w:vertAlign w:val="baseline"/>
        </w:rPr>
        <w:t> </w:t>
      </w:r>
      <w:r>
        <w:rPr>
          <w:rFonts w:ascii="Times New Roman" w:hAnsi="Times New Roman"/>
          <w:sz w:val="19"/>
          <w:vertAlign w:val="baseline"/>
        </w:rPr>
        <w:t>not whether he</w:t>
      </w:r>
      <w:r>
        <w:rPr>
          <w:rFonts w:ascii="Times New Roman" w:hAnsi="Times New Roman"/>
          <w:spacing w:val="-4"/>
          <w:sz w:val="19"/>
          <w:vertAlign w:val="baseline"/>
        </w:rPr>
        <w:t> </w:t>
      </w:r>
      <w:r>
        <w:rPr>
          <w:rFonts w:ascii="Times New Roman" w:hAnsi="Times New Roman"/>
          <w:sz w:val="19"/>
          <w:vertAlign w:val="baseline"/>
        </w:rPr>
        <w:t>received wages.”</w:t>
      </w:r>
    </w:p>
    <w:p>
      <w:pPr>
        <w:spacing w:line="215" w:lineRule="exact" w:before="0"/>
        <w:ind w:left="187" w:right="0" w:firstLine="0"/>
        <w:jc w:val="left"/>
        <w:rPr>
          <w:rFonts w:ascii="Times New Roman" w:hAnsi="Times New Roman"/>
          <w:sz w:val="19"/>
        </w:rPr>
      </w:pPr>
      <w:r>
        <w:rPr>
          <w:rFonts w:ascii="Times New Roman" w:hAnsi="Times New Roman"/>
          <w:sz w:val="19"/>
          <w:vertAlign w:val="superscript"/>
        </w:rPr>
        <w:t>226</w:t>
      </w:r>
      <w:r>
        <w:rPr>
          <w:rFonts w:ascii="Times New Roman" w:hAnsi="Times New Roman"/>
          <w:spacing w:val="-4"/>
          <w:sz w:val="19"/>
          <w:vertAlign w:val="baseline"/>
        </w:rPr>
        <w:t> </w:t>
      </w:r>
      <w:r>
        <w:rPr>
          <w:rFonts w:ascii="Times New Roman" w:hAnsi="Times New Roman"/>
          <w:sz w:val="19"/>
          <w:vertAlign w:val="baseline"/>
        </w:rPr>
        <w:t>See</w:t>
      </w:r>
      <w:r>
        <w:rPr>
          <w:rFonts w:ascii="Times New Roman" w:hAnsi="Times New Roman"/>
          <w:spacing w:val="-4"/>
          <w:sz w:val="19"/>
          <w:vertAlign w:val="baseline"/>
        </w:rPr>
        <w:t> </w:t>
      </w:r>
      <w:r>
        <w:rPr>
          <w:rFonts w:ascii="Times New Roman" w:hAnsi="Times New Roman"/>
          <w:sz w:val="19"/>
          <w:vertAlign w:val="baseline"/>
        </w:rPr>
        <w:t>section</w:t>
      </w:r>
      <w:r>
        <w:rPr>
          <w:rFonts w:ascii="Times New Roman" w:hAnsi="Times New Roman"/>
          <w:spacing w:val="-2"/>
          <w:sz w:val="19"/>
          <w:vertAlign w:val="baseline"/>
        </w:rPr>
        <w:t> </w:t>
      </w:r>
      <w:r>
        <w:rPr>
          <w:rFonts w:ascii="Times New Roman" w:hAnsi="Times New Roman"/>
          <w:sz w:val="19"/>
          <w:vertAlign w:val="baseline"/>
        </w:rPr>
        <w:t>24(1)</w:t>
      </w:r>
      <w:r>
        <w:rPr>
          <w:rFonts w:ascii="Times New Roman" w:hAnsi="Times New Roman"/>
          <w:spacing w:val="-8"/>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4"/>
          <w:sz w:val="19"/>
          <w:vertAlign w:val="baseline"/>
        </w:rPr>
        <w:t> </w:t>
      </w:r>
      <w:r>
        <w:rPr>
          <w:rFonts w:ascii="Times New Roman" w:hAnsi="Times New Roman"/>
          <w:sz w:val="19"/>
          <w:vertAlign w:val="baseline"/>
        </w:rPr>
        <w:t>Compensation</w:t>
      </w:r>
      <w:r>
        <w:rPr>
          <w:rFonts w:ascii="Times New Roman" w:hAnsi="Times New Roman"/>
          <w:spacing w:val="-2"/>
          <w:sz w:val="19"/>
          <w:vertAlign w:val="baseline"/>
        </w:rPr>
        <w:t> </w:t>
      </w:r>
      <w:r>
        <w:rPr>
          <w:rFonts w:ascii="Times New Roman" w:hAnsi="Times New Roman"/>
          <w:sz w:val="19"/>
          <w:vertAlign w:val="baseline"/>
        </w:rPr>
        <w:t>Act</w:t>
      </w:r>
      <w:r>
        <w:rPr>
          <w:rFonts w:ascii="Times New Roman" w:hAnsi="Times New Roman"/>
          <w:spacing w:val="-11"/>
          <w:sz w:val="19"/>
          <w:vertAlign w:val="baseline"/>
        </w:rPr>
        <w:t> </w:t>
      </w:r>
      <w:r>
        <w:rPr>
          <w:rFonts w:ascii="Times New Roman" w:hAnsi="Times New Roman"/>
          <w:i/>
          <w:sz w:val="19"/>
          <w:vertAlign w:val="baseline"/>
        </w:rPr>
        <w:t>op</w:t>
      </w:r>
      <w:r>
        <w:rPr>
          <w:rFonts w:ascii="Times New Roman" w:hAnsi="Times New Roman"/>
          <w:i/>
          <w:spacing w:val="-10"/>
          <w:sz w:val="19"/>
          <w:vertAlign w:val="baseline"/>
        </w:rPr>
        <w:t> </w:t>
      </w:r>
      <w:r>
        <w:rPr>
          <w:rFonts w:ascii="Times New Roman" w:hAnsi="Times New Roman"/>
          <w:i/>
          <w:sz w:val="19"/>
          <w:vertAlign w:val="baseline"/>
        </w:rPr>
        <w:t>cit</w:t>
      </w:r>
      <w:r>
        <w:rPr>
          <w:rFonts w:ascii="Times New Roman" w:hAnsi="Times New Roman"/>
          <w:i/>
          <w:spacing w:val="-7"/>
          <w:sz w:val="19"/>
          <w:vertAlign w:val="baseline"/>
        </w:rPr>
        <w:t> </w:t>
      </w:r>
      <w:r>
        <w:rPr>
          <w:rFonts w:ascii="Times New Roman" w:hAnsi="Times New Roman"/>
          <w:sz w:val="19"/>
          <w:vertAlign w:val="baseline"/>
        </w:rPr>
        <w:t>and</w:t>
      </w:r>
      <w:r>
        <w:rPr>
          <w:rFonts w:ascii="Times New Roman" w:hAnsi="Times New Roman"/>
          <w:spacing w:val="-9"/>
          <w:sz w:val="19"/>
          <w:vertAlign w:val="baseline"/>
        </w:rPr>
        <w:t> </w:t>
      </w:r>
      <w:r>
        <w:rPr>
          <w:rFonts w:ascii="Times New Roman" w:hAnsi="Times New Roman"/>
          <w:sz w:val="19"/>
          <w:vertAlign w:val="baseline"/>
        </w:rPr>
        <w:t>also</w:t>
      </w:r>
      <w:r>
        <w:rPr>
          <w:rFonts w:ascii="Times New Roman" w:hAnsi="Times New Roman"/>
          <w:spacing w:val="-10"/>
          <w:sz w:val="19"/>
          <w:vertAlign w:val="baseline"/>
        </w:rPr>
        <w:t> </w:t>
      </w:r>
      <w:r>
        <w:rPr>
          <w:rFonts w:ascii="Times New Roman" w:hAnsi="Times New Roman"/>
          <w:sz w:val="19"/>
          <w:vertAlign w:val="baseline"/>
        </w:rPr>
        <w:t>the</w:t>
      </w:r>
      <w:r>
        <w:rPr>
          <w:rFonts w:ascii="Times New Roman" w:hAnsi="Times New Roman"/>
          <w:spacing w:val="31"/>
          <w:sz w:val="19"/>
          <w:vertAlign w:val="baseline"/>
        </w:rPr>
        <w:t> </w:t>
      </w:r>
      <w:r>
        <w:rPr>
          <w:rFonts w:ascii="Times New Roman" w:hAnsi="Times New Roman"/>
          <w:sz w:val="19"/>
          <w:vertAlign w:val="baseline"/>
        </w:rPr>
        <w:t>Second</w:t>
      </w:r>
      <w:r>
        <w:rPr>
          <w:rFonts w:ascii="Times New Roman" w:hAnsi="Times New Roman"/>
          <w:spacing w:val="-6"/>
          <w:sz w:val="19"/>
          <w:vertAlign w:val="baseline"/>
        </w:rPr>
        <w:t> </w:t>
      </w:r>
      <w:r>
        <w:rPr>
          <w:rFonts w:ascii="Times New Roman" w:hAnsi="Times New Roman"/>
          <w:sz w:val="19"/>
          <w:vertAlign w:val="baseline"/>
        </w:rPr>
        <w:t>Schedule</w:t>
      </w:r>
      <w:r>
        <w:rPr>
          <w:rFonts w:ascii="Times New Roman" w:hAnsi="Times New Roman"/>
          <w:spacing w:val="-12"/>
          <w:sz w:val="19"/>
          <w:vertAlign w:val="baseline"/>
        </w:rPr>
        <w:t> </w:t>
      </w:r>
      <w:r>
        <w:rPr>
          <w:rFonts w:ascii="Times New Roman" w:hAnsi="Times New Roman"/>
          <w:sz w:val="19"/>
          <w:vertAlign w:val="baseline"/>
        </w:rPr>
        <w:t>to</w:t>
      </w:r>
      <w:r>
        <w:rPr>
          <w:rFonts w:ascii="Times New Roman" w:hAnsi="Times New Roman"/>
          <w:spacing w:val="-10"/>
          <w:sz w:val="19"/>
          <w:vertAlign w:val="baseline"/>
        </w:rPr>
        <w:t> </w:t>
      </w:r>
      <w:r>
        <w:rPr>
          <w:rFonts w:ascii="Times New Roman" w:hAnsi="Times New Roman"/>
          <w:sz w:val="19"/>
          <w:vertAlign w:val="baseline"/>
        </w:rPr>
        <w:t>the</w:t>
      </w:r>
      <w:r>
        <w:rPr>
          <w:rFonts w:ascii="Times New Roman" w:hAnsi="Times New Roman"/>
          <w:spacing w:val="-9"/>
          <w:sz w:val="19"/>
          <w:vertAlign w:val="baseline"/>
        </w:rPr>
        <w:t> </w:t>
      </w:r>
      <w:r>
        <w:rPr>
          <w:rFonts w:ascii="Times New Roman" w:hAnsi="Times New Roman"/>
          <w:spacing w:val="-5"/>
          <w:sz w:val="19"/>
          <w:vertAlign w:val="baseline"/>
        </w:rPr>
        <w:t>Act</w:t>
      </w:r>
    </w:p>
    <w:p>
      <w:pPr>
        <w:spacing w:line="216" w:lineRule="exact" w:before="0"/>
        <w:ind w:left="187" w:right="0" w:firstLine="0"/>
        <w:jc w:val="left"/>
        <w:rPr>
          <w:rFonts w:ascii="Times New Roman"/>
          <w:i/>
          <w:sz w:val="19"/>
        </w:rPr>
      </w:pPr>
      <w:r>
        <w:rPr>
          <w:rFonts w:ascii="Times New Roman"/>
          <w:sz w:val="19"/>
          <w:vertAlign w:val="superscript"/>
        </w:rPr>
        <w:t>227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22(3)</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228</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23</w:t>
      </w:r>
      <w:r>
        <w:rPr>
          <w:rFonts w:ascii="Times New Roman"/>
          <w:spacing w:val="-2"/>
          <w:sz w:val="19"/>
          <w:vertAlign w:val="baseline"/>
        </w:rPr>
        <w:t> </w:t>
      </w:r>
      <w:r>
        <w:rPr>
          <w:rFonts w:ascii="Times New Roman"/>
          <w:sz w:val="19"/>
          <w:vertAlign w:val="baseline"/>
        </w:rPr>
        <w:t>(1)(a)</w:t>
      </w:r>
      <w:r>
        <w:rPr>
          <w:rFonts w:ascii="Times New Roman"/>
          <w:spacing w:val="-12"/>
          <w:sz w:val="19"/>
          <w:vertAlign w:val="baseline"/>
        </w:rPr>
        <w:t> </w:t>
      </w:r>
      <w:r>
        <w:rPr>
          <w:rFonts w:ascii="Times New Roman"/>
          <w:spacing w:val="-4"/>
          <w:sz w:val="19"/>
          <w:vertAlign w:val="baseline"/>
        </w:rPr>
        <w:t>i</w:t>
      </w:r>
      <w:r>
        <w:rPr>
          <w:rFonts w:ascii="Times New Roman"/>
          <w:i/>
          <w:spacing w:val="-4"/>
          <w:sz w:val="19"/>
          <w:vertAlign w:val="baseline"/>
        </w:rPr>
        <w:t>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65"/>
        <w:jc w:val="both"/>
      </w:pPr>
      <w:r>
        <w:rPr/>
        <w:t>the date the employee will retire.</w:t>
      </w:r>
      <w:r>
        <w:rPr>
          <w:vertAlign w:val="superscript"/>
        </w:rPr>
        <w:t>229</w:t>
      </w:r>
      <w:r>
        <w:rPr>
          <w:vertAlign w:val="baseline"/>
        </w:rPr>
        <w:t> The phrase “may be paid” used in the Act gives the impression that the Board is at liberty to deny the compensation</w:t>
      </w:r>
      <w:r>
        <w:rPr>
          <w:spacing w:val="40"/>
          <w:vertAlign w:val="baseline"/>
        </w:rPr>
        <w:t> </w:t>
      </w:r>
      <w:r>
        <w:rPr>
          <w:vertAlign w:val="baseline"/>
        </w:rPr>
        <w:t>based</w:t>
      </w:r>
      <w:r>
        <w:rPr>
          <w:spacing w:val="40"/>
          <w:vertAlign w:val="baseline"/>
        </w:rPr>
        <w:t> </w:t>
      </w:r>
      <w:r>
        <w:rPr>
          <w:vertAlign w:val="baseline"/>
        </w:rPr>
        <w:t>on</w:t>
      </w:r>
      <w:r>
        <w:rPr>
          <w:spacing w:val="40"/>
          <w:vertAlign w:val="baseline"/>
        </w:rPr>
        <w:t> </w:t>
      </w:r>
      <w:r>
        <w:rPr>
          <w:vertAlign w:val="baseline"/>
        </w:rPr>
        <w:t>this</w:t>
      </w:r>
      <w:r>
        <w:rPr>
          <w:spacing w:val="40"/>
          <w:vertAlign w:val="baseline"/>
        </w:rPr>
        <w:t> </w:t>
      </w:r>
      <w:r>
        <w:rPr>
          <w:vertAlign w:val="baseline"/>
        </w:rPr>
        <w:t>statutory</w:t>
      </w:r>
      <w:r>
        <w:rPr>
          <w:spacing w:val="40"/>
          <w:vertAlign w:val="baseline"/>
        </w:rPr>
        <w:t> </w:t>
      </w:r>
      <w:r>
        <w:rPr>
          <w:vertAlign w:val="baseline"/>
        </w:rPr>
        <w:t>provision.</w:t>
      </w:r>
      <w:r>
        <w:rPr>
          <w:spacing w:val="40"/>
          <w:vertAlign w:val="baseline"/>
        </w:rPr>
        <w:t> </w:t>
      </w:r>
      <w:r>
        <w:rPr>
          <w:vertAlign w:val="baseline"/>
        </w:rPr>
        <w:t>The</w:t>
      </w:r>
      <w:r>
        <w:rPr>
          <w:spacing w:val="40"/>
          <w:vertAlign w:val="baseline"/>
        </w:rPr>
        <w:t> </w:t>
      </w:r>
      <w:r>
        <w:rPr>
          <w:vertAlign w:val="baseline"/>
        </w:rPr>
        <w:t>implication</w:t>
      </w:r>
      <w:r>
        <w:rPr>
          <w:spacing w:val="40"/>
          <w:vertAlign w:val="baseline"/>
        </w:rPr>
        <w:t> </w:t>
      </w:r>
      <w:r>
        <w:rPr>
          <w:vertAlign w:val="baseline"/>
        </w:rPr>
        <w:t>of</w:t>
      </w:r>
      <w:r>
        <w:rPr>
          <w:spacing w:val="40"/>
          <w:vertAlign w:val="baseline"/>
        </w:rPr>
        <w:t> </w:t>
      </w:r>
      <w:r>
        <w:rPr>
          <w:vertAlign w:val="baseline"/>
        </w:rPr>
        <w:t>the word used in the provision gives lee-way for denying compensation to the affected employee. It is appropriate that the word “shall,’’ should replace “may,” as used in the provision.</w:t>
      </w:r>
    </w:p>
    <w:p>
      <w:pPr>
        <w:pStyle w:val="BodyText"/>
        <w:spacing w:before="10"/>
      </w:pPr>
    </w:p>
    <w:p>
      <w:pPr>
        <w:pStyle w:val="BodyText"/>
        <w:spacing w:line="489" w:lineRule="auto"/>
        <w:ind w:left="864" w:right="567"/>
        <w:jc w:val="both"/>
      </w:pPr>
      <w:r>
        <w:rPr/>
        <w:t>An</w:t>
      </w:r>
      <w:r>
        <w:rPr>
          <w:spacing w:val="40"/>
        </w:rPr>
        <w:t> </w:t>
      </w:r>
      <w:r>
        <w:rPr/>
        <w:t>employee</w:t>
      </w:r>
      <w:r>
        <w:rPr>
          <w:spacing w:val="40"/>
        </w:rPr>
        <w:t> </w:t>
      </w:r>
      <w:r>
        <w:rPr/>
        <w:t>may</w:t>
      </w:r>
      <w:r>
        <w:rPr>
          <w:spacing w:val="40"/>
        </w:rPr>
        <w:t> </w:t>
      </w:r>
      <w:r>
        <w:rPr/>
        <w:t>apply</w:t>
      </w:r>
      <w:r>
        <w:rPr>
          <w:spacing w:val="40"/>
        </w:rPr>
        <w:t> </w:t>
      </w:r>
      <w:r>
        <w:rPr/>
        <w:t>to</w:t>
      </w:r>
      <w:r>
        <w:rPr>
          <w:spacing w:val="40"/>
        </w:rPr>
        <w:t> </w:t>
      </w:r>
      <w:r>
        <w:rPr/>
        <w:t>the</w:t>
      </w:r>
      <w:r>
        <w:rPr>
          <w:spacing w:val="40"/>
        </w:rPr>
        <w:t> </w:t>
      </w:r>
      <w:r>
        <w:rPr/>
        <w:t>Board</w:t>
      </w:r>
      <w:r>
        <w:rPr>
          <w:spacing w:val="40"/>
        </w:rPr>
        <w:t> </w:t>
      </w:r>
      <w:r>
        <w:rPr/>
        <w:t>for</w:t>
      </w:r>
      <w:r>
        <w:rPr>
          <w:spacing w:val="40"/>
        </w:rPr>
        <w:t> </w:t>
      </w:r>
      <w:r>
        <w:rPr/>
        <w:t>an</w:t>
      </w:r>
      <w:r>
        <w:rPr>
          <w:spacing w:val="40"/>
        </w:rPr>
        <w:t> </w:t>
      </w:r>
      <w:r>
        <w:rPr/>
        <w:t>amount</w:t>
      </w:r>
      <w:r>
        <w:rPr>
          <w:spacing w:val="40"/>
        </w:rPr>
        <w:t> </w:t>
      </w:r>
      <w:r>
        <w:rPr/>
        <w:t>not</w:t>
      </w:r>
      <w:r>
        <w:rPr>
          <w:spacing w:val="40"/>
        </w:rPr>
        <w:t> </w:t>
      </w:r>
      <w:r>
        <w:rPr/>
        <w:t>less</w:t>
      </w:r>
      <w:r>
        <w:rPr>
          <w:spacing w:val="40"/>
        </w:rPr>
        <w:t> </w:t>
      </w:r>
      <w:r>
        <w:rPr/>
        <w:t>than</w:t>
      </w:r>
      <w:r>
        <w:rPr>
          <w:spacing w:val="40"/>
        </w:rPr>
        <w:t> </w:t>
      </w:r>
      <w:r>
        <w:rPr/>
        <w:t>1 percent and not greater than 7.5 percent of the compensation to be</w:t>
      </w:r>
      <w:r>
        <w:rPr>
          <w:spacing w:val="40"/>
        </w:rPr>
        <w:t> </w:t>
      </w:r>
      <w:r>
        <w:rPr/>
        <w:t>remitted to his retirement saving account pursuant to Pension Reform</w:t>
      </w:r>
      <w:r>
        <w:rPr>
          <w:spacing w:val="80"/>
        </w:rPr>
        <w:t> </w:t>
      </w:r>
      <w:r>
        <w:rPr/>
        <w:t>Act.</w:t>
      </w:r>
      <w:r>
        <w:rPr>
          <w:vertAlign w:val="superscript"/>
        </w:rPr>
        <w:t>230</w:t>
      </w:r>
      <w:r>
        <w:rPr>
          <w:vertAlign w:val="baseline"/>
        </w:rPr>
        <w:t> This is at the discretion of the affected employee.</w:t>
      </w:r>
    </w:p>
    <w:p>
      <w:pPr>
        <w:pStyle w:val="BodyText"/>
        <w:spacing w:before="11"/>
      </w:pPr>
    </w:p>
    <w:p>
      <w:pPr>
        <w:pStyle w:val="Heading3"/>
        <w:numPr>
          <w:ilvl w:val="2"/>
          <w:numId w:val="13"/>
        </w:numPr>
        <w:tabs>
          <w:tab w:pos="860" w:val="left" w:leader="none"/>
          <w:tab w:pos="864" w:val="left" w:leader="none"/>
        </w:tabs>
        <w:spacing w:line="489" w:lineRule="auto" w:before="0" w:after="0"/>
        <w:ind w:left="864" w:right="565" w:hanging="677"/>
        <w:jc w:val="both"/>
      </w:pPr>
      <w:bookmarkStart w:name="_TOC_250012" w:id="18"/>
      <w:r>
        <w:rPr/>
        <w:t>Scale of Compensation for Permanent Partial Disability or </w:t>
      </w:r>
      <w:bookmarkEnd w:id="18"/>
      <w:r>
        <w:rPr>
          <w:spacing w:val="-2"/>
        </w:rPr>
        <w:t>Disfigurement</w:t>
      </w:r>
    </w:p>
    <w:p>
      <w:pPr>
        <w:pStyle w:val="BodyText"/>
        <w:spacing w:line="489" w:lineRule="auto" w:before="5"/>
        <w:ind w:left="864" w:right="571"/>
        <w:jc w:val="both"/>
      </w:pPr>
      <w:r>
        <w:rPr/>
        <w:t>If permanent partial disability results from the injury of the employee, the Board shall pay compensation.</w:t>
      </w:r>
      <w:r>
        <w:rPr>
          <w:vertAlign w:val="superscript"/>
        </w:rPr>
        <w:t>231</w:t>
      </w:r>
      <w:r>
        <w:rPr>
          <w:vertAlign w:val="baseline"/>
        </w:rPr>
        <w:t> The Act defines permanent partial</w:t>
      </w:r>
      <w:r>
        <w:rPr>
          <w:spacing w:val="40"/>
          <w:vertAlign w:val="baseline"/>
        </w:rPr>
        <w:t> </w:t>
      </w:r>
      <w:r>
        <w:rPr>
          <w:vertAlign w:val="baseline"/>
        </w:rPr>
        <w:t>disability as thus:</w:t>
      </w:r>
    </w:p>
    <w:p>
      <w:pPr>
        <w:pStyle w:val="BodyText"/>
        <w:spacing w:line="244" w:lineRule="auto"/>
        <w:ind w:left="1540" w:right="2594"/>
        <w:jc w:val="both"/>
      </w:pPr>
      <w:r>
        <w:rPr/>
        <w:t>Permanent partial disability means the physical functions or conditions, mental capacity or physiological health arising from and in the</w:t>
      </w:r>
      <w:r>
        <w:rPr>
          <w:spacing w:val="40"/>
        </w:rPr>
        <w:t> </w:t>
      </w:r>
      <w:r>
        <w:rPr/>
        <w:t>course of employment that cause a deviation for more than 12 months from the conditions typical for the respective age which restricts</w:t>
      </w:r>
      <w:r>
        <w:rPr>
          <w:spacing w:val="80"/>
        </w:rPr>
        <w:t> </w:t>
      </w:r>
      <w:r>
        <w:rPr/>
        <w:t>participation in the life of society and includes </w:t>
      </w:r>
      <w:r>
        <w:rPr>
          <w:spacing w:val="-2"/>
        </w:rPr>
        <w:t>disfigurement.</w:t>
      </w:r>
      <w:r>
        <w:rPr>
          <w:spacing w:val="-2"/>
          <w:vertAlign w:val="superscript"/>
        </w:rPr>
        <w:t>232</w:t>
      </w:r>
    </w:p>
    <w:p>
      <w:pPr>
        <w:pStyle w:val="BodyText"/>
        <w:rPr>
          <w:sz w:val="20"/>
        </w:rPr>
      </w:pPr>
    </w:p>
    <w:p>
      <w:pPr>
        <w:pStyle w:val="BodyText"/>
        <w:rPr>
          <w:sz w:val="20"/>
        </w:rPr>
      </w:pPr>
    </w:p>
    <w:p>
      <w:pPr>
        <w:pStyle w:val="BodyText"/>
        <w:spacing w:before="48"/>
        <w:rPr>
          <w:sz w:val="20"/>
        </w:rPr>
      </w:pPr>
      <w:r>
        <w:rPr/>
        <mc:AlternateContent>
          <mc:Choice Requires="wps">
            <w:drawing>
              <wp:anchor distT="0" distB="0" distL="0" distR="0" allowOverlap="1" layoutInCell="1" locked="0" behindDoc="1" simplePos="0" relativeHeight="487630848">
                <wp:simplePos x="0" y="0"/>
                <wp:positionH relativeFrom="page">
                  <wp:posOffset>1185672</wp:posOffset>
                </wp:positionH>
                <wp:positionV relativeFrom="paragraph">
                  <wp:posOffset>199587</wp:posOffset>
                </wp:positionV>
                <wp:extent cx="1719580" cy="3175"/>
                <wp:effectExtent l="0" t="0" r="0" b="0"/>
                <wp:wrapTopAndBottom/>
                <wp:docPr id="99" name="Graphic 99"/>
                <wp:cNvGraphicFramePr>
                  <a:graphicFrameLocks/>
                </wp:cNvGraphicFramePr>
                <a:graphic>
                  <a:graphicData uri="http://schemas.microsoft.com/office/word/2010/wordprocessingShape">
                    <wps:wsp>
                      <wps:cNvPr id="99" name="Graphic 99"/>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5.715547pt;width:135.360pt;height:.24pt;mso-position-horizontal-relative:page;mso-position-vertical-relative:paragraph;z-index:-15685632;mso-wrap-distance-left:0;mso-wrap-distance-right:0" id="docshape99"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229</w:t>
      </w:r>
      <w:r>
        <w:rPr>
          <w:rFonts w:ascii="Times New Roman"/>
          <w:spacing w:val="-4"/>
          <w:sz w:val="19"/>
          <w:vertAlign w:val="baseline"/>
        </w:rPr>
        <w:t> </w:t>
      </w:r>
      <w:r>
        <w:rPr>
          <w:rFonts w:ascii="Times New Roman"/>
          <w:sz w:val="19"/>
          <w:vertAlign w:val="baseline"/>
        </w:rPr>
        <w:t>Section</w:t>
      </w:r>
      <w:r>
        <w:rPr>
          <w:rFonts w:ascii="Times New Roman"/>
          <w:spacing w:val="-4"/>
          <w:sz w:val="19"/>
          <w:vertAlign w:val="baseline"/>
        </w:rPr>
        <w:t> </w:t>
      </w:r>
      <w:r>
        <w:rPr>
          <w:rFonts w:ascii="Times New Roman"/>
          <w:sz w:val="19"/>
          <w:vertAlign w:val="baseline"/>
        </w:rPr>
        <w:t>23</w:t>
      </w:r>
      <w:r>
        <w:rPr>
          <w:rFonts w:ascii="Times New Roman"/>
          <w:spacing w:val="-4"/>
          <w:sz w:val="19"/>
          <w:vertAlign w:val="baseline"/>
        </w:rPr>
        <w:t> </w:t>
      </w:r>
      <w:r>
        <w:rPr>
          <w:rFonts w:ascii="Times New Roman"/>
          <w:sz w:val="19"/>
          <w:vertAlign w:val="baseline"/>
        </w:rPr>
        <w:t>(1)(b)</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230</w:t>
      </w:r>
      <w:r>
        <w:rPr>
          <w:rFonts w:ascii="Times New Roman"/>
          <w:spacing w:val="-3"/>
          <w:sz w:val="19"/>
          <w:vertAlign w:val="baseline"/>
        </w:rPr>
        <w:t> </w:t>
      </w:r>
      <w:r>
        <w:rPr>
          <w:rFonts w:ascii="Times New Roman"/>
          <w:sz w:val="19"/>
          <w:vertAlign w:val="baseline"/>
        </w:rPr>
        <w:t>See</w:t>
      </w:r>
      <w:r>
        <w:rPr>
          <w:rFonts w:ascii="Times New Roman"/>
          <w:spacing w:val="-2"/>
          <w:sz w:val="19"/>
          <w:vertAlign w:val="baseline"/>
        </w:rPr>
        <w:t> </w:t>
      </w:r>
      <w:r>
        <w:rPr>
          <w:rFonts w:ascii="Times New Roman"/>
          <w:sz w:val="19"/>
          <w:vertAlign w:val="baseline"/>
        </w:rPr>
        <w:t>Section 28(4)</w:t>
      </w:r>
      <w:r>
        <w:rPr>
          <w:rFonts w:ascii="Times New Roman"/>
          <w:spacing w:val="-12"/>
          <w:sz w:val="19"/>
          <w:vertAlign w:val="baseline"/>
        </w:rPr>
        <w:t> </w:t>
      </w:r>
      <w:r>
        <w:rPr>
          <w:rFonts w:ascii="Times New Roman"/>
          <w:sz w:val="19"/>
          <w:vertAlign w:val="baseline"/>
        </w:rPr>
        <w:t>and</w:t>
      </w:r>
      <w:r>
        <w:rPr>
          <w:rFonts w:ascii="Times New Roman"/>
          <w:spacing w:val="-8"/>
          <w:sz w:val="19"/>
          <w:vertAlign w:val="baseline"/>
        </w:rPr>
        <w:t> </w:t>
      </w:r>
      <w:r>
        <w:rPr>
          <w:rFonts w:ascii="Times New Roman"/>
          <w:sz w:val="19"/>
          <w:vertAlign w:val="baseline"/>
        </w:rPr>
        <w:t>25(1)</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231</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22</w:t>
      </w:r>
      <w:r>
        <w:rPr>
          <w:rFonts w:ascii="Times New Roman"/>
          <w:spacing w:val="-5"/>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232</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73</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864" w:right="568"/>
        <w:jc w:val="both"/>
      </w:pPr>
      <w:r>
        <w:rPr/>
        <w:t>It is</w:t>
      </w:r>
      <w:r>
        <w:rPr>
          <w:spacing w:val="40"/>
        </w:rPr>
        <w:t> </w:t>
      </w:r>
      <w:r>
        <w:rPr/>
        <w:t>safe</w:t>
      </w:r>
      <w:r>
        <w:rPr>
          <w:spacing w:val="40"/>
        </w:rPr>
        <w:t> </w:t>
      </w:r>
      <w:r>
        <w:rPr/>
        <w:t>to</w:t>
      </w:r>
      <w:r>
        <w:rPr>
          <w:spacing w:val="40"/>
        </w:rPr>
        <w:t> </w:t>
      </w:r>
      <w:r>
        <w:rPr/>
        <w:t>say</w:t>
      </w:r>
      <w:r>
        <w:rPr>
          <w:spacing w:val="40"/>
        </w:rPr>
        <w:t> </w:t>
      </w:r>
      <w:r>
        <w:rPr/>
        <w:t>that</w:t>
      </w:r>
      <w:r>
        <w:rPr>
          <w:spacing w:val="40"/>
        </w:rPr>
        <w:t> </w:t>
      </w:r>
      <w:r>
        <w:rPr/>
        <w:t>in</w:t>
      </w:r>
      <w:r>
        <w:rPr>
          <w:spacing w:val="40"/>
        </w:rPr>
        <w:t> </w:t>
      </w:r>
      <w:r>
        <w:rPr/>
        <w:t>order</w:t>
      </w:r>
      <w:r>
        <w:rPr>
          <w:spacing w:val="40"/>
        </w:rPr>
        <w:t> </w:t>
      </w:r>
      <w:r>
        <w:rPr/>
        <w:t>to</w:t>
      </w:r>
      <w:r>
        <w:rPr>
          <w:spacing w:val="40"/>
        </w:rPr>
        <w:t> </w:t>
      </w:r>
      <w:r>
        <w:rPr/>
        <w:t>amount</w:t>
      </w:r>
      <w:r>
        <w:rPr>
          <w:spacing w:val="40"/>
        </w:rPr>
        <w:t> </w:t>
      </w:r>
      <w:r>
        <w:rPr/>
        <w:t>to</w:t>
      </w:r>
      <w:r>
        <w:rPr>
          <w:spacing w:val="40"/>
        </w:rPr>
        <w:t> </w:t>
      </w:r>
      <w:r>
        <w:rPr/>
        <w:t>permanent</w:t>
      </w:r>
      <w:r>
        <w:rPr>
          <w:spacing w:val="40"/>
        </w:rPr>
        <w:t> </w:t>
      </w:r>
      <w:r>
        <w:rPr/>
        <w:t>partial</w:t>
      </w:r>
      <w:r>
        <w:rPr>
          <w:spacing w:val="40"/>
        </w:rPr>
        <w:t> </w:t>
      </w:r>
      <w:r>
        <w:rPr/>
        <w:t>disability, such deviation must be for more than 12 months. A careful look at the definition above reveals a contradictory phrase which is not in accordance with</w:t>
      </w:r>
      <w:r>
        <w:rPr>
          <w:spacing w:val="20"/>
        </w:rPr>
        <w:t> </w:t>
      </w:r>
      <w:r>
        <w:rPr/>
        <w:t>the</w:t>
      </w:r>
      <w:r>
        <w:rPr>
          <w:spacing w:val="22"/>
        </w:rPr>
        <w:t> </w:t>
      </w:r>
      <w:r>
        <w:rPr/>
        <w:t>objectives</w:t>
      </w:r>
      <w:r>
        <w:rPr>
          <w:spacing w:val="22"/>
        </w:rPr>
        <w:t> </w:t>
      </w:r>
      <w:r>
        <w:rPr/>
        <w:t>of</w:t>
      </w:r>
      <w:r>
        <w:rPr>
          <w:spacing w:val="29"/>
        </w:rPr>
        <w:t> </w:t>
      </w:r>
      <w:r>
        <w:rPr/>
        <w:t>the</w:t>
      </w:r>
      <w:r>
        <w:rPr>
          <w:spacing w:val="22"/>
        </w:rPr>
        <w:t> </w:t>
      </w:r>
      <w:r>
        <w:rPr/>
        <w:t>Act.</w:t>
      </w:r>
      <w:r>
        <w:rPr>
          <w:spacing w:val="26"/>
        </w:rPr>
        <w:t> </w:t>
      </w:r>
      <w:r>
        <w:rPr/>
        <w:t>The</w:t>
      </w:r>
      <w:r>
        <w:rPr>
          <w:spacing w:val="22"/>
        </w:rPr>
        <w:t> </w:t>
      </w:r>
      <w:r>
        <w:rPr/>
        <w:t>phrase</w:t>
      </w:r>
      <w:r>
        <w:rPr>
          <w:spacing w:val="28"/>
        </w:rPr>
        <w:t> </w:t>
      </w:r>
      <w:r>
        <w:rPr/>
        <w:t>“arising</w:t>
      </w:r>
      <w:r>
        <w:rPr>
          <w:spacing w:val="21"/>
        </w:rPr>
        <w:t> </w:t>
      </w:r>
      <w:r>
        <w:rPr/>
        <w:t>from</w:t>
      </w:r>
      <w:r>
        <w:rPr>
          <w:spacing w:val="26"/>
        </w:rPr>
        <w:t> </w:t>
      </w:r>
      <w:r>
        <w:rPr/>
        <w:t>and</w:t>
      </w:r>
      <w:r>
        <w:rPr>
          <w:spacing w:val="21"/>
        </w:rPr>
        <w:t> </w:t>
      </w:r>
      <w:r>
        <w:rPr/>
        <w:t>in</w:t>
      </w:r>
      <w:r>
        <w:rPr>
          <w:spacing w:val="20"/>
        </w:rPr>
        <w:t> </w:t>
      </w:r>
      <w:r>
        <w:rPr/>
        <w:t>the course of employment” deviates from its other phrase “out of or in the course of employment”</w:t>
      </w:r>
      <w:r>
        <w:rPr>
          <w:spacing w:val="32"/>
        </w:rPr>
        <w:t> </w:t>
      </w:r>
      <w:r>
        <w:rPr/>
        <w:t>contained</w:t>
      </w:r>
      <w:r>
        <w:rPr>
          <w:spacing w:val="35"/>
        </w:rPr>
        <w:t> </w:t>
      </w:r>
      <w:r>
        <w:rPr/>
        <w:t>in</w:t>
      </w:r>
      <w:r>
        <w:rPr>
          <w:spacing w:val="34"/>
        </w:rPr>
        <w:t> </w:t>
      </w:r>
      <w:r>
        <w:rPr/>
        <w:t>the</w:t>
      </w:r>
      <w:r>
        <w:rPr>
          <w:spacing w:val="38"/>
        </w:rPr>
        <w:t> </w:t>
      </w:r>
      <w:r>
        <w:rPr/>
        <w:t>objectives</w:t>
      </w:r>
      <w:r>
        <w:rPr>
          <w:spacing w:val="37"/>
        </w:rPr>
        <w:t> </w:t>
      </w:r>
      <w:r>
        <w:rPr/>
        <w:t>of</w:t>
      </w:r>
      <w:r>
        <w:rPr>
          <w:spacing w:val="38"/>
        </w:rPr>
        <w:t> </w:t>
      </w:r>
      <w:r>
        <w:rPr/>
        <w:t>the</w:t>
      </w:r>
      <w:r>
        <w:rPr>
          <w:spacing w:val="32"/>
        </w:rPr>
        <w:t> </w:t>
      </w:r>
      <w:r>
        <w:rPr/>
        <w:t>Act,</w:t>
      </w:r>
      <w:r>
        <w:rPr>
          <w:spacing w:val="37"/>
        </w:rPr>
        <w:t> </w:t>
      </w:r>
      <w:r>
        <w:rPr/>
        <w:t>and</w:t>
      </w:r>
      <w:r>
        <w:rPr>
          <w:spacing w:val="35"/>
        </w:rPr>
        <w:t> </w:t>
      </w:r>
      <w:r>
        <w:rPr/>
        <w:t>the</w:t>
      </w:r>
      <w:r>
        <w:rPr>
          <w:spacing w:val="32"/>
        </w:rPr>
        <w:t> </w:t>
      </w:r>
      <w:r>
        <w:rPr/>
        <w:t>long</w:t>
      </w:r>
      <w:r>
        <w:rPr>
          <w:spacing w:val="35"/>
        </w:rPr>
        <w:t> </w:t>
      </w:r>
      <w:r>
        <w:rPr/>
        <w:t>title</w:t>
      </w:r>
      <w:r>
        <w:rPr>
          <w:spacing w:val="32"/>
        </w:rPr>
        <w:t> </w:t>
      </w:r>
      <w:r>
        <w:rPr/>
        <w:t>to the Act</w:t>
      </w:r>
      <w:r>
        <w:rPr>
          <w:vertAlign w:val="superscript"/>
        </w:rPr>
        <w:t>233</w:t>
      </w:r>
      <w:r>
        <w:rPr>
          <w:vertAlign w:val="baseline"/>
        </w:rPr>
        <w:t> It is however, the view of the researcher that the Board and the courts will not give any interpretation that runs counter to the object and purpose of the Act.</w:t>
      </w:r>
      <w:r>
        <w:rPr>
          <w:vertAlign w:val="superscript"/>
        </w:rPr>
        <w:t>234</w:t>
      </w:r>
    </w:p>
    <w:p>
      <w:pPr>
        <w:pStyle w:val="BodyText"/>
        <w:spacing w:before="10"/>
      </w:pPr>
    </w:p>
    <w:p>
      <w:pPr>
        <w:pStyle w:val="BodyText"/>
        <w:spacing w:line="491" w:lineRule="auto" w:before="1"/>
        <w:ind w:left="864" w:right="564"/>
        <w:jc w:val="both"/>
      </w:pPr>
      <w:r>
        <w:rPr/>
        <mc:AlternateContent>
          <mc:Choice Requires="wps">
            <w:drawing>
              <wp:anchor distT="0" distB="0" distL="0" distR="0" allowOverlap="1" layoutInCell="1" locked="0" behindDoc="1" simplePos="0" relativeHeight="487631360">
                <wp:simplePos x="0" y="0"/>
                <wp:positionH relativeFrom="page">
                  <wp:posOffset>1185672</wp:posOffset>
                </wp:positionH>
                <wp:positionV relativeFrom="paragraph">
                  <wp:posOffset>4011505</wp:posOffset>
                </wp:positionV>
                <wp:extent cx="1719580" cy="6350"/>
                <wp:effectExtent l="0" t="0" r="0" b="0"/>
                <wp:wrapTopAndBottom/>
                <wp:docPr id="100" name="Graphic 100"/>
                <wp:cNvGraphicFramePr>
                  <a:graphicFrameLocks/>
                </wp:cNvGraphicFramePr>
                <a:graphic>
                  <a:graphicData uri="http://schemas.microsoft.com/office/word/2010/wordprocessingShape">
                    <wps:wsp>
                      <wps:cNvPr id="100" name="Graphic 100"/>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315.866577pt;width:135.360pt;height:.48pt;mso-position-horizontal-relative:page;mso-position-vertical-relative:paragraph;z-index:-15685120;mso-wrap-distance-left:0;mso-wrap-distance-right:0" id="docshape100" filled="true" fillcolor="#000000" stroked="false">
                <v:fill type="solid"/>
                <w10:wrap type="topAndBottom"/>
              </v:rect>
            </w:pict>
          </mc:Fallback>
        </mc:AlternateContent>
      </w:r>
      <w:r>
        <w:rPr/>
        <w:t>Where a permanent partial disability results from the injury to the</w:t>
      </w:r>
      <w:r>
        <w:rPr>
          <w:spacing w:val="80"/>
        </w:rPr>
        <w:t> </w:t>
      </w:r>
      <w:r>
        <w:rPr/>
        <w:t>employee, the Board shall estimate the earning capacity from the nature</w:t>
      </w:r>
      <w:r>
        <w:rPr>
          <w:spacing w:val="40"/>
        </w:rPr>
        <w:t> </w:t>
      </w:r>
      <w:r>
        <w:rPr/>
        <w:t>and degree of the injury and pay the employee compensation that is a periodic payment equal to 90 percent of an estimate of the loss of remuneration</w:t>
      </w:r>
      <w:r>
        <w:rPr>
          <w:spacing w:val="40"/>
        </w:rPr>
        <w:t> </w:t>
      </w:r>
      <w:r>
        <w:rPr/>
        <w:t>resulting</w:t>
      </w:r>
      <w:r>
        <w:rPr>
          <w:spacing w:val="40"/>
        </w:rPr>
        <w:t> </w:t>
      </w:r>
      <w:r>
        <w:rPr/>
        <w:t>from</w:t>
      </w:r>
      <w:r>
        <w:rPr>
          <w:spacing w:val="40"/>
        </w:rPr>
        <w:t> </w:t>
      </w:r>
      <w:r>
        <w:rPr/>
        <w:t>the</w:t>
      </w:r>
      <w:r>
        <w:rPr>
          <w:spacing w:val="40"/>
        </w:rPr>
        <w:t> </w:t>
      </w:r>
      <w:r>
        <w:rPr/>
        <w:t>impairment</w:t>
      </w:r>
      <w:r>
        <w:rPr>
          <w:vertAlign w:val="superscript"/>
        </w:rPr>
        <w:t>.</w:t>
      </w:r>
      <w:r>
        <w:rPr>
          <w:vertAlign w:val="baseline"/>
        </w:rPr>
        <w:t> If a</w:t>
      </w:r>
      <w:r>
        <w:rPr>
          <w:spacing w:val="40"/>
          <w:vertAlign w:val="baseline"/>
        </w:rPr>
        <w:t> </w:t>
      </w:r>
      <w:r>
        <w:rPr>
          <w:vertAlign w:val="baseline"/>
        </w:rPr>
        <w:t>permanent</w:t>
      </w:r>
      <w:r>
        <w:rPr>
          <w:spacing w:val="40"/>
          <w:vertAlign w:val="baseline"/>
        </w:rPr>
        <w:t> </w:t>
      </w:r>
      <w:r>
        <w:rPr>
          <w:vertAlign w:val="baseline"/>
        </w:rPr>
        <w:t>partial disability results from the injury of the employee, the Board shall estimate the earning capacity from the nature and degree of the injury and pay the employee compensation that is a periodic payment equal to 90 percent of</w:t>
      </w:r>
      <w:r>
        <w:rPr>
          <w:spacing w:val="40"/>
          <w:vertAlign w:val="baseline"/>
        </w:rPr>
        <w:t> </w:t>
      </w:r>
      <w:r>
        <w:rPr>
          <w:vertAlign w:val="baseline"/>
        </w:rPr>
        <w:t>an estimate of the loss of remuneration resulting from the impairment.</w:t>
      </w:r>
      <w:r>
        <w:rPr>
          <w:vertAlign w:val="superscript"/>
        </w:rPr>
        <w:t>235</w:t>
      </w:r>
      <w:r>
        <w:rPr>
          <w:spacing w:val="40"/>
          <w:vertAlign w:val="baseline"/>
        </w:rPr>
        <w:t> </w:t>
      </w:r>
      <w:r>
        <w:rPr>
          <w:vertAlign w:val="baseline"/>
        </w:rPr>
        <w:t>For example, an employee who before the disability was earning N100,000 could</w:t>
      </w:r>
      <w:r>
        <w:rPr>
          <w:spacing w:val="29"/>
          <w:vertAlign w:val="baseline"/>
        </w:rPr>
        <w:t> </w:t>
      </w:r>
      <w:r>
        <w:rPr>
          <w:vertAlign w:val="baseline"/>
        </w:rPr>
        <w:t>be</w:t>
      </w:r>
      <w:r>
        <w:rPr>
          <w:spacing w:val="20"/>
          <w:vertAlign w:val="baseline"/>
        </w:rPr>
        <w:t> </w:t>
      </w:r>
      <w:r>
        <w:rPr>
          <w:vertAlign w:val="baseline"/>
        </w:rPr>
        <w:t>estimated</w:t>
      </w:r>
      <w:r>
        <w:rPr>
          <w:spacing w:val="23"/>
          <w:vertAlign w:val="baseline"/>
        </w:rPr>
        <w:t> </w:t>
      </w:r>
      <w:r>
        <w:rPr>
          <w:vertAlign w:val="baseline"/>
        </w:rPr>
        <w:t>to</w:t>
      </w:r>
      <w:r>
        <w:rPr>
          <w:spacing w:val="31"/>
          <w:vertAlign w:val="baseline"/>
        </w:rPr>
        <w:t> </w:t>
      </w:r>
      <w:r>
        <w:rPr>
          <w:vertAlign w:val="baseline"/>
        </w:rPr>
        <w:t>have</w:t>
      </w:r>
      <w:r>
        <w:rPr>
          <w:spacing w:val="24"/>
          <w:vertAlign w:val="baseline"/>
        </w:rPr>
        <w:t> </w:t>
      </w:r>
      <w:r>
        <w:rPr>
          <w:vertAlign w:val="baseline"/>
        </w:rPr>
        <w:t>lost</w:t>
      </w:r>
      <w:r>
        <w:rPr>
          <w:spacing w:val="21"/>
          <w:vertAlign w:val="baseline"/>
        </w:rPr>
        <w:t> </w:t>
      </w:r>
      <w:r>
        <w:rPr>
          <w:vertAlign w:val="baseline"/>
        </w:rPr>
        <w:t>60</w:t>
      </w:r>
      <w:r>
        <w:rPr>
          <w:spacing w:val="20"/>
          <w:vertAlign w:val="baseline"/>
        </w:rPr>
        <w:t> </w:t>
      </w:r>
      <w:r>
        <w:rPr>
          <w:vertAlign w:val="baseline"/>
        </w:rPr>
        <w:t>percent</w:t>
      </w:r>
      <w:r>
        <w:rPr>
          <w:spacing w:val="27"/>
          <w:vertAlign w:val="baseline"/>
        </w:rPr>
        <w:t> </w:t>
      </w:r>
      <w:r>
        <w:rPr>
          <w:vertAlign w:val="baseline"/>
        </w:rPr>
        <w:t>(N60,000)</w:t>
      </w:r>
      <w:r>
        <w:rPr>
          <w:spacing w:val="24"/>
          <w:vertAlign w:val="baseline"/>
        </w:rPr>
        <w:t> </w:t>
      </w:r>
      <w:r>
        <w:rPr>
          <w:vertAlign w:val="baseline"/>
        </w:rPr>
        <w:t>of</w:t>
      </w:r>
      <w:r>
        <w:rPr>
          <w:spacing w:val="25"/>
          <w:vertAlign w:val="baseline"/>
        </w:rPr>
        <w:t> </w:t>
      </w:r>
      <w:r>
        <w:rPr>
          <w:vertAlign w:val="baseline"/>
        </w:rPr>
        <w:t>his</w:t>
      </w:r>
      <w:r>
        <w:rPr>
          <w:spacing w:val="24"/>
          <w:vertAlign w:val="baseline"/>
        </w:rPr>
        <w:t> </w:t>
      </w:r>
      <w:r>
        <w:rPr>
          <w:vertAlign w:val="baseline"/>
        </w:rPr>
        <w:t>remuneration</w:t>
      </w:r>
    </w:p>
    <w:p>
      <w:pPr>
        <w:spacing w:line="235" w:lineRule="auto" w:before="104"/>
        <w:ind w:left="187" w:right="563" w:firstLine="0"/>
        <w:jc w:val="left"/>
        <w:rPr>
          <w:rFonts w:ascii="Times New Roman" w:hAnsi="Times New Roman"/>
          <w:sz w:val="19"/>
        </w:rPr>
      </w:pPr>
      <w:r>
        <w:rPr>
          <w:rFonts w:ascii="Times New Roman" w:hAnsi="Times New Roman"/>
          <w:sz w:val="19"/>
          <w:vertAlign w:val="superscript"/>
        </w:rPr>
        <w:t>233</w:t>
      </w:r>
      <w:r>
        <w:rPr>
          <w:rFonts w:ascii="Times New Roman" w:hAnsi="Times New Roman"/>
          <w:sz w:val="19"/>
          <w:vertAlign w:val="baseline"/>
        </w:rPr>
        <w:t> See</w:t>
      </w:r>
      <w:r>
        <w:rPr>
          <w:rFonts w:ascii="Times New Roman" w:hAnsi="Times New Roman"/>
          <w:spacing w:val="-3"/>
          <w:sz w:val="19"/>
          <w:vertAlign w:val="baseline"/>
        </w:rPr>
        <w:t> </w:t>
      </w:r>
      <w:r>
        <w:rPr>
          <w:rFonts w:ascii="Times New Roman" w:hAnsi="Times New Roman"/>
          <w:sz w:val="19"/>
          <w:vertAlign w:val="baseline"/>
        </w:rPr>
        <w:t>sections</w:t>
      </w:r>
      <w:r>
        <w:rPr>
          <w:rFonts w:ascii="Times New Roman" w:hAnsi="Times New Roman"/>
          <w:spacing w:val="-7"/>
          <w:sz w:val="19"/>
          <w:vertAlign w:val="baseline"/>
        </w:rPr>
        <w:t> </w:t>
      </w:r>
      <w:r>
        <w:rPr>
          <w:rFonts w:ascii="Times New Roman" w:hAnsi="Times New Roman"/>
          <w:sz w:val="19"/>
          <w:vertAlign w:val="baseline"/>
        </w:rPr>
        <w:t>1(a),</w:t>
      </w:r>
      <w:r>
        <w:rPr>
          <w:rFonts w:ascii="Times New Roman" w:hAnsi="Times New Roman"/>
          <w:spacing w:val="-5"/>
          <w:sz w:val="19"/>
          <w:vertAlign w:val="baseline"/>
        </w:rPr>
        <w:t> </w:t>
      </w:r>
      <w:r>
        <w:rPr>
          <w:rFonts w:ascii="Times New Roman" w:hAnsi="Times New Roman"/>
          <w:sz w:val="19"/>
          <w:vertAlign w:val="baseline"/>
        </w:rPr>
        <w:t>7(1),</w:t>
      </w:r>
      <w:r>
        <w:rPr>
          <w:rFonts w:ascii="Times New Roman" w:hAnsi="Times New Roman"/>
          <w:spacing w:val="-5"/>
          <w:sz w:val="19"/>
          <w:vertAlign w:val="baseline"/>
        </w:rPr>
        <w:t> </w:t>
      </w:r>
      <w:r>
        <w:rPr>
          <w:rFonts w:ascii="Times New Roman" w:hAnsi="Times New Roman"/>
          <w:sz w:val="19"/>
          <w:vertAlign w:val="baseline"/>
        </w:rPr>
        <w:t>8(1),</w:t>
      </w:r>
      <w:r>
        <w:rPr>
          <w:rFonts w:ascii="Times New Roman" w:hAnsi="Times New Roman"/>
          <w:spacing w:val="-4"/>
          <w:sz w:val="19"/>
          <w:vertAlign w:val="baseline"/>
        </w:rPr>
        <w:t> </w:t>
      </w:r>
      <w:r>
        <w:rPr>
          <w:rFonts w:ascii="Times New Roman" w:hAnsi="Times New Roman"/>
          <w:sz w:val="19"/>
          <w:vertAlign w:val="baseline"/>
        </w:rPr>
        <w:t>10(1</w:t>
      </w:r>
      <w:r>
        <w:rPr>
          <w:rFonts w:ascii="Times New Roman" w:hAnsi="Times New Roman"/>
          <w:i/>
          <w:sz w:val="19"/>
          <w:vertAlign w:val="baseline"/>
        </w:rPr>
        <w:t>),</w:t>
      </w:r>
      <w:r>
        <w:rPr>
          <w:rFonts w:ascii="Times New Roman" w:hAnsi="Times New Roman"/>
          <w:i/>
          <w:spacing w:val="-5"/>
          <w:sz w:val="19"/>
          <w:vertAlign w:val="baseline"/>
        </w:rPr>
        <w:t> </w:t>
      </w:r>
      <w:r>
        <w:rPr>
          <w:rFonts w:ascii="Times New Roman" w:hAnsi="Times New Roman"/>
          <w:i/>
          <w:sz w:val="19"/>
          <w:vertAlign w:val="baseline"/>
        </w:rPr>
        <w:t>ibid</w:t>
      </w:r>
      <w:r>
        <w:rPr>
          <w:rFonts w:ascii="Times New Roman" w:hAnsi="Times New Roman"/>
          <w:sz w:val="19"/>
          <w:vertAlign w:val="baseline"/>
        </w:rPr>
        <w:t>.</w:t>
      </w:r>
      <w:r>
        <w:rPr>
          <w:rFonts w:ascii="Times New Roman" w:hAnsi="Times New Roman"/>
          <w:spacing w:val="-1"/>
          <w:sz w:val="19"/>
          <w:vertAlign w:val="baseline"/>
        </w:rPr>
        <w:t> </w:t>
      </w:r>
      <w:r>
        <w:rPr>
          <w:rFonts w:ascii="Times New Roman" w:hAnsi="Times New Roman"/>
          <w:sz w:val="19"/>
          <w:vertAlign w:val="baseline"/>
        </w:rPr>
        <w:t>See</w:t>
      </w:r>
      <w:r>
        <w:rPr>
          <w:rFonts w:ascii="Times New Roman" w:hAnsi="Times New Roman"/>
          <w:spacing w:val="-7"/>
          <w:sz w:val="19"/>
          <w:vertAlign w:val="baseline"/>
        </w:rPr>
        <w:t> </w:t>
      </w:r>
      <w:r>
        <w:rPr>
          <w:rFonts w:ascii="Times New Roman" w:hAnsi="Times New Roman"/>
          <w:sz w:val="19"/>
          <w:vertAlign w:val="baseline"/>
        </w:rPr>
        <w:t>also</w:t>
      </w:r>
      <w:r>
        <w:rPr>
          <w:rFonts w:ascii="Times New Roman" w:hAnsi="Times New Roman"/>
          <w:spacing w:val="-8"/>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Long</w:t>
      </w:r>
      <w:r>
        <w:rPr>
          <w:rFonts w:ascii="Times New Roman" w:hAnsi="Times New Roman"/>
          <w:spacing w:val="-8"/>
          <w:sz w:val="19"/>
          <w:vertAlign w:val="baseline"/>
        </w:rPr>
        <w:t> </w:t>
      </w:r>
      <w:r>
        <w:rPr>
          <w:rFonts w:ascii="Times New Roman" w:hAnsi="Times New Roman"/>
          <w:sz w:val="19"/>
          <w:vertAlign w:val="baseline"/>
        </w:rPr>
        <w:t>Title</w:t>
      </w:r>
      <w:r>
        <w:rPr>
          <w:rFonts w:ascii="Times New Roman" w:hAnsi="Times New Roman"/>
          <w:spacing w:val="-7"/>
          <w:sz w:val="19"/>
          <w:vertAlign w:val="baseline"/>
        </w:rPr>
        <w:t> </w:t>
      </w:r>
      <w:r>
        <w:rPr>
          <w:rFonts w:ascii="Times New Roman" w:hAnsi="Times New Roman"/>
          <w:sz w:val="19"/>
          <w:vertAlign w:val="baseline"/>
        </w:rPr>
        <w:t>to</w:t>
      </w:r>
      <w:r>
        <w:rPr>
          <w:rFonts w:ascii="Times New Roman" w:hAnsi="Times New Roman"/>
          <w:spacing w:val="-8"/>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Act</w:t>
      </w:r>
      <w:r>
        <w:rPr>
          <w:rFonts w:ascii="Times New Roman" w:hAnsi="Times New Roman"/>
          <w:spacing w:val="-1"/>
          <w:sz w:val="19"/>
          <w:vertAlign w:val="baseline"/>
        </w:rPr>
        <w:t> </w:t>
      </w:r>
      <w:r>
        <w:rPr>
          <w:rFonts w:ascii="Times New Roman" w:hAnsi="Times New Roman"/>
          <w:sz w:val="19"/>
          <w:vertAlign w:val="baseline"/>
        </w:rPr>
        <w:t>which</w:t>
      </w:r>
      <w:r>
        <w:rPr>
          <w:rFonts w:ascii="Times New Roman" w:hAnsi="Times New Roman"/>
          <w:spacing w:val="-8"/>
          <w:sz w:val="19"/>
          <w:vertAlign w:val="baseline"/>
        </w:rPr>
        <w:t> </w:t>
      </w:r>
      <w:r>
        <w:rPr>
          <w:rFonts w:ascii="Times New Roman" w:hAnsi="Times New Roman"/>
          <w:sz w:val="19"/>
          <w:vertAlign w:val="baseline"/>
        </w:rPr>
        <w:t>reads</w:t>
      </w:r>
      <w:r>
        <w:rPr>
          <w:rFonts w:ascii="Times New Roman" w:hAnsi="Times New Roman"/>
          <w:spacing w:val="-11"/>
          <w:sz w:val="19"/>
          <w:vertAlign w:val="baseline"/>
        </w:rPr>
        <w:t> </w:t>
      </w:r>
      <w:r>
        <w:rPr>
          <w:rFonts w:ascii="Times New Roman" w:hAnsi="Times New Roman"/>
          <w:sz w:val="19"/>
          <w:vertAlign w:val="baseline"/>
        </w:rPr>
        <w:t>“An</w:t>
      </w:r>
      <w:r>
        <w:rPr>
          <w:rFonts w:ascii="Times New Roman" w:hAnsi="Times New Roman"/>
          <w:spacing w:val="-4"/>
          <w:sz w:val="19"/>
          <w:vertAlign w:val="baseline"/>
        </w:rPr>
        <w:t> </w:t>
      </w:r>
      <w:r>
        <w:rPr>
          <w:rFonts w:ascii="Times New Roman" w:hAnsi="Times New Roman"/>
          <w:sz w:val="19"/>
          <w:vertAlign w:val="baseline"/>
        </w:rPr>
        <w:t>Act</w:t>
      </w:r>
      <w:r>
        <w:rPr>
          <w:rFonts w:ascii="Times New Roman" w:hAnsi="Times New Roman"/>
          <w:spacing w:val="-5"/>
          <w:sz w:val="19"/>
          <w:vertAlign w:val="baseline"/>
        </w:rPr>
        <w:t> </w:t>
      </w:r>
      <w:r>
        <w:rPr>
          <w:rFonts w:ascii="Times New Roman" w:hAnsi="Times New Roman"/>
          <w:sz w:val="19"/>
          <w:vertAlign w:val="baseline"/>
        </w:rPr>
        <w:t>to</w:t>
      </w:r>
      <w:r>
        <w:rPr>
          <w:rFonts w:ascii="Times New Roman" w:hAnsi="Times New Roman"/>
          <w:spacing w:val="-8"/>
          <w:sz w:val="19"/>
          <w:vertAlign w:val="baseline"/>
        </w:rPr>
        <w:t> </w:t>
      </w:r>
      <w:r>
        <w:rPr>
          <w:rFonts w:ascii="Times New Roman" w:hAnsi="Times New Roman"/>
          <w:sz w:val="19"/>
          <w:vertAlign w:val="baseline"/>
        </w:rPr>
        <w:t>repeal</w:t>
      </w:r>
      <w:r>
        <w:rPr>
          <w:rFonts w:ascii="Times New Roman" w:hAnsi="Times New Roman"/>
          <w:spacing w:val="-5"/>
          <w:sz w:val="19"/>
          <w:vertAlign w:val="baseline"/>
        </w:rPr>
        <w:t> </w:t>
      </w:r>
      <w:r>
        <w:rPr>
          <w:rFonts w:ascii="Times New Roman" w:hAnsi="Times New Roman"/>
          <w:sz w:val="19"/>
          <w:vertAlign w:val="baseline"/>
        </w:rPr>
        <w:t>the </w:t>
      </w:r>
      <w:r>
        <w:rPr>
          <w:rFonts w:ascii="Times New Roman" w:hAnsi="Times New Roman"/>
          <w:i/>
          <w:sz w:val="19"/>
          <w:vertAlign w:val="baseline"/>
        </w:rPr>
        <w:t>Workmen’s Compensation</w:t>
      </w:r>
      <w:r>
        <w:rPr>
          <w:rFonts w:ascii="Times New Roman" w:hAnsi="Times New Roman"/>
          <w:i/>
          <w:spacing w:val="-1"/>
          <w:sz w:val="19"/>
          <w:vertAlign w:val="baseline"/>
        </w:rPr>
        <w:t> </w:t>
      </w:r>
      <w:r>
        <w:rPr>
          <w:rFonts w:ascii="Times New Roman" w:hAnsi="Times New Roman"/>
          <w:i/>
          <w:sz w:val="19"/>
          <w:vertAlign w:val="baseline"/>
        </w:rPr>
        <w:t>Act </w:t>
      </w:r>
      <w:r>
        <w:rPr>
          <w:rFonts w:ascii="Times New Roman" w:hAnsi="Times New Roman"/>
          <w:sz w:val="19"/>
          <w:vertAlign w:val="baseline"/>
        </w:rPr>
        <w:t>Cap W6LFN, 2004</w:t>
      </w:r>
      <w:r>
        <w:rPr>
          <w:rFonts w:ascii="Times New Roman" w:hAnsi="Times New Roman"/>
          <w:spacing w:val="-1"/>
          <w:sz w:val="19"/>
          <w:vertAlign w:val="baseline"/>
        </w:rPr>
        <w:t> </w:t>
      </w:r>
      <w:r>
        <w:rPr>
          <w:rFonts w:ascii="Times New Roman" w:hAnsi="Times New Roman"/>
          <w:sz w:val="19"/>
          <w:vertAlign w:val="baseline"/>
        </w:rPr>
        <w:t>and</w:t>
      </w:r>
      <w:r>
        <w:rPr>
          <w:rFonts w:ascii="Times New Roman" w:hAnsi="Times New Roman"/>
          <w:spacing w:val="-1"/>
          <w:sz w:val="19"/>
          <w:vertAlign w:val="baseline"/>
        </w:rPr>
        <w:t> </w:t>
      </w:r>
      <w:r>
        <w:rPr>
          <w:rFonts w:ascii="Times New Roman" w:hAnsi="Times New Roman"/>
          <w:sz w:val="19"/>
          <w:vertAlign w:val="baseline"/>
        </w:rPr>
        <w:t>to</w:t>
      </w:r>
      <w:r>
        <w:rPr>
          <w:rFonts w:ascii="Times New Roman" w:hAnsi="Times New Roman"/>
          <w:spacing w:val="-1"/>
          <w:sz w:val="19"/>
          <w:vertAlign w:val="baseline"/>
        </w:rPr>
        <w:t> </w:t>
      </w:r>
      <w:r>
        <w:rPr>
          <w:rFonts w:ascii="Times New Roman" w:hAnsi="Times New Roman"/>
          <w:sz w:val="19"/>
          <w:vertAlign w:val="baseline"/>
        </w:rPr>
        <w:t>make provisions for compensation for any</w:t>
      </w:r>
      <w:r>
        <w:rPr>
          <w:rFonts w:ascii="Times New Roman" w:hAnsi="Times New Roman"/>
          <w:spacing w:val="-6"/>
          <w:sz w:val="19"/>
          <w:vertAlign w:val="baseline"/>
        </w:rPr>
        <w:t> </w:t>
      </w:r>
      <w:r>
        <w:rPr>
          <w:rFonts w:ascii="Times New Roman" w:hAnsi="Times New Roman"/>
          <w:sz w:val="19"/>
          <w:vertAlign w:val="baseline"/>
        </w:rPr>
        <w:t>death, injury</w:t>
      </w:r>
      <w:r>
        <w:rPr>
          <w:rFonts w:ascii="Times New Roman" w:hAnsi="Times New Roman"/>
          <w:spacing w:val="-6"/>
          <w:sz w:val="19"/>
          <w:vertAlign w:val="baseline"/>
        </w:rPr>
        <w:t> </w:t>
      </w:r>
      <w:r>
        <w:rPr>
          <w:rFonts w:ascii="Times New Roman" w:hAnsi="Times New Roman"/>
          <w:sz w:val="19"/>
          <w:vertAlign w:val="baseline"/>
        </w:rPr>
        <w:t>disease or disability</w:t>
      </w:r>
      <w:r>
        <w:rPr>
          <w:rFonts w:ascii="Times New Roman" w:hAnsi="Times New Roman"/>
          <w:spacing w:val="-6"/>
          <w:sz w:val="19"/>
          <w:vertAlign w:val="baseline"/>
        </w:rPr>
        <w:t> </w:t>
      </w:r>
      <w:r>
        <w:rPr>
          <w:rFonts w:ascii="Times New Roman" w:hAnsi="Times New Roman"/>
          <w:sz w:val="19"/>
          <w:vertAlign w:val="baseline"/>
        </w:rPr>
        <w:t>arising out of or in the course of</w:t>
      </w:r>
      <w:r>
        <w:rPr>
          <w:rFonts w:ascii="Times New Roman" w:hAnsi="Times New Roman"/>
          <w:spacing w:val="-2"/>
          <w:sz w:val="19"/>
          <w:vertAlign w:val="baseline"/>
        </w:rPr>
        <w:t> </w:t>
      </w:r>
      <w:r>
        <w:rPr>
          <w:rFonts w:ascii="Times New Roman" w:hAnsi="Times New Roman"/>
          <w:sz w:val="19"/>
          <w:vertAlign w:val="baseline"/>
        </w:rPr>
        <w:t>employment and for related matters.”</w:t>
      </w:r>
    </w:p>
    <w:p>
      <w:pPr>
        <w:spacing w:line="237" w:lineRule="auto" w:before="0"/>
        <w:ind w:left="187" w:right="563" w:firstLine="0"/>
        <w:jc w:val="left"/>
        <w:rPr>
          <w:rFonts w:ascii="Times New Roman" w:hAnsi="Times New Roman"/>
          <w:sz w:val="19"/>
        </w:rPr>
      </w:pPr>
      <w:r>
        <w:rPr>
          <w:rFonts w:ascii="Times New Roman" w:hAnsi="Times New Roman"/>
          <w:sz w:val="19"/>
          <w:vertAlign w:val="superscript"/>
        </w:rPr>
        <w:t>234</w:t>
      </w:r>
      <w:r>
        <w:rPr>
          <w:rFonts w:ascii="Times New Roman" w:hAnsi="Times New Roman"/>
          <w:spacing w:val="-2"/>
          <w:sz w:val="19"/>
          <w:vertAlign w:val="baseline"/>
        </w:rPr>
        <w:t> </w:t>
      </w:r>
      <w:r>
        <w:rPr>
          <w:rFonts w:ascii="Times New Roman" w:hAnsi="Times New Roman"/>
          <w:sz w:val="19"/>
          <w:vertAlign w:val="baseline"/>
        </w:rPr>
        <w:t>See</w:t>
      </w:r>
      <w:r>
        <w:rPr>
          <w:rFonts w:ascii="Times New Roman" w:hAnsi="Times New Roman"/>
          <w:spacing w:val="-4"/>
          <w:sz w:val="19"/>
          <w:vertAlign w:val="baseline"/>
        </w:rPr>
        <w:t> </w:t>
      </w:r>
      <w:r>
        <w:rPr>
          <w:rFonts w:ascii="Times New Roman" w:hAnsi="Times New Roman"/>
          <w:i/>
          <w:sz w:val="19"/>
          <w:vertAlign w:val="baseline"/>
        </w:rPr>
        <w:t>A.G</w:t>
      </w:r>
      <w:r>
        <w:rPr>
          <w:rFonts w:ascii="Times New Roman" w:hAnsi="Times New Roman"/>
          <w:i/>
          <w:spacing w:val="-7"/>
          <w:sz w:val="19"/>
          <w:vertAlign w:val="baseline"/>
        </w:rPr>
        <w:t> </w:t>
      </w:r>
      <w:r>
        <w:rPr>
          <w:rFonts w:ascii="Times New Roman" w:hAnsi="Times New Roman"/>
          <w:i/>
          <w:sz w:val="19"/>
          <w:vertAlign w:val="baseline"/>
        </w:rPr>
        <w:t>Ondo</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9"/>
          <w:sz w:val="19"/>
          <w:vertAlign w:val="baseline"/>
        </w:rPr>
        <w:t> </w:t>
      </w:r>
      <w:r>
        <w:rPr>
          <w:rFonts w:ascii="Times New Roman" w:hAnsi="Times New Roman"/>
          <w:i/>
          <w:sz w:val="19"/>
          <w:vertAlign w:val="baseline"/>
        </w:rPr>
        <w:t>Federation</w:t>
      </w:r>
      <w:r>
        <w:rPr>
          <w:rFonts w:ascii="Times New Roman" w:hAnsi="Times New Roman"/>
          <w:i/>
          <w:spacing w:val="-4"/>
          <w:sz w:val="19"/>
          <w:vertAlign w:val="baseline"/>
        </w:rPr>
        <w:t> </w:t>
      </w:r>
      <w:r>
        <w:rPr>
          <w:rFonts w:ascii="Times New Roman" w:hAnsi="Times New Roman"/>
          <w:sz w:val="19"/>
          <w:vertAlign w:val="baseline"/>
        </w:rPr>
        <w:t>(2002)</w:t>
      </w:r>
      <w:r>
        <w:rPr>
          <w:rFonts w:ascii="Times New Roman" w:hAnsi="Times New Roman"/>
          <w:spacing w:val="-10"/>
          <w:sz w:val="19"/>
          <w:vertAlign w:val="baseline"/>
        </w:rPr>
        <w:t> </w:t>
      </w:r>
      <w:r>
        <w:rPr>
          <w:rFonts w:ascii="Times New Roman" w:hAnsi="Times New Roman"/>
          <w:sz w:val="19"/>
          <w:vertAlign w:val="baseline"/>
        </w:rPr>
        <w:t>9NWLR</w:t>
      </w:r>
      <w:r>
        <w:rPr>
          <w:rFonts w:ascii="Times New Roman" w:hAnsi="Times New Roman"/>
          <w:spacing w:val="-6"/>
          <w:sz w:val="19"/>
          <w:vertAlign w:val="baseline"/>
        </w:rPr>
        <w:t> </w:t>
      </w:r>
      <w:r>
        <w:rPr>
          <w:rFonts w:ascii="Times New Roman" w:hAnsi="Times New Roman"/>
          <w:sz w:val="19"/>
          <w:vertAlign w:val="baseline"/>
        </w:rPr>
        <w:t>(Pt</w:t>
      </w:r>
      <w:r>
        <w:rPr>
          <w:rFonts w:ascii="Times New Roman" w:hAnsi="Times New Roman"/>
          <w:spacing w:val="-5"/>
          <w:sz w:val="19"/>
          <w:vertAlign w:val="baseline"/>
        </w:rPr>
        <w:t> </w:t>
      </w:r>
      <w:r>
        <w:rPr>
          <w:rFonts w:ascii="Times New Roman" w:hAnsi="Times New Roman"/>
          <w:sz w:val="19"/>
          <w:vertAlign w:val="baseline"/>
        </w:rPr>
        <w:t>772)</w:t>
      </w:r>
      <w:r>
        <w:rPr>
          <w:rFonts w:ascii="Times New Roman" w:hAnsi="Times New Roman"/>
          <w:spacing w:val="-12"/>
          <w:sz w:val="19"/>
          <w:vertAlign w:val="baseline"/>
        </w:rPr>
        <w:t> </w:t>
      </w:r>
      <w:r>
        <w:rPr>
          <w:rFonts w:ascii="Times New Roman" w:hAnsi="Times New Roman"/>
          <w:sz w:val="19"/>
          <w:vertAlign w:val="baseline"/>
        </w:rPr>
        <w:t>241</w:t>
      </w:r>
      <w:r>
        <w:rPr>
          <w:rFonts w:ascii="Times New Roman" w:hAnsi="Times New Roman"/>
          <w:spacing w:val="-4"/>
          <w:sz w:val="19"/>
          <w:vertAlign w:val="baseline"/>
        </w:rPr>
        <w:t> </w:t>
      </w:r>
      <w:r>
        <w:rPr>
          <w:rFonts w:ascii="Times New Roman" w:hAnsi="Times New Roman"/>
          <w:sz w:val="19"/>
          <w:vertAlign w:val="baseline"/>
        </w:rPr>
        <w:t>where</w:t>
      </w:r>
      <w:r>
        <w:rPr>
          <w:rFonts w:ascii="Times New Roman" w:hAnsi="Times New Roman"/>
          <w:spacing w:val="-7"/>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Supreme</w:t>
      </w:r>
      <w:r>
        <w:rPr>
          <w:rFonts w:ascii="Times New Roman" w:hAnsi="Times New Roman"/>
          <w:spacing w:val="-7"/>
          <w:sz w:val="19"/>
          <w:vertAlign w:val="baseline"/>
        </w:rPr>
        <w:t> </w:t>
      </w:r>
      <w:r>
        <w:rPr>
          <w:rFonts w:ascii="Times New Roman" w:hAnsi="Times New Roman"/>
          <w:sz w:val="19"/>
          <w:vertAlign w:val="baseline"/>
        </w:rPr>
        <w:t>Court</w:t>
      </w:r>
      <w:r>
        <w:rPr>
          <w:rFonts w:ascii="Times New Roman" w:hAnsi="Times New Roman"/>
          <w:spacing w:val="-5"/>
          <w:sz w:val="19"/>
          <w:vertAlign w:val="baseline"/>
        </w:rPr>
        <w:t> </w:t>
      </w:r>
      <w:r>
        <w:rPr>
          <w:rFonts w:ascii="Times New Roman" w:hAnsi="Times New Roman"/>
          <w:sz w:val="19"/>
          <w:vertAlign w:val="baseline"/>
        </w:rPr>
        <w:t>said</w:t>
      </w:r>
      <w:r>
        <w:rPr>
          <w:rFonts w:ascii="Times New Roman" w:hAnsi="Times New Roman"/>
          <w:spacing w:val="-4"/>
          <w:sz w:val="19"/>
          <w:vertAlign w:val="baseline"/>
        </w:rPr>
        <w:t> </w:t>
      </w:r>
      <w:r>
        <w:rPr>
          <w:rFonts w:ascii="Times New Roman" w:hAnsi="Times New Roman"/>
          <w:sz w:val="19"/>
          <w:vertAlign w:val="baseline"/>
        </w:rPr>
        <w:t>“…</w:t>
      </w:r>
      <w:r>
        <w:rPr>
          <w:rFonts w:ascii="Times New Roman" w:hAnsi="Times New Roman"/>
          <w:spacing w:val="-7"/>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court should adopt such a construction as will promote the general</w:t>
      </w:r>
      <w:r>
        <w:rPr>
          <w:rFonts w:ascii="Times New Roman" w:hAnsi="Times New Roman"/>
          <w:spacing w:val="-1"/>
          <w:sz w:val="19"/>
          <w:vertAlign w:val="baseline"/>
        </w:rPr>
        <w:t> </w:t>
      </w:r>
      <w:r>
        <w:rPr>
          <w:rFonts w:ascii="Times New Roman" w:hAnsi="Times New Roman"/>
          <w:sz w:val="19"/>
          <w:vertAlign w:val="baseline"/>
        </w:rPr>
        <w:t>legislative purpose ...”</w:t>
      </w:r>
    </w:p>
    <w:p>
      <w:pPr>
        <w:spacing w:line="216" w:lineRule="exact" w:before="0"/>
        <w:ind w:left="187" w:right="0" w:firstLine="0"/>
        <w:jc w:val="left"/>
        <w:rPr>
          <w:rFonts w:ascii="Times New Roman" w:hAnsi="Times New Roman"/>
          <w:i/>
          <w:sz w:val="19"/>
        </w:rPr>
      </w:pPr>
      <w:r>
        <w:rPr>
          <w:rFonts w:ascii="Times New Roman" w:hAnsi="Times New Roman"/>
          <w:sz w:val="19"/>
          <w:vertAlign w:val="superscript"/>
        </w:rPr>
        <w:t>235</w:t>
      </w:r>
      <w:r>
        <w:rPr>
          <w:rFonts w:ascii="Times New Roman" w:hAnsi="Times New Roman"/>
          <w:spacing w:val="-12"/>
          <w:sz w:val="19"/>
          <w:vertAlign w:val="baseline"/>
        </w:rPr>
        <w:t> </w:t>
      </w:r>
      <w:r>
        <w:rPr>
          <w:rFonts w:ascii="Times New Roman" w:hAnsi="Times New Roman"/>
          <w:sz w:val="19"/>
          <w:vertAlign w:val="baseline"/>
        </w:rPr>
        <w:t>Section</w:t>
      </w:r>
      <w:r>
        <w:rPr>
          <w:rFonts w:ascii="Times New Roman" w:hAnsi="Times New Roman"/>
          <w:spacing w:val="-12"/>
          <w:sz w:val="19"/>
          <w:vertAlign w:val="baseline"/>
        </w:rPr>
        <w:t> </w:t>
      </w:r>
      <w:r>
        <w:rPr>
          <w:rFonts w:ascii="Times New Roman" w:hAnsi="Times New Roman"/>
          <w:sz w:val="19"/>
          <w:vertAlign w:val="baseline"/>
        </w:rPr>
        <w:t>22(1)(a)(b)</w:t>
      </w:r>
      <w:r>
        <w:rPr>
          <w:rFonts w:ascii="Times New Roman" w:hAnsi="Times New Roman"/>
          <w:spacing w:val="-11"/>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9"/>
          <w:sz w:val="19"/>
          <w:vertAlign w:val="baseline"/>
        </w:rPr>
        <w:t> </w:t>
      </w:r>
      <w:r>
        <w:rPr>
          <w:rFonts w:ascii="Times New Roman" w:hAnsi="Times New Roman"/>
          <w:sz w:val="19"/>
          <w:vertAlign w:val="baseline"/>
        </w:rPr>
        <w:t>Compensation</w:t>
      </w:r>
      <w:r>
        <w:rPr>
          <w:rFonts w:ascii="Times New Roman" w:hAnsi="Times New Roman"/>
          <w:spacing w:val="-8"/>
          <w:sz w:val="19"/>
          <w:vertAlign w:val="baseline"/>
        </w:rPr>
        <w:t> </w:t>
      </w:r>
      <w:r>
        <w:rPr>
          <w:rFonts w:ascii="Times New Roman" w:hAnsi="Times New Roman"/>
          <w:sz w:val="19"/>
          <w:vertAlign w:val="baseline"/>
        </w:rPr>
        <w:t>Act</w:t>
      </w:r>
      <w:r>
        <w:rPr>
          <w:rFonts w:ascii="Times New Roman" w:hAnsi="Times New Roman"/>
          <w:spacing w:val="-11"/>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after="0" w:line="216"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94"/>
        <w:ind w:left="864" w:right="562"/>
        <w:jc w:val="both"/>
      </w:pPr>
      <w:r>
        <w:rPr/>
        <w:t>resulting</w:t>
      </w:r>
      <w:r>
        <w:rPr>
          <w:spacing w:val="40"/>
        </w:rPr>
        <w:t> </w:t>
      </w:r>
      <w:r>
        <w:rPr/>
        <w:t>from</w:t>
      </w:r>
      <w:r>
        <w:rPr>
          <w:spacing w:val="40"/>
        </w:rPr>
        <w:t> </w:t>
      </w:r>
      <w:r>
        <w:rPr/>
        <w:t>the</w:t>
      </w:r>
      <w:r>
        <w:rPr>
          <w:spacing w:val="40"/>
        </w:rPr>
        <w:t> </w:t>
      </w:r>
      <w:r>
        <w:rPr/>
        <w:t>injury.</w:t>
      </w:r>
      <w:r>
        <w:rPr>
          <w:spacing w:val="40"/>
        </w:rPr>
        <w:t> </w:t>
      </w:r>
      <w:r>
        <w:rPr/>
        <w:t>The</w:t>
      </w:r>
      <w:r>
        <w:rPr>
          <w:spacing w:val="40"/>
        </w:rPr>
        <w:t> </w:t>
      </w:r>
      <w:r>
        <w:rPr/>
        <w:t>amount</w:t>
      </w:r>
      <w:r>
        <w:rPr>
          <w:spacing w:val="40"/>
        </w:rPr>
        <w:t> </w:t>
      </w:r>
      <w:r>
        <w:rPr/>
        <w:t>to</w:t>
      </w:r>
      <w:r>
        <w:rPr>
          <w:spacing w:val="40"/>
        </w:rPr>
        <w:t> </w:t>
      </w:r>
      <w:r>
        <w:rPr/>
        <w:t>be</w:t>
      </w:r>
      <w:r>
        <w:rPr>
          <w:spacing w:val="40"/>
        </w:rPr>
        <w:t> </w:t>
      </w:r>
      <w:r>
        <w:rPr/>
        <w:t>given</w:t>
      </w:r>
      <w:r>
        <w:rPr>
          <w:spacing w:val="40"/>
        </w:rPr>
        <w:t> </w:t>
      </w:r>
      <w:r>
        <w:rPr/>
        <w:t>periodically</w:t>
      </w:r>
      <w:r>
        <w:rPr>
          <w:spacing w:val="40"/>
        </w:rPr>
        <w:t> </w:t>
      </w:r>
      <w:r>
        <w:rPr/>
        <w:t>will therefore</w:t>
      </w:r>
      <w:r>
        <w:rPr>
          <w:spacing w:val="40"/>
        </w:rPr>
        <w:t> </w:t>
      </w:r>
      <w:r>
        <w:rPr/>
        <w:t>be</w:t>
      </w:r>
      <w:r>
        <w:rPr>
          <w:spacing w:val="40"/>
        </w:rPr>
        <w:t> </w:t>
      </w:r>
      <w:r>
        <w:rPr/>
        <w:t>90</w:t>
      </w:r>
      <w:r>
        <w:rPr>
          <w:spacing w:val="40"/>
        </w:rPr>
        <w:t> </w:t>
      </w:r>
      <w:r>
        <w:rPr/>
        <w:t>percent</w:t>
      </w:r>
      <w:r>
        <w:rPr>
          <w:spacing w:val="40"/>
        </w:rPr>
        <w:t> </w:t>
      </w:r>
      <w:r>
        <w:rPr/>
        <w:t>of</w:t>
      </w:r>
      <w:r>
        <w:rPr>
          <w:spacing w:val="40"/>
        </w:rPr>
        <w:t> </w:t>
      </w:r>
      <w:r>
        <w:rPr/>
        <w:t>the</w:t>
      </w:r>
      <w:r>
        <w:rPr>
          <w:spacing w:val="40"/>
        </w:rPr>
        <w:t> </w:t>
      </w:r>
      <w:r>
        <w:rPr/>
        <w:t>60</w:t>
      </w:r>
      <w:r>
        <w:rPr>
          <w:spacing w:val="40"/>
        </w:rPr>
        <w:t> </w:t>
      </w:r>
      <w:r>
        <w:rPr/>
        <w:t>percent</w:t>
      </w:r>
      <w:r>
        <w:rPr>
          <w:spacing w:val="40"/>
        </w:rPr>
        <w:t> </w:t>
      </w:r>
      <w:r>
        <w:rPr/>
        <w:t>i.e.</w:t>
      </w:r>
      <w:r>
        <w:rPr>
          <w:spacing w:val="40"/>
        </w:rPr>
        <w:t> </w:t>
      </w:r>
      <w:r>
        <w:rPr/>
        <w:t>(N60,000)</w:t>
      </w:r>
      <w:r>
        <w:rPr>
          <w:spacing w:val="40"/>
        </w:rPr>
        <w:t> </w:t>
      </w:r>
      <w:r>
        <w:rPr/>
        <w:t>which</w:t>
      </w:r>
      <w:r>
        <w:rPr>
          <w:spacing w:val="40"/>
        </w:rPr>
        <w:t> </w:t>
      </w:r>
      <w:r>
        <w:rPr/>
        <w:t>is estimated to be his lost remuneration resulting from the impairment, and this will be calculated as thus:</w:t>
      </w:r>
    </w:p>
    <w:p>
      <w:pPr>
        <w:pStyle w:val="BodyText"/>
        <w:spacing w:before="5"/>
        <w:ind w:left="864"/>
      </w:pPr>
      <w:r>
        <w:rPr/>
        <w:t>60,000</w:t>
      </w:r>
      <w:r>
        <w:rPr>
          <w:spacing w:val="3"/>
        </w:rPr>
        <w:t> </w:t>
      </w:r>
      <w:r>
        <w:rPr/>
        <w:t>X</w:t>
      </w:r>
      <w:r>
        <w:rPr>
          <w:spacing w:val="5"/>
        </w:rPr>
        <w:t> </w:t>
      </w:r>
      <w:r>
        <w:rPr/>
        <w:t>90</w:t>
      </w:r>
      <w:r>
        <w:rPr>
          <w:spacing w:val="-1"/>
        </w:rPr>
        <w:t> </w:t>
      </w:r>
      <w:r>
        <w:rPr/>
        <w:t>=</w:t>
      </w:r>
      <w:r>
        <w:rPr>
          <w:spacing w:val="4"/>
        </w:rPr>
        <w:t> </w:t>
      </w:r>
      <w:r>
        <w:rPr>
          <w:spacing w:val="-2"/>
        </w:rPr>
        <w:t>5,400,000</w:t>
      </w:r>
    </w:p>
    <w:p>
      <w:pPr>
        <w:pStyle w:val="BodyText"/>
        <w:spacing w:before="11"/>
      </w:pPr>
    </w:p>
    <w:p>
      <w:pPr>
        <w:pStyle w:val="BodyText"/>
        <w:tabs>
          <w:tab w:pos="2217" w:val="left" w:leader="none"/>
        </w:tabs>
        <w:ind w:left="864"/>
      </w:pPr>
      <w:r>
        <w:rPr>
          <w:spacing w:val="-2"/>
          <w:u w:val="single"/>
        </w:rPr>
        <w:t>5,400,000</w:t>
      </w:r>
      <w:r>
        <w:rPr/>
        <w:tab/>
        <w:t>=</w:t>
      </w:r>
      <w:r>
        <w:rPr>
          <w:spacing w:val="3"/>
        </w:rPr>
        <w:t> </w:t>
      </w:r>
      <w:r>
        <w:rPr>
          <w:spacing w:val="-2"/>
        </w:rPr>
        <w:t>54,000</w:t>
      </w:r>
    </w:p>
    <w:p>
      <w:pPr>
        <w:pStyle w:val="BodyText"/>
        <w:spacing w:before="5"/>
        <w:ind w:left="1156"/>
      </w:pPr>
      <w:r>
        <w:rPr>
          <w:spacing w:val="-5"/>
        </w:rPr>
        <w:t>100</w:t>
      </w:r>
    </w:p>
    <w:p>
      <w:pPr>
        <w:pStyle w:val="BodyText"/>
        <w:spacing w:before="11"/>
      </w:pPr>
    </w:p>
    <w:p>
      <w:pPr>
        <w:pStyle w:val="BodyText"/>
        <w:spacing w:line="489" w:lineRule="auto" w:before="1"/>
        <w:ind w:left="864" w:right="569"/>
        <w:jc w:val="both"/>
      </w:pPr>
      <w:r>
        <w:rPr/>
        <w:t>Therefore, the periodic compensation due to the disabled employee will amount to N54,000</w:t>
      </w:r>
    </w:p>
    <w:p>
      <w:pPr>
        <w:pStyle w:val="BodyText"/>
        <w:spacing w:before="10"/>
      </w:pPr>
    </w:p>
    <w:p>
      <w:pPr>
        <w:pStyle w:val="BodyText"/>
        <w:spacing w:line="489" w:lineRule="auto"/>
        <w:ind w:left="864" w:right="568"/>
        <w:jc w:val="both"/>
      </w:pPr>
      <w:r>
        <w:rPr/>
        <w:t>In order to arrive at a just estimate, the Board is mandated to have</w:t>
      </w:r>
      <w:r>
        <w:rPr>
          <w:spacing w:val="80"/>
        </w:rPr>
        <w:t> </w:t>
      </w:r>
      <w:r>
        <w:rPr/>
        <w:t>recourse to the Second Schedule to the Act</w:t>
      </w:r>
      <w:r>
        <w:rPr>
          <w:vertAlign w:val="superscript"/>
        </w:rPr>
        <w:t>236</w:t>
      </w:r>
      <w:r>
        <w:rPr>
          <w:vertAlign w:val="baseline"/>
        </w:rPr>
        <w:t> . The schedules may be revised or amended by the Board through a regulation published in the Federal Gazette.</w:t>
      </w:r>
      <w:r>
        <w:rPr>
          <w:vertAlign w:val="superscript"/>
        </w:rPr>
        <w:t>237</w:t>
      </w:r>
    </w:p>
    <w:p>
      <w:pPr>
        <w:pStyle w:val="BodyText"/>
        <w:spacing w:before="6"/>
      </w:pPr>
    </w:p>
    <w:p>
      <w:pPr>
        <w:pStyle w:val="BodyText"/>
        <w:spacing w:line="491" w:lineRule="auto"/>
        <w:ind w:left="864" w:right="565"/>
        <w:jc w:val="both"/>
      </w:pPr>
      <w:r>
        <w:rPr/>
        <w:t>The</w:t>
      </w:r>
      <w:r>
        <w:rPr>
          <w:spacing w:val="34"/>
        </w:rPr>
        <w:t> </w:t>
      </w:r>
      <w:r>
        <w:rPr/>
        <w:t>estimate</w:t>
      </w:r>
      <w:r>
        <w:rPr>
          <w:spacing w:val="29"/>
        </w:rPr>
        <w:t> </w:t>
      </w:r>
      <w:r>
        <w:rPr/>
        <w:t>of</w:t>
      </w:r>
      <w:r>
        <w:rPr>
          <w:spacing w:val="34"/>
        </w:rPr>
        <w:t> </w:t>
      </w:r>
      <w:r>
        <w:rPr/>
        <w:t>the</w:t>
      </w:r>
      <w:r>
        <w:rPr>
          <w:spacing w:val="28"/>
        </w:rPr>
        <w:t> </w:t>
      </w:r>
      <w:r>
        <w:rPr/>
        <w:t>loss</w:t>
      </w:r>
      <w:r>
        <w:rPr>
          <w:spacing w:val="32"/>
        </w:rPr>
        <w:t> </w:t>
      </w:r>
      <w:r>
        <w:rPr/>
        <w:t>of</w:t>
      </w:r>
      <w:r>
        <w:rPr>
          <w:spacing w:val="34"/>
        </w:rPr>
        <w:t> </w:t>
      </w:r>
      <w:r>
        <w:rPr/>
        <w:t>remuneration</w:t>
      </w:r>
      <w:r>
        <w:rPr>
          <w:spacing w:val="31"/>
        </w:rPr>
        <w:t> </w:t>
      </w:r>
      <w:r>
        <w:rPr/>
        <w:t>does</w:t>
      </w:r>
      <w:r>
        <w:rPr>
          <w:spacing w:val="28"/>
        </w:rPr>
        <w:t> </w:t>
      </w:r>
      <w:r>
        <w:rPr/>
        <w:t>not</w:t>
      </w:r>
      <w:r>
        <w:rPr>
          <w:spacing w:val="25"/>
        </w:rPr>
        <w:t> </w:t>
      </w:r>
      <w:r>
        <w:rPr/>
        <w:t>mean</w:t>
      </w:r>
      <w:r>
        <w:rPr>
          <w:spacing w:val="31"/>
        </w:rPr>
        <w:t> </w:t>
      </w:r>
      <w:r>
        <w:rPr/>
        <w:t>actual</w:t>
      </w:r>
      <w:r>
        <w:rPr>
          <w:spacing w:val="31"/>
        </w:rPr>
        <w:t> </w:t>
      </w:r>
      <w:r>
        <w:rPr/>
        <w:t>reduction in</w:t>
      </w:r>
      <w:r>
        <w:rPr>
          <w:spacing w:val="40"/>
        </w:rPr>
        <w:t> </w:t>
      </w:r>
      <w:r>
        <w:rPr/>
        <w:t>one’s</w:t>
      </w:r>
      <w:r>
        <w:rPr>
          <w:spacing w:val="40"/>
        </w:rPr>
        <w:t> </w:t>
      </w:r>
      <w:r>
        <w:rPr/>
        <w:t>remuneration.</w:t>
      </w:r>
      <w:r>
        <w:rPr>
          <w:vertAlign w:val="superscript"/>
        </w:rPr>
        <w:t>238</w:t>
      </w:r>
      <w:r>
        <w:rPr>
          <w:spacing w:val="40"/>
          <w:vertAlign w:val="baseline"/>
        </w:rPr>
        <w:t> </w:t>
      </w:r>
      <w:r>
        <w:rPr>
          <w:vertAlign w:val="baseline"/>
        </w:rPr>
        <w:t>One</w:t>
      </w:r>
      <w:r>
        <w:rPr>
          <w:spacing w:val="40"/>
          <w:vertAlign w:val="baseline"/>
        </w:rPr>
        <w:t> </w:t>
      </w:r>
      <w:r>
        <w:rPr>
          <w:vertAlign w:val="baseline"/>
        </w:rPr>
        <w:t>may</w:t>
      </w:r>
      <w:r>
        <w:rPr>
          <w:spacing w:val="40"/>
          <w:vertAlign w:val="baseline"/>
        </w:rPr>
        <w:t> </w:t>
      </w:r>
      <w:r>
        <w:rPr>
          <w:vertAlign w:val="baseline"/>
        </w:rPr>
        <w:t>still</w:t>
      </w:r>
      <w:r>
        <w:rPr>
          <w:spacing w:val="40"/>
          <w:vertAlign w:val="baseline"/>
        </w:rPr>
        <w:t> </w:t>
      </w:r>
      <w:r>
        <w:rPr>
          <w:vertAlign w:val="baseline"/>
        </w:rPr>
        <w:t>be</w:t>
      </w:r>
      <w:r>
        <w:rPr>
          <w:spacing w:val="40"/>
          <w:vertAlign w:val="baseline"/>
        </w:rPr>
        <w:t> </w:t>
      </w:r>
      <w:r>
        <w:rPr>
          <w:vertAlign w:val="baseline"/>
        </w:rPr>
        <w:t>collecting</w:t>
      </w:r>
      <w:r>
        <w:rPr>
          <w:spacing w:val="40"/>
          <w:vertAlign w:val="baseline"/>
        </w:rPr>
        <w:t> </w:t>
      </w:r>
      <w:r>
        <w:rPr>
          <w:vertAlign w:val="baseline"/>
        </w:rPr>
        <w:t>the</w:t>
      </w:r>
      <w:r>
        <w:rPr>
          <w:spacing w:val="40"/>
          <w:vertAlign w:val="baseline"/>
        </w:rPr>
        <w:t> </w:t>
      </w:r>
      <w:r>
        <w:rPr>
          <w:vertAlign w:val="baseline"/>
        </w:rPr>
        <w:t>saou(salary</w:t>
      </w:r>
      <w:r>
        <w:rPr>
          <w:spacing w:val="40"/>
          <w:vertAlign w:val="baseline"/>
        </w:rPr>
        <w:t> </w:t>
      </w:r>
      <w:r>
        <w:rPr>
          <w:vertAlign w:val="baseline"/>
        </w:rPr>
        <w:t>he was collecting before the disability but the injury has in fact reduced his earning capacity.</w:t>
      </w:r>
      <w:r>
        <w:rPr>
          <w:vertAlign w:val="superscript"/>
        </w:rPr>
        <w:t>239</w:t>
      </w:r>
      <w:r>
        <w:rPr>
          <w:vertAlign w:val="baseline"/>
        </w:rPr>
        <w:t> Where the Board makes a determination to the effect that</w:t>
      </w:r>
      <w:r>
        <w:rPr>
          <w:spacing w:val="40"/>
          <w:vertAlign w:val="baseline"/>
        </w:rPr>
        <w:t> </w:t>
      </w:r>
      <w:r>
        <w:rPr>
          <w:vertAlign w:val="baseline"/>
        </w:rPr>
        <w:t>the</w:t>
      </w:r>
      <w:r>
        <w:rPr>
          <w:spacing w:val="40"/>
          <w:vertAlign w:val="baseline"/>
        </w:rPr>
        <w:t> </w:t>
      </w:r>
      <w:r>
        <w:rPr>
          <w:vertAlign w:val="baseline"/>
        </w:rPr>
        <w:t>first</w:t>
      </w:r>
      <w:r>
        <w:rPr>
          <w:spacing w:val="40"/>
          <w:vertAlign w:val="baseline"/>
        </w:rPr>
        <w:t> </w:t>
      </w:r>
      <w:r>
        <w:rPr>
          <w:vertAlign w:val="baseline"/>
        </w:rPr>
        <w:t>estimation</w:t>
      </w:r>
      <w:r>
        <w:rPr>
          <w:spacing w:val="40"/>
          <w:vertAlign w:val="baseline"/>
        </w:rPr>
        <w:t> </w:t>
      </w:r>
      <w:r>
        <w:rPr>
          <w:vertAlign w:val="baseline"/>
        </w:rPr>
        <w:t>is</w:t>
      </w:r>
      <w:r>
        <w:rPr>
          <w:spacing w:val="40"/>
          <w:vertAlign w:val="baseline"/>
        </w:rPr>
        <w:t> </w:t>
      </w:r>
      <w:r>
        <w:rPr>
          <w:vertAlign w:val="baseline"/>
        </w:rPr>
        <w:t>inadequate,</w:t>
      </w:r>
      <w:r>
        <w:rPr>
          <w:spacing w:val="40"/>
          <w:vertAlign w:val="baseline"/>
        </w:rPr>
        <w:t> </w:t>
      </w:r>
      <w:r>
        <w:rPr>
          <w:vertAlign w:val="baseline"/>
        </w:rPr>
        <w:t>looking</w:t>
      </w:r>
      <w:r>
        <w:rPr>
          <w:spacing w:val="40"/>
          <w:vertAlign w:val="baseline"/>
        </w:rPr>
        <w:t> </w:t>
      </w:r>
      <w:r>
        <w:rPr>
          <w:vertAlign w:val="baseline"/>
        </w:rPr>
        <w:t>at</w:t>
      </w:r>
      <w:r>
        <w:rPr>
          <w:spacing w:val="40"/>
          <w:vertAlign w:val="baseline"/>
        </w:rPr>
        <w:t> </w:t>
      </w:r>
      <w:r>
        <w:rPr>
          <w:vertAlign w:val="baseline"/>
        </w:rPr>
        <w:t>the</w:t>
      </w:r>
      <w:r>
        <w:rPr>
          <w:spacing w:val="39"/>
          <w:vertAlign w:val="baseline"/>
        </w:rPr>
        <w:t> </w:t>
      </w:r>
      <w:r>
        <w:rPr>
          <w:vertAlign w:val="baseline"/>
        </w:rPr>
        <w:t>combined</w:t>
      </w:r>
      <w:r>
        <w:rPr>
          <w:spacing w:val="40"/>
          <w:vertAlign w:val="baseline"/>
        </w:rPr>
        <w:t> </w:t>
      </w:r>
      <w:r>
        <w:rPr>
          <w:vertAlign w:val="baseline"/>
        </w:rPr>
        <w:t>effect</w:t>
      </w:r>
      <w:r>
        <w:rPr>
          <w:spacing w:val="40"/>
          <w:vertAlign w:val="baseline"/>
        </w:rPr>
        <w:t> </w:t>
      </w:r>
      <w:r>
        <w:rPr>
          <w:vertAlign w:val="baseline"/>
        </w:rPr>
        <w:t>of the occupation of the employee at the time of the injury and the disability resulting</w:t>
      </w:r>
      <w:r>
        <w:rPr>
          <w:spacing w:val="26"/>
          <w:vertAlign w:val="baseline"/>
        </w:rPr>
        <w:t> </w:t>
      </w:r>
      <w:r>
        <w:rPr>
          <w:vertAlign w:val="baseline"/>
        </w:rPr>
        <w:t>from</w:t>
      </w:r>
      <w:r>
        <w:rPr>
          <w:spacing w:val="27"/>
          <w:vertAlign w:val="baseline"/>
        </w:rPr>
        <w:t> </w:t>
      </w:r>
      <w:r>
        <w:rPr>
          <w:vertAlign w:val="baseline"/>
        </w:rPr>
        <w:t>the</w:t>
      </w:r>
      <w:r>
        <w:rPr>
          <w:spacing w:val="28"/>
          <w:vertAlign w:val="baseline"/>
        </w:rPr>
        <w:t> </w:t>
      </w:r>
      <w:r>
        <w:rPr>
          <w:vertAlign w:val="baseline"/>
        </w:rPr>
        <w:t>injury,</w:t>
      </w:r>
      <w:r>
        <w:rPr>
          <w:spacing w:val="28"/>
          <w:vertAlign w:val="baseline"/>
        </w:rPr>
        <w:t> </w:t>
      </w:r>
      <w:r>
        <w:rPr>
          <w:vertAlign w:val="baseline"/>
        </w:rPr>
        <w:t>the</w:t>
      </w:r>
      <w:r>
        <w:rPr>
          <w:spacing w:val="24"/>
          <w:vertAlign w:val="baseline"/>
        </w:rPr>
        <w:t> </w:t>
      </w:r>
      <w:r>
        <w:rPr>
          <w:vertAlign w:val="baseline"/>
        </w:rPr>
        <w:t>Board</w:t>
      </w:r>
      <w:r>
        <w:rPr>
          <w:spacing w:val="26"/>
          <w:vertAlign w:val="baseline"/>
        </w:rPr>
        <w:t> </w:t>
      </w:r>
      <w:r>
        <w:rPr>
          <w:vertAlign w:val="baseline"/>
        </w:rPr>
        <w:t>may</w:t>
      </w:r>
      <w:r>
        <w:rPr>
          <w:spacing w:val="31"/>
          <w:vertAlign w:val="baseline"/>
        </w:rPr>
        <w:t> </w:t>
      </w:r>
      <w:r>
        <w:rPr>
          <w:vertAlign w:val="baseline"/>
        </w:rPr>
        <w:t>pay</w:t>
      </w:r>
      <w:r>
        <w:rPr>
          <w:spacing w:val="25"/>
          <w:vertAlign w:val="baseline"/>
        </w:rPr>
        <w:t> </w:t>
      </w:r>
      <w:r>
        <w:rPr>
          <w:vertAlign w:val="baseline"/>
        </w:rPr>
        <w:t>the</w:t>
      </w:r>
      <w:r>
        <w:rPr>
          <w:spacing w:val="24"/>
          <w:vertAlign w:val="baseline"/>
        </w:rPr>
        <w:t> </w:t>
      </w:r>
      <w:r>
        <w:rPr>
          <w:vertAlign w:val="baseline"/>
        </w:rPr>
        <w:t>employee</w:t>
      </w:r>
      <w:r>
        <w:rPr>
          <w:spacing w:val="23"/>
          <w:vertAlign w:val="baseline"/>
        </w:rPr>
        <w:t> </w:t>
      </w:r>
      <w:r>
        <w:rPr>
          <w:vertAlign w:val="baseline"/>
        </w:rPr>
        <w:t>90</w:t>
      </w:r>
      <w:r>
        <w:rPr>
          <w:spacing w:val="29"/>
          <w:vertAlign w:val="baseline"/>
        </w:rPr>
        <w:t> </w:t>
      </w:r>
      <w:r>
        <w:rPr>
          <w:vertAlign w:val="baseline"/>
        </w:rPr>
        <w:t>percent</w:t>
      </w:r>
      <w:r>
        <w:rPr>
          <w:spacing w:val="31"/>
          <w:vertAlign w:val="baseline"/>
        </w:rPr>
        <w:t> </w:t>
      </w:r>
      <w:r>
        <w:rPr>
          <w:spacing w:val="-5"/>
          <w:vertAlign w:val="baseline"/>
        </w:rPr>
        <w:t>of</w:t>
      </w:r>
    </w:p>
    <w:p>
      <w:pPr>
        <w:pStyle w:val="BodyText"/>
        <w:spacing w:line="268" w:lineRule="exact"/>
        <w:ind w:left="864"/>
      </w:pPr>
      <w:r>
        <w:rPr/>
        <w:t>the</w:t>
      </w:r>
      <w:r>
        <w:rPr>
          <w:spacing w:val="31"/>
        </w:rPr>
        <w:t> </w:t>
      </w:r>
      <w:r>
        <w:rPr/>
        <w:t>difference</w:t>
      </w:r>
      <w:r>
        <w:rPr>
          <w:spacing w:val="37"/>
        </w:rPr>
        <w:t> </w:t>
      </w:r>
      <w:r>
        <w:rPr/>
        <w:t>between</w:t>
      </w:r>
      <w:r>
        <w:rPr>
          <w:spacing w:val="34"/>
        </w:rPr>
        <w:t> </w:t>
      </w:r>
      <w:r>
        <w:rPr/>
        <w:t>the</w:t>
      </w:r>
      <w:r>
        <w:rPr>
          <w:spacing w:val="31"/>
        </w:rPr>
        <w:t> </w:t>
      </w:r>
      <w:r>
        <w:rPr/>
        <w:t>remuneration</w:t>
      </w:r>
      <w:r>
        <w:rPr>
          <w:spacing w:val="39"/>
        </w:rPr>
        <w:t> </w:t>
      </w:r>
      <w:r>
        <w:rPr/>
        <w:t>of</w:t>
      </w:r>
      <w:r>
        <w:rPr>
          <w:spacing w:val="32"/>
        </w:rPr>
        <w:t> </w:t>
      </w:r>
      <w:r>
        <w:rPr/>
        <w:t>the</w:t>
      </w:r>
      <w:r>
        <w:rPr>
          <w:spacing w:val="31"/>
        </w:rPr>
        <w:t> </w:t>
      </w:r>
      <w:r>
        <w:rPr/>
        <w:t>worker</w:t>
      </w:r>
      <w:r>
        <w:rPr>
          <w:spacing w:val="37"/>
        </w:rPr>
        <w:t> </w:t>
      </w:r>
      <w:r>
        <w:rPr/>
        <w:t>before</w:t>
      </w:r>
      <w:r>
        <w:rPr>
          <w:spacing w:val="32"/>
        </w:rPr>
        <w:t> </w:t>
      </w:r>
      <w:r>
        <w:rPr/>
        <w:t>the</w:t>
      </w:r>
      <w:r>
        <w:rPr>
          <w:spacing w:val="31"/>
        </w:rPr>
        <w:t> </w:t>
      </w:r>
      <w:r>
        <w:rPr>
          <w:spacing w:val="-2"/>
        </w:rPr>
        <w:t>injury</w:t>
      </w:r>
    </w:p>
    <w:p>
      <w:pPr>
        <w:pStyle w:val="BodyText"/>
        <w:spacing w:before="1"/>
        <w:rPr>
          <w:sz w:val="17"/>
        </w:rPr>
      </w:pPr>
      <w:r>
        <w:rPr/>
        <mc:AlternateContent>
          <mc:Choice Requires="wps">
            <w:drawing>
              <wp:anchor distT="0" distB="0" distL="0" distR="0" allowOverlap="1" layoutInCell="1" locked="0" behindDoc="1" simplePos="0" relativeHeight="487631872">
                <wp:simplePos x="0" y="0"/>
                <wp:positionH relativeFrom="page">
                  <wp:posOffset>1185672</wp:posOffset>
                </wp:positionH>
                <wp:positionV relativeFrom="paragraph">
                  <wp:posOffset>146730</wp:posOffset>
                </wp:positionV>
                <wp:extent cx="1719580" cy="3175"/>
                <wp:effectExtent l="0" t="0" r="0" b="0"/>
                <wp:wrapTopAndBottom/>
                <wp:docPr id="101" name="Graphic 101"/>
                <wp:cNvGraphicFramePr>
                  <a:graphicFrameLocks/>
                </wp:cNvGraphicFramePr>
                <a:graphic>
                  <a:graphicData uri="http://schemas.microsoft.com/office/word/2010/wordprocessingShape">
                    <wps:wsp>
                      <wps:cNvPr id="101" name="Graphic 101"/>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553593pt;width:135.360pt;height:.24pt;mso-position-horizontal-relative:page;mso-position-vertical-relative:paragraph;z-index:-15684608;mso-wrap-distance-left:0;mso-wrap-distance-right:0" id="docshape101"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236</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22</w:t>
      </w:r>
      <w:r>
        <w:rPr>
          <w:rFonts w:ascii="Times New Roman"/>
          <w:spacing w:val="-2"/>
          <w:sz w:val="19"/>
          <w:vertAlign w:val="baseline"/>
        </w:rPr>
        <w:t> </w:t>
      </w:r>
      <w:r>
        <w:rPr>
          <w:rFonts w:ascii="Times New Roman"/>
          <w:sz w:val="19"/>
          <w:vertAlign w:val="baseline"/>
        </w:rPr>
        <w:t>(2)</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237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22(3</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238</w:t>
      </w:r>
      <w:r>
        <w:rPr>
          <w:rFonts w:ascii="Times New Roman"/>
          <w:spacing w:val="-6"/>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i/>
          <w:sz w:val="19"/>
          <w:vertAlign w:val="baseline"/>
        </w:rPr>
        <w:t>Thompson</w:t>
      </w:r>
      <w:r>
        <w:rPr>
          <w:rFonts w:ascii="Times New Roman"/>
          <w:i/>
          <w:spacing w:val="-3"/>
          <w:sz w:val="19"/>
          <w:vertAlign w:val="baseline"/>
        </w:rPr>
        <w:t> </w:t>
      </w:r>
      <w:r>
        <w:rPr>
          <w:rFonts w:ascii="Times New Roman"/>
          <w:i/>
          <w:sz w:val="19"/>
          <w:vertAlign w:val="baseline"/>
        </w:rPr>
        <w:t>v.</w:t>
      </w:r>
      <w:r>
        <w:rPr>
          <w:rFonts w:ascii="Times New Roman"/>
          <w:i/>
          <w:spacing w:val="-8"/>
          <w:sz w:val="19"/>
          <w:vertAlign w:val="baseline"/>
        </w:rPr>
        <w:t> </w:t>
      </w:r>
      <w:r>
        <w:rPr>
          <w:rFonts w:ascii="Times New Roman"/>
          <w:i/>
          <w:sz w:val="19"/>
          <w:vertAlign w:val="baseline"/>
        </w:rPr>
        <w:t>Armstrong</w:t>
      </w:r>
      <w:r>
        <w:rPr>
          <w:rFonts w:ascii="Times New Roman"/>
          <w:i/>
          <w:spacing w:val="-10"/>
          <w:sz w:val="19"/>
          <w:vertAlign w:val="baseline"/>
        </w:rPr>
        <w:t> </w:t>
      </w:r>
      <w:r>
        <w:rPr>
          <w:rFonts w:ascii="Times New Roman"/>
          <w:i/>
          <w:sz w:val="19"/>
          <w:vertAlign w:val="baseline"/>
        </w:rPr>
        <w:t>&amp;</w:t>
      </w:r>
      <w:r>
        <w:rPr>
          <w:rFonts w:ascii="Times New Roman"/>
          <w:i/>
          <w:spacing w:val="-12"/>
          <w:sz w:val="19"/>
          <w:vertAlign w:val="baseline"/>
        </w:rPr>
        <w:t> </w:t>
      </w:r>
      <w:r>
        <w:rPr>
          <w:rFonts w:ascii="Times New Roman"/>
          <w:i/>
          <w:sz w:val="19"/>
          <w:vertAlign w:val="baseline"/>
        </w:rPr>
        <w:t>Royse</w:t>
      </w:r>
      <w:r>
        <w:rPr>
          <w:rFonts w:ascii="Times New Roman"/>
          <w:i/>
          <w:spacing w:val="-1"/>
          <w:sz w:val="19"/>
          <w:vertAlign w:val="baseline"/>
        </w:rPr>
        <w:t> </w:t>
      </w:r>
      <w:r>
        <w:rPr>
          <w:rFonts w:ascii="Times New Roman"/>
          <w:i/>
          <w:sz w:val="19"/>
          <w:vertAlign w:val="baseline"/>
        </w:rPr>
        <w:t>Proprietary</w:t>
      </w:r>
      <w:r>
        <w:rPr>
          <w:rFonts w:ascii="Times New Roman"/>
          <w:i/>
          <w:spacing w:val="-6"/>
          <w:sz w:val="19"/>
          <w:vertAlign w:val="baseline"/>
        </w:rPr>
        <w:t> </w:t>
      </w:r>
      <w:r>
        <w:rPr>
          <w:rFonts w:ascii="Times New Roman"/>
          <w:sz w:val="19"/>
          <w:vertAlign w:val="baseline"/>
        </w:rPr>
        <w:t>Ltd</w:t>
      </w:r>
      <w:r>
        <w:rPr>
          <w:rFonts w:ascii="Times New Roman"/>
          <w:spacing w:val="-11"/>
          <w:sz w:val="19"/>
          <w:vertAlign w:val="baseline"/>
        </w:rPr>
        <w:t> </w:t>
      </w:r>
      <w:r>
        <w:rPr>
          <w:rFonts w:ascii="Times New Roman"/>
          <w:i/>
          <w:sz w:val="19"/>
          <w:vertAlign w:val="baseline"/>
        </w:rPr>
        <w:t>op</w:t>
      </w:r>
      <w:r>
        <w:rPr>
          <w:rFonts w:ascii="Times New Roman"/>
          <w:i/>
          <w:spacing w:val="-10"/>
          <w:sz w:val="19"/>
          <w:vertAlign w:val="baseline"/>
        </w:rPr>
        <w:t> </w:t>
      </w:r>
      <w:r>
        <w:rPr>
          <w:rFonts w:ascii="Times New Roman"/>
          <w:i/>
          <w:sz w:val="19"/>
          <w:vertAlign w:val="baseline"/>
        </w:rPr>
        <w:t>cit</w:t>
      </w:r>
      <w:r>
        <w:rPr>
          <w:rFonts w:ascii="Times New Roman"/>
          <w:i/>
          <w:spacing w:val="-7"/>
          <w:sz w:val="19"/>
          <w:vertAlign w:val="baseline"/>
        </w:rPr>
        <w:t> </w:t>
      </w:r>
      <w:r>
        <w:rPr>
          <w:rFonts w:ascii="Times New Roman"/>
          <w:sz w:val="19"/>
          <w:vertAlign w:val="baseline"/>
        </w:rPr>
        <w:t>at</w:t>
      </w:r>
      <w:r>
        <w:rPr>
          <w:rFonts w:ascii="Times New Roman"/>
          <w:spacing w:val="-8"/>
          <w:sz w:val="19"/>
          <w:vertAlign w:val="baseline"/>
        </w:rPr>
        <w:t> </w:t>
      </w:r>
      <w:r>
        <w:rPr>
          <w:rFonts w:ascii="Times New Roman"/>
          <w:sz w:val="19"/>
          <w:vertAlign w:val="baseline"/>
        </w:rPr>
        <w:t>note</w:t>
      </w:r>
      <w:r>
        <w:rPr>
          <w:rFonts w:ascii="Times New Roman"/>
          <w:spacing w:val="-5"/>
          <w:sz w:val="19"/>
          <w:vertAlign w:val="baseline"/>
        </w:rPr>
        <w:t> 94</w:t>
      </w:r>
    </w:p>
    <w:p>
      <w:pPr>
        <w:spacing w:line="217" w:lineRule="exact" w:before="0"/>
        <w:ind w:left="187" w:right="0" w:firstLine="0"/>
        <w:jc w:val="left"/>
        <w:rPr>
          <w:rFonts w:ascii="Times New Roman"/>
          <w:i/>
          <w:sz w:val="19"/>
        </w:rPr>
      </w:pPr>
      <w:r>
        <w:rPr>
          <w:rFonts w:ascii="Times New Roman"/>
          <w:sz w:val="19"/>
          <w:vertAlign w:val="superscript"/>
        </w:rPr>
        <w:t>239</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4"/>
        <w:jc w:val="both"/>
      </w:pPr>
      <w:r>
        <w:rPr/>
        <w:t>and the remuneration after the injury or what the Board estimates the employee is capable of earning in a suitable occupation after the injury.</w:t>
      </w:r>
      <w:r>
        <w:rPr>
          <w:vertAlign w:val="superscript"/>
        </w:rPr>
        <w:t>240</w:t>
      </w:r>
      <w:r>
        <w:rPr>
          <w:vertAlign w:val="baseline"/>
        </w:rPr>
        <w:t> The Board in making this determination shall consider the ability of the employee</w:t>
      </w:r>
      <w:r>
        <w:rPr>
          <w:spacing w:val="32"/>
          <w:vertAlign w:val="baseline"/>
        </w:rPr>
        <w:t> </w:t>
      </w:r>
      <w:r>
        <w:rPr>
          <w:vertAlign w:val="baseline"/>
        </w:rPr>
        <w:t>to</w:t>
      </w:r>
      <w:r>
        <w:rPr>
          <w:spacing w:val="27"/>
          <w:vertAlign w:val="baseline"/>
        </w:rPr>
        <w:t> </w:t>
      </w:r>
      <w:r>
        <w:rPr>
          <w:vertAlign w:val="baseline"/>
        </w:rPr>
        <w:t>continue</w:t>
      </w:r>
      <w:r>
        <w:rPr>
          <w:spacing w:val="32"/>
          <w:vertAlign w:val="baseline"/>
        </w:rPr>
        <w:t> </w:t>
      </w:r>
      <w:r>
        <w:rPr>
          <w:vertAlign w:val="baseline"/>
        </w:rPr>
        <w:t>in</w:t>
      </w:r>
      <w:r>
        <w:rPr>
          <w:spacing w:val="29"/>
          <w:vertAlign w:val="baseline"/>
        </w:rPr>
        <w:t> </w:t>
      </w:r>
      <w:r>
        <w:rPr>
          <w:vertAlign w:val="baseline"/>
        </w:rPr>
        <w:t>his</w:t>
      </w:r>
      <w:r>
        <w:rPr>
          <w:spacing w:val="31"/>
          <w:vertAlign w:val="baseline"/>
        </w:rPr>
        <w:t> </w:t>
      </w:r>
      <w:r>
        <w:rPr>
          <w:vertAlign w:val="baseline"/>
        </w:rPr>
        <w:t>occupation</w:t>
      </w:r>
      <w:r>
        <w:rPr>
          <w:spacing w:val="29"/>
          <w:vertAlign w:val="baseline"/>
        </w:rPr>
        <w:t> </w:t>
      </w:r>
      <w:r>
        <w:rPr>
          <w:vertAlign w:val="baseline"/>
        </w:rPr>
        <w:t>at</w:t>
      </w:r>
      <w:r>
        <w:rPr>
          <w:spacing w:val="34"/>
          <w:vertAlign w:val="baseline"/>
        </w:rPr>
        <w:t> </w:t>
      </w:r>
      <w:r>
        <w:rPr>
          <w:vertAlign w:val="baseline"/>
        </w:rPr>
        <w:t>the</w:t>
      </w:r>
      <w:r>
        <w:rPr>
          <w:spacing w:val="26"/>
          <w:vertAlign w:val="baseline"/>
        </w:rPr>
        <w:t> </w:t>
      </w:r>
      <w:r>
        <w:rPr>
          <w:vertAlign w:val="baseline"/>
        </w:rPr>
        <w:t>time</w:t>
      </w:r>
      <w:r>
        <w:rPr>
          <w:spacing w:val="26"/>
          <w:vertAlign w:val="baseline"/>
        </w:rPr>
        <w:t> </w:t>
      </w:r>
      <w:r>
        <w:rPr>
          <w:vertAlign w:val="baseline"/>
        </w:rPr>
        <w:t>of</w:t>
      </w:r>
      <w:r>
        <w:rPr>
          <w:spacing w:val="32"/>
          <w:vertAlign w:val="baseline"/>
        </w:rPr>
        <w:t> </w:t>
      </w:r>
      <w:r>
        <w:rPr>
          <w:vertAlign w:val="baseline"/>
        </w:rPr>
        <w:t>the</w:t>
      </w:r>
      <w:r>
        <w:rPr>
          <w:spacing w:val="26"/>
          <w:vertAlign w:val="baseline"/>
        </w:rPr>
        <w:t> </w:t>
      </w:r>
      <w:r>
        <w:rPr>
          <w:vertAlign w:val="baseline"/>
        </w:rPr>
        <w:t>injury</w:t>
      </w:r>
      <w:r>
        <w:rPr>
          <w:spacing w:val="28"/>
          <w:vertAlign w:val="baseline"/>
        </w:rPr>
        <w:t> </w:t>
      </w:r>
      <w:r>
        <w:rPr>
          <w:vertAlign w:val="baseline"/>
        </w:rPr>
        <w:t>or</w:t>
      </w:r>
      <w:r>
        <w:rPr>
          <w:spacing w:val="32"/>
          <w:vertAlign w:val="baseline"/>
        </w:rPr>
        <w:t> </w:t>
      </w:r>
      <w:r>
        <w:rPr>
          <w:vertAlign w:val="baseline"/>
        </w:rPr>
        <w:t>adapt to another suitable occupation.</w:t>
      </w:r>
      <w:r>
        <w:rPr>
          <w:vertAlign w:val="superscript"/>
        </w:rPr>
        <w:t>241</w:t>
      </w:r>
    </w:p>
    <w:p>
      <w:pPr>
        <w:pStyle w:val="BodyText"/>
        <w:spacing w:before="10"/>
      </w:pPr>
    </w:p>
    <w:p>
      <w:pPr>
        <w:pStyle w:val="BodyText"/>
        <w:spacing w:line="489" w:lineRule="auto"/>
        <w:ind w:left="864" w:right="561"/>
        <w:jc w:val="both"/>
      </w:pPr>
      <w:r>
        <w:rPr/>
        <w:t>The periodic payment in respect of permanent partial disability is vague.</w:t>
      </w:r>
      <w:r>
        <w:rPr>
          <w:spacing w:val="21"/>
        </w:rPr>
        <w:t> </w:t>
      </w:r>
      <w:r>
        <w:rPr/>
        <w:t>Is</w:t>
      </w:r>
      <w:r>
        <w:rPr>
          <w:spacing w:val="40"/>
        </w:rPr>
        <w:t> </w:t>
      </w:r>
      <w:r>
        <w:rPr/>
        <w:t>it monthly periodic payment, or quarterly periodic payment? It is very important that such period is statutorily determined so as not to leave it at the discretion of the Board. Where as a result of the injury, the employee suffers serious and permanent disfigurement which the Board considers is capable of impairing the employees earning capacity, a lump sum in compensation</w:t>
      </w:r>
      <w:r>
        <w:rPr>
          <w:spacing w:val="40"/>
        </w:rPr>
        <w:t> </w:t>
      </w:r>
      <w:r>
        <w:rPr/>
        <w:t>may</w:t>
      </w:r>
      <w:r>
        <w:rPr>
          <w:spacing w:val="40"/>
        </w:rPr>
        <w:t> </w:t>
      </w:r>
      <w:r>
        <w:rPr/>
        <w:t>be</w:t>
      </w:r>
      <w:r>
        <w:rPr>
          <w:spacing w:val="40"/>
        </w:rPr>
        <w:t> </w:t>
      </w:r>
      <w:r>
        <w:rPr/>
        <w:t>paid,</w:t>
      </w:r>
      <w:r>
        <w:rPr>
          <w:spacing w:val="40"/>
        </w:rPr>
        <w:t> </w:t>
      </w:r>
      <w:r>
        <w:rPr/>
        <w:t>although</w:t>
      </w:r>
      <w:r>
        <w:rPr>
          <w:spacing w:val="40"/>
        </w:rPr>
        <w:t> </w:t>
      </w:r>
      <w:r>
        <w:rPr/>
        <w:t>the</w:t>
      </w:r>
      <w:r>
        <w:rPr>
          <w:spacing w:val="40"/>
        </w:rPr>
        <w:t> </w:t>
      </w:r>
      <w:r>
        <w:rPr/>
        <w:t>amount</w:t>
      </w:r>
      <w:r>
        <w:rPr>
          <w:spacing w:val="40"/>
        </w:rPr>
        <w:t> </w:t>
      </w:r>
      <w:r>
        <w:rPr/>
        <w:t>the</w:t>
      </w:r>
      <w:r>
        <w:rPr>
          <w:spacing w:val="40"/>
        </w:rPr>
        <w:t> </w:t>
      </w:r>
      <w:r>
        <w:rPr/>
        <w:t>employee</w:t>
      </w:r>
      <w:r>
        <w:rPr>
          <w:spacing w:val="40"/>
        </w:rPr>
        <w:t> </w:t>
      </w:r>
      <w:r>
        <w:rPr/>
        <w:t>was earning before the injury has not been diminished.</w:t>
      </w:r>
      <w:r>
        <w:rPr>
          <w:vertAlign w:val="superscript"/>
        </w:rPr>
        <w:t>242</w:t>
      </w:r>
      <w:r>
        <w:rPr>
          <w:vertAlign w:val="baseline"/>
        </w:rPr>
        <w:t> It is important that lump</w:t>
      </w:r>
      <w:r>
        <w:rPr>
          <w:spacing w:val="40"/>
          <w:vertAlign w:val="baseline"/>
        </w:rPr>
        <w:t> </w:t>
      </w:r>
      <w:r>
        <w:rPr>
          <w:vertAlign w:val="baseline"/>
        </w:rPr>
        <w:t>sum</w:t>
      </w:r>
      <w:r>
        <w:rPr>
          <w:spacing w:val="40"/>
          <w:vertAlign w:val="baseline"/>
        </w:rPr>
        <w:t> </w:t>
      </w:r>
      <w:r>
        <w:rPr>
          <w:vertAlign w:val="baseline"/>
        </w:rPr>
        <w:t>be</w:t>
      </w:r>
      <w:r>
        <w:rPr>
          <w:spacing w:val="40"/>
          <w:vertAlign w:val="baseline"/>
        </w:rPr>
        <w:t> </w:t>
      </w:r>
      <w:r>
        <w:rPr>
          <w:vertAlign w:val="baseline"/>
        </w:rPr>
        <w:t>prescribed</w:t>
      </w:r>
      <w:r>
        <w:rPr>
          <w:spacing w:val="40"/>
          <w:vertAlign w:val="baseline"/>
        </w:rPr>
        <w:t> </w:t>
      </w:r>
      <w:r>
        <w:rPr>
          <w:vertAlign w:val="baseline"/>
        </w:rPr>
        <w:t>at</w:t>
      </w:r>
      <w:r>
        <w:rPr>
          <w:spacing w:val="40"/>
          <w:vertAlign w:val="baseline"/>
        </w:rPr>
        <w:t> </w:t>
      </w:r>
      <w:r>
        <w:rPr>
          <w:vertAlign w:val="baseline"/>
        </w:rPr>
        <w:t>least</w:t>
      </w:r>
      <w:r>
        <w:rPr>
          <w:spacing w:val="40"/>
          <w:vertAlign w:val="baseline"/>
        </w:rPr>
        <w:t> </w:t>
      </w:r>
      <w:r>
        <w:rPr>
          <w:vertAlign w:val="baseline"/>
        </w:rPr>
        <w:t>by</w:t>
      </w:r>
      <w:r>
        <w:rPr>
          <w:spacing w:val="40"/>
          <w:vertAlign w:val="baseline"/>
        </w:rPr>
        <w:t> </w:t>
      </w:r>
      <w:r>
        <w:rPr>
          <w:vertAlign w:val="baseline"/>
        </w:rPr>
        <w:t>stating</w:t>
      </w:r>
      <w:r>
        <w:rPr>
          <w:spacing w:val="40"/>
          <w:vertAlign w:val="baseline"/>
        </w:rPr>
        <w:t> </w:t>
      </w:r>
      <w:r>
        <w:rPr>
          <w:vertAlign w:val="baseline"/>
        </w:rPr>
        <w:t>the</w:t>
      </w:r>
      <w:r>
        <w:rPr>
          <w:spacing w:val="40"/>
          <w:vertAlign w:val="baseline"/>
        </w:rPr>
        <w:t> </w:t>
      </w:r>
      <w:r>
        <w:rPr>
          <w:vertAlign w:val="baseline"/>
        </w:rPr>
        <w:t>minimum</w:t>
      </w:r>
      <w:r>
        <w:rPr>
          <w:spacing w:val="40"/>
          <w:vertAlign w:val="baseline"/>
        </w:rPr>
        <w:t> </w:t>
      </w:r>
      <w:r>
        <w:rPr>
          <w:vertAlign w:val="baseline"/>
        </w:rPr>
        <w:t>amount receivable as lump sum. Since the Act is not sacrosanct, the provision can</w:t>
      </w:r>
      <w:r>
        <w:rPr>
          <w:spacing w:val="40"/>
          <w:vertAlign w:val="baseline"/>
        </w:rPr>
        <w:t> </w:t>
      </w:r>
      <w:r>
        <w:rPr>
          <w:vertAlign w:val="baseline"/>
        </w:rPr>
        <w:t>be reviewed where the prescribed minimum amount significantly loses its present value.</w:t>
      </w:r>
    </w:p>
    <w:p>
      <w:pPr>
        <w:pStyle w:val="BodyText"/>
        <w:spacing w:before="16"/>
      </w:pPr>
    </w:p>
    <w:p>
      <w:pPr>
        <w:pStyle w:val="BodyText"/>
        <w:spacing w:line="491" w:lineRule="auto"/>
        <w:ind w:left="864" w:right="567"/>
        <w:jc w:val="both"/>
      </w:pPr>
      <w:r>
        <w:rPr/>
        <w:t>Where an employee is less than 55 years of age, on the date of the injury, periodic compensation is payable until the date the employee reaches 55 years</w:t>
      </w:r>
      <w:r>
        <w:rPr>
          <w:spacing w:val="8"/>
        </w:rPr>
        <w:t> </w:t>
      </w:r>
      <w:r>
        <w:rPr/>
        <w:t>of</w:t>
      </w:r>
      <w:r>
        <w:rPr>
          <w:spacing w:val="9"/>
        </w:rPr>
        <w:t> </w:t>
      </w:r>
      <w:r>
        <w:rPr/>
        <w:t>age</w:t>
      </w:r>
      <w:r>
        <w:rPr>
          <w:spacing w:val="4"/>
        </w:rPr>
        <w:t> </w:t>
      </w:r>
      <w:r>
        <w:rPr/>
        <w:t>or</w:t>
      </w:r>
      <w:r>
        <w:rPr>
          <w:spacing w:val="10"/>
        </w:rPr>
        <w:t> </w:t>
      </w:r>
      <w:r>
        <w:rPr/>
        <w:t>the</w:t>
      </w:r>
      <w:r>
        <w:rPr>
          <w:spacing w:val="9"/>
        </w:rPr>
        <w:t> </w:t>
      </w:r>
      <w:r>
        <w:rPr/>
        <w:t>date</w:t>
      </w:r>
      <w:r>
        <w:rPr>
          <w:spacing w:val="10"/>
        </w:rPr>
        <w:t> </w:t>
      </w:r>
      <w:r>
        <w:rPr/>
        <w:t>the</w:t>
      </w:r>
      <w:r>
        <w:rPr>
          <w:spacing w:val="4"/>
        </w:rPr>
        <w:t> </w:t>
      </w:r>
      <w:r>
        <w:rPr/>
        <w:t>employee</w:t>
      </w:r>
      <w:r>
        <w:rPr>
          <w:spacing w:val="4"/>
        </w:rPr>
        <w:t> </w:t>
      </w:r>
      <w:r>
        <w:rPr/>
        <w:t>would</w:t>
      </w:r>
      <w:r>
        <w:rPr>
          <w:spacing w:val="12"/>
        </w:rPr>
        <w:t> </w:t>
      </w:r>
      <w:r>
        <w:rPr/>
        <w:t>retire.</w:t>
      </w:r>
      <w:r>
        <w:rPr>
          <w:vertAlign w:val="superscript"/>
        </w:rPr>
        <w:t>243</w:t>
      </w:r>
      <w:r>
        <w:rPr>
          <w:spacing w:val="9"/>
          <w:vertAlign w:val="baseline"/>
        </w:rPr>
        <w:t> </w:t>
      </w:r>
      <w:r>
        <w:rPr>
          <w:vertAlign w:val="baseline"/>
        </w:rPr>
        <w:t>However,</w:t>
      </w:r>
      <w:r>
        <w:rPr>
          <w:spacing w:val="8"/>
          <w:vertAlign w:val="baseline"/>
        </w:rPr>
        <w:t> </w:t>
      </w:r>
      <w:r>
        <w:rPr>
          <w:vertAlign w:val="baseline"/>
        </w:rPr>
        <w:t>where</w:t>
      </w:r>
      <w:r>
        <w:rPr>
          <w:spacing w:val="9"/>
          <w:vertAlign w:val="baseline"/>
        </w:rPr>
        <w:t> </w:t>
      </w:r>
      <w:r>
        <w:rPr>
          <w:spacing w:val="-5"/>
          <w:vertAlign w:val="baseline"/>
        </w:rPr>
        <w:t>the</w:t>
      </w:r>
    </w:p>
    <w:p>
      <w:pPr>
        <w:pStyle w:val="BodyText"/>
        <w:spacing w:before="5"/>
        <w:rPr>
          <w:sz w:val="16"/>
        </w:rPr>
      </w:pPr>
      <w:r>
        <w:rPr/>
        <mc:AlternateContent>
          <mc:Choice Requires="wps">
            <w:drawing>
              <wp:anchor distT="0" distB="0" distL="0" distR="0" allowOverlap="1" layoutInCell="1" locked="0" behindDoc="1" simplePos="0" relativeHeight="487632384">
                <wp:simplePos x="0" y="0"/>
                <wp:positionH relativeFrom="page">
                  <wp:posOffset>1185672</wp:posOffset>
                </wp:positionH>
                <wp:positionV relativeFrom="paragraph">
                  <wp:posOffset>141259</wp:posOffset>
                </wp:positionV>
                <wp:extent cx="1719580" cy="3175"/>
                <wp:effectExtent l="0" t="0" r="0" b="0"/>
                <wp:wrapTopAndBottom/>
                <wp:docPr id="102" name="Graphic 102"/>
                <wp:cNvGraphicFramePr>
                  <a:graphicFrameLocks/>
                </wp:cNvGraphicFramePr>
                <a:graphic>
                  <a:graphicData uri="http://schemas.microsoft.com/office/word/2010/wordprocessingShape">
                    <wps:wsp>
                      <wps:cNvPr id="102" name="Graphic 102"/>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122793pt;width:135.360pt;height:.24pt;mso-position-horizontal-relative:page;mso-position-vertical-relative:paragraph;z-index:-15684096;mso-wrap-distance-left:0;mso-wrap-distance-right:0" id="docshape102" filled="true" fillcolor="#000000" stroked="false">
                <v:fill type="solid"/>
                <w10:wrap type="topAndBottom"/>
              </v:rect>
            </w:pict>
          </mc:Fallback>
        </mc:AlternateContent>
      </w:r>
    </w:p>
    <w:p>
      <w:pPr>
        <w:spacing w:line="217" w:lineRule="exact" w:before="96"/>
        <w:ind w:left="187" w:right="0" w:firstLine="0"/>
        <w:jc w:val="left"/>
        <w:rPr>
          <w:rFonts w:ascii="Times New Roman" w:hAnsi="Times New Roman"/>
          <w:i/>
          <w:sz w:val="19"/>
        </w:rPr>
      </w:pPr>
      <w:r>
        <w:rPr>
          <w:rFonts w:ascii="Times New Roman" w:hAnsi="Times New Roman"/>
          <w:sz w:val="19"/>
          <w:vertAlign w:val="superscript"/>
        </w:rPr>
        <w:t>240</w:t>
      </w:r>
      <w:r>
        <w:rPr>
          <w:rFonts w:ascii="Times New Roman" w:hAnsi="Times New Roman"/>
          <w:spacing w:val="-3"/>
          <w:sz w:val="19"/>
          <w:vertAlign w:val="baseline"/>
        </w:rPr>
        <w:t> </w:t>
      </w:r>
      <w:r>
        <w:rPr>
          <w:rFonts w:ascii="Times New Roman" w:hAnsi="Times New Roman"/>
          <w:sz w:val="19"/>
          <w:vertAlign w:val="baseline"/>
        </w:rPr>
        <w:t>Sections</w:t>
      </w:r>
      <w:r>
        <w:rPr>
          <w:rFonts w:ascii="Times New Roman" w:hAnsi="Times New Roman"/>
          <w:spacing w:val="-5"/>
          <w:sz w:val="19"/>
          <w:vertAlign w:val="baseline"/>
        </w:rPr>
        <w:t> </w:t>
      </w:r>
      <w:r>
        <w:rPr>
          <w:rFonts w:ascii="Times New Roman" w:hAnsi="Times New Roman"/>
          <w:sz w:val="19"/>
          <w:vertAlign w:val="baseline"/>
        </w:rPr>
        <w:t>22</w:t>
      </w:r>
      <w:r>
        <w:rPr>
          <w:rFonts w:ascii="Times New Roman" w:hAnsi="Times New Roman"/>
          <w:spacing w:val="-6"/>
          <w:sz w:val="19"/>
          <w:vertAlign w:val="baseline"/>
        </w:rPr>
        <w:t> </w:t>
      </w:r>
      <w:r>
        <w:rPr>
          <w:rFonts w:ascii="Times New Roman" w:hAnsi="Times New Roman"/>
          <w:sz w:val="19"/>
          <w:vertAlign w:val="baseline"/>
        </w:rPr>
        <w:t>(5)</w:t>
      </w:r>
      <w:r>
        <w:rPr>
          <w:rFonts w:ascii="Times New Roman" w:hAnsi="Times New Roman"/>
          <w:spacing w:val="-8"/>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22</w:t>
      </w:r>
      <w:r>
        <w:rPr>
          <w:rFonts w:ascii="Times New Roman" w:hAnsi="Times New Roman"/>
          <w:spacing w:val="-6"/>
          <w:sz w:val="19"/>
          <w:vertAlign w:val="baseline"/>
        </w:rPr>
        <w:t> </w:t>
      </w:r>
      <w:r>
        <w:rPr>
          <w:rFonts w:ascii="Times New Roman" w:hAnsi="Times New Roman"/>
          <w:sz w:val="19"/>
          <w:vertAlign w:val="baseline"/>
        </w:rPr>
        <w:t>(4)</w:t>
      </w:r>
      <w:r>
        <w:rPr>
          <w:rFonts w:ascii="Times New Roman" w:hAnsi="Times New Roman"/>
          <w:spacing w:val="-9"/>
          <w:sz w:val="19"/>
          <w:vertAlign w:val="baseline"/>
        </w:rPr>
        <w:t> </w:t>
      </w:r>
      <w:r>
        <w:rPr>
          <w:rFonts w:ascii="Times New Roman" w:hAnsi="Times New Roman"/>
          <w:sz w:val="19"/>
          <w:vertAlign w:val="baseline"/>
        </w:rPr>
        <w:t>(a)</w:t>
      </w:r>
      <w:r>
        <w:rPr>
          <w:rFonts w:ascii="Times New Roman" w:hAnsi="Times New Roman"/>
          <w:spacing w:val="-8"/>
          <w:sz w:val="19"/>
          <w:vertAlign w:val="baseline"/>
        </w:rPr>
        <w:t> </w:t>
      </w:r>
      <w:r>
        <w:rPr>
          <w:rFonts w:ascii="Times New Roman" w:hAnsi="Times New Roman"/>
          <w:sz w:val="19"/>
          <w:vertAlign w:val="baseline"/>
        </w:rPr>
        <w:t>(b)</w:t>
      </w:r>
      <w:r>
        <w:rPr>
          <w:rFonts w:ascii="Times New Roman" w:hAnsi="Times New Roman"/>
          <w:spacing w:val="36"/>
          <w:sz w:val="19"/>
          <w:vertAlign w:val="baseline"/>
        </w:rPr>
        <w:t> </w:t>
      </w:r>
      <w:r>
        <w:rPr>
          <w:rFonts w:ascii="Times New Roman" w:hAnsi="Times New Roman"/>
          <w:sz w:val="19"/>
          <w:vertAlign w:val="baseline"/>
        </w:rPr>
        <w:t>of</w:t>
      </w:r>
      <w:r>
        <w:rPr>
          <w:rFonts w:ascii="Times New Roman" w:hAnsi="Times New Roman"/>
          <w:spacing w:val="-8"/>
          <w:sz w:val="19"/>
          <w:vertAlign w:val="baseline"/>
        </w:rPr>
        <w:t> </w:t>
      </w:r>
      <w:r>
        <w:rPr>
          <w:rFonts w:ascii="Times New Roman" w:hAnsi="Times New Roman"/>
          <w:sz w:val="19"/>
          <w:vertAlign w:val="baseline"/>
        </w:rPr>
        <w:t>Employees’</w:t>
      </w:r>
      <w:r>
        <w:rPr>
          <w:rFonts w:ascii="Times New Roman" w:hAnsi="Times New Roman"/>
          <w:spacing w:val="-9"/>
          <w:sz w:val="19"/>
          <w:vertAlign w:val="baseline"/>
        </w:rPr>
        <w:t> </w:t>
      </w:r>
      <w:r>
        <w:rPr>
          <w:rFonts w:ascii="Times New Roman" w:hAnsi="Times New Roman"/>
          <w:sz w:val="19"/>
          <w:vertAlign w:val="baseline"/>
        </w:rPr>
        <w:t>Compensation</w:t>
      </w:r>
      <w:r>
        <w:rPr>
          <w:rFonts w:ascii="Times New Roman" w:hAnsi="Times New Roman"/>
          <w:spacing w:val="-2"/>
          <w:sz w:val="19"/>
          <w:vertAlign w:val="baseline"/>
        </w:rPr>
        <w:t> </w:t>
      </w:r>
      <w:r>
        <w:rPr>
          <w:rFonts w:ascii="Times New Roman" w:hAnsi="Times New Roman"/>
          <w:sz w:val="19"/>
          <w:vertAlign w:val="baseline"/>
        </w:rPr>
        <w:t>Act</w:t>
      </w:r>
      <w:r>
        <w:rPr>
          <w:rFonts w:ascii="Times New Roman" w:hAnsi="Times New Roman"/>
          <w:spacing w:val="-8"/>
          <w:sz w:val="19"/>
          <w:vertAlign w:val="baseline"/>
        </w:rPr>
        <w:t> </w:t>
      </w:r>
      <w:r>
        <w:rPr>
          <w:rFonts w:ascii="Times New Roman" w:hAnsi="Times New Roman"/>
          <w:i/>
          <w:sz w:val="19"/>
          <w:vertAlign w:val="baseline"/>
        </w:rPr>
        <w:t>op</w:t>
      </w:r>
      <w:r>
        <w:rPr>
          <w:rFonts w:ascii="Times New Roman" w:hAnsi="Times New Roman"/>
          <w:i/>
          <w:spacing w:val="-10"/>
          <w:sz w:val="19"/>
          <w:vertAlign w:val="baseline"/>
        </w:rPr>
        <w:t> </w:t>
      </w:r>
      <w:r>
        <w:rPr>
          <w:rFonts w:ascii="Times New Roman" w:hAnsi="Times New Roman"/>
          <w:i/>
          <w:spacing w:val="-5"/>
          <w:sz w:val="19"/>
          <w:vertAlign w:val="baseline"/>
        </w:rPr>
        <w:t>cit</w:t>
      </w:r>
    </w:p>
    <w:p>
      <w:pPr>
        <w:spacing w:line="216" w:lineRule="exact" w:before="0"/>
        <w:ind w:left="187" w:right="0" w:firstLine="0"/>
        <w:jc w:val="left"/>
        <w:rPr>
          <w:rFonts w:ascii="Times New Roman"/>
          <w:i/>
          <w:sz w:val="19"/>
        </w:rPr>
      </w:pPr>
      <w:r>
        <w:rPr>
          <w:rFonts w:ascii="Times New Roman"/>
          <w:sz w:val="19"/>
          <w:vertAlign w:val="superscript"/>
        </w:rPr>
        <w:t>241</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226</w:t>
      </w:r>
      <w:r>
        <w:rPr>
          <w:rFonts w:ascii="Times New Roman"/>
          <w:spacing w:val="-9"/>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242</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22(8</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243</w:t>
      </w:r>
      <w:r>
        <w:rPr>
          <w:rFonts w:ascii="Times New Roman"/>
          <w:spacing w:val="3"/>
          <w:sz w:val="19"/>
          <w:vertAlign w:val="baseline"/>
        </w:rPr>
        <w:t> </w:t>
      </w:r>
      <w:r>
        <w:rPr>
          <w:rFonts w:ascii="Times New Roman"/>
          <w:sz w:val="19"/>
          <w:vertAlign w:val="baseline"/>
        </w:rPr>
        <w:t>23(a)</w:t>
      </w:r>
      <w:r>
        <w:rPr>
          <w:rFonts w:ascii="Times New Roman"/>
          <w:spacing w:val="-4"/>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6"/>
        <w:jc w:val="both"/>
      </w:pPr>
      <w:r>
        <w:rPr/>
        <w:t>employee is 55 years of age or above on the date of the injury, periodic compensation is payable until 2 years after the date of the injury if that is the date of his retirement or the date the employee would retire.</w:t>
      </w:r>
      <w:r>
        <w:rPr>
          <w:vertAlign w:val="superscript"/>
        </w:rPr>
        <w:t>244</w:t>
      </w:r>
    </w:p>
    <w:p>
      <w:pPr>
        <w:pStyle w:val="BodyText"/>
        <w:spacing w:before="10"/>
      </w:pPr>
    </w:p>
    <w:p>
      <w:pPr>
        <w:pStyle w:val="BodyText"/>
        <w:spacing w:line="489" w:lineRule="auto"/>
        <w:ind w:left="864" w:right="564"/>
        <w:jc w:val="both"/>
      </w:pPr>
      <w:r>
        <w:rPr/>
        <w:t>The Board shall set aside at |xe time a periodic payment for permanent partial disability,</w:t>
      </w:r>
      <w:r>
        <w:rPr>
          <w:spacing w:val="24"/>
        </w:rPr>
        <w:t> </w:t>
      </w:r>
      <w:r>
        <w:rPr/>
        <w:t>is made to an employee,</w:t>
      </w:r>
      <w:r>
        <w:rPr>
          <w:spacing w:val="24"/>
        </w:rPr>
        <w:t> </w:t>
      </w:r>
      <w:r>
        <w:rPr/>
        <w:t>an amount equal to 7.5</w:t>
      </w:r>
      <w:r>
        <w:rPr>
          <w:spacing w:val="24"/>
        </w:rPr>
        <w:t> </w:t>
      </w:r>
      <w:r>
        <w:rPr/>
        <w:t>percent of the said periodic payment or an</w:t>
      </w:r>
      <w:r>
        <w:rPr>
          <w:spacing w:val="80"/>
        </w:rPr>
        <w:t> </w:t>
      </w:r>
      <w:r>
        <w:rPr/>
        <w:t>amount set by Pension Reform Act</w:t>
      </w:r>
      <w:r>
        <w:rPr>
          <w:vertAlign w:val="superscript"/>
        </w:rPr>
        <w:t>245</w:t>
      </w:r>
      <w:r>
        <w:rPr>
          <w:vertAlign w:val="baseline"/>
        </w:rPr>
        <w:t> and is in addition to the periodic payment and to be remitted to the retirement</w:t>
      </w:r>
      <w:r>
        <w:rPr>
          <w:spacing w:val="40"/>
          <w:vertAlign w:val="baseline"/>
        </w:rPr>
        <w:t> </w:t>
      </w:r>
      <w:r>
        <w:rPr>
          <w:vertAlign w:val="baseline"/>
        </w:rPr>
        <w:t>savings</w:t>
      </w:r>
      <w:r>
        <w:rPr>
          <w:spacing w:val="40"/>
          <w:vertAlign w:val="baseline"/>
        </w:rPr>
        <w:t> </w:t>
      </w:r>
      <w:r>
        <w:rPr>
          <w:vertAlign w:val="baseline"/>
        </w:rPr>
        <w:t>account</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employee.</w:t>
      </w:r>
      <w:r>
        <w:rPr>
          <w:spacing w:val="40"/>
          <w:vertAlign w:val="baseline"/>
        </w:rPr>
        <w:t> </w:t>
      </w:r>
      <w:r>
        <w:rPr>
          <w:vertAlign w:val="baseline"/>
        </w:rPr>
        <w:t>The</w:t>
      </w:r>
      <w:r>
        <w:rPr>
          <w:spacing w:val="40"/>
          <w:vertAlign w:val="baseline"/>
        </w:rPr>
        <w:t> </w:t>
      </w:r>
      <w:r>
        <w:rPr>
          <w:vertAlign w:val="baseline"/>
        </w:rPr>
        <w:t>employee</w:t>
      </w:r>
      <w:r>
        <w:rPr>
          <w:spacing w:val="40"/>
          <w:vertAlign w:val="baseline"/>
        </w:rPr>
        <w:t> </w:t>
      </w:r>
      <w:r>
        <w:rPr>
          <w:vertAlign w:val="baseline"/>
        </w:rPr>
        <w:t>may</w:t>
      </w:r>
      <w:r>
        <w:rPr>
          <w:spacing w:val="40"/>
          <w:vertAlign w:val="baseline"/>
        </w:rPr>
        <w:t> </w:t>
      </w:r>
      <w:r>
        <w:rPr>
          <w:vertAlign w:val="baseline"/>
        </w:rPr>
        <w:t>in addition to this, wish to apply to the Board to contribute an amount that is not less</w:t>
      </w:r>
      <w:r>
        <w:rPr>
          <w:spacing w:val="40"/>
          <w:vertAlign w:val="baseline"/>
        </w:rPr>
        <w:t> </w:t>
      </w:r>
      <w:r>
        <w:rPr>
          <w:vertAlign w:val="baseline"/>
        </w:rPr>
        <w:t>than</w:t>
      </w:r>
      <w:r>
        <w:rPr>
          <w:spacing w:val="40"/>
          <w:vertAlign w:val="baseline"/>
        </w:rPr>
        <w:t> </w:t>
      </w:r>
      <w:r>
        <w:rPr>
          <w:vertAlign w:val="baseline"/>
        </w:rPr>
        <w:t>1 percent and not greater</w:t>
      </w:r>
      <w:r>
        <w:rPr>
          <w:spacing w:val="40"/>
          <w:vertAlign w:val="baseline"/>
        </w:rPr>
        <w:t> </w:t>
      </w:r>
      <w:r>
        <w:rPr>
          <w:vertAlign w:val="baseline"/>
        </w:rPr>
        <w:t>than 7.5 percent and the Board shall</w:t>
      </w:r>
      <w:r>
        <w:rPr>
          <w:spacing w:val="40"/>
          <w:vertAlign w:val="baseline"/>
        </w:rPr>
        <w:t> </w:t>
      </w:r>
      <w:r>
        <w:rPr>
          <w:vertAlign w:val="baseline"/>
        </w:rPr>
        <w:t>deduct</w:t>
      </w:r>
      <w:r>
        <w:rPr>
          <w:spacing w:val="40"/>
          <w:vertAlign w:val="baseline"/>
        </w:rPr>
        <w:t> </w:t>
      </w:r>
      <w:r>
        <w:rPr>
          <w:vertAlign w:val="baseline"/>
        </w:rPr>
        <w:t>same</w:t>
      </w:r>
      <w:r>
        <w:rPr>
          <w:spacing w:val="40"/>
          <w:vertAlign w:val="baseline"/>
        </w:rPr>
        <w:t> </w:t>
      </w:r>
      <w:r>
        <w:rPr>
          <w:vertAlign w:val="baseline"/>
        </w:rPr>
        <w:t>and</w:t>
      </w:r>
      <w:r>
        <w:rPr>
          <w:spacing w:val="40"/>
          <w:vertAlign w:val="baseline"/>
        </w:rPr>
        <w:t> </w:t>
      </w:r>
      <w:r>
        <w:rPr>
          <w:vertAlign w:val="baseline"/>
        </w:rPr>
        <w:t>remit</w:t>
      </w:r>
      <w:r>
        <w:rPr>
          <w:spacing w:val="40"/>
          <w:vertAlign w:val="baseline"/>
        </w:rPr>
        <w:t> </w:t>
      </w:r>
      <w:r>
        <w:rPr>
          <w:vertAlign w:val="baseline"/>
        </w:rPr>
        <w:t>it</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employees</w:t>
      </w:r>
      <w:r>
        <w:rPr>
          <w:spacing w:val="40"/>
          <w:vertAlign w:val="baseline"/>
        </w:rPr>
        <w:t> </w:t>
      </w:r>
      <w:r>
        <w:rPr>
          <w:vertAlign w:val="baseline"/>
        </w:rPr>
        <w:t>retirement</w:t>
      </w:r>
      <w:r>
        <w:rPr>
          <w:spacing w:val="40"/>
          <w:vertAlign w:val="baseline"/>
        </w:rPr>
        <w:t> </w:t>
      </w:r>
      <w:r>
        <w:rPr>
          <w:vertAlign w:val="baseline"/>
        </w:rPr>
        <w:t>savings account pursuant to Pension Reform Act and the employee may wish to apply that subsequent deductions be stopped. The Board shall provide a prescribed form in which an application for any deductions or stoppage of deduction</w:t>
      </w:r>
      <w:r>
        <w:rPr>
          <w:spacing w:val="40"/>
          <w:vertAlign w:val="baseline"/>
        </w:rPr>
        <w:t> </w:t>
      </w:r>
      <w:r>
        <w:rPr>
          <w:vertAlign w:val="baseline"/>
        </w:rPr>
        <w:t>or</w:t>
      </w:r>
      <w:r>
        <w:rPr>
          <w:spacing w:val="40"/>
          <w:vertAlign w:val="baseline"/>
        </w:rPr>
        <w:t> </w:t>
      </w:r>
      <w:r>
        <w:rPr>
          <w:vertAlign w:val="baseline"/>
        </w:rPr>
        <w:t>any</w:t>
      </w:r>
      <w:r>
        <w:rPr>
          <w:spacing w:val="40"/>
          <w:vertAlign w:val="baseline"/>
        </w:rPr>
        <w:t> </w:t>
      </w:r>
      <w:r>
        <w:rPr>
          <w:vertAlign w:val="baseline"/>
        </w:rPr>
        <w:t>matter</w:t>
      </w:r>
      <w:r>
        <w:rPr>
          <w:spacing w:val="40"/>
          <w:vertAlign w:val="baseline"/>
        </w:rPr>
        <w:t> </w:t>
      </w:r>
      <w:r>
        <w:rPr>
          <w:vertAlign w:val="baseline"/>
        </w:rPr>
        <w:t>related</w:t>
      </w:r>
      <w:r>
        <w:rPr>
          <w:spacing w:val="40"/>
          <w:vertAlign w:val="baseline"/>
        </w:rPr>
        <w:t> </w:t>
      </w:r>
      <w:r>
        <w:rPr>
          <w:vertAlign w:val="baseline"/>
        </w:rPr>
        <w:t>to</w:t>
      </w:r>
      <w:r>
        <w:rPr>
          <w:spacing w:val="40"/>
          <w:vertAlign w:val="baseline"/>
        </w:rPr>
        <w:t> </w:t>
      </w:r>
      <w:r>
        <w:rPr>
          <w:vertAlign w:val="baseline"/>
        </w:rPr>
        <w:t>deduction</w:t>
      </w:r>
      <w:r>
        <w:rPr>
          <w:spacing w:val="40"/>
          <w:vertAlign w:val="baseline"/>
        </w:rPr>
        <w:t> </w:t>
      </w:r>
      <w:r>
        <w:rPr>
          <w:vertAlign w:val="baseline"/>
        </w:rPr>
        <w:t>will</w:t>
      </w:r>
      <w:r>
        <w:rPr>
          <w:spacing w:val="40"/>
          <w:vertAlign w:val="baseline"/>
        </w:rPr>
        <w:t> </w:t>
      </w:r>
      <w:r>
        <w:rPr>
          <w:vertAlign w:val="baseline"/>
        </w:rPr>
        <w:t>be</w:t>
      </w:r>
      <w:r>
        <w:rPr>
          <w:spacing w:val="40"/>
          <w:vertAlign w:val="baseline"/>
        </w:rPr>
        <w:t> </w:t>
      </w:r>
      <w:r>
        <w:rPr>
          <w:vertAlign w:val="baseline"/>
        </w:rPr>
        <w:t>made</w:t>
      </w:r>
      <w:r>
        <w:rPr>
          <w:spacing w:val="40"/>
          <w:vertAlign w:val="baseline"/>
        </w:rPr>
        <w:t> </w:t>
      </w:r>
      <w:r>
        <w:rPr>
          <w:vertAlign w:val="baseline"/>
        </w:rPr>
        <w:t>and</w:t>
      </w:r>
      <w:r>
        <w:rPr>
          <w:spacing w:val="40"/>
          <w:vertAlign w:val="baseline"/>
        </w:rPr>
        <w:t> </w:t>
      </w:r>
      <w:r>
        <w:rPr>
          <w:vertAlign w:val="baseline"/>
        </w:rPr>
        <w:t>an employee who wishes to make any such application must do so in a prescribed form.</w:t>
      </w:r>
    </w:p>
    <w:p>
      <w:pPr>
        <w:pStyle w:val="BodyText"/>
        <w:spacing w:before="16"/>
      </w:pPr>
    </w:p>
    <w:p>
      <w:pPr>
        <w:pStyle w:val="Heading3"/>
        <w:numPr>
          <w:ilvl w:val="2"/>
          <w:numId w:val="13"/>
        </w:numPr>
        <w:tabs>
          <w:tab w:pos="860" w:val="left" w:leader="none"/>
        </w:tabs>
        <w:spacing w:line="240" w:lineRule="auto" w:before="0" w:after="0"/>
        <w:ind w:left="860" w:right="0" w:hanging="673"/>
        <w:jc w:val="left"/>
      </w:pPr>
      <w:bookmarkStart w:name="_TOC_250011" w:id="19"/>
      <w:r>
        <w:rPr/>
        <w:t>Scale</w:t>
      </w:r>
      <w:r>
        <w:rPr>
          <w:spacing w:val="6"/>
        </w:rPr>
        <w:t> </w:t>
      </w:r>
      <w:r>
        <w:rPr/>
        <w:t>of</w:t>
      </w:r>
      <w:r>
        <w:rPr>
          <w:spacing w:val="10"/>
        </w:rPr>
        <w:t> </w:t>
      </w:r>
      <w:r>
        <w:rPr/>
        <w:t>Compensation</w:t>
      </w:r>
      <w:r>
        <w:rPr>
          <w:spacing w:val="5"/>
        </w:rPr>
        <w:t> </w:t>
      </w:r>
      <w:r>
        <w:rPr/>
        <w:t>for</w:t>
      </w:r>
      <w:r>
        <w:rPr>
          <w:spacing w:val="12"/>
        </w:rPr>
        <w:t> </w:t>
      </w:r>
      <w:r>
        <w:rPr/>
        <w:t>Permanent</w:t>
      </w:r>
      <w:r>
        <w:rPr>
          <w:spacing w:val="11"/>
        </w:rPr>
        <w:t> </w:t>
      </w:r>
      <w:r>
        <w:rPr/>
        <w:t>Total</w:t>
      </w:r>
      <w:r>
        <w:rPr>
          <w:spacing w:val="9"/>
        </w:rPr>
        <w:t> </w:t>
      </w:r>
      <w:bookmarkEnd w:id="19"/>
      <w:r>
        <w:rPr>
          <w:spacing w:val="-2"/>
        </w:rPr>
        <w:t>Disability</w:t>
      </w:r>
    </w:p>
    <w:p>
      <w:pPr>
        <w:pStyle w:val="BodyText"/>
        <w:spacing w:before="16"/>
        <w:rPr>
          <w:b/>
        </w:rPr>
      </w:pPr>
    </w:p>
    <w:p>
      <w:pPr>
        <w:pStyle w:val="BodyText"/>
        <w:spacing w:line="489" w:lineRule="auto"/>
        <w:ind w:left="864" w:right="567"/>
        <w:jc w:val="both"/>
      </w:pPr>
      <w:r>
        <w:rPr/>
        <w:t>Section 21 of the Act provides the scale of compensation in respect of permanent total disability. An employee who suffers permanent total disability</w:t>
      </w:r>
      <w:r>
        <w:rPr>
          <w:spacing w:val="44"/>
        </w:rPr>
        <w:t> </w:t>
      </w:r>
      <w:r>
        <w:rPr/>
        <w:t>out</w:t>
      </w:r>
      <w:r>
        <w:rPr>
          <w:spacing w:val="49"/>
        </w:rPr>
        <w:t> </w:t>
      </w:r>
      <w:r>
        <w:rPr/>
        <w:t>of</w:t>
      </w:r>
      <w:r>
        <w:rPr>
          <w:spacing w:val="43"/>
        </w:rPr>
        <w:t> </w:t>
      </w:r>
      <w:r>
        <w:rPr/>
        <w:t>or</w:t>
      </w:r>
      <w:r>
        <w:rPr>
          <w:spacing w:val="43"/>
        </w:rPr>
        <w:t> </w:t>
      </w:r>
      <w:r>
        <w:rPr/>
        <w:t>in</w:t>
      </w:r>
      <w:r>
        <w:rPr>
          <w:spacing w:val="45"/>
        </w:rPr>
        <w:t> </w:t>
      </w:r>
      <w:r>
        <w:rPr/>
        <w:t>the</w:t>
      </w:r>
      <w:r>
        <w:rPr>
          <w:spacing w:val="42"/>
        </w:rPr>
        <w:t> </w:t>
      </w:r>
      <w:r>
        <w:rPr/>
        <w:t>course</w:t>
      </w:r>
      <w:r>
        <w:rPr>
          <w:spacing w:val="43"/>
        </w:rPr>
        <w:t> </w:t>
      </w:r>
      <w:r>
        <w:rPr/>
        <w:t>of</w:t>
      </w:r>
      <w:r>
        <w:rPr>
          <w:spacing w:val="48"/>
        </w:rPr>
        <w:t> </w:t>
      </w:r>
      <w:r>
        <w:rPr/>
        <w:t>employment</w:t>
      </w:r>
      <w:r>
        <w:rPr>
          <w:spacing w:val="44"/>
        </w:rPr>
        <w:t> </w:t>
      </w:r>
      <w:r>
        <w:rPr/>
        <w:t>shall</w:t>
      </w:r>
      <w:r>
        <w:rPr>
          <w:spacing w:val="45"/>
        </w:rPr>
        <w:t> </w:t>
      </w:r>
      <w:r>
        <w:rPr/>
        <w:t>be</w:t>
      </w:r>
      <w:r>
        <w:rPr>
          <w:spacing w:val="42"/>
        </w:rPr>
        <w:t> </w:t>
      </w:r>
      <w:r>
        <w:rPr/>
        <w:t>given</w:t>
      </w:r>
      <w:r>
        <w:rPr>
          <w:spacing w:val="40"/>
        </w:rPr>
        <w:t> </w:t>
      </w:r>
      <w:r>
        <w:rPr>
          <w:spacing w:val="-2"/>
        </w:rPr>
        <w:t>monthly</w:t>
      </w:r>
    </w:p>
    <w:p>
      <w:pPr>
        <w:pStyle w:val="BodyText"/>
        <w:spacing w:before="7"/>
        <w:rPr>
          <w:sz w:val="5"/>
        </w:rPr>
      </w:pPr>
      <w:r>
        <w:rPr/>
        <mc:AlternateContent>
          <mc:Choice Requires="wps">
            <w:drawing>
              <wp:anchor distT="0" distB="0" distL="0" distR="0" allowOverlap="1" layoutInCell="1" locked="0" behindDoc="1" simplePos="0" relativeHeight="487632896">
                <wp:simplePos x="0" y="0"/>
                <wp:positionH relativeFrom="page">
                  <wp:posOffset>1185672</wp:posOffset>
                </wp:positionH>
                <wp:positionV relativeFrom="paragraph">
                  <wp:posOffset>58134</wp:posOffset>
                </wp:positionV>
                <wp:extent cx="1719580" cy="6350"/>
                <wp:effectExtent l="0" t="0" r="0" b="0"/>
                <wp:wrapTopAndBottom/>
                <wp:docPr id="103" name="Graphic 103"/>
                <wp:cNvGraphicFramePr>
                  <a:graphicFrameLocks/>
                </wp:cNvGraphicFramePr>
                <a:graphic>
                  <a:graphicData uri="http://schemas.microsoft.com/office/word/2010/wordprocessingShape">
                    <wps:wsp>
                      <wps:cNvPr id="103" name="Graphic 10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4.5775pt;width:135.360pt;height:.48pt;mso-position-horizontal-relative:page;mso-position-vertical-relative:paragraph;z-index:-15683584;mso-wrap-distance-left:0;mso-wrap-distance-right:0" id="docshape103"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244</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23</w:t>
      </w:r>
      <w:r>
        <w:rPr>
          <w:rFonts w:ascii="Times New Roman"/>
          <w:spacing w:val="-2"/>
          <w:sz w:val="19"/>
          <w:vertAlign w:val="baseline"/>
        </w:rPr>
        <w:t> </w:t>
      </w:r>
      <w:r>
        <w:rPr>
          <w:rFonts w:ascii="Times New Roman"/>
          <w:sz w:val="19"/>
          <w:vertAlign w:val="baseline"/>
        </w:rPr>
        <w:t>(b)</w:t>
      </w:r>
      <w:r>
        <w:rPr>
          <w:rFonts w:ascii="Times New Roman"/>
          <w:spacing w:val="-12"/>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245</w:t>
      </w:r>
      <w:r>
        <w:rPr>
          <w:rFonts w:ascii="Times New Roman"/>
          <w:spacing w:val="1"/>
          <w:sz w:val="19"/>
          <w:vertAlign w:val="baseline"/>
        </w:rPr>
        <w:t> </w:t>
      </w:r>
      <w:r>
        <w:rPr>
          <w:rFonts w:ascii="Times New Roman"/>
          <w:sz w:val="19"/>
          <w:vertAlign w:val="baseline"/>
        </w:rPr>
        <w:t>No. 2, </w:t>
      </w:r>
      <w:r>
        <w:rPr>
          <w:rFonts w:ascii="Times New Roman"/>
          <w:spacing w:val="-4"/>
          <w:sz w:val="19"/>
          <w:vertAlign w:val="baseline"/>
        </w:rPr>
        <w:t>2004</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9"/>
        <w:jc w:val="both"/>
      </w:pPr>
      <w:r>
        <w:rPr/>
        <w:t>periodic payment equal to 90 percent of his remuneration as compensation due to him.</w:t>
      </w:r>
      <w:r>
        <w:rPr>
          <w:vertAlign w:val="superscript"/>
        </w:rPr>
        <w:t>246</w:t>
      </w:r>
      <w:r>
        <w:rPr>
          <w:vertAlign w:val="baseline"/>
        </w:rPr>
        <w:t> In the Act, permanent total disability has the same definition with permanent partial disability</w:t>
      </w:r>
      <w:r>
        <w:rPr>
          <w:spacing w:val="40"/>
          <w:vertAlign w:val="baseline"/>
        </w:rPr>
        <w:t> </w:t>
      </w:r>
      <w:r>
        <w:rPr>
          <w:vertAlign w:val="baseline"/>
        </w:rPr>
        <w:t>already discussed.</w:t>
      </w:r>
      <w:r>
        <w:rPr>
          <w:vertAlign w:val="superscript"/>
        </w:rPr>
        <w:t>247</w:t>
      </w:r>
      <w:r>
        <w:rPr>
          <w:vertAlign w:val="baseline"/>
        </w:rPr>
        <w:t> It seems however</w:t>
      </w:r>
      <w:r>
        <w:rPr>
          <w:spacing w:val="40"/>
          <w:vertAlign w:val="baseline"/>
        </w:rPr>
        <w:t> </w:t>
      </w:r>
      <w:r>
        <w:rPr>
          <w:vertAlign w:val="baseline"/>
        </w:rPr>
        <w:t>that while permanent total disability is a complete disability, permanent partial disability is</w:t>
      </w:r>
      <w:r>
        <w:rPr>
          <w:spacing w:val="34"/>
          <w:vertAlign w:val="baseline"/>
        </w:rPr>
        <w:t> </w:t>
      </w:r>
      <w:r>
        <w:rPr>
          <w:vertAlign w:val="baseline"/>
        </w:rPr>
        <w:t>not</w:t>
      </w:r>
      <w:r>
        <w:rPr>
          <w:spacing w:val="30"/>
          <w:vertAlign w:val="baseline"/>
        </w:rPr>
        <w:t> </w:t>
      </w:r>
      <w:r>
        <w:rPr>
          <w:vertAlign w:val="baseline"/>
        </w:rPr>
        <w:t>complete. e.g.</w:t>
      </w:r>
      <w:r>
        <w:rPr>
          <w:spacing w:val="28"/>
          <w:vertAlign w:val="baseline"/>
        </w:rPr>
        <w:t> </w:t>
      </w:r>
      <w:r>
        <w:rPr>
          <w:vertAlign w:val="baseline"/>
        </w:rPr>
        <w:t>a</w:t>
      </w:r>
      <w:r>
        <w:rPr>
          <w:spacing w:val="28"/>
          <w:vertAlign w:val="baseline"/>
        </w:rPr>
        <w:t> </w:t>
      </w:r>
      <w:r>
        <w:rPr>
          <w:vertAlign w:val="baseline"/>
        </w:rPr>
        <w:t>completely blind</w:t>
      </w:r>
      <w:r>
        <w:rPr>
          <w:spacing w:val="27"/>
          <w:vertAlign w:val="baseline"/>
        </w:rPr>
        <w:t> </w:t>
      </w:r>
      <w:r>
        <w:rPr>
          <w:vertAlign w:val="baseline"/>
        </w:rPr>
        <w:t>eye</w:t>
      </w:r>
      <w:r>
        <w:rPr>
          <w:spacing w:val="28"/>
          <w:vertAlign w:val="baseline"/>
        </w:rPr>
        <w:t> </w:t>
      </w:r>
      <w:r>
        <w:rPr>
          <w:vertAlign w:val="baseline"/>
        </w:rPr>
        <w:t>is</w:t>
      </w:r>
      <w:r>
        <w:rPr>
          <w:spacing w:val="33"/>
          <w:vertAlign w:val="baseline"/>
        </w:rPr>
        <w:t> </w:t>
      </w:r>
      <w:r>
        <w:rPr>
          <w:vertAlign w:val="baseline"/>
        </w:rPr>
        <w:t>total while an eye that still</w:t>
      </w:r>
      <w:r>
        <w:rPr>
          <w:spacing w:val="32"/>
          <w:vertAlign w:val="baseline"/>
        </w:rPr>
        <w:t> </w:t>
      </w:r>
      <w:r>
        <w:rPr>
          <w:vertAlign w:val="baseline"/>
        </w:rPr>
        <w:t>sees</w:t>
      </w:r>
      <w:r>
        <w:rPr>
          <w:spacing w:val="33"/>
          <w:vertAlign w:val="baseline"/>
        </w:rPr>
        <w:t> </w:t>
      </w:r>
      <w:r>
        <w:rPr>
          <w:vertAlign w:val="baseline"/>
        </w:rPr>
        <w:t>to some extent despite the impairment, is partial. It will be better that the Act gives separate definitions for the two forms of </w:t>
      </w:r>
      <w:r>
        <w:rPr>
          <w:spacing w:val="-2"/>
          <w:vertAlign w:val="baseline"/>
        </w:rPr>
        <w:t>disability.</w:t>
      </w:r>
    </w:p>
    <w:p>
      <w:pPr>
        <w:pStyle w:val="BodyText"/>
        <w:spacing w:before="15"/>
      </w:pPr>
    </w:p>
    <w:p>
      <w:pPr>
        <w:pStyle w:val="BodyText"/>
        <w:spacing w:line="489" w:lineRule="auto"/>
        <w:ind w:left="864" w:right="565"/>
        <w:jc w:val="both"/>
      </w:pPr>
      <w:r>
        <w:rPr/>
        <w:t>For those who are less than 55 years old on the date of injury, monthly compensation in respect of permanent total disability is paid until the employee reaches 55 years of age if 55 years is his retirement age, or until he</w:t>
      </w:r>
      <w:r>
        <w:rPr>
          <w:spacing w:val="39"/>
        </w:rPr>
        <w:t> </w:t>
      </w:r>
      <w:r>
        <w:rPr/>
        <w:t>reaches</w:t>
      </w:r>
      <w:r>
        <w:rPr>
          <w:spacing w:val="38"/>
        </w:rPr>
        <w:t> </w:t>
      </w:r>
      <w:r>
        <w:rPr/>
        <w:t>his</w:t>
      </w:r>
      <w:r>
        <w:rPr>
          <w:spacing w:val="38"/>
        </w:rPr>
        <w:t> </w:t>
      </w:r>
      <w:r>
        <w:rPr/>
        <w:t>retirement age.</w:t>
      </w:r>
      <w:r>
        <w:rPr>
          <w:vertAlign w:val="superscript"/>
        </w:rPr>
        <w:t>248</w:t>
      </w:r>
      <w:r>
        <w:rPr>
          <w:spacing w:val="40"/>
          <w:vertAlign w:val="baseline"/>
        </w:rPr>
        <w:t> </w:t>
      </w:r>
      <w:r>
        <w:rPr>
          <w:vertAlign w:val="baseline"/>
        </w:rPr>
        <w:t>If</w:t>
      </w:r>
      <w:r>
        <w:rPr>
          <w:spacing w:val="39"/>
          <w:vertAlign w:val="baseline"/>
        </w:rPr>
        <w:t> </w:t>
      </w:r>
      <w:r>
        <w:rPr>
          <w:vertAlign w:val="baseline"/>
        </w:rPr>
        <w:t>his</w:t>
      </w:r>
      <w:r>
        <w:rPr>
          <w:spacing w:val="38"/>
          <w:vertAlign w:val="baseline"/>
        </w:rPr>
        <w:t> </w:t>
      </w:r>
      <w:r>
        <w:rPr>
          <w:vertAlign w:val="baseline"/>
        </w:rPr>
        <w:t>retirement is</w:t>
      </w:r>
      <w:r>
        <w:rPr>
          <w:spacing w:val="38"/>
          <w:vertAlign w:val="baseline"/>
        </w:rPr>
        <w:t> </w:t>
      </w:r>
      <w:r>
        <w:rPr>
          <w:vertAlign w:val="baseline"/>
        </w:rPr>
        <w:t>beyond</w:t>
      </w:r>
      <w:r>
        <w:rPr>
          <w:spacing w:val="37"/>
          <w:vertAlign w:val="baseline"/>
        </w:rPr>
        <w:t> </w:t>
      </w:r>
      <w:r>
        <w:rPr>
          <w:vertAlign w:val="baseline"/>
        </w:rPr>
        <w:t>55</w:t>
      </w:r>
      <w:r>
        <w:rPr>
          <w:spacing w:val="39"/>
          <w:vertAlign w:val="baseline"/>
        </w:rPr>
        <w:t> </w:t>
      </w:r>
      <w:r>
        <w:rPr>
          <w:vertAlign w:val="baseline"/>
        </w:rPr>
        <w:t>years</w:t>
      </w:r>
      <w:r>
        <w:rPr>
          <w:spacing w:val="38"/>
          <w:vertAlign w:val="baseline"/>
        </w:rPr>
        <w:t> </w:t>
      </w:r>
      <w:r>
        <w:rPr>
          <w:vertAlign w:val="baseline"/>
        </w:rPr>
        <w:t>of age or older on the date of the injury, compensation is paid until two years after the date of injury if that is the date of his retirement</w:t>
      </w:r>
      <w:r>
        <w:rPr>
          <w:spacing w:val="40"/>
          <w:vertAlign w:val="baseline"/>
        </w:rPr>
        <w:t> </w:t>
      </w:r>
      <w:r>
        <w:rPr>
          <w:vertAlign w:val="baseline"/>
        </w:rPr>
        <w:t>or the date the employee will retire, and this may be determined by the Board.</w:t>
      </w:r>
      <w:r>
        <w:rPr>
          <w:vertAlign w:val="superscript"/>
        </w:rPr>
        <w:t>249</w:t>
      </w:r>
    </w:p>
    <w:p>
      <w:pPr>
        <w:pStyle w:val="BodyText"/>
        <w:spacing w:before="11"/>
      </w:pPr>
    </w:p>
    <w:p>
      <w:pPr>
        <w:pStyle w:val="BodyText"/>
        <w:ind w:left="864"/>
        <w:jc w:val="both"/>
      </w:pPr>
      <w:r>
        <w:rPr/>
        <w:t>The</w:t>
      </w:r>
      <w:r>
        <w:rPr>
          <w:spacing w:val="7"/>
        </w:rPr>
        <w:t> </w:t>
      </w:r>
      <w:r>
        <w:rPr/>
        <w:t>amounts</w:t>
      </w:r>
      <w:r>
        <w:rPr>
          <w:spacing w:val="11"/>
        </w:rPr>
        <w:t> </w:t>
      </w:r>
      <w:r>
        <w:rPr/>
        <w:t>of</w:t>
      </w:r>
      <w:r>
        <w:rPr>
          <w:spacing w:val="9"/>
        </w:rPr>
        <w:t> </w:t>
      </w:r>
      <w:r>
        <w:rPr/>
        <w:t>compensation</w:t>
      </w:r>
      <w:r>
        <w:rPr>
          <w:spacing w:val="5"/>
        </w:rPr>
        <w:t> </w:t>
      </w:r>
      <w:r>
        <w:rPr/>
        <w:t>payable</w:t>
      </w:r>
      <w:r>
        <w:rPr>
          <w:spacing w:val="7"/>
        </w:rPr>
        <w:t> </w:t>
      </w:r>
      <w:r>
        <w:rPr/>
        <w:t>are</w:t>
      </w:r>
      <w:r>
        <w:rPr>
          <w:spacing w:val="3"/>
        </w:rPr>
        <w:t> </w:t>
      </w:r>
      <w:r>
        <w:rPr/>
        <w:t>illustrated</w:t>
      </w:r>
      <w:r>
        <w:rPr>
          <w:spacing w:val="11"/>
        </w:rPr>
        <w:t> </w:t>
      </w:r>
      <w:r>
        <w:rPr>
          <w:spacing w:val="-2"/>
        </w:rPr>
        <w:t>below;</w:t>
      </w:r>
    </w:p>
    <w:p>
      <w:pPr>
        <w:pStyle w:val="BodyText"/>
        <w:spacing w:before="11"/>
      </w:pPr>
    </w:p>
    <w:p>
      <w:pPr>
        <w:pStyle w:val="BodyText"/>
        <w:spacing w:line="491" w:lineRule="auto"/>
        <w:ind w:left="864" w:right="572"/>
        <w:jc w:val="both"/>
      </w:pPr>
      <w:r>
        <w:rPr/>
        <w:t>Mr Abdullahi Nnamdi Abiola at the age of 53 years had his two eyes damaged as a result of an industrial accident in the course of his duty. On the date of the injury, his monthly remuneration was N500,000. What will</w:t>
      </w:r>
      <w:r>
        <w:rPr>
          <w:spacing w:val="40"/>
        </w:rPr>
        <w:t> </w:t>
      </w:r>
      <w:r>
        <w:rPr/>
        <w:t>be his monthly amount of compensation?</w:t>
      </w:r>
    </w:p>
    <w:p>
      <w:pPr>
        <w:pStyle w:val="BodyText"/>
        <w:spacing w:before="2"/>
        <w:rPr>
          <w:sz w:val="16"/>
        </w:rPr>
      </w:pPr>
      <w:r>
        <w:rPr/>
        <mc:AlternateContent>
          <mc:Choice Requires="wps">
            <w:drawing>
              <wp:anchor distT="0" distB="0" distL="0" distR="0" allowOverlap="1" layoutInCell="1" locked="0" behindDoc="1" simplePos="0" relativeHeight="487633408">
                <wp:simplePos x="0" y="0"/>
                <wp:positionH relativeFrom="page">
                  <wp:posOffset>1185672</wp:posOffset>
                </wp:positionH>
                <wp:positionV relativeFrom="paragraph">
                  <wp:posOffset>139563</wp:posOffset>
                </wp:positionV>
                <wp:extent cx="1719580" cy="3175"/>
                <wp:effectExtent l="0" t="0" r="0" b="0"/>
                <wp:wrapTopAndBottom/>
                <wp:docPr id="104" name="Graphic 104"/>
                <wp:cNvGraphicFramePr>
                  <a:graphicFrameLocks/>
                </wp:cNvGraphicFramePr>
                <a:graphic>
                  <a:graphicData uri="http://schemas.microsoft.com/office/word/2010/wordprocessingShape">
                    <wps:wsp>
                      <wps:cNvPr id="104" name="Graphic 104"/>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0.989219pt;width:135.360pt;height:.24pt;mso-position-horizontal-relative:page;mso-position-vertical-relative:paragraph;z-index:-15683072;mso-wrap-distance-left:0;mso-wrap-distance-right:0" id="docshape104" filled="true" fillcolor="#000000" stroked="false">
                <v:fill type="solid"/>
                <w10:wrap type="topAndBottom"/>
              </v:rect>
            </w:pict>
          </mc:Fallback>
        </mc:AlternateContent>
      </w:r>
    </w:p>
    <w:p>
      <w:pPr>
        <w:spacing w:line="217" w:lineRule="exact" w:before="96"/>
        <w:ind w:left="187" w:right="0" w:firstLine="0"/>
        <w:jc w:val="left"/>
        <w:rPr>
          <w:rFonts w:ascii="Times New Roman" w:hAnsi="Times New Roman"/>
          <w:i/>
          <w:sz w:val="19"/>
        </w:rPr>
      </w:pPr>
      <w:r>
        <w:rPr>
          <w:rFonts w:ascii="Times New Roman" w:hAnsi="Times New Roman"/>
          <w:sz w:val="19"/>
          <w:vertAlign w:val="superscript"/>
        </w:rPr>
        <w:t>246</w:t>
      </w:r>
      <w:r>
        <w:rPr>
          <w:rFonts w:ascii="Times New Roman" w:hAnsi="Times New Roman"/>
          <w:spacing w:val="-11"/>
          <w:sz w:val="19"/>
          <w:vertAlign w:val="baseline"/>
        </w:rPr>
        <w:t> </w:t>
      </w:r>
      <w:r>
        <w:rPr>
          <w:rFonts w:ascii="Times New Roman" w:hAnsi="Times New Roman"/>
          <w:sz w:val="19"/>
          <w:vertAlign w:val="baseline"/>
        </w:rPr>
        <w:t>See</w:t>
      </w:r>
      <w:r>
        <w:rPr>
          <w:rFonts w:ascii="Times New Roman" w:hAnsi="Times New Roman"/>
          <w:spacing w:val="-8"/>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7"/>
          <w:sz w:val="19"/>
          <w:vertAlign w:val="baseline"/>
        </w:rPr>
        <w:t> </w:t>
      </w:r>
      <w:r>
        <w:rPr>
          <w:rFonts w:ascii="Times New Roman" w:hAnsi="Times New Roman"/>
          <w:sz w:val="19"/>
          <w:vertAlign w:val="baseline"/>
        </w:rPr>
        <w:t>Compensation</w:t>
      </w:r>
      <w:r>
        <w:rPr>
          <w:rFonts w:ascii="Times New Roman" w:hAnsi="Times New Roman"/>
          <w:spacing w:val="-6"/>
          <w:sz w:val="19"/>
          <w:vertAlign w:val="baseline"/>
        </w:rPr>
        <w:t> </w:t>
      </w:r>
      <w:r>
        <w:rPr>
          <w:rFonts w:ascii="Times New Roman" w:hAnsi="Times New Roman"/>
          <w:sz w:val="19"/>
          <w:vertAlign w:val="baseline"/>
        </w:rPr>
        <w:t>Act</w:t>
      </w:r>
      <w:r>
        <w:rPr>
          <w:rFonts w:ascii="Times New Roman" w:hAnsi="Times New Roman"/>
          <w:spacing w:val="-11"/>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line="216" w:lineRule="exact" w:before="0"/>
        <w:ind w:left="187" w:right="0" w:firstLine="0"/>
        <w:jc w:val="left"/>
        <w:rPr>
          <w:rFonts w:ascii="Times New Roman"/>
          <w:i/>
          <w:sz w:val="19"/>
        </w:rPr>
      </w:pPr>
      <w:r>
        <w:rPr>
          <w:rFonts w:ascii="Times New Roman"/>
          <w:sz w:val="19"/>
          <w:vertAlign w:val="superscript"/>
        </w:rPr>
        <w:t>247</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73</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248</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23(a)</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249</w:t>
      </w:r>
      <w:r>
        <w:rPr>
          <w:rFonts w:ascii="Times New Roman"/>
          <w:spacing w:val="-4"/>
          <w:sz w:val="19"/>
          <w:vertAlign w:val="baseline"/>
        </w:rPr>
        <w:t> </w:t>
      </w:r>
      <w:r>
        <w:rPr>
          <w:rFonts w:ascii="Times New Roman"/>
          <w:sz w:val="19"/>
          <w:vertAlign w:val="baseline"/>
        </w:rPr>
        <w:t>Section</w:t>
      </w:r>
      <w:r>
        <w:rPr>
          <w:rFonts w:ascii="Times New Roman"/>
          <w:spacing w:val="-4"/>
          <w:sz w:val="19"/>
          <w:vertAlign w:val="baseline"/>
        </w:rPr>
        <w:t> </w:t>
      </w:r>
      <w:r>
        <w:rPr>
          <w:rFonts w:ascii="Times New Roman"/>
          <w:sz w:val="19"/>
          <w:vertAlign w:val="baseline"/>
        </w:rPr>
        <w:t>23(b)</w:t>
      </w:r>
      <w:r>
        <w:rPr>
          <w:rFonts w:ascii="Times New Roman"/>
          <w:spacing w:val="-5"/>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before="94"/>
        <w:ind w:left="864"/>
      </w:pPr>
      <w:r>
        <w:rPr/>
        <w:t>His</w:t>
      </w:r>
      <w:r>
        <w:rPr>
          <w:spacing w:val="4"/>
        </w:rPr>
        <w:t> </w:t>
      </w:r>
      <w:r>
        <w:rPr/>
        <w:t>monthly</w:t>
      </w:r>
      <w:r>
        <w:rPr>
          <w:spacing w:val="12"/>
        </w:rPr>
        <w:t> </w:t>
      </w:r>
      <w:r>
        <w:rPr/>
        <w:t>amount</w:t>
      </w:r>
      <w:r>
        <w:rPr>
          <w:spacing w:val="2"/>
        </w:rPr>
        <w:t> </w:t>
      </w:r>
      <w:r>
        <w:rPr>
          <w:spacing w:val="-5"/>
        </w:rPr>
        <w:t>is:</w:t>
      </w:r>
    </w:p>
    <w:p>
      <w:pPr>
        <w:pStyle w:val="BodyText"/>
        <w:spacing w:before="11"/>
      </w:pPr>
    </w:p>
    <w:p>
      <w:pPr>
        <w:pStyle w:val="BodyText"/>
        <w:ind w:left="1540"/>
      </w:pPr>
      <w:r>
        <w:rPr/>
        <w:t>500000 X</w:t>
      </w:r>
      <w:r>
        <w:rPr>
          <w:spacing w:val="6"/>
        </w:rPr>
        <w:t> </w:t>
      </w:r>
      <w:r>
        <w:rPr/>
        <w:t>90=</w:t>
      </w:r>
      <w:r>
        <w:rPr>
          <w:spacing w:val="6"/>
        </w:rPr>
        <w:t> </w:t>
      </w:r>
      <w:r>
        <w:rPr>
          <w:spacing w:val="-2"/>
        </w:rPr>
        <w:t>45,000,000</w:t>
      </w:r>
    </w:p>
    <w:p>
      <w:pPr>
        <w:pStyle w:val="BodyText"/>
        <w:spacing w:before="11"/>
      </w:pPr>
    </w:p>
    <w:p>
      <w:pPr>
        <w:pStyle w:val="BodyText"/>
        <w:ind w:left="1540"/>
      </w:pPr>
      <w:r>
        <w:rPr>
          <w:u w:val="single"/>
        </w:rPr>
        <w:t>45,000,000</w:t>
      </w:r>
      <w:r>
        <w:rPr>
          <w:spacing w:val="24"/>
          <w:u w:val="single"/>
        </w:rPr>
        <w:t>  </w:t>
      </w:r>
      <w:r>
        <w:rPr>
          <w:spacing w:val="-2"/>
          <w:u w:val="single"/>
        </w:rPr>
        <w:t>=</w:t>
      </w:r>
      <w:r>
        <w:rPr>
          <w:spacing w:val="-2"/>
        </w:rPr>
        <w:t>N450,000</w:t>
      </w:r>
    </w:p>
    <w:p>
      <w:pPr>
        <w:pStyle w:val="BodyText"/>
        <w:spacing w:before="6"/>
        <w:ind w:left="1540"/>
      </w:pPr>
      <w:r>
        <w:rPr>
          <w:spacing w:val="-5"/>
        </w:rPr>
        <w:t>100</w:t>
      </w:r>
    </w:p>
    <w:p>
      <w:pPr>
        <w:pStyle w:val="BodyText"/>
      </w:pPr>
    </w:p>
    <w:p>
      <w:pPr>
        <w:pStyle w:val="BodyText"/>
        <w:spacing w:before="21"/>
      </w:pPr>
    </w:p>
    <w:p>
      <w:pPr>
        <w:pStyle w:val="BodyText"/>
        <w:spacing w:line="489" w:lineRule="auto"/>
        <w:ind w:left="864" w:right="565"/>
        <w:jc w:val="both"/>
      </w:pPr>
      <w:r>
        <w:rPr/>
        <w:t>Taking</w:t>
      </w:r>
      <w:r>
        <w:rPr>
          <w:spacing w:val="22"/>
        </w:rPr>
        <w:t> </w:t>
      </w:r>
      <w:r>
        <w:rPr/>
        <w:t>the</w:t>
      </w:r>
      <w:r>
        <w:rPr>
          <w:spacing w:val="19"/>
        </w:rPr>
        <w:t> </w:t>
      </w:r>
      <w:r>
        <w:rPr/>
        <w:t>above</w:t>
      </w:r>
      <w:r>
        <w:rPr>
          <w:spacing w:val="19"/>
        </w:rPr>
        <w:t> </w:t>
      </w:r>
      <w:r>
        <w:rPr/>
        <w:t>scenario,</w:t>
      </w:r>
      <w:r>
        <w:rPr>
          <w:spacing w:val="23"/>
        </w:rPr>
        <w:t> </w:t>
      </w:r>
      <w:r>
        <w:rPr/>
        <w:t>what is his total</w:t>
      </w:r>
      <w:r>
        <w:rPr>
          <w:spacing w:val="26"/>
        </w:rPr>
        <w:t> </w:t>
      </w:r>
      <w:r>
        <w:rPr/>
        <w:t>amount of</w:t>
      </w:r>
      <w:r>
        <w:rPr>
          <w:spacing w:val="24"/>
        </w:rPr>
        <w:t> </w:t>
      </w:r>
      <w:r>
        <w:rPr/>
        <w:t>compensation</w:t>
      </w:r>
      <w:r>
        <w:rPr>
          <w:spacing w:val="21"/>
        </w:rPr>
        <w:t> </w:t>
      </w:r>
      <w:r>
        <w:rPr/>
        <w:t>if</w:t>
      </w:r>
      <w:r>
        <w:rPr>
          <w:spacing w:val="24"/>
        </w:rPr>
        <w:t> </w:t>
      </w:r>
      <w:r>
        <w:rPr/>
        <w:t>he is to retire at the age of 55 years?</w:t>
      </w:r>
    </w:p>
    <w:p>
      <w:pPr>
        <w:pStyle w:val="BodyText"/>
        <w:spacing w:before="6"/>
      </w:pPr>
    </w:p>
    <w:p>
      <w:pPr>
        <w:pStyle w:val="BodyText"/>
        <w:spacing w:line="489" w:lineRule="auto"/>
        <w:ind w:left="864" w:right="568"/>
        <w:jc w:val="both"/>
      </w:pPr>
      <w:r>
        <w:rPr/>
        <w:t>Since Mr. Abdullahi Nnamdi Abiola had the disability when he was 53 years of</w:t>
      </w:r>
      <w:r>
        <w:rPr>
          <w:spacing w:val="28"/>
        </w:rPr>
        <w:t> </w:t>
      </w:r>
      <w:r>
        <w:rPr/>
        <w:t>age,</w:t>
      </w:r>
      <w:r>
        <w:rPr>
          <w:spacing w:val="27"/>
        </w:rPr>
        <w:t> </w:t>
      </w:r>
      <w:r>
        <w:rPr/>
        <w:t>his monthly</w:t>
      </w:r>
      <w:r>
        <w:rPr>
          <w:spacing w:val="29"/>
        </w:rPr>
        <w:t> </w:t>
      </w:r>
      <w:r>
        <w:rPr/>
        <w:t>amount of</w:t>
      </w:r>
      <w:r>
        <w:rPr>
          <w:spacing w:val="28"/>
        </w:rPr>
        <w:t> </w:t>
      </w:r>
      <w:r>
        <w:rPr/>
        <w:t>compensation will be</w:t>
      </w:r>
      <w:r>
        <w:rPr>
          <w:spacing w:val="27"/>
        </w:rPr>
        <w:t> </w:t>
      </w:r>
      <w:r>
        <w:rPr/>
        <w:t>paid until he reaches 55 years of age. This will then be within the span of 2 years and it is calculated by multiplying the amount of compensation by the total number of months for the two years, i.e. 24 months as thus:</w:t>
      </w:r>
    </w:p>
    <w:p>
      <w:pPr>
        <w:pStyle w:val="BodyText"/>
        <w:spacing w:before="5"/>
        <w:ind w:left="864"/>
      </w:pPr>
      <w:r>
        <w:rPr/>
        <w:t>450,000</w:t>
      </w:r>
      <w:r>
        <w:rPr>
          <w:spacing w:val="2"/>
        </w:rPr>
        <w:t> </w:t>
      </w:r>
      <w:r>
        <w:rPr/>
        <w:t>X</w:t>
      </w:r>
      <w:r>
        <w:rPr>
          <w:spacing w:val="4"/>
        </w:rPr>
        <w:t> </w:t>
      </w:r>
      <w:r>
        <w:rPr/>
        <w:t>24</w:t>
      </w:r>
      <w:r>
        <w:rPr>
          <w:spacing w:val="3"/>
        </w:rPr>
        <w:t> </w:t>
      </w:r>
      <w:r>
        <w:rPr/>
        <w:t>=</w:t>
      </w:r>
      <w:r>
        <w:rPr>
          <w:spacing w:val="3"/>
        </w:rPr>
        <w:t> </w:t>
      </w:r>
      <w:r>
        <w:rPr>
          <w:spacing w:val="-2"/>
        </w:rPr>
        <w:t>10,800,000</w:t>
      </w:r>
    </w:p>
    <w:p>
      <w:pPr>
        <w:pStyle w:val="BodyText"/>
        <w:spacing w:before="16"/>
      </w:pPr>
    </w:p>
    <w:p>
      <w:pPr>
        <w:pStyle w:val="BodyText"/>
        <w:ind w:left="864"/>
      </w:pPr>
      <w:r>
        <w:rPr/>
        <w:t>Total</w:t>
      </w:r>
      <w:r>
        <w:rPr>
          <w:spacing w:val="8"/>
        </w:rPr>
        <w:t> </w:t>
      </w:r>
      <w:r>
        <w:rPr/>
        <w:t>amount</w:t>
      </w:r>
      <w:r>
        <w:rPr>
          <w:spacing w:val="7"/>
        </w:rPr>
        <w:t> </w:t>
      </w:r>
      <w:r>
        <w:rPr/>
        <w:t>of</w:t>
      </w:r>
      <w:r>
        <w:rPr>
          <w:spacing w:val="6"/>
        </w:rPr>
        <w:t> </w:t>
      </w:r>
      <w:r>
        <w:rPr/>
        <w:t>compensation</w:t>
      </w:r>
      <w:r>
        <w:rPr>
          <w:spacing w:val="7"/>
        </w:rPr>
        <w:t> </w:t>
      </w:r>
      <w:r>
        <w:rPr/>
        <w:t>=</w:t>
      </w:r>
      <w:r>
        <w:rPr>
          <w:spacing w:val="6"/>
        </w:rPr>
        <w:t> </w:t>
      </w:r>
      <w:r>
        <w:rPr>
          <w:spacing w:val="-2"/>
        </w:rPr>
        <w:t>N10,800,000</w:t>
      </w:r>
    </w:p>
    <w:p>
      <w:pPr>
        <w:pStyle w:val="BodyText"/>
      </w:pPr>
    </w:p>
    <w:p>
      <w:pPr>
        <w:pStyle w:val="BodyText"/>
        <w:spacing w:before="12"/>
      </w:pPr>
    </w:p>
    <w:p>
      <w:pPr>
        <w:pStyle w:val="BodyText"/>
        <w:spacing w:line="489" w:lineRule="auto"/>
        <w:ind w:left="864" w:right="568"/>
        <w:jc w:val="both"/>
      </w:pPr>
      <w:r>
        <w:rPr/>
        <w:t>Where however, he will not retire at the age of 55 years but beyond, then the</w:t>
      </w:r>
      <w:r>
        <w:rPr>
          <w:spacing w:val="26"/>
        </w:rPr>
        <w:t> </w:t>
      </w:r>
      <w:r>
        <w:rPr/>
        <w:t>monthly</w:t>
      </w:r>
      <w:r>
        <w:rPr>
          <w:spacing w:val="28"/>
        </w:rPr>
        <w:t> </w:t>
      </w:r>
      <w:r>
        <w:rPr/>
        <w:t>amount of</w:t>
      </w:r>
      <w:r>
        <w:rPr>
          <w:spacing w:val="27"/>
        </w:rPr>
        <w:t> </w:t>
      </w:r>
      <w:r>
        <w:rPr/>
        <w:t>compensation</w:t>
      </w:r>
      <w:r>
        <w:rPr>
          <w:spacing w:val="30"/>
        </w:rPr>
        <w:t> </w:t>
      </w:r>
      <w:r>
        <w:rPr/>
        <w:t>has</w:t>
      </w:r>
      <w:r>
        <w:rPr>
          <w:spacing w:val="26"/>
        </w:rPr>
        <w:t> </w:t>
      </w:r>
      <w:r>
        <w:rPr/>
        <w:t>to</w:t>
      </w:r>
      <w:r>
        <w:rPr>
          <w:spacing w:val="27"/>
        </w:rPr>
        <w:t> </w:t>
      </w:r>
      <w:r>
        <w:rPr/>
        <w:t>be</w:t>
      </w:r>
      <w:r>
        <w:rPr>
          <w:spacing w:val="32"/>
        </w:rPr>
        <w:t> </w:t>
      </w:r>
      <w:r>
        <w:rPr/>
        <w:t>multiplied</w:t>
      </w:r>
      <w:r>
        <w:rPr>
          <w:spacing w:val="31"/>
        </w:rPr>
        <w:t> </w:t>
      </w:r>
      <w:r>
        <w:rPr/>
        <w:t>by</w:t>
      </w:r>
      <w:r>
        <w:rPr>
          <w:spacing w:val="34"/>
        </w:rPr>
        <w:t> </w:t>
      </w:r>
      <w:r>
        <w:rPr/>
        <w:t>the</w:t>
      </w:r>
      <w:r>
        <w:rPr>
          <w:spacing w:val="32"/>
        </w:rPr>
        <w:t> </w:t>
      </w:r>
      <w:r>
        <w:rPr/>
        <w:t>number of months it will take him to retire, in order to arrive at the total amount of compensation. It is the view of the researcher that the period of compensation here is</w:t>
      </w:r>
      <w:r>
        <w:rPr>
          <w:spacing w:val="40"/>
        </w:rPr>
        <w:t> </w:t>
      </w:r>
      <w:r>
        <w:rPr/>
        <w:t>inadequate.</w:t>
      </w:r>
      <w:r>
        <w:rPr>
          <w:spacing w:val="40"/>
        </w:rPr>
        <w:t> </w:t>
      </w:r>
      <w:r>
        <w:rPr/>
        <w:t>An</w:t>
      </w:r>
      <w:r>
        <w:rPr>
          <w:spacing w:val="40"/>
        </w:rPr>
        <w:t> </w:t>
      </w:r>
      <w:r>
        <w:rPr/>
        <w:t>employee</w:t>
      </w:r>
      <w:r>
        <w:rPr>
          <w:spacing w:val="40"/>
        </w:rPr>
        <w:t> </w:t>
      </w:r>
      <w:r>
        <w:rPr/>
        <w:t>who</w:t>
      </w:r>
      <w:r>
        <w:rPr>
          <w:spacing w:val="40"/>
        </w:rPr>
        <w:t> </w:t>
      </w:r>
      <w:r>
        <w:rPr/>
        <w:t>suffers</w:t>
      </w:r>
      <w:r>
        <w:rPr>
          <w:spacing w:val="40"/>
        </w:rPr>
        <w:t> </w:t>
      </w:r>
      <w:r>
        <w:rPr/>
        <w:t>permanent total disability may need compensation for life and the period of payment should not be limited</w:t>
      </w:r>
      <w:r>
        <w:rPr>
          <w:spacing w:val="17"/>
        </w:rPr>
        <w:t> </w:t>
      </w:r>
      <w:r>
        <w:rPr/>
        <w:t>to when</w:t>
      </w:r>
      <w:r>
        <w:rPr>
          <w:spacing w:val="22"/>
        </w:rPr>
        <w:t> </w:t>
      </w:r>
      <w:r>
        <w:rPr/>
        <w:t>he retires or</w:t>
      </w:r>
      <w:r>
        <w:rPr>
          <w:spacing w:val="19"/>
        </w:rPr>
        <w:t> </w:t>
      </w:r>
      <w:r>
        <w:rPr/>
        <w:t>two years after retirement as</w:t>
      </w:r>
      <w:r>
        <w:rPr>
          <w:spacing w:val="18"/>
        </w:rPr>
        <w:t> </w:t>
      </w:r>
      <w:r>
        <w:rPr/>
        <w:t>it is contained in the Act. An employee who may ordinarily still have the strength</w:t>
      </w:r>
      <w:r>
        <w:rPr>
          <w:spacing w:val="78"/>
        </w:rPr>
        <w:t> </w:t>
      </w:r>
      <w:r>
        <w:rPr/>
        <w:t>to</w:t>
      </w:r>
      <w:r>
        <w:rPr>
          <w:spacing w:val="72"/>
        </w:rPr>
        <w:t> </w:t>
      </w:r>
      <w:r>
        <w:rPr/>
        <w:t>work</w:t>
      </w:r>
      <w:r>
        <w:rPr>
          <w:spacing w:val="73"/>
        </w:rPr>
        <w:t> </w:t>
      </w:r>
      <w:r>
        <w:rPr/>
        <w:t>after</w:t>
      </w:r>
      <w:r>
        <w:rPr>
          <w:spacing w:val="76"/>
        </w:rPr>
        <w:t> </w:t>
      </w:r>
      <w:r>
        <w:rPr/>
        <w:t>retirement,</w:t>
      </w:r>
      <w:r>
        <w:rPr>
          <w:spacing w:val="76"/>
        </w:rPr>
        <w:t> </w:t>
      </w:r>
      <w:r>
        <w:rPr/>
        <w:t>may</w:t>
      </w:r>
      <w:r>
        <w:rPr>
          <w:spacing w:val="79"/>
        </w:rPr>
        <w:t> </w:t>
      </w:r>
      <w:r>
        <w:rPr/>
        <w:t>not</w:t>
      </w:r>
      <w:r>
        <w:rPr>
          <w:spacing w:val="73"/>
        </w:rPr>
        <w:t> </w:t>
      </w:r>
      <w:r>
        <w:rPr/>
        <w:t>do</w:t>
      </w:r>
      <w:r>
        <w:rPr>
          <w:spacing w:val="72"/>
        </w:rPr>
        <w:t> </w:t>
      </w:r>
      <w:r>
        <w:rPr/>
        <w:t>so</w:t>
      </w:r>
      <w:r>
        <w:rPr>
          <w:spacing w:val="72"/>
        </w:rPr>
        <w:t> </w:t>
      </w:r>
      <w:r>
        <w:rPr/>
        <w:t>as</w:t>
      </w:r>
      <w:r>
        <w:rPr>
          <w:spacing w:val="71"/>
        </w:rPr>
        <w:t> </w:t>
      </w:r>
      <w:r>
        <w:rPr/>
        <w:t>a</w:t>
      </w:r>
      <w:r>
        <w:rPr>
          <w:spacing w:val="76"/>
        </w:rPr>
        <w:t> </w:t>
      </w:r>
      <w:r>
        <w:rPr/>
        <w:t>result</w:t>
      </w:r>
      <w:r>
        <w:rPr>
          <w:spacing w:val="73"/>
        </w:rPr>
        <w:t> </w:t>
      </w:r>
      <w:r>
        <w:rPr/>
        <w:t>of</w:t>
      </w:r>
      <w:r>
        <w:rPr>
          <w:spacing w:val="77"/>
        </w:rPr>
        <w:t> </w:t>
      </w:r>
      <w:r>
        <w:rPr>
          <w:spacing w:val="-5"/>
        </w:rPr>
        <w:t>the</w:t>
      </w:r>
    </w:p>
    <w:p>
      <w:pPr>
        <w:spacing w:after="0" w:line="489" w:lineRule="auto"/>
        <w:jc w:val="both"/>
        <w:sectPr>
          <w:pgSz w:w="12240" w:h="15840"/>
          <w:pgMar w:header="0" w:footer="1009" w:top="1260" w:bottom="1200" w:left="1680" w:right="1320"/>
        </w:sectPr>
      </w:pPr>
    </w:p>
    <w:p>
      <w:pPr>
        <w:pStyle w:val="BodyText"/>
        <w:spacing w:line="489" w:lineRule="auto" w:before="94"/>
        <w:ind w:left="864" w:right="568"/>
        <w:jc w:val="both"/>
      </w:pPr>
      <w:r>
        <w:rPr/>
        <w:t>disability he suffered out of or in the course of his employment and in this instance, compensation is only adequate if he is paid for life. The Board</w:t>
      </w:r>
      <w:r>
        <w:rPr>
          <w:spacing w:val="80"/>
        </w:rPr>
        <w:t> </w:t>
      </w:r>
      <w:r>
        <w:rPr/>
        <w:t>shall</w:t>
      </w:r>
      <w:r>
        <w:rPr>
          <w:spacing w:val="40"/>
        </w:rPr>
        <w:t> </w:t>
      </w:r>
      <w:r>
        <w:rPr/>
        <w:t>set</w:t>
      </w:r>
      <w:r>
        <w:rPr>
          <w:spacing w:val="40"/>
        </w:rPr>
        <w:t> </w:t>
      </w:r>
      <w:r>
        <w:rPr/>
        <w:t>aside</w:t>
      </w:r>
      <w:r>
        <w:rPr>
          <w:spacing w:val="40"/>
        </w:rPr>
        <w:t> </w:t>
      </w:r>
      <w:r>
        <w:rPr/>
        <w:t>at</w:t>
      </w:r>
      <w:r>
        <w:rPr>
          <w:spacing w:val="40"/>
        </w:rPr>
        <w:t> </w:t>
      </w:r>
      <w:r>
        <w:rPr/>
        <w:t>the</w:t>
      </w:r>
      <w:r>
        <w:rPr>
          <w:spacing w:val="40"/>
        </w:rPr>
        <w:t> </w:t>
      </w:r>
      <w:r>
        <w:rPr/>
        <w:t>time</w:t>
      </w:r>
      <w:r>
        <w:rPr>
          <w:spacing w:val="40"/>
        </w:rPr>
        <w:t> </w:t>
      </w:r>
      <w:r>
        <w:rPr/>
        <w:t>a</w:t>
      </w:r>
      <w:r>
        <w:rPr>
          <w:spacing w:val="40"/>
        </w:rPr>
        <w:t> </w:t>
      </w:r>
      <w:r>
        <w:rPr/>
        <w:t>periodic</w:t>
      </w:r>
      <w:r>
        <w:rPr>
          <w:spacing w:val="40"/>
        </w:rPr>
        <w:t> </w:t>
      </w:r>
      <w:r>
        <w:rPr/>
        <w:t>payment</w:t>
      </w:r>
      <w:r>
        <w:rPr>
          <w:spacing w:val="40"/>
        </w:rPr>
        <w:t> </w:t>
      </w:r>
      <w:r>
        <w:rPr/>
        <w:t>in</w:t>
      </w:r>
      <w:r>
        <w:rPr>
          <w:spacing w:val="40"/>
        </w:rPr>
        <w:t> </w:t>
      </w:r>
      <w:r>
        <w:rPr/>
        <w:t>respect</w:t>
      </w:r>
      <w:r>
        <w:rPr>
          <w:spacing w:val="40"/>
        </w:rPr>
        <w:t> </w:t>
      </w:r>
      <w:r>
        <w:rPr/>
        <w:t>of</w:t>
      </w:r>
      <w:r>
        <w:rPr>
          <w:spacing w:val="40"/>
        </w:rPr>
        <w:t> </w:t>
      </w:r>
      <w:r>
        <w:rPr/>
        <w:t>permanent total disability is made to an employee, an amount equal to 7.5 percent of the said periodic payment or an amount set by Pension Reform Act be remitted to the retirement savings account of the employee. The employee may in addition to this, wish to apply to the Board to contribute an amount that is not less than 1 percent and not greater than 7.5 percent and the Board shall deduct same and remit it to the employee’s retirement savings account pursuant to Pension Reform Act</w:t>
      </w:r>
      <w:r>
        <w:rPr>
          <w:vertAlign w:val="superscript"/>
        </w:rPr>
        <w:t>250</w:t>
      </w:r>
      <w:r>
        <w:rPr>
          <w:vertAlign w:val="baseline"/>
        </w:rPr>
        <w:t> and the voluntary contribution can be stopped by an employee through an application to the Board.</w:t>
      </w:r>
      <w:r>
        <w:rPr>
          <w:vertAlign w:val="superscript"/>
        </w:rPr>
        <w:t>251</w:t>
      </w:r>
      <w:r>
        <w:rPr>
          <w:vertAlign w:val="baseline"/>
        </w:rPr>
        <w:t> All the applications relating to deductions are made in a prescribed form provided by the Board.</w:t>
      </w:r>
      <w:r>
        <w:rPr>
          <w:vertAlign w:val="superscript"/>
        </w:rPr>
        <w:t>252</w:t>
      </w:r>
    </w:p>
    <w:p>
      <w:pPr>
        <w:pStyle w:val="BodyText"/>
        <w:spacing w:before="15"/>
      </w:pPr>
    </w:p>
    <w:p>
      <w:pPr>
        <w:pStyle w:val="Heading3"/>
        <w:numPr>
          <w:ilvl w:val="2"/>
          <w:numId w:val="13"/>
        </w:numPr>
        <w:tabs>
          <w:tab w:pos="860" w:val="left" w:leader="none"/>
        </w:tabs>
        <w:spacing w:line="240" w:lineRule="auto" w:before="1" w:after="0"/>
        <w:ind w:left="860" w:right="0" w:hanging="673"/>
        <w:jc w:val="left"/>
      </w:pPr>
      <w:bookmarkStart w:name="_TOC_250010" w:id="20"/>
      <w:r>
        <w:rPr/>
        <w:t>Scale</w:t>
      </w:r>
      <w:r>
        <w:rPr>
          <w:spacing w:val="5"/>
        </w:rPr>
        <w:t> </w:t>
      </w:r>
      <w:r>
        <w:rPr/>
        <w:t>of</w:t>
      </w:r>
      <w:r>
        <w:rPr>
          <w:spacing w:val="8"/>
        </w:rPr>
        <w:t> </w:t>
      </w:r>
      <w:r>
        <w:rPr/>
        <w:t>Compensation</w:t>
      </w:r>
      <w:r>
        <w:rPr>
          <w:spacing w:val="4"/>
        </w:rPr>
        <w:t> </w:t>
      </w:r>
      <w:r>
        <w:rPr/>
        <w:t>in</w:t>
      </w:r>
      <w:r>
        <w:rPr>
          <w:spacing w:val="11"/>
        </w:rPr>
        <w:t> </w:t>
      </w:r>
      <w:r>
        <w:rPr/>
        <w:t>Fatal</w:t>
      </w:r>
      <w:r>
        <w:rPr>
          <w:spacing w:val="7"/>
        </w:rPr>
        <w:t> </w:t>
      </w:r>
      <w:bookmarkEnd w:id="20"/>
      <w:r>
        <w:rPr>
          <w:spacing w:val="-4"/>
        </w:rPr>
        <w:t>Cases</w:t>
      </w:r>
    </w:p>
    <w:p>
      <w:pPr>
        <w:pStyle w:val="BodyText"/>
        <w:spacing w:before="15"/>
        <w:rPr>
          <w:b/>
        </w:rPr>
      </w:pPr>
    </w:p>
    <w:p>
      <w:pPr>
        <w:pStyle w:val="BodyText"/>
        <w:spacing w:line="489" w:lineRule="auto" w:before="1"/>
        <w:ind w:left="864" w:right="566"/>
        <w:jc w:val="both"/>
      </w:pPr>
      <w:r>
        <w:rPr/>
        <w:t>Fatal cases are cases involving death of an employee.</w:t>
      </w:r>
      <w:r>
        <w:rPr>
          <w:vertAlign w:val="superscript"/>
        </w:rPr>
        <w:t>253</w:t>
      </w:r>
      <w:r>
        <w:rPr>
          <w:vertAlign w:val="baseline"/>
        </w:rPr>
        <w:t> In this case, dependants of the deceased employee who are wholly dependent on his earnings are entitled to compensation.</w:t>
      </w:r>
      <w:r>
        <w:rPr>
          <w:spacing w:val="40"/>
          <w:vertAlign w:val="baseline"/>
        </w:rPr>
        <w:t> </w:t>
      </w:r>
      <w:r>
        <w:rPr>
          <w:vertAlign w:val="baseline"/>
        </w:rPr>
        <w:t>Where the deceased employee leaves</w:t>
      </w:r>
      <w:r>
        <w:rPr>
          <w:vertAlign w:val="superscript"/>
        </w:rPr>
        <w:t>254</w:t>
      </w:r>
      <w:r>
        <w:rPr>
          <w:vertAlign w:val="baseline"/>
        </w:rPr>
        <w:t> dependants wholly dependent on his earnings either a widow or widower</w:t>
      </w:r>
      <w:r>
        <w:rPr>
          <w:spacing w:val="40"/>
          <w:vertAlign w:val="baseline"/>
        </w:rPr>
        <w:t> </w:t>
      </w:r>
      <w:r>
        <w:rPr>
          <w:vertAlign w:val="baseline"/>
        </w:rPr>
        <w:t>with</w:t>
      </w:r>
      <w:r>
        <w:rPr>
          <w:spacing w:val="40"/>
          <w:vertAlign w:val="baseline"/>
        </w:rPr>
        <w:t> </w:t>
      </w:r>
      <w:r>
        <w:rPr>
          <w:vertAlign w:val="baseline"/>
        </w:rPr>
        <w:t>two</w:t>
      </w:r>
      <w:r>
        <w:rPr>
          <w:spacing w:val="40"/>
          <w:vertAlign w:val="baseline"/>
        </w:rPr>
        <w:t> </w:t>
      </w:r>
      <w:r>
        <w:rPr>
          <w:vertAlign w:val="baseline"/>
        </w:rPr>
        <w:t>or</w:t>
      </w:r>
      <w:r>
        <w:rPr>
          <w:spacing w:val="40"/>
          <w:vertAlign w:val="baseline"/>
        </w:rPr>
        <w:t> </w:t>
      </w:r>
      <w:r>
        <w:rPr>
          <w:vertAlign w:val="baseline"/>
        </w:rPr>
        <w:t>more</w:t>
      </w:r>
      <w:r>
        <w:rPr>
          <w:spacing w:val="40"/>
          <w:vertAlign w:val="baseline"/>
        </w:rPr>
        <w:t> </w:t>
      </w:r>
      <w:r>
        <w:rPr>
          <w:vertAlign w:val="baseline"/>
        </w:rPr>
        <w:t>children,</w:t>
      </w:r>
      <w:r>
        <w:rPr>
          <w:spacing w:val="40"/>
          <w:vertAlign w:val="baseline"/>
        </w:rPr>
        <w:t> </w:t>
      </w:r>
      <w:r>
        <w:rPr>
          <w:vertAlign w:val="baseline"/>
        </w:rPr>
        <w:t>they</w:t>
      </w:r>
      <w:r>
        <w:rPr>
          <w:spacing w:val="40"/>
          <w:vertAlign w:val="baseline"/>
        </w:rPr>
        <w:t> </w:t>
      </w:r>
      <w:r>
        <w:rPr>
          <w:vertAlign w:val="baseline"/>
        </w:rPr>
        <w:t>are</w:t>
      </w:r>
      <w:r>
        <w:rPr>
          <w:spacing w:val="40"/>
          <w:vertAlign w:val="baseline"/>
        </w:rPr>
        <w:t> </w:t>
      </w:r>
      <w:r>
        <w:rPr>
          <w:vertAlign w:val="baseline"/>
        </w:rPr>
        <w:t>entitled</w:t>
      </w:r>
      <w:r>
        <w:rPr>
          <w:spacing w:val="40"/>
          <w:vertAlign w:val="baseline"/>
        </w:rPr>
        <w:t> </w:t>
      </w:r>
      <w:r>
        <w:rPr>
          <w:vertAlign w:val="baseline"/>
        </w:rPr>
        <w:t>to</w:t>
      </w:r>
      <w:r>
        <w:rPr>
          <w:spacing w:val="40"/>
          <w:vertAlign w:val="baseline"/>
        </w:rPr>
        <w:t> </w:t>
      </w:r>
      <w:r>
        <w:rPr>
          <w:vertAlign w:val="baseline"/>
        </w:rPr>
        <w:t>a</w:t>
      </w:r>
      <w:r>
        <w:rPr>
          <w:spacing w:val="40"/>
          <w:vertAlign w:val="baseline"/>
        </w:rPr>
        <w:t> </w:t>
      </w:r>
      <w:r>
        <w:rPr>
          <w:vertAlign w:val="baseline"/>
        </w:rPr>
        <w:t>monthly payment</w:t>
      </w:r>
      <w:r>
        <w:rPr>
          <w:spacing w:val="29"/>
          <w:vertAlign w:val="baseline"/>
        </w:rPr>
        <w:t> </w:t>
      </w:r>
      <w:r>
        <w:rPr>
          <w:vertAlign w:val="baseline"/>
        </w:rPr>
        <w:t>of</w:t>
      </w:r>
      <w:r>
        <w:rPr>
          <w:spacing w:val="33"/>
          <w:vertAlign w:val="baseline"/>
        </w:rPr>
        <w:t> </w:t>
      </w:r>
      <w:r>
        <w:rPr>
          <w:vertAlign w:val="baseline"/>
        </w:rPr>
        <w:t>a</w:t>
      </w:r>
      <w:r>
        <w:rPr>
          <w:spacing w:val="28"/>
          <w:vertAlign w:val="baseline"/>
        </w:rPr>
        <w:t> </w:t>
      </w:r>
      <w:r>
        <w:rPr>
          <w:vertAlign w:val="baseline"/>
        </w:rPr>
        <w:t>sum</w:t>
      </w:r>
      <w:r>
        <w:rPr>
          <w:spacing w:val="30"/>
          <w:vertAlign w:val="baseline"/>
        </w:rPr>
        <w:t> </w:t>
      </w:r>
      <w:r>
        <w:rPr>
          <w:vertAlign w:val="baseline"/>
        </w:rPr>
        <w:t>equal</w:t>
      </w:r>
      <w:r>
        <w:rPr>
          <w:spacing w:val="30"/>
          <w:vertAlign w:val="baseline"/>
        </w:rPr>
        <w:t> </w:t>
      </w:r>
      <w:r>
        <w:rPr>
          <w:vertAlign w:val="baseline"/>
        </w:rPr>
        <w:t>to</w:t>
      </w:r>
      <w:r>
        <w:rPr>
          <w:spacing w:val="28"/>
          <w:vertAlign w:val="baseline"/>
        </w:rPr>
        <w:t> </w:t>
      </w:r>
      <w:r>
        <w:rPr>
          <w:vertAlign w:val="baseline"/>
        </w:rPr>
        <w:t>90</w:t>
      </w:r>
      <w:r>
        <w:rPr>
          <w:spacing w:val="27"/>
          <w:vertAlign w:val="baseline"/>
        </w:rPr>
        <w:t> </w:t>
      </w:r>
      <w:r>
        <w:rPr>
          <w:vertAlign w:val="baseline"/>
        </w:rPr>
        <w:t>percent</w:t>
      </w:r>
      <w:r>
        <w:rPr>
          <w:spacing w:val="29"/>
          <w:vertAlign w:val="baseline"/>
        </w:rPr>
        <w:t> </w:t>
      </w:r>
      <w:r>
        <w:rPr>
          <w:vertAlign w:val="baseline"/>
        </w:rPr>
        <w:t>of</w:t>
      </w:r>
      <w:r>
        <w:rPr>
          <w:spacing w:val="33"/>
          <w:vertAlign w:val="baseline"/>
        </w:rPr>
        <w:t> </w:t>
      </w:r>
      <w:r>
        <w:rPr>
          <w:vertAlign w:val="baseline"/>
        </w:rPr>
        <w:t>the</w:t>
      </w:r>
      <w:r>
        <w:rPr>
          <w:spacing w:val="27"/>
          <w:vertAlign w:val="baseline"/>
        </w:rPr>
        <w:t> </w:t>
      </w:r>
      <w:r>
        <w:rPr>
          <w:vertAlign w:val="baseline"/>
        </w:rPr>
        <w:t>total</w:t>
      </w:r>
      <w:r>
        <w:rPr>
          <w:spacing w:val="30"/>
          <w:vertAlign w:val="baseline"/>
        </w:rPr>
        <w:t> </w:t>
      </w:r>
      <w:r>
        <w:rPr>
          <w:vertAlign w:val="baseline"/>
        </w:rPr>
        <w:t>monthly</w:t>
      </w:r>
      <w:r>
        <w:rPr>
          <w:spacing w:val="29"/>
          <w:vertAlign w:val="baseline"/>
        </w:rPr>
        <w:t> </w:t>
      </w:r>
      <w:r>
        <w:rPr>
          <w:vertAlign w:val="baseline"/>
        </w:rPr>
        <w:t>remuneration</w:t>
      </w:r>
    </w:p>
    <w:p>
      <w:pPr>
        <w:pStyle w:val="BodyText"/>
        <w:spacing w:before="27"/>
        <w:rPr>
          <w:sz w:val="20"/>
        </w:rPr>
      </w:pPr>
      <w:r>
        <w:rPr/>
        <mc:AlternateContent>
          <mc:Choice Requires="wps">
            <w:drawing>
              <wp:anchor distT="0" distB="0" distL="0" distR="0" allowOverlap="1" layoutInCell="1" locked="0" behindDoc="1" simplePos="0" relativeHeight="487633920">
                <wp:simplePos x="0" y="0"/>
                <wp:positionH relativeFrom="page">
                  <wp:posOffset>1185672</wp:posOffset>
                </wp:positionH>
                <wp:positionV relativeFrom="paragraph">
                  <wp:posOffset>185868</wp:posOffset>
                </wp:positionV>
                <wp:extent cx="1719580" cy="6350"/>
                <wp:effectExtent l="0" t="0" r="0" b="0"/>
                <wp:wrapTopAndBottom/>
                <wp:docPr id="105" name="Graphic 105"/>
                <wp:cNvGraphicFramePr>
                  <a:graphicFrameLocks/>
                </wp:cNvGraphicFramePr>
                <a:graphic>
                  <a:graphicData uri="http://schemas.microsoft.com/office/word/2010/wordprocessingShape">
                    <wps:wsp>
                      <wps:cNvPr id="105" name="Graphic 10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635312pt;width:135.360pt;height:.48pt;mso-position-horizontal-relative:page;mso-position-vertical-relative:paragraph;z-index:-15682560;mso-wrap-distance-left:0;mso-wrap-distance-right:0" id="docshape105"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250</w:t>
      </w:r>
      <w:r>
        <w:rPr>
          <w:rFonts w:ascii="Times New Roman"/>
          <w:spacing w:val="43"/>
          <w:sz w:val="19"/>
          <w:vertAlign w:val="baseline"/>
        </w:rPr>
        <w:t> </w:t>
      </w:r>
      <w:r>
        <w:rPr>
          <w:rFonts w:ascii="Times New Roman"/>
          <w:sz w:val="19"/>
          <w:vertAlign w:val="baseline"/>
        </w:rPr>
        <w:t>Pension</w:t>
      </w:r>
      <w:r>
        <w:rPr>
          <w:rFonts w:ascii="Times New Roman"/>
          <w:spacing w:val="-3"/>
          <w:sz w:val="19"/>
          <w:vertAlign w:val="baseline"/>
        </w:rPr>
        <w:t> </w:t>
      </w:r>
      <w:r>
        <w:rPr>
          <w:rFonts w:ascii="Times New Roman"/>
          <w:sz w:val="19"/>
          <w:vertAlign w:val="baseline"/>
        </w:rPr>
        <w:t>Reform</w:t>
      </w:r>
      <w:r>
        <w:rPr>
          <w:rFonts w:ascii="Times New Roman"/>
          <w:spacing w:val="-4"/>
          <w:sz w:val="19"/>
          <w:vertAlign w:val="baseline"/>
        </w:rPr>
        <w:t> </w:t>
      </w:r>
      <w:r>
        <w:rPr>
          <w:rFonts w:ascii="Times New Roman"/>
          <w:sz w:val="19"/>
          <w:vertAlign w:val="baseline"/>
        </w:rPr>
        <w:t>Act</w:t>
      </w:r>
      <w:r>
        <w:rPr>
          <w:rFonts w:ascii="Times New Roman"/>
          <w:spacing w:val="-9"/>
          <w:sz w:val="19"/>
          <w:vertAlign w:val="baseline"/>
        </w:rPr>
        <w:t> </w:t>
      </w:r>
      <w:r>
        <w:rPr>
          <w:rFonts w:ascii="Times New Roman"/>
          <w:i/>
          <w:sz w:val="19"/>
          <w:vertAlign w:val="baseline"/>
        </w:rPr>
        <w:t>op</w:t>
      </w:r>
      <w:r>
        <w:rPr>
          <w:rFonts w:ascii="Times New Roman"/>
          <w:i/>
          <w:spacing w:val="-7"/>
          <w:sz w:val="19"/>
          <w:vertAlign w:val="baseline"/>
        </w:rPr>
        <w:t> </w:t>
      </w:r>
      <w:r>
        <w:rPr>
          <w:rFonts w:ascii="Times New Roman"/>
          <w:i/>
          <w:spacing w:val="-5"/>
          <w:sz w:val="19"/>
          <w:vertAlign w:val="baseline"/>
        </w:rPr>
        <w:t>cit</w:t>
      </w:r>
    </w:p>
    <w:p>
      <w:pPr>
        <w:spacing w:line="214" w:lineRule="exact" w:before="0"/>
        <w:ind w:left="187" w:right="0" w:firstLine="0"/>
        <w:jc w:val="left"/>
        <w:rPr>
          <w:rFonts w:ascii="Times New Roman" w:hAnsi="Times New Roman"/>
          <w:i/>
          <w:sz w:val="19"/>
        </w:rPr>
      </w:pPr>
      <w:r>
        <w:rPr>
          <w:rFonts w:ascii="Times New Roman" w:hAnsi="Times New Roman"/>
          <w:sz w:val="19"/>
          <w:vertAlign w:val="superscript"/>
        </w:rPr>
        <w:t>251</w:t>
      </w:r>
      <w:r>
        <w:rPr>
          <w:rFonts w:ascii="Times New Roman" w:hAnsi="Times New Roman"/>
          <w:spacing w:val="-12"/>
          <w:sz w:val="19"/>
          <w:vertAlign w:val="baseline"/>
        </w:rPr>
        <w:t> </w:t>
      </w:r>
      <w:r>
        <w:rPr>
          <w:rFonts w:ascii="Times New Roman" w:hAnsi="Times New Roman"/>
          <w:sz w:val="19"/>
          <w:vertAlign w:val="baseline"/>
        </w:rPr>
        <w:t>Section</w:t>
      </w:r>
      <w:r>
        <w:rPr>
          <w:rFonts w:ascii="Times New Roman" w:hAnsi="Times New Roman"/>
          <w:spacing w:val="-7"/>
          <w:sz w:val="19"/>
          <w:vertAlign w:val="baseline"/>
        </w:rPr>
        <w:t> </w:t>
      </w:r>
      <w:r>
        <w:rPr>
          <w:rFonts w:ascii="Times New Roman" w:hAnsi="Times New Roman"/>
          <w:sz w:val="19"/>
          <w:vertAlign w:val="baseline"/>
        </w:rPr>
        <w:t>28(5)(6)</w:t>
      </w:r>
      <w:r>
        <w:rPr>
          <w:rFonts w:ascii="Times New Roman" w:hAnsi="Times New Roman"/>
          <w:spacing w:val="-11"/>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7"/>
          <w:sz w:val="19"/>
          <w:vertAlign w:val="baseline"/>
        </w:rPr>
        <w:t> </w:t>
      </w:r>
      <w:r>
        <w:rPr>
          <w:rFonts w:ascii="Times New Roman" w:hAnsi="Times New Roman"/>
          <w:sz w:val="19"/>
          <w:vertAlign w:val="baseline"/>
        </w:rPr>
        <w:t>Compensation</w:t>
      </w:r>
      <w:r>
        <w:rPr>
          <w:rFonts w:ascii="Times New Roman" w:hAnsi="Times New Roman"/>
          <w:spacing w:val="-6"/>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line="216" w:lineRule="exact" w:before="0"/>
        <w:ind w:left="187" w:right="0" w:firstLine="0"/>
        <w:jc w:val="left"/>
        <w:rPr>
          <w:rFonts w:ascii="Times New Roman"/>
          <w:i/>
          <w:sz w:val="19"/>
        </w:rPr>
      </w:pPr>
      <w:r>
        <w:rPr>
          <w:rFonts w:ascii="Times New Roman"/>
          <w:sz w:val="19"/>
          <w:vertAlign w:val="superscript"/>
        </w:rPr>
        <w:t>252</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28(7)</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253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254</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66"/>
        <w:jc w:val="both"/>
      </w:pPr>
      <w:r>
        <w:rPr/>
        <w:t>of the deceased employee as at the date of death.</w:t>
      </w:r>
      <w:r>
        <w:rPr>
          <w:vertAlign w:val="superscript"/>
        </w:rPr>
        <w:t>255</w:t>
      </w:r>
      <w:r>
        <w:rPr>
          <w:vertAlign w:val="baseline"/>
        </w:rPr>
        <w:t> For example, if the deceased employee’s monthly remuneration at the date of his death was N100,000 then 90 percent of N100,000 is calculated thus:</w:t>
      </w:r>
    </w:p>
    <w:p>
      <w:pPr>
        <w:pStyle w:val="BodyText"/>
        <w:tabs>
          <w:tab w:pos="2894" w:val="left" w:leader="none"/>
        </w:tabs>
        <w:ind w:left="864"/>
      </w:pPr>
      <w:r>
        <w:rPr/>
        <w:t>100,000</w:t>
      </w:r>
      <w:r>
        <w:rPr>
          <w:spacing w:val="3"/>
        </w:rPr>
        <w:t> </w:t>
      </w:r>
      <w:r>
        <w:rPr/>
        <w:t>X</w:t>
      </w:r>
      <w:r>
        <w:rPr>
          <w:spacing w:val="6"/>
        </w:rPr>
        <w:t> </w:t>
      </w:r>
      <w:r>
        <w:rPr>
          <w:spacing w:val="-5"/>
        </w:rPr>
        <w:t>90=</w:t>
      </w:r>
      <w:r>
        <w:rPr/>
        <w:tab/>
      </w:r>
      <w:r>
        <w:rPr>
          <w:spacing w:val="-2"/>
        </w:rPr>
        <w:t>9,000,000</w:t>
      </w:r>
    </w:p>
    <w:p>
      <w:pPr>
        <w:pStyle w:val="BodyText"/>
        <w:spacing w:before="16"/>
      </w:pPr>
    </w:p>
    <w:p>
      <w:pPr>
        <w:pStyle w:val="BodyText"/>
        <w:tabs>
          <w:tab w:pos="2217" w:val="left" w:leader="none"/>
          <w:tab w:pos="2894" w:val="left" w:leader="none"/>
        </w:tabs>
        <w:ind w:left="864"/>
      </w:pPr>
      <w:r>
        <w:rPr>
          <w:spacing w:val="-2"/>
          <w:u w:val="single"/>
        </w:rPr>
        <w:t>9,000,000</w:t>
      </w:r>
      <w:r>
        <w:rPr/>
        <w:tab/>
      </w:r>
      <w:r>
        <w:rPr>
          <w:spacing w:val="-10"/>
        </w:rPr>
        <w:t>=</w:t>
      </w:r>
      <w:r>
        <w:rPr/>
        <w:tab/>
      </w:r>
      <w:r>
        <w:rPr>
          <w:spacing w:val="-2"/>
        </w:rPr>
        <w:t>90,000</w:t>
      </w:r>
    </w:p>
    <w:p>
      <w:pPr>
        <w:pStyle w:val="BodyText"/>
        <w:spacing w:before="5"/>
        <w:ind w:left="864"/>
      </w:pPr>
      <w:r>
        <w:rPr>
          <w:spacing w:val="-5"/>
        </w:rPr>
        <w:t>100</w:t>
      </w:r>
    </w:p>
    <w:p>
      <w:pPr>
        <w:pStyle w:val="BodyText"/>
        <w:spacing w:before="11"/>
      </w:pPr>
    </w:p>
    <w:p>
      <w:pPr>
        <w:pStyle w:val="BodyText"/>
        <w:ind w:left="864"/>
      </w:pPr>
      <w:r>
        <w:rPr/>
        <w:t>Therefore</w:t>
      </w:r>
      <w:r>
        <w:rPr>
          <w:spacing w:val="12"/>
        </w:rPr>
        <w:t> </w:t>
      </w:r>
      <w:r>
        <w:rPr/>
        <w:t>their</w:t>
      </w:r>
      <w:r>
        <w:rPr>
          <w:spacing w:val="2"/>
        </w:rPr>
        <w:t> </w:t>
      </w:r>
      <w:r>
        <w:rPr/>
        <w:t>monthly</w:t>
      </w:r>
      <w:r>
        <w:rPr>
          <w:spacing w:val="3"/>
        </w:rPr>
        <w:t> </w:t>
      </w:r>
      <w:r>
        <w:rPr/>
        <w:t>compensation</w:t>
      </w:r>
      <w:r>
        <w:rPr>
          <w:spacing w:val="9"/>
        </w:rPr>
        <w:t> </w:t>
      </w:r>
      <w:r>
        <w:rPr/>
        <w:t>is</w:t>
      </w:r>
      <w:r>
        <w:rPr>
          <w:spacing w:val="7"/>
        </w:rPr>
        <w:t> </w:t>
      </w:r>
      <w:r>
        <w:rPr>
          <w:spacing w:val="-2"/>
        </w:rPr>
        <w:t>N90,000</w:t>
      </w:r>
    </w:p>
    <w:p>
      <w:pPr>
        <w:pStyle w:val="BodyText"/>
      </w:pPr>
    </w:p>
    <w:p>
      <w:pPr>
        <w:pStyle w:val="BodyText"/>
        <w:spacing w:before="17"/>
      </w:pPr>
    </w:p>
    <w:p>
      <w:pPr>
        <w:pStyle w:val="BodyText"/>
        <w:spacing w:line="489" w:lineRule="auto"/>
        <w:ind w:left="864" w:right="564"/>
        <w:jc w:val="both"/>
      </w:pPr>
      <w:r>
        <w:rPr/>
        <w:t>Where the employee leaves a widow or widower with only one child, then they are entitled to monthly payment of a sum equal to 85 percent of the total monthly remuneration of the employee as at the date of his death.</w:t>
      </w:r>
      <w:r>
        <w:rPr>
          <w:vertAlign w:val="superscript"/>
        </w:rPr>
        <w:t>256</w:t>
      </w:r>
      <w:r>
        <w:rPr>
          <w:vertAlign w:val="baseline"/>
        </w:rPr>
        <w:t> For example, professor Kukuyi of Jim Jim University died in a plane crash when</w:t>
      </w:r>
      <w:r>
        <w:rPr>
          <w:spacing w:val="40"/>
          <w:vertAlign w:val="baseline"/>
        </w:rPr>
        <w:t> </w:t>
      </w:r>
      <w:r>
        <w:rPr>
          <w:vertAlign w:val="baseline"/>
        </w:rPr>
        <w:t>the</w:t>
      </w:r>
      <w:r>
        <w:rPr>
          <w:spacing w:val="40"/>
          <w:vertAlign w:val="baseline"/>
        </w:rPr>
        <w:t> </w:t>
      </w:r>
      <w:r>
        <w:rPr>
          <w:vertAlign w:val="baseline"/>
        </w:rPr>
        <w:t>university</w:t>
      </w:r>
      <w:r>
        <w:rPr>
          <w:spacing w:val="40"/>
          <w:vertAlign w:val="baseline"/>
        </w:rPr>
        <w:t> </w:t>
      </w:r>
      <w:r>
        <w:rPr>
          <w:vertAlign w:val="baseline"/>
        </w:rPr>
        <w:t>sent</w:t>
      </w:r>
      <w:r>
        <w:rPr>
          <w:spacing w:val="40"/>
          <w:vertAlign w:val="baseline"/>
        </w:rPr>
        <w:t> </w:t>
      </w:r>
      <w:r>
        <w:rPr>
          <w:vertAlign w:val="baseline"/>
        </w:rPr>
        <w:t>him</w:t>
      </w:r>
      <w:r>
        <w:rPr>
          <w:spacing w:val="40"/>
          <w:vertAlign w:val="baseline"/>
        </w:rPr>
        <w:t> </w:t>
      </w:r>
      <w:r>
        <w:rPr>
          <w:vertAlign w:val="baseline"/>
        </w:rPr>
        <w:t>on</w:t>
      </w:r>
      <w:r>
        <w:rPr>
          <w:spacing w:val="40"/>
          <w:vertAlign w:val="baseline"/>
        </w:rPr>
        <w:t> </w:t>
      </w:r>
      <w:r>
        <w:rPr>
          <w:vertAlign w:val="baseline"/>
        </w:rPr>
        <w:t>a</w:t>
      </w:r>
      <w:r>
        <w:rPr>
          <w:spacing w:val="40"/>
          <w:vertAlign w:val="baseline"/>
        </w:rPr>
        <w:t> </w:t>
      </w:r>
      <w:r>
        <w:rPr>
          <w:vertAlign w:val="baseline"/>
        </w:rPr>
        <w:t>mission</w:t>
      </w:r>
      <w:r>
        <w:rPr>
          <w:spacing w:val="40"/>
          <w:vertAlign w:val="baseline"/>
        </w:rPr>
        <w:t> </w:t>
      </w:r>
      <w:r>
        <w:rPr>
          <w:vertAlign w:val="baseline"/>
        </w:rPr>
        <w:t>to</w:t>
      </w:r>
      <w:r>
        <w:rPr>
          <w:spacing w:val="40"/>
          <w:vertAlign w:val="baseline"/>
        </w:rPr>
        <w:t> </w:t>
      </w:r>
      <w:r>
        <w:rPr>
          <w:vertAlign w:val="baseline"/>
        </w:rPr>
        <w:t>University</w:t>
      </w:r>
      <w:r>
        <w:rPr>
          <w:spacing w:val="40"/>
          <w:vertAlign w:val="baseline"/>
        </w:rPr>
        <w:t> </w:t>
      </w:r>
      <w:r>
        <w:rPr>
          <w:vertAlign w:val="baseline"/>
        </w:rPr>
        <w:t>of</w:t>
      </w:r>
      <w:r>
        <w:rPr>
          <w:spacing w:val="40"/>
          <w:vertAlign w:val="baseline"/>
        </w:rPr>
        <w:t> </w:t>
      </w:r>
      <w:r>
        <w:rPr>
          <w:vertAlign w:val="baseline"/>
        </w:rPr>
        <w:t>Toronto.</w:t>
      </w:r>
      <w:r>
        <w:rPr>
          <w:spacing w:val="40"/>
          <w:vertAlign w:val="baseline"/>
        </w:rPr>
        <w:t> </w:t>
      </w:r>
      <w:r>
        <w:rPr>
          <w:vertAlign w:val="baseline"/>
        </w:rPr>
        <w:t>He died leaving a widow and a child. His monthly remuneration at the date of his</w:t>
      </w:r>
      <w:r>
        <w:rPr>
          <w:spacing w:val="38"/>
          <w:vertAlign w:val="baseline"/>
        </w:rPr>
        <w:t> </w:t>
      </w:r>
      <w:r>
        <w:rPr>
          <w:vertAlign w:val="baseline"/>
        </w:rPr>
        <w:t>death</w:t>
      </w:r>
      <w:r>
        <w:rPr>
          <w:spacing w:val="40"/>
          <w:vertAlign w:val="baseline"/>
        </w:rPr>
        <w:t> </w:t>
      </w:r>
      <w:r>
        <w:rPr>
          <w:vertAlign w:val="baseline"/>
        </w:rPr>
        <w:t>was</w:t>
      </w:r>
      <w:r>
        <w:rPr>
          <w:spacing w:val="38"/>
          <w:vertAlign w:val="baseline"/>
        </w:rPr>
        <w:t> </w:t>
      </w:r>
      <w:r>
        <w:rPr>
          <w:vertAlign w:val="baseline"/>
        </w:rPr>
        <w:t>N550,000.</w:t>
      </w:r>
      <w:r>
        <w:rPr>
          <w:spacing w:val="38"/>
          <w:vertAlign w:val="baseline"/>
        </w:rPr>
        <w:t> </w:t>
      </w:r>
      <w:r>
        <w:rPr>
          <w:vertAlign w:val="baseline"/>
        </w:rPr>
        <w:t>What</w:t>
      </w:r>
      <w:r>
        <w:rPr>
          <w:spacing w:val="40"/>
          <w:vertAlign w:val="baseline"/>
        </w:rPr>
        <w:t> </w:t>
      </w:r>
      <w:r>
        <w:rPr>
          <w:vertAlign w:val="baseline"/>
        </w:rPr>
        <w:t>will</w:t>
      </w:r>
      <w:r>
        <w:rPr>
          <w:spacing w:val="40"/>
          <w:vertAlign w:val="baseline"/>
        </w:rPr>
        <w:t> </w:t>
      </w:r>
      <w:r>
        <w:rPr>
          <w:vertAlign w:val="baseline"/>
        </w:rPr>
        <w:t>be</w:t>
      </w:r>
      <w:r>
        <w:rPr>
          <w:spacing w:val="39"/>
          <w:vertAlign w:val="baseline"/>
        </w:rPr>
        <w:t> </w:t>
      </w:r>
      <w:r>
        <w:rPr>
          <w:vertAlign w:val="baseline"/>
        </w:rPr>
        <w:t>the</w:t>
      </w:r>
      <w:r>
        <w:rPr>
          <w:spacing w:val="40"/>
          <w:vertAlign w:val="baseline"/>
        </w:rPr>
        <w:t> </w:t>
      </w:r>
      <w:r>
        <w:rPr>
          <w:vertAlign w:val="baseline"/>
        </w:rPr>
        <w:t>monthly</w:t>
      </w:r>
      <w:r>
        <w:rPr>
          <w:spacing w:val="40"/>
          <w:vertAlign w:val="baseline"/>
        </w:rPr>
        <w:t> </w:t>
      </w:r>
      <w:r>
        <w:rPr>
          <w:vertAlign w:val="baseline"/>
        </w:rPr>
        <w:t>compensation</w:t>
      </w:r>
      <w:r>
        <w:rPr>
          <w:spacing w:val="35"/>
          <w:vertAlign w:val="baseline"/>
        </w:rPr>
        <w:t> </w:t>
      </w:r>
      <w:r>
        <w:rPr>
          <w:vertAlign w:val="baseline"/>
        </w:rPr>
        <w:t>due</w:t>
      </w:r>
      <w:r>
        <w:rPr>
          <w:spacing w:val="40"/>
          <w:vertAlign w:val="baseline"/>
        </w:rPr>
        <w:t> </w:t>
      </w:r>
      <w:r>
        <w:rPr>
          <w:vertAlign w:val="baseline"/>
        </w:rPr>
        <w:t>to the</w:t>
      </w:r>
      <w:r>
        <w:rPr>
          <w:spacing w:val="40"/>
          <w:vertAlign w:val="baseline"/>
        </w:rPr>
        <w:t> </w:t>
      </w:r>
      <w:r>
        <w:rPr>
          <w:vertAlign w:val="baseline"/>
        </w:rPr>
        <w:t>dependants</w:t>
      </w:r>
      <w:r>
        <w:rPr>
          <w:spacing w:val="40"/>
          <w:vertAlign w:val="baseline"/>
        </w:rPr>
        <w:t> </w:t>
      </w:r>
      <w:r>
        <w:rPr>
          <w:vertAlign w:val="baseline"/>
        </w:rPr>
        <w:t>he</w:t>
      </w:r>
      <w:r>
        <w:rPr>
          <w:spacing w:val="40"/>
          <w:vertAlign w:val="baseline"/>
        </w:rPr>
        <w:t> </w:t>
      </w:r>
      <w:r>
        <w:rPr>
          <w:vertAlign w:val="baseline"/>
        </w:rPr>
        <w:t>left</w:t>
      </w:r>
      <w:r>
        <w:rPr>
          <w:spacing w:val="40"/>
          <w:vertAlign w:val="baseline"/>
        </w:rPr>
        <w:t> </w:t>
      </w:r>
      <w:r>
        <w:rPr>
          <w:vertAlign w:val="baseline"/>
        </w:rPr>
        <w:t>behind?(The</w:t>
      </w:r>
      <w:r>
        <w:rPr>
          <w:spacing w:val="40"/>
          <w:vertAlign w:val="baseline"/>
        </w:rPr>
        <w:t> </w:t>
      </w:r>
      <w:r>
        <w:rPr>
          <w:vertAlign w:val="baseline"/>
        </w:rPr>
        <w:t>monthly</w:t>
      </w:r>
      <w:r>
        <w:rPr>
          <w:spacing w:val="40"/>
          <w:vertAlign w:val="baseline"/>
        </w:rPr>
        <w:t> </w:t>
      </w:r>
      <w:r>
        <w:rPr>
          <w:vertAlign w:val="baseline"/>
        </w:rPr>
        <w:t>amount</w:t>
      </w:r>
      <w:r>
        <w:rPr>
          <w:spacing w:val="40"/>
          <w:vertAlign w:val="baseline"/>
        </w:rPr>
        <w:t> </w:t>
      </w:r>
      <w:r>
        <w:rPr>
          <w:vertAlign w:val="baseline"/>
        </w:rPr>
        <w:t>of</w:t>
      </w:r>
      <w:r>
        <w:rPr>
          <w:spacing w:val="40"/>
          <w:vertAlign w:val="baseline"/>
        </w:rPr>
        <w:t> </w:t>
      </w:r>
      <w:r>
        <w:rPr>
          <w:vertAlign w:val="baseline"/>
        </w:rPr>
        <w:t>compensation</w:t>
      </w:r>
      <w:r>
        <w:rPr>
          <w:spacing w:val="40"/>
          <w:vertAlign w:val="baseline"/>
        </w:rPr>
        <w:t> </w:t>
      </w:r>
      <w:r>
        <w:rPr>
          <w:vertAlign w:val="baseline"/>
        </w:rPr>
        <w:t>is 85 percent of N550000 being his monthly remuneration at the date of his death and this is calculated as thus:</w:t>
      </w:r>
    </w:p>
    <w:p>
      <w:pPr>
        <w:pStyle w:val="BodyText"/>
        <w:tabs>
          <w:tab w:pos="2894" w:val="left" w:leader="none"/>
          <w:tab w:pos="3571" w:val="left" w:leader="none"/>
        </w:tabs>
        <w:spacing w:before="10"/>
        <w:ind w:left="864"/>
      </w:pPr>
      <w:r>
        <w:rPr/>
        <w:t>550,000</w:t>
      </w:r>
      <w:r>
        <w:rPr>
          <w:spacing w:val="3"/>
        </w:rPr>
        <w:t> </w:t>
      </w:r>
      <w:r>
        <w:rPr/>
        <w:t>X</w:t>
      </w:r>
      <w:r>
        <w:rPr>
          <w:spacing w:val="6"/>
        </w:rPr>
        <w:t> </w:t>
      </w:r>
      <w:r>
        <w:rPr>
          <w:spacing w:val="-5"/>
        </w:rPr>
        <w:t>85</w:t>
      </w:r>
      <w:r>
        <w:rPr/>
        <w:tab/>
      </w:r>
      <w:r>
        <w:rPr>
          <w:spacing w:val="-10"/>
        </w:rPr>
        <w:t>=</w:t>
      </w:r>
      <w:r>
        <w:rPr/>
        <w:tab/>
      </w:r>
      <w:r>
        <w:rPr>
          <w:spacing w:val="-2"/>
        </w:rPr>
        <w:t>46,750,000</w:t>
      </w:r>
    </w:p>
    <w:p>
      <w:pPr>
        <w:pStyle w:val="BodyText"/>
        <w:spacing w:before="11"/>
      </w:pPr>
    </w:p>
    <w:p>
      <w:pPr>
        <w:pStyle w:val="BodyText"/>
        <w:tabs>
          <w:tab w:pos="2894" w:val="left" w:leader="none"/>
        </w:tabs>
        <w:spacing w:before="1"/>
        <w:ind w:left="864"/>
      </w:pPr>
      <w:r>
        <w:rPr>
          <w:u w:val="single"/>
        </w:rPr>
        <w:t>46,750,000</w:t>
      </w:r>
      <w:r>
        <w:rPr>
          <w:spacing w:val="24"/>
        </w:rPr>
        <w:t>  </w:t>
      </w:r>
      <w:r>
        <w:rPr>
          <w:spacing w:val="-12"/>
        </w:rPr>
        <w:t>=</w:t>
      </w:r>
      <w:r>
        <w:rPr/>
        <w:tab/>
      </w:r>
      <w:r>
        <w:rPr>
          <w:spacing w:val="-2"/>
        </w:rPr>
        <w:t>467,500</w:t>
      </w:r>
    </w:p>
    <w:p>
      <w:pPr>
        <w:pStyle w:val="BodyText"/>
        <w:spacing w:before="5"/>
        <w:ind w:left="864"/>
      </w:pPr>
      <w:r>
        <w:rPr>
          <w:spacing w:val="-5"/>
        </w:rPr>
        <w:t>100</w:t>
      </w:r>
    </w:p>
    <w:p>
      <w:pPr>
        <w:pStyle w:val="BodyText"/>
        <w:spacing w:before="16"/>
      </w:pPr>
    </w:p>
    <w:p>
      <w:pPr>
        <w:pStyle w:val="BodyText"/>
        <w:ind w:left="864"/>
      </w:pPr>
      <w:r>
        <w:rPr/>
        <w:t>Therefore</w:t>
      </w:r>
      <w:r>
        <w:rPr>
          <w:spacing w:val="12"/>
        </w:rPr>
        <w:t> </w:t>
      </w:r>
      <w:r>
        <w:rPr/>
        <w:t>their</w:t>
      </w:r>
      <w:r>
        <w:rPr>
          <w:spacing w:val="3"/>
        </w:rPr>
        <w:t> </w:t>
      </w:r>
      <w:r>
        <w:rPr/>
        <w:t>monthly</w:t>
      </w:r>
      <w:r>
        <w:rPr>
          <w:spacing w:val="5"/>
        </w:rPr>
        <w:t> </w:t>
      </w:r>
      <w:r>
        <w:rPr/>
        <w:t>amount</w:t>
      </w:r>
      <w:r>
        <w:rPr>
          <w:spacing w:val="4"/>
        </w:rPr>
        <w:t> </w:t>
      </w:r>
      <w:r>
        <w:rPr/>
        <w:t>of</w:t>
      </w:r>
      <w:r>
        <w:rPr>
          <w:spacing w:val="8"/>
        </w:rPr>
        <w:t> </w:t>
      </w:r>
      <w:r>
        <w:rPr/>
        <w:t>compensation</w:t>
      </w:r>
      <w:r>
        <w:rPr>
          <w:spacing w:val="6"/>
        </w:rPr>
        <w:t> </w:t>
      </w:r>
      <w:r>
        <w:rPr/>
        <w:t>is</w:t>
      </w:r>
      <w:r>
        <w:rPr>
          <w:spacing w:val="13"/>
        </w:rPr>
        <w:t> </w:t>
      </w:r>
      <w:r>
        <w:rPr>
          <w:spacing w:val="-2"/>
        </w:rPr>
        <w:t>N467,500</w:t>
      </w:r>
    </w:p>
    <w:p>
      <w:pPr>
        <w:pStyle w:val="BodyText"/>
        <w:rPr>
          <w:sz w:val="20"/>
        </w:rPr>
      </w:pPr>
    </w:p>
    <w:p>
      <w:pPr>
        <w:pStyle w:val="BodyText"/>
        <w:rPr>
          <w:sz w:val="20"/>
        </w:rPr>
      </w:pPr>
    </w:p>
    <w:p>
      <w:pPr>
        <w:pStyle w:val="BodyText"/>
        <w:rPr>
          <w:sz w:val="20"/>
        </w:rPr>
      </w:pPr>
    </w:p>
    <w:p>
      <w:pPr>
        <w:pStyle w:val="BodyText"/>
        <w:spacing w:before="240"/>
        <w:rPr>
          <w:sz w:val="20"/>
        </w:rPr>
      </w:pPr>
      <w:r>
        <w:rPr/>
        <mc:AlternateContent>
          <mc:Choice Requires="wps">
            <w:drawing>
              <wp:anchor distT="0" distB="0" distL="0" distR="0" allowOverlap="1" layoutInCell="1" locked="0" behindDoc="1" simplePos="0" relativeHeight="487634432">
                <wp:simplePos x="0" y="0"/>
                <wp:positionH relativeFrom="page">
                  <wp:posOffset>1185672</wp:posOffset>
                </wp:positionH>
                <wp:positionV relativeFrom="paragraph">
                  <wp:posOffset>321013</wp:posOffset>
                </wp:positionV>
                <wp:extent cx="1719580" cy="6350"/>
                <wp:effectExtent l="0" t="0" r="0" b="0"/>
                <wp:wrapTopAndBottom/>
                <wp:docPr id="106" name="Graphic 106"/>
                <wp:cNvGraphicFramePr>
                  <a:graphicFrameLocks/>
                </wp:cNvGraphicFramePr>
                <a:graphic>
                  <a:graphicData uri="http://schemas.microsoft.com/office/word/2010/wordprocessingShape">
                    <wps:wsp>
                      <wps:cNvPr id="106" name="Graphic 106"/>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5.27664pt;width:135.360pt;height:.48pt;mso-position-horizontal-relative:page;mso-position-vertical-relative:paragraph;z-index:-15682048;mso-wrap-distance-left:0;mso-wrap-distance-right:0" id="docshape106"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255</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256</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864" w:right="566"/>
        <w:jc w:val="both"/>
      </w:pPr>
      <w:r>
        <w:rPr/>
        <w:t>If</w:t>
      </w:r>
      <w:r>
        <w:rPr>
          <w:spacing w:val="40"/>
        </w:rPr>
        <w:t> </w:t>
      </w:r>
      <w:r>
        <w:rPr/>
        <w:t>the</w:t>
      </w:r>
      <w:r>
        <w:rPr>
          <w:spacing w:val="40"/>
        </w:rPr>
        <w:t> </w:t>
      </w:r>
      <w:r>
        <w:rPr/>
        <w:t>deceased</w:t>
      </w:r>
      <w:r>
        <w:rPr>
          <w:spacing w:val="40"/>
        </w:rPr>
        <w:t> </w:t>
      </w:r>
      <w:r>
        <w:rPr/>
        <w:t>employee</w:t>
      </w:r>
      <w:r>
        <w:rPr>
          <w:spacing w:val="40"/>
        </w:rPr>
        <w:t> </w:t>
      </w:r>
      <w:r>
        <w:rPr/>
        <w:t>leaves</w:t>
      </w:r>
      <w:r>
        <w:rPr>
          <w:spacing w:val="40"/>
        </w:rPr>
        <w:t> </w:t>
      </w:r>
      <w:r>
        <w:rPr/>
        <w:t>a</w:t>
      </w:r>
      <w:r>
        <w:rPr>
          <w:spacing w:val="40"/>
        </w:rPr>
        <w:t> </w:t>
      </w:r>
      <w:r>
        <w:rPr/>
        <w:t>widow</w:t>
      </w:r>
      <w:r>
        <w:rPr>
          <w:spacing w:val="40"/>
        </w:rPr>
        <w:t> </w:t>
      </w:r>
      <w:r>
        <w:rPr/>
        <w:t>or</w:t>
      </w:r>
      <w:r>
        <w:rPr>
          <w:spacing w:val="40"/>
        </w:rPr>
        <w:t> </w:t>
      </w:r>
      <w:r>
        <w:rPr/>
        <w:t>a</w:t>
      </w:r>
      <w:r>
        <w:rPr>
          <w:spacing w:val="40"/>
        </w:rPr>
        <w:t> </w:t>
      </w:r>
      <w:r>
        <w:rPr/>
        <w:t>widower</w:t>
      </w:r>
      <w:r>
        <w:rPr>
          <w:spacing w:val="40"/>
        </w:rPr>
        <w:t> </w:t>
      </w:r>
      <w:r>
        <w:rPr/>
        <w:t>who</w:t>
      </w:r>
      <w:r>
        <w:rPr>
          <w:spacing w:val="40"/>
        </w:rPr>
        <w:t> </w:t>
      </w:r>
      <w:r>
        <w:rPr/>
        <w:t>without</w:t>
      </w:r>
      <w:r>
        <w:rPr>
          <w:spacing w:val="40"/>
        </w:rPr>
        <w:t> </w:t>
      </w:r>
      <w:r>
        <w:rPr/>
        <w:t>a child</w:t>
      </w:r>
      <w:r>
        <w:rPr>
          <w:spacing w:val="18"/>
        </w:rPr>
        <w:t> </w:t>
      </w:r>
      <w:r>
        <w:rPr/>
        <w:t>is 50 years</w:t>
      </w:r>
      <w:r>
        <w:rPr>
          <w:spacing w:val="14"/>
        </w:rPr>
        <w:t> </w:t>
      </w:r>
      <w:r>
        <w:rPr/>
        <w:t>or</w:t>
      </w:r>
      <w:r>
        <w:rPr>
          <w:spacing w:val="15"/>
        </w:rPr>
        <w:t> </w:t>
      </w:r>
      <w:r>
        <w:rPr/>
        <w:t>above,</w:t>
      </w:r>
      <w:r>
        <w:rPr>
          <w:spacing w:val="14"/>
        </w:rPr>
        <w:t> </w:t>
      </w:r>
      <w:r>
        <w:rPr/>
        <w:t>at the date of</w:t>
      </w:r>
      <w:r>
        <w:rPr>
          <w:spacing w:val="15"/>
        </w:rPr>
        <w:t> </w:t>
      </w:r>
      <w:r>
        <w:rPr/>
        <w:t>the death or</w:t>
      </w:r>
      <w:r>
        <w:rPr>
          <w:spacing w:val="15"/>
        </w:rPr>
        <w:t> </w:t>
      </w:r>
      <w:r>
        <w:rPr/>
        <w:t>is</w:t>
      </w:r>
      <w:r>
        <w:rPr>
          <w:spacing w:val="14"/>
        </w:rPr>
        <w:t> </w:t>
      </w:r>
      <w:r>
        <w:rPr/>
        <w:t>an</w:t>
      </w:r>
      <w:r>
        <w:rPr>
          <w:spacing w:val="17"/>
        </w:rPr>
        <w:t> </w:t>
      </w:r>
      <w:r>
        <w:rPr/>
        <w:t>invalid</w:t>
      </w:r>
      <w:r>
        <w:rPr>
          <w:spacing w:val="18"/>
        </w:rPr>
        <w:t> </w:t>
      </w:r>
      <w:r>
        <w:rPr/>
        <w:t>spouse, a sum equal to 60 percent of the total monthly remuneration of the deceased is</w:t>
      </w:r>
      <w:r>
        <w:rPr>
          <w:spacing w:val="40"/>
        </w:rPr>
        <w:t> </w:t>
      </w:r>
      <w:r>
        <w:rPr/>
        <w:t>paid</w:t>
      </w:r>
      <w:r>
        <w:rPr>
          <w:spacing w:val="40"/>
        </w:rPr>
        <w:t> </w:t>
      </w:r>
      <w:r>
        <w:rPr/>
        <w:t>to</w:t>
      </w:r>
      <w:r>
        <w:rPr>
          <w:spacing w:val="40"/>
        </w:rPr>
        <w:t> </w:t>
      </w:r>
      <w:r>
        <w:rPr/>
        <w:t>the widow</w:t>
      </w:r>
      <w:r>
        <w:rPr>
          <w:spacing w:val="40"/>
        </w:rPr>
        <w:t> </w:t>
      </w:r>
      <w:r>
        <w:rPr/>
        <w:t>or</w:t>
      </w:r>
      <w:r>
        <w:rPr>
          <w:spacing w:val="40"/>
        </w:rPr>
        <w:t> </w:t>
      </w:r>
      <w:r>
        <w:rPr/>
        <w:t>widower on monthly</w:t>
      </w:r>
      <w:r>
        <w:rPr>
          <w:spacing w:val="40"/>
        </w:rPr>
        <w:t> </w:t>
      </w:r>
      <w:r>
        <w:rPr/>
        <w:t>basis.</w:t>
      </w:r>
      <w:r>
        <w:rPr>
          <w:vertAlign w:val="superscript"/>
        </w:rPr>
        <w:t>257</w:t>
      </w:r>
      <w:r>
        <w:rPr>
          <w:spacing w:val="40"/>
          <w:vertAlign w:val="baseline"/>
        </w:rPr>
        <w:t> </w:t>
      </w:r>
      <w:r>
        <w:rPr>
          <w:vertAlign w:val="baseline"/>
        </w:rPr>
        <w:t>For example, if</w:t>
      </w:r>
      <w:r>
        <w:rPr>
          <w:spacing w:val="40"/>
          <w:vertAlign w:val="baseline"/>
        </w:rPr>
        <w:t> </w:t>
      </w:r>
      <w:r>
        <w:rPr>
          <w:vertAlign w:val="baseline"/>
        </w:rPr>
        <w:t>the total</w:t>
      </w:r>
      <w:r>
        <w:rPr>
          <w:spacing w:val="40"/>
          <w:vertAlign w:val="baseline"/>
        </w:rPr>
        <w:t> </w:t>
      </w:r>
      <w:r>
        <w:rPr>
          <w:vertAlign w:val="baseline"/>
        </w:rPr>
        <w:t>monthly</w:t>
      </w:r>
      <w:r>
        <w:rPr>
          <w:spacing w:val="40"/>
          <w:vertAlign w:val="baseline"/>
        </w:rPr>
        <w:t> </w:t>
      </w:r>
      <w:r>
        <w:rPr>
          <w:vertAlign w:val="baseline"/>
        </w:rPr>
        <w:t>remuneration</w:t>
      </w:r>
      <w:r>
        <w:rPr>
          <w:spacing w:val="40"/>
          <w:vertAlign w:val="baseline"/>
        </w:rPr>
        <w:t> </w:t>
      </w:r>
      <w:r>
        <w:rPr>
          <w:vertAlign w:val="baseline"/>
        </w:rPr>
        <w:t>of the deceased employee at the time of death was N50,000, then the monthly amount of compensation will be 60 percent of N50,000</w:t>
      </w:r>
    </w:p>
    <w:p>
      <w:pPr>
        <w:pStyle w:val="BodyText"/>
        <w:tabs>
          <w:tab w:pos="1540" w:val="left" w:leader="none"/>
        </w:tabs>
        <w:spacing w:before="5"/>
        <w:ind w:left="864"/>
      </w:pPr>
      <w:r>
        <w:rPr>
          <w:spacing w:val="-4"/>
        </w:rPr>
        <w:t>i.e.</w:t>
      </w:r>
      <w:r>
        <w:rPr/>
        <w:tab/>
        <w:t>50,000</w:t>
      </w:r>
      <w:r>
        <w:rPr>
          <w:spacing w:val="2"/>
        </w:rPr>
        <w:t> </w:t>
      </w:r>
      <w:r>
        <w:rPr/>
        <w:t>X</w:t>
      </w:r>
      <w:r>
        <w:rPr>
          <w:spacing w:val="5"/>
        </w:rPr>
        <w:t> </w:t>
      </w:r>
      <w:r>
        <w:rPr/>
        <w:t>60</w:t>
      </w:r>
      <w:r>
        <w:rPr>
          <w:spacing w:val="34"/>
        </w:rPr>
        <w:t> </w:t>
      </w:r>
      <w:r>
        <w:rPr/>
        <w:t>=</w:t>
      </w:r>
      <w:r>
        <w:rPr>
          <w:spacing w:val="4"/>
        </w:rPr>
        <w:t> </w:t>
      </w:r>
      <w:r>
        <w:rPr>
          <w:spacing w:val="-2"/>
        </w:rPr>
        <w:t>3,000,000</w:t>
      </w:r>
    </w:p>
    <w:p>
      <w:pPr>
        <w:pStyle w:val="BodyText"/>
        <w:spacing w:before="16"/>
      </w:pPr>
    </w:p>
    <w:p>
      <w:pPr>
        <w:pStyle w:val="BodyText"/>
        <w:tabs>
          <w:tab w:pos="2217" w:val="left" w:leader="none"/>
          <w:tab w:pos="2894" w:val="left" w:leader="none"/>
        </w:tabs>
        <w:ind w:left="864"/>
      </w:pPr>
      <w:r>
        <w:rPr>
          <w:spacing w:val="-2"/>
          <w:u w:val="single"/>
        </w:rPr>
        <w:t>3,000,000</w:t>
      </w:r>
      <w:r>
        <w:rPr/>
        <w:tab/>
      </w:r>
      <w:r>
        <w:rPr>
          <w:spacing w:val="-10"/>
        </w:rPr>
        <w:t>=</w:t>
      </w:r>
      <w:r>
        <w:rPr/>
        <w:tab/>
      </w:r>
      <w:r>
        <w:rPr>
          <w:spacing w:val="-2"/>
        </w:rPr>
        <w:t>30,000</w:t>
      </w:r>
    </w:p>
    <w:p>
      <w:pPr>
        <w:pStyle w:val="BodyText"/>
        <w:spacing w:before="5"/>
        <w:ind w:left="864"/>
      </w:pPr>
      <w:r>
        <w:rPr>
          <w:spacing w:val="-5"/>
        </w:rPr>
        <w:t>100</w:t>
      </w:r>
    </w:p>
    <w:p>
      <w:pPr>
        <w:pStyle w:val="BodyText"/>
        <w:spacing w:before="7"/>
      </w:pPr>
    </w:p>
    <w:p>
      <w:pPr>
        <w:pStyle w:val="BodyText"/>
        <w:spacing w:line="491" w:lineRule="auto"/>
        <w:ind w:left="864" w:right="561"/>
        <w:jc w:val="both"/>
      </w:pPr>
      <w:r>
        <w:rPr/>
        <w:t>Therefore, the monthly amount of compensation due to the widow or widower is N30,000.</w:t>
      </w:r>
      <w:r>
        <w:rPr>
          <w:spacing w:val="80"/>
        </w:rPr>
        <w:t> </w:t>
      </w:r>
      <w:r>
        <w:rPr/>
        <w:t>An invalid spouse means a spouse incapable of</w:t>
      </w:r>
      <w:r>
        <w:rPr>
          <w:spacing w:val="40"/>
        </w:rPr>
        <w:t> </w:t>
      </w:r>
      <w:r>
        <w:rPr/>
        <w:t>earning income in any occupation by reason of some specific disease or bodily or mental disablement.</w:t>
      </w:r>
      <w:r>
        <w:rPr>
          <w:vertAlign w:val="superscript"/>
        </w:rPr>
        <w:t>258</w:t>
      </w:r>
    </w:p>
    <w:p>
      <w:pPr>
        <w:pStyle w:val="BodyText"/>
        <w:spacing w:line="491" w:lineRule="auto" w:before="277"/>
        <w:ind w:left="864" w:right="564"/>
        <w:jc w:val="both"/>
      </w:pPr>
      <w:r>
        <w:rPr/>
        <w:t>Where there is no surviving spouse eligible for monthly payment and the dependant</w:t>
      </w:r>
      <w:r>
        <w:rPr>
          <w:spacing w:val="29"/>
        </w:rPr>
        <w:t> </w:t>
      </w:r>
      <w:r>
        <w:rPr/>
        <w:t>is</w:t>
      </w:r>
      <w:r>
        <w:rPr>
          <w:spacing w:val="32"/>
        </w:rPr>
        <w:t> </w:t>
      </w:r>
      <w:r>
        <w:rPr/>
        <w:t>a</w:t>
      </w:r>
      <w:r>
        <w:rPr>
          <w:spacing w:val="27"/>
        </w:rPr>
        <w:t> </w:t>
      </w:r>
      <w:r>
        <w:rPr/>
        <w:t>child,</w:t>
      </w:r>
      <w:r>
        <w:rPr>
          <w:spacing w:val="26"/>
        </w:rPr>
        <w:t> </w:t>
      </w:r>
      <w:r>
        <w:rPr/>
        <w:t>he</w:t>
      </w:r>
      <w:r>
        <w:rPr>
          <w:spacing w:val="26"/>
        </w:rPr>
        <w:t> </w:t>
      </w:r>
      <w:r>
        <w:rPr/>
        <w:t>is</w:t>
      </w:r>
      <w:r>
        <w:rPr>
          <w:spacing w:val="26"/>
        </w:rPr>
        <w:t> </w:t>
      </w:r>
      <w:r>
        <w:rPr/>
        <w:t>entitled</w:t>
      </w:r>
      <w:r>
        <w:rPr>
          <w:spacing w:val="30"/>
        </w:rPr>
        <w:t> </w:t>
      </w:r>
      <w:r>
        <w:rPr/>
        <w:t>to</w:t>
      </w:r>
      <w:r>
        <w:rPr>
          <w:spacing w:val="27"/>
        </w:rPr>
        <w:t> </w:t>
      </w:r>
      <w:r>
        <w:rPr/>
        <w:t>a</w:t>
      </w:r>
      <w:r>
        <w:rPr>
          <w:spacing w:val="27"/>
        </w:rPr>
        <w:t> </w:t>
      </w:r>
      <w:r>
        <w:rPr/>
        <w:t>monthly</w:t>
      </w:r>
      <w:r>
        <w:rPr>
          <w:spacing w:val="29"/>
        </w:rPr>
        <w:t> </w:t>
      </w:r>
      <w:r>
        <w:rPr/>
        <w:t>payment</w:t>
      </w:r>
      <w:r>
        <w:rPr>
          <w:spacing w:val="23"/>
        </w:rPr>
        <w:t> </w:t>
      </w:r>
      <w:r>
        <w:rPr/>
        <w:t>of</w:t>
      </w:r>
      <w:r>
        <w:rPr>
          <w:spacing w:val="32"/>
        </w:rPr>
        <w:t> </w:t>
      </w:r>
      <w:r>
        <w:rPr/>
        <w:t>a</w:t>
      </w:r>
      <w:r>
        <w:rPr>
          <w:spacing w:val="27"/>
        </w:rPr>
        <w:t> </w:t>
      </w:r>
      <w:r>
        <w:rPr/>
        <w:t>sum</w:t>
      </w:r>
      <w:r>
        <w:rPr>
          <w:spacing w:val="30"/>
        </w:rPr>
        <w:t> </w:t>
      </w:r>
      <w:r>
        <w:rPr/>
        <w:t>equal to 40 percent of the total monthly rate of compensation that would have been payable if the deceased employee had sustained a permanent total disability.</w:t>
      </w:r>
      <w:r>
        <w:rPr>
          <w:vertAlign w:val="superscript"/>
        </w:rPr>
        <w:t>259</w:t>
      </w:r>
      <w:r>
        <w:rPr>
          <w:vertAlign w:val="baseline"/>
        </w:rPr>
        <w:t> Monthly compensation for permanent total disability is 90 percent of the remuneration of the employee.</w:t>
      </w:r>
      <w:r>
        <w:rPr>
          <w:vertAlign w:val="superscript"/>
        </w:rPr>
        <w:t>260</w:t>
      </w:r>
      <w:r>
        <w:rPr>
          <w:vertAlign w:val="baseline"/>
        </w:rPr>
        <w:t> In order to arrive at the amount</w:t>
      </w:r>
      <w:r>
        <w:rPr>
          <w:spacing w:val="27"/>
          <w:vertAlign w:val="baseline"/>
        </w:rPr>
        <w:t> </w:t>
      </w:r>
      <w:r>
        <w:rPr>
          <w:vertAlign w:val="baseline"/>
        </w:rPr>
        <w:t>of</w:t>
      </w:r>
      <w:r>
        <w:rPr>
          <w:spacing w:val="30"/>
          <w:vertAlign w:val="baseline"/>
        </w:rPr>
        <w:t> </w:t>
      </w:r>
      <w:r>
        <w:rPr>
          <w:vertAlign w:val="baseline"/>
        </w:rPr>
        <w:t>compensation</w:t>
      </w:r>
      <w:r>
        <w:rPr>
          <w:spacing w:val="33"/>
          <w:vertAlign w:val="baseline"/>
        </w:rPr>
        <w:t> </w:t>
      </w:r>
      <w:r>
        <w:rPr>
          <w:vertAlign w:val="baseline"/>
        </w:rPr>
        <w:t>for</w:t>
      </w:r>
      <w:r>
        <w:rPr>
          <w:spacing w:val="36"/>
          <w:vertAlign w:val="baseline"/>
        </w:rPr>
        <w:t> </w:t>
      </w:r>
      <w:r>
        <w:rPr>
          <w:vertAlign w:val="baseline"/>
        </w:rPr>
        <w:t>a</w:t>
      </w:r>
      <w:r>
        <w:rPr>
          <w:spacing w:val="31"/>
          <w:vertAlign w:val="baseline"/>
        </w:rPr>
        <w:t> </w:t>
      </w:r>
      <w:r>
        <w:rPr>
          <w:vertAlign w:val="baseline"/>
        </w:rPr>
        <w:t>child</w:t>
      </w:r>
      <w:r>
        <w:rPr>
          <w:spacing w:val="34"/>
          <w:vertAlign w:val="baseline"/>
        </w:rPr>
        <w:t> </w:t>
      </w:r>
      <w:r>
        <w:rPr>
          <w:vertAlign w:val="baseline"/>
        </w:rPr>
        <w:t>here,</w:t>
      </w:r>
      <w:r>
        <w:rPr>
          <w:spacing w:val="34"/>
          <w:vertAlign w:val="baseline"/>
        </w:rPr>
        <w:t> </w:t>
      </w:r>
      <w:r>
        <w:rPr>
          <w:vertAlign w:val="baseline"/>
        </w:rPr>
        <w:t>one</w:t>
      </w:r>
      <w:r>
        <w:rPr>
          <w:spacing w:val="31"/>
          <w:vertAlign w:val="baseline"/>
        </w:rPr>
        <w:t> </w:t>
      </w:r>
      <w:r>
        <w:rPr>
          <w:vertAlign w:val="baseline"/>
        </w:rPr>
        <w:t>will</w:t>
      </w:r>
      <w:r>
        <w:rPr>
          <w:spacing w:val="32"/>
          <w:vertAlign w:val="baseline"/>
        </w:rPr>
        <w:t> </w:t>
      </w:r>
      <w:r>
        <w:rPr>
          <w:vertAlign w:val="baseline"/>
        </w:rPr>
        <w:t>have</w:t>
      </w:r>
      <w:r>
        <w:rPr>
          <w:spacing w:val="36"/>
          <w:vertAlign w:val="baseline"/>
        </w:rPr>
        <w:t> </w:t>
      </w:r>
      <w:r>
        <w:rPr>
          <w:vertAlign w:val="baseline"/>
        </w:rPr>
        <w:t>to</w:t>
      </w:r>
      <w:r>
        <w:rPr>
          <w:spacing w:val="31"/>
          <w:vertAlign w:val="baseline"/>
        </w:rPr>
        <w:t> </w:t>
      </w:r>
      <w:r>
        <w:rPr>
          <w:vertAlign w:val="baseline"/>
        </w:rPr>
        <w:t>calculate</w:t>
      </w:r>
      <w:r>
        <w:rPr>
          <w:spacing w:val="31"/>
          <w:vertAlign w:val="baseline"/>
        </w:rPr>
        <w:t> </w:t>
      </w:r>
      <w:r>
        <w:rPr>
          <w:spacing w:val="-5"/>
          <w:vertAlign w:val="baseline"/>
        </w:rPr>
        <w:t>how</w:t>
      </w:r>
    </w:p>
    <w:p>
      <w:pPr>
        <w:pStyle w:val="BodyText"/>
        <w:spacing w:before="11"/>
        <w:rPr>
          <w:sz w:val="15"/>
        </w:rPr>
      </w:pPr>
      <w:r>
        <w:rPr/>
        <mc:AlternateContent>
          <mc:Choice Requires="wps">
            <w:drawing>
              <wp:anchor distT="0" distB="0" distL="0" distR="0" allowOverlap="1" layoutInCell="1" locked="0" behindDoc="1" simplePos="0" relativeHeight="487634944">
                <wp:simplePos x="0" y="0"/>
                <wp:positionH relativeFrom="page">
                  <wp:posOffset>1185672</wp:posOffset>
                </wp:positionH>
                <wp:positionV relativeFrom="paragraph">
                  <wp:posOffset>137206</wp:posOffset>
                </wp:positionV>
                <wp:extent cx="1719580" cy="3175"/>
                <wp:effectExtent l="0" t="0" r="0" b="0"/>
                <wp:wrapTopAndBottom/>
                <wp:docPr id="107" name="Graphic 107"/>
                <wp:cNvGraphicFramePr>
                  <a:graphicFrameLocks/>
                </wp:cNvGraphicFramePr>
                <a:graphic>
                  <a:graphicData uri="http://schemas.microsoft.com/office/word/2010/wordprocessingShape">
                    <wps:wsp>
                      <wps:cNvPr id="107" name="Graphic 107"/>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0.803653pt;width:135.360pt;height:.24pt;mso-position-horizontal-relative:page;mso-position-vertical-relative:paragraph;z-index:-15681536;mso-wrap-distance-left:0;mso-wrap-distance-right:0" id="docshape107" filled="true" fillcolor="#000000" stroked="false">
                <v:fill type="solid"/>
                <w10:wrap type="topAndBottom"/>
              </v:rect>
            </w:pict>
          </mc:Fallback>
        </mc:AlternateContent>
      </w:r>
    </w:p>
    <w:p>
      <w:pPr>
        <w:pStyle w:val="ListParagraph"/>
        <w:numPr>
          <w:ilvl w:val="0"/>
          <w:numId w:val="17"/>
        </w:numPr>
        <w:tabs>
          <w:tab w:pos="382" w:val="left" w:leader="none"/>
        </w:tabs>
        <w:spacing w:line="217" w:lineRule="exact" w:before="96" w:after="0"/>
        <w:ind w:left="382" w:right="0" w:hanging="195"/>
        <w:jc w:val="left"/>
        <w:rPr>
          <w:rFonts w:ascii="Times New Roman" w:hAnsi="Times New Roman"/>
          <w:sz w:val="19"/>
        </w:rPr>
      </w:pPr>
      <w:r>
        <w:rPr>
          <w:rFonts w:ascii="Times New Roman" w:hAnsi="Times New Roman"/>
          <w:spacing w:val="-4"/>
          <w:sz w:val="19"/>
        </w:rPr>
        <w:t>Ibid</w:t>
      </w:r>
    </w:p>
    <w:p>
      <w:pPr>
        <w:pStyle w:val="ListParagraph"/>
        <w:numPr>
          <w:ilvl w:val="0"/>
          <w:numId w:val="17"/>
        </w:numPr>
        <w:tabs>
          <w:tab w:pos="382" w:val="left" w:leader="none"/>
        </w:tabs>
        <w:spacing w:line="216"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8"/>
          <w:sz w:val="19"/>
        </w:rPr>
        <w:t> </w:t>
      </w:r>
      <w:r>
        <w:rPr>
          <w:rFonts w:ascii="Times New Roman" w:hAnsi="Times New Roman"/>
          <w:sz w:val="19"/>
        </w:rPr>
        <w:t>73</w:t>
      </w:r>
      <w:r>
        <w:rPr>
          <w:rFonts w:ascii="Times New Roman" w:hAnsi="Times New Roman"/>
          <w:spacing w:val="-11"/>
          <w:sz w:val="19"/>
        </w:rPr>
        <w:t> </w:t>
      </w:r>
      <w:r>
        <w:rPr>
          <w:rFonts w:ascii="Times New Roman" w:hAnsi="Times New Roman"/>
          <w:spacing w:val="-4"/>
          <w:sz w:val="19"/>
        </w:rPr>
        <w:t>ibid</w:t>
      </w:r>
    </w:p>
    <w:p>
      <w:pPr>
        <w:pStyle w:val="ListParagraph"/>
        <w:numPr>
          <w:ilvl w:val="0"/>
          <w:numId w:val="17"/>
        </w:numPr>
        <w:tabs>
          <w:tab w:pos="382" w:val="left" w:leader="none"/>
        </w:tabs>
        <w:spacing w:line="216"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9"/>
          <w:sz w:val="19"/>
        </w:rPr>
        <w:t> </w:t>
      </w:r>
      <w:r>
        <w:rPr>
          <w:rFonts w:ascii="Times New Roman" w:hAnsi="Times New Roman"/>
          <w:sz w:val="19"/>
        </w:rPr>
        <w:t>17</w:t>
      </w:r>
      <w:r>
        <w:rPr>
          <w:rFonts w:ascii="Times New Roman" w:hAnsi="Times New Roman"/>
          <w:spacing w:val="-12"/>
          <w:sz w:val="19"/>
        </w:rPr>
        <w:t> </w:t>
      </w:r>
      <w:r>
        <w:rPr>
          <w:rFonts w:ascii="Times New Roman" w:hAnsi="Times New Roman"/>
          <w:sz w:val="19"/>
        </w:rPr>
        <w:t>(1)(b)</w:t>
      </w:r>
      <w:r>
        <w:rPr>
          <w:rFonts w:ascii="Times New Roman" w:hAnsi="Times New Roman"/>
          <w:spacing w:val="-10"/>
          <w:sz w:val="19"/>
        </w:rPr>
        <w:t> </w:t>
      </w:r>
      <w:r>
        <w:rPr>
          <w:rFonts w:ascii="Times New Roman" w:hAnsi="Times New Roman"/>
          <w:spacing w:val="-4"/>
          <w:sz w:val="19"/>
        </w:rPr>
        <w:t>ibid</w:t>
      </w:r>
    </w:p>
    <w:p>
      <w:pPr>
        <w:pStyle w:val="ListParagraph"/>
        <w:numPr>
          <w:ilvl w:val="0"/>
          <w:numId w:val="17"/>
        </w:numPr>
        <w:tabs>
          <w:tab w:pos="382" w:val="left" w:leader="none"/>
        </w:tabs>
        <w:spacing w:line="217"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8"/>
          <w:sz w:val="19"/>
        </w:rPr>
        <w:t> </w:t>
      </w:r>
      <w:r>
        <w:rPr>
          <w:rFonts w:ascii="Times New Roman" w:hAnsi="Times New Roman"/>
          <w:sz w:val="19"/>
        </w:rPr>
        <w:t>21</w:t>
      </w:r>
      <w:r>
        <w:rPr>
          <w:rFonts w:ascii="Times New Roman" w:hAnsi="Times New Roman"/>
          <w:spacing w:val="-11"/>
          <w:sz w:val="19"/>
        </w:rPr>
        <w:t> </w:t>
      </w:r>
      <w:r>
        <w:rPr>
          <w:rFonts w:ascii="Times New Roman" w:hAnsi="Times New Roman"/>
          <w:spacing w:val="-4"/>
          <w:sz w:val="19"/>
        </w:rPr>
        <w:t>ibid</w:t>
      </w:r>
    </w:p>
    <w:p>
      <w:pPr>
        <w:spacing w:after="0" w:line="217"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94"/>
        <w:ind w:left="864" w:right="563"/>
      </w:pPr>
      <w:r>
        <w:rPr/>
        <w:t>much is due to an employee who suffers permanent total disability before</w:t>
      </w:r>
      <w:r>
        <w:rPr>
          <w:spacing w:val="80"/>
        </w:rPr>
        <w:t> </w:t>
      </w:r>
      <w:r>
        <w:rPr/>
        <w:t>getting</w:t>
      </w:r>
      <w:r>
        <w:rPr>
          <w:spacing w:val="79"/>
        </w:rPr>
        <w:t> </w:t>
      </w:r>
      <w:r>
        <w:rPr/>
        <w:t>40</w:t>
      </w:r>
      <w:r>
        <w:rPr>
          <w:spacing w:val="64"/>
        </w:rPr>
        <w:t> </w:t>
      </w:r>
      <w:r>
        <w:rPr/>
        <w:t>percent</w:t>
      </w:r>
      <w:r>
        <w:rPr>
          <w:spacing w:val="71"/>
        </w:rPr>
        <w:t> </w:t>
      </w:r>
      <w:r>
        <w:rPr/>
        <w:t>out</w:t>
      </w:r>
      <w:r>
        <w:rPr>
          <w:spacing w:val="71"/>
        </w:rPr>
        <w:t> </w:t>
      </w:r>
      <w:r>
        <w:rPr/>
        <w:t>of</w:t>
      </w:r>
      <w:r>
        <w:rPr>
          <w:spacing w:val="70"/>
        </w:rPr>
        <w:t> </w:t>
      </w:r>
      <w:r>
        <w:rPr/>
        <w:t>it,</w:t>
      </w:r>
      <w:r>
        <w:rPr>
          <w:spacing w:val="74"/>
        </w:rPr>
        <w:t> </w:t>
      </w:r>
      <w:r>
        <w:rPr/>
        <w:t>to</w:t>
      </w:r>
      <w:r>
        <w:rPr>
          <w:spacing w:val="65"/>
        </w:rPr>
        <w:t> </w:t>
      </w:r>
      <w:r>
        <w:rPr/>
        <w:t>be</w:t>
      </w:r>
      <w:r>
        <w:rPr>
          <w:spacing w:val="68"/>
        </w:rPr>
        <w:t> </w:t>
      </w:r>
      <w:r>
        <w:rPr/>
        <w:t>the</w:t>
      </w:r>
      <w:r>
        <w:rPr>
          <w:spacing w:val="74"/>
        </w:rPr>
        <w:t> </w:t>
      </w:r>
      <w:r>
        <w:rPr/>
        <w:t>amount</w:t>
      </w:r>
      <w:r>
        <w:rPr>
          <w:spacing w:val="71"/>
        </w:rPr>
        <w:t> </w:t>
      </w:r>
      <w:r>
        <w:rPr/>
        <w:t>due</w:t>
      </w:r>
      <w:r>
        <w:rPr>
          <w:spacing w:val="74"/>
        </w:rPr>
        <w:t> </w:t>
      </w:r>
      <w:r>
        <w:rPr/>
        <w:t>to</w:t>
      </w:r>
      <w:r>
        <w:rPr>
          <w:spacing w:val="70"/>
        </w:rPr>
        <w:t> </w:t>
      </w:r>
      <w:r>
        <w:rPr/>
        <w:t>the</w:t>
      </w:r>
      <w:r>
        <w:rPr>
          <w:spacing w:val="68"/>
        </w:rPr>
        <w:t> </w:t>
      </w:r>
      <w:r>
        <w:rPr/>
        <w:t>child.</w:t>
      </w:r>
      <w:r>
        <w:rPr>
          <w:spacing w:val="74"/>
        </w:rPr>
        <w:t> </w:t>
      </w:r>
      <w:r>
        <w:rPr/>
        <w:t>For example,</w:t>
      </w:r>
      <w:r>
        <w:rPr>
          <w:spacing w:val="33"/>
        </w:rPr>
        <w:t> </w:t>
      </w:r>
      <w:r>
        <w:rPr/>
        <w:t>Mallam</w:t>
      </w:r>
      <w:r>
        <w:rPr>
          <w:spacing w:val="38"/>
        </w:rPr>
        <w:t> </w:t>
      </w:r>
      <w:r>
        <w:rPr/>
        <w:t>Audu</w:t>
      </w:r>
      <w:r>
        <w:rPr>
          <w:spacing w:val="37"/>
        </w:rPr>
        <w:t> </w:t>
      </w:r>
      <w:r>
        <w:rPr/>
        <w:t>died</w:t>
      </w:r>
      <w:r>
        <w:rPr>
          <w:spacing w:val="38"/>
        </w:rPr>
        <w:t> </w:t>
      </w:r>
      <w:r>
        <w:rPr/>
        <w:t>in</w:t>
      </w:r>
      <w:r>
        <w:rPr>
          <w:spacing w:val="37"/>
        </w:rPr>
        <w:t> </w:t>
      </w:r>
      <w:r>
        <w:rPr/>
        <w:t>an</w:t>
      </w:r>
      <w:r>
        <w:rPr>
          <w:spacing w:val="40"/>
        </w:rPr>
        <w:t> </w:t>
      </w:r>
      <w:r>
        <w:rPr/>
        <w:t>industrial</w:t>
      </w:r>
      <w:r>
        <w:rPr>
          <w:spacing w:val="38"/>
        </w:rPr>
        <w:t> </w:t>
      </w:r>
      <w:r>
        <w:rPr/>
        <w:t>accident</w:t>
      </w:r>
      <w:r>
        <w:rPr>
          <w:spacing w:val="31"/>
        </w:rPr>
        <w:t> </w:t>
      </w:r>
      <w:r>
        <w:rPr/>
        <w:t>in</w:t>
      </w:r>
      <w:r>
        <w:rPr>
          <w:spacing w:val="40"/>
        </w:rPr>
        <w:t> </w:t>
      </w:r>
      <w:r>
        <w:rPr/>
        <w:t>his</w:t>
      </w:r>
      <w:r>
        <w:rPr>
          <w:spacing w:val="33"/>
        </w:rPr>
        <w:t> </w:t>
      </w:r>
      <w:r>
        <w:rPr/>
        <w:t>place</w:t>
      </w:r>
      <w:r>
        <w:rPr>
          <w:spacing w:val="34"/>
        </w:rPr>
        <w:t> </w:t>
      </w:r>
      <w:r>
        <w:rPr/>
        <w:t>of</w:t>
      </w:r>
      <w:r>
        <w:rPr>
          <w:spacing w:val="40"/>
        </w:rPr>
        <w:t> </w:t>
      </w:r>
      <w:r>
        <w:rPr/>
        <w:t>work leaving</w:t>
      </w:r>
      <w:r>
        <w:rPr>
          <w:spacing w:val="37"/>
        </w:rPr>
        <w:t> </w:t>
      </w:r>
      <w:r>
        <w:rPr/>
        <w:t>only</w:t>
      </w:r>
      <w:r>
        <w:rPr>
          <w:spacing w:val="36"/>
        </w:rPr>
        <w:t> </w:t>
      </w:r>
      <w:r>
        <w:rPr/>
        <w:t>one</w:t>
      </w:r>
      <w:r>
        <w:rPr>
          <w:spacing w:val="33"/>
        </w:rPr>
        <w:t> </w:t>
      </w:r>
      <w:r>
        <w:rPr/>
        <w:t>surviving</w:t>
      </w:r>
      <w:r>
        <w:rPr>
          <w:spacing w:val="37"/>
        </w:rPr>
        <w:t> </w:t>
      </w:r>
      <w:r>
        <w:rPr/>
        <w:t>child</w:t>
      </w:r>
      <w:r>
        <w:rPr>
          <w:spacing w:val="31"/>
        </w:rPr>
        <w:t> </w:t>
      </w:r>
      <w:r>
        <w:rPr/>
        <w:t>and</w:t>
      </w:r>
      <w:r>
        <w:rPr>
          <w:spacing w:val="37"/>
        </w:rPr>
        <w:t> </w:t>
      </w:r>
      <w:r>
        <w:rPr/>
        <w:t>his</w:t>
      </w:r>
      <w:r>
        <w:rPr>
          <w:spacing w:val="38"/>
        </w:rPr>
        <w:t> </w:t>
      </w:r>
      <w:r>
        <w:rPr/>
        <w:t>monthly</w:t>
      </w:r>
      <w:r>
        <w:rPr>
          <w:spacing w:val="36"/>
        </w:rPr>
        <w:t> </w:t>
      </w:r>
      <w:r>
        <w:rPr/>
        <w:t>amount</w:t>
      </w:r>
      <w:r>
        <w:rPr>
          <w:spacing w:val="36"/>
        </w:rPr>
        <w:t> </w:t>
      </w:r>
      <w:r>
        <w:rPr/>
        <w:t>of</w:t>
      </w:r>
      <w:r>
        <w:rPr>
          <w:spacing w:val="39"/>
        </w:rPr>
        <w:t> </w:t>
      </w:r>
      <w:r>
        <w:rPr/>
        <w:t>remuneration at</w:t>
      </w:r>
      <w:r>
        <w:rPr>
          <w:spacing w:val="38"/>
        </w:rPr>
        <w:t> </w:t>
      </w:r>
      <w:r>
        <w:rPr/>
        <w:t>the</w:t>
      </w:r>
      <w:r>
        <w:rPr>
          <w:spacing w:val="37"/>
        </w:rPr>
        <w:t> </w:t>
      </w:r>
      <w:r>
        <w:rPr/>
        <w:t>date</w:t>
      </w:r>
      <w:r>
        <w:rPr>
          <w:spacing w:val="37"/>
        </w:rPr>
        <w:t> </w:t>
      </w:r>
      <w:r>
        <w:rPr/>
        <w:t>of</w:t>
      </w:r>
      <w:r>
        <w:rPr>
          <w:spacing w:val="40"/>
        </w:rPr>
        <w:t> </w:t>
      </w:r>
      <w:r>
        <w:rPr/>
        <w:t>his</w:t>
      </w:r>
      <w:r>
        <w:rPr>
          <w:spacing w:val="40"/>
        </w:rPr>
        <w:t> </w:t>
      </w:r>
      <w:r>
        <w:rPr/>
        <w:t>death</w:t>
      </w:r>
      <w:r>
        <w:rPr>
          <w:spacing w:val="33"/>
        </w:rPr>
        <w:t> </w:t>
      </w:r>
      <w:r>
        <w:rPr/>
        <w:t>was</w:t>
      </w:r>
      <w:r>
        <w:rPr>
          <w:spacing w:val="40"/>
        </w:rPr>
        <w:t> </w:t>
      </w:r>
      <w:r>
        <w:rPr/>
        <w:t>N100,000.</w:t>
      </w:r>
      <w:r>
        <w:rPr>
          <w:spacing w:val="40"/>
        </w:rPr>
        <w:t> </w:t>
      </w:r>
      <w:r>
        <w:rPr/>
        <w:t>What</w:t>
      </w:r>
      <w:r>
        <w:rPr>
          <w:spacing w:val="33"/>
        </w:rPr>
        <w:t> </w:t>
      </w:r>
      <w:r>
        <w:rPr/>
        <w:t>will</w:t>
      </w:r>
      <w:r>
        <w:rPr>
          <w:spacing w:val="39"/>
        </w:rPr>
        <w:t> </w:t>
      </w:r>
      <w:r>
        <w:rPr/>
        <w:t>be</w:t>
      </w:r>
      <w:r>
        <w:rPr>
          <w:spacing w:val="37"/>
        </w:rPr>
        <w:t> </w:t>
      </w:r>
      <w:r>
        <w:rPr/>
        <w:t>the</w:t>
      </w:r>
      <w:r>
        <w:rPr>
          <w:spacing w:val="37"/>
        </w:rPr>
        <w:t> </w:t>
      </w:r>
      <w:r>
        <w:rPr/>
        <w:t>child’s</w:t>
      </w:r>
      <w:r>
        <w:rPr>
          <w:spacing w:val="40"/>
        </w:rPr>
        <w:t> </w:t>
      </w:r>
      <w:r>
        <w:rPr/>
        <w:t>monthly compensation? The child’s monthly compensation will be 40 percent of 90</w:t>
      </w:r>
      <w:r>
        <w:rPr>
          <w:spacing w:val="80"/>
        </w:rPr>
        <w:t> </w:t>
      </w:r>
      <w:r>
        <w:rPr/>
        <w:t>percent of Mallam Audu’s monthly remuneration. This calculated as thus: 100,000 X 90 = 9,000,000</w:t>
      </w:r>
    </w:p>
    <w:p>
      <w:pPr>
        <w:pStyle w:val="BodyText"/>
        <w:tabs>
          <w:tab w:pos="2894" w:val="left" w:leader="none"/>
        </w:tabs>
        <w:spacing w:before="10"/>
        <w:ind w:left="864"/>
      </w:pPr>
      <w:r>
        <w:rPr>
          <w:u w:val="single"/>
        </w:rPr>
        <w:t>9,000,000</w:t>
      </w:r>
      <w:r>
        <w:rPr>
          <w:spacing w:val="4"/>
        </w:rPr>
        <w:t> </w:t>
      </w:r>
      <w:r>
        <w:rPr>
          <w:spacing w:val="-10"/>
        </w:rPr>
        <w:t>=</w:t>
      </w:r>
      <w:r>
        <w:rPr/>
        <w:tab/>
      </w:r>
      <w:r>
        <w:rPr>
          <w:spacing w:val="-2"/>
        </w:rPr>
        <w:t>90,000</w:t>
      </w:r>
    </w:p>
    <w:p>
      <w:pPr>
        <w:pStyle w:val="BodyText"/>
        <w:spacing w:before="5"/>
        <w:ind w:left="864"/>
      </w:pPr>
      <w:r>
        <w:rPr>
          <w:spacing w:val="-5"/>
        </w:rPr>
        <w:t>100</w:t>
      </w:r>
    </w:p>
    <w:p>
      <w:pPr>
        <w:pStyle w:val="BodyText"/>
        <w:spacing w:before="6"/>
      </w:pPr>
    </w:p>
    <w:p>
      <w:pPr>
        <w:pStyle w:val="BodyText"/>
        <w:spacing w:before="1"/>
        <w:ind w:left="864"/>
      </w:pPr>
      <w:r>
        <w:rPr/>
        <w:t>90,000</w:t>
      </w:r>
      <w:r>
        <w:rPr>
          <w:spacing w:val="2"/>
        </w:rPr>
        <w:t> </w:t>
      </w:r>
      <w:r>
        <w:rPr/>
        <w:t>X</w:t>
      </w:r>
      <w:r>
        <w:rPr>
          <w:spacing w:val="5"/>
        </w:rPr>
        <w:t> </w:t>
      </w:r>
      <w:r>
        <w:rPr/>
        <w:t>40=</w:t>
      </w:r>
      <w:r>
        <w:rPr>
          <w:spacing w:val="3"/>
        </w:rPr>
        <w:t> </w:t>
      </w:r>
      <w:r>
        <w:rPr>
          <w:spacing w:val="-2"/>
        </w:rPr>
        <w:t>3,600,000</w:t>
      </w:r>
    </w:p>
    <w:p>
      <w:pPr>
        <w:pStyle w:val="BodyText"/>
        <w:spacing w:before="15"/>
      </w:pPr>
    </w:p>
    <w:p>
      <w:pPr>
        <w:pStyle w:val="BodyText"/>
        <w:spacing w:before="1"/>
        <w:ind w:left="864"/>
      </w:pPr>
      <w:r>
        <w:rPr>
          <w:u w:val="single"/>
        </w:rPr>
        <w:t>3,600,000</w:t>
      </w:r>
      <w:r>
        <w:rPr>
          <w:spacing w:val="1"/>
        </w:rPr>
        <w:t> </w:t>
      </w:r>
      <w:r>
        <w:rPr/>
        <w:t>=</w:t>
      </w:r>
      <w:r>
        <w:rPr>
          <w:spacing w:val="6"/>
        </w:rPr>
        <w:t> </w:t>
      </w:r>
      <w:r>
        <w:rPr>
          <w:spacing w:val="-2"/>
        </w:rPr>
        <w:t>36,000</w:t>
      </w:r>
    </w:p>
    <w:p>
      <w:pPr>
        <w:pStyle w:val="BodyText"/>
        <w:spacing w:before="5"/>
        <w:ind w:left="864"/>
      </w:pPr>
      <w:r>
        <w:rPr>
          <w:spacing w:val="-5"/>
        </w:rPr>
        <w:t>100</w:t>
      </w:r>
    </w:p>
    <w:p>
      <w:pPr>
        <w:pStyle w:val="BodyText"/>
        <w:spacing w:before="11"/>
      </w:pPr>
    </w:p>
    <w:p>
      <w:pPr>
        <w:pStyle w:val="BodyText"/>
        <w:spacing w:line="494" w:lineRule="auto"/>
        <w:ind w:left="864" w:right="570"/>
        <w:jc w:val="both"/>
      </w:pPr>
      <w:r>
        <w:rPr/>
        <w:t>Therefore Mallam Audu’s only surviving child will be entitled to monthly compensation of N36,000</w:t>
      </w:r>
    </w:p>
    <w:p>
      <w:pPr>
        <w:pStyle w:val="BodyText"/>
      </w:pPr>
    </w:p>
    <w:p>
      <w:pPr>
        <w:pStyle w:val="BodyText"/>
        <w:spacing w:line="489" w:lineRule="auto"/>
        <w:ind w:left="864" w:right="567"/>
        <w:jc w:val="both"/>
      </w:pPr>
      <w:r>
        <w:rPr/>
        <w:t>Where there is no survivino m|igible spouse and the dependants are two children, compensation is a monthly payment of 60 percent of what is payable monthly for</w:t>
      </w:r>
      <w:r>
        <w:rPr>
          <w:spacing w:val="30"/>
        </w:rPr>
        <w:t> </w:t>
      </w:r>
      <w:r>
        <w:rPr/>
        <w:t>permanent</w:t>
      </w:r>
      <w:r>
        <w:rPr>
          <w:spacing w:val="31"/>
        </w:rPr>
        <w:t> </w:t>
      </w:r>
      <w:r>
        <w:rPr/>
        <w:t>total disability.</w:t>
      </w:r>
      <w:r>
        <w:rPr>
          <w:vertAlign w:val="superscript"/>
        </w:rPr>
        <w:t>261</w:t>
      </w:r>
      <w:r>
        <w:rPr>
          <w:spacing w:val="28"/>
          <w:vertAlign w:val="baseline"/>
        </w:rPr>
        <w:t> </w:t>
      </w:r>
      <w:r>
        <w:rPr>
          <w:vertAlign w:val="baseline"/>
        </w:rPr>
        <w:t>If</w:t>
      </w:r>
      <w:r>
        <w:rPr>
          <w:spacing w:val="30"/>
          <w:vertAlign w:val="baseline"/>
        </w:rPr>
        <w:t> </w:t>
      </w:r>
      <w:r>
        <w:rPr>
          <w:vertAlign w:val="baseline"/>
        </w:rPr>
        <w:t>the children are</w:t>
      </w:r>
      <w:r>
        <w:rPr>
          <w:spacing w:val="29"/>
          <w:vertAlign w:val="baseline"/>
        </w:rPr>
        <w:t> </w:t>
      </w:r>
      <w:r>
        <w:rPr>
          <w:vertAlign w:val="baseline"/>
        </w:rPr>
        <w:t>three or more, then they are entitled to 80 percent of monthly payment for permanent total disability.</w:t>
      </w:r>
      <w:r>
        <w:rPr>
          <w:vertAlign w:val="superscript"/>
        </w:rPr>
        <w:t>262</w:t>
      </w:r>
      <w:r>
        <w:rPr>
          <w:vertAlign w:val="baseline"/>
        </w:rPr>
        <w:t> A child under the Act means any person not more than 21 years old and who is receiving full-time education or any training</w:t>
      </w:r>
      <w:r>
        <w:rPr>
          <w:spacing w:val="48"/>
          <w:w w:val="150"/>
          <w:vertAlign w:val="baseline"/>
        </w:rPr>
        <w:t> </w:t>
      </w:r>
      <w:r>
        <w:rPr>
          <w:vertAlign w:val="baseline"/>
        </w:rPr>
        <w:t>and</w:t>
      </w:r>
      <w:r>
        <w:rPr>
          <w:spacing w:val="48"/>
          <w:w w:val="150"/>
          <w:vertAlign w:val="baseline"/>
        </w:rPr>
        <w:t> </w:t>
      </w:r>
      <w:r>
        <w:rPr>
          <w:vertAlign w:val="baseline"/>
        </w:rPr>
        <w:t>is</w:t>
      </w:r>
      <w:r>
        <w:rPr>
          <w:spacing w:val="75"/>
          <w:vertAlign w:val="baseline"/>
        </w:rPr>
        <w:t> </w:t>
      </w:r>
      <w:r>
        <w:rPr>
          <w:vertAlign w:val="baseline"/>
        </w:rPr>
        <w:t>not</w:t>
      </w:r>
      <w:r>
        <w:rPr>
          <w:spacing w:val="78"/>
          <w:vertAlign w:val="baseline"/>
        </w:rPr>
        <w:t> </w:t>
      </w:r>
      <w:r>
        <w:rPr>
          <w:vertAlign w:val="baseline"/>
        </w:rPr>
        <w:t>paid</w:t>
      </w:r>
      <w:r>
        <w:rPr>
          <w:spacing w:val="44"/>
          <w:w w:val="150"/>
          <w:vertAlign w:val="baseline"/>
        </w:rPr>
        <w:t> </w:t>
      </w:r>
      <w:r>
        <w:rPr>
          <w:vertAlign w:val="baseline"/>
        </w:rPr>
        <w:t>wages</w:t>
      </w:r>
      <w:r>
        <w:rPr>
          <w:spacing w:val="76"/>
          <w:vertAlign w:val="baseline"/>
        </w:rPr>
        <w:t> </w:t>
      </w:r>
      <w:r>
        <w:rPr>
          <w:vertAlign w:val="baseline"/>
        </w:rPr>
        <w:t>and</w:t>
      </w:r>
      <w:r>
        <w:rPr>
          <w:spacing w:val="79"/>
          <w:vertAlign w:val="baseline"/>
        </w:rPr>
        <w:t> </w:t>
      </w:r>
      <w:r>
        <w:rPr>
          <w:vertAlign w:val="baseline"/>
        </w:rPr>
        <w:t>include</w:t>
      </w:r>
      <w:r>
        <w:rPr>
          <w:spacing w:val="45"/>
          <w:w w:val="150"/>
          <w:vertAlign w:val="baseline"/>
        </w:rPr>
        <w:t> </w:t>
      </w:r>
      <w:r>
        <w:rPr>
          <w:vertAlign w:val="baseline"/>
        </w:rPr>
        <w:t>any</w:t>
      </w:r>
      <w:r>
        <w:rPr>
          <w:spacing w:val="47"/>
          <w:w w:val="150"/>
          <w:vertAlign w:val="baseline"/>
        </w:rPr>
        <w:t> </w:t>
      </w:r>
      <w:r>
        <w:rPr>
          <w:vertAlign w:val="baseline"/>
        </w:rPr>
        <w:t>step</w:t>
      </w:r>
      <w:r>
        <w:rPr>
          <w:spacing w:val="44"/>
          <w:w w:val="150"/>
          <w:vertAlign w:val="baseline"/>
        </w:rPr>
        <w:t> </w:t>
      </w:r>
      <w:r>
        <w:rPr>
          <w:vertAlign w:val="baseline"/>
        </w:rPr>
        <w:t>child</w:t>
      </w:r>
      <w:r>
        <w:rPr>
          <w:spacing w:val="48"/>
          <w:w w:val="150"/>
          <w:vertAlign w:val="baseline"/>
        </w:rPr>
        <w:t> </w:t>
      </w:r>
      <w:r>
        <w:rPr>
          <w:vertAlign w:val="baseline"/>
        </w:rPr>
        <w:t>and</w:t>
      </w:r>
      <w:r>
        <w:rPr>
          <w:spacing w:val="48"/>
          <w:w w:val="150"/>
          <w:vertAlign w:val="baseline"/>
        </w:rPr>
        <w:t> </w:t>
      </w:r>
      <w:r>
        <w:rPr>
          <w:spacing w:val="-2"/>
          <w:vertAlign w:val="baseline"/>
        </w:rPr>
        <w:t>child</w:t>
      </w:r>
    </w:p>
    <w:p>
      <w:pPr>
        <w:pStyle w:val="BodyText"/>
        <w:spacing w:before="113"/>
        <w:rPr>
          <w:sz w:val="20"/>
        </w:rPr>
      </w:pPr>
      <w:r>
        <w:rPr/>
        <mc:AlternateContent>
          <mc:Choice Requires="wps">
            <w:drawing>
              <wp:anchor distT="0" distB="0" distL="0" distR="0" allowOverlap="1" layoutInCell="1" locked="0" behindDoc="1" simplePos="0" relativeHeight="487635456">
                <wp:simplePos x="0" y="0"/>
                <wp:positionH relativeFrom="page">
                  <wp:posOffset>1185672</wp:posOffset>
                </wp:positionH>
                <wp:positionV relativeFrom="paragraph">
                  <wp:posOffset>240904</wp:posOffset>
                </wp:positionV>
                <wp:extent cx="1719580" cy="6350"/>
                <wp:effectExtent l="0" t="0" r="0" b="0"/>
                <wp:wrapTopAndBottom/>
                <wp:docPr id="108" name="Graphic 108"/>
                <wp:cNvGraphicFramePr>
                  <a:graphicFrameLocks/>
                </wp:cNvGraphicFramePr>
                <a:graphic>
                  <a:graphicData uri="http://schemas.microsoft.com/office/word/2010/wordprocessingShape">
                    <wps:wsp>
                      <wps:cNvPr id="108" name="Graphic 10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8.968828pt;width:135.360pt;height:.48pt;mso-position-horizontal-relative:page;mso-position-vertical-relative:paragraph;z-index:-15681024;mso-wrap-distance-left:0;mso-wrap-distance-right:0" id="docshape108" filled="true" fillcolor="#000000" stroked="false">
                <v:fill type="solid"/>
                <w10:wrap type="topAndBottom"/>
              </v:rect>
            </w:pict>
          </mc:Fallback>
        </mc:AlternateContent>
      </w:r>
    </w:p>
    <w:p>
      <w:pPr>
        <w:pStyle w:val="ListParagraph"/>
        <w:numPr>
          <w:ilvl w:val="0"/>
          <w:numId w:val="17"/>
        </w:numPr>
        <w:tabs>
          <w:tab w:pos="382" w:val="left" w:leader="none"/>
        </w:tabs>
        <w:spacing w:line="217" w:lineRule="exact" w:before="91" w:after="0"/>
        <w:ind w:left="382" w:right="0" w:hanging="195"/>
        <w:jc w:val="left"/>
        <w:rPr>
          <w:rFonts w:ascii="Times New Roman" w:hAnsi="Times New Roman"/>
          <w:sz w:val="19"/>
        </w:rPr>
      </w:pPr>
      <w:r>
        <w:rPr>
          <w:rFonts w:ascii="Times New Roman" w:hAnsi="Times New Roman"/>
          <w:spacing w:val="-2"/>
          <w:sz w:val="19"/>
        </w:rPr>
        <w:t>Section</w:t>
      </w:r>
      <w:r>
        <w:rPr>
          <w:rFonts w:ascii="Times New Roman" w:hAnsi="Times New Roman"/>
          <w:sz w:val="19"/>
        </w:rPr>
        <w:t> </w:t>
      </w:r>
      <w:r>
        <w:rPr>
          <w:rFonts w:ascii="Times New Roman" w:hAnsi="Times New Roman"/>
          <w:spacing w:val="-2"/>
          <w:sz w:val="19"/>
        </w:rPr>
        <w:t>17(1)(b) </w:t>
      </w:r>
      <w:r>
        <w:rPr>
          <w:rFonts w:ascii="Times New Roman" w:hAnsi="Times New Roman"/>
          <w:spacing w:val="-4"/>
          <w:sz w:val="19"/>
        </w:rPr>
        <w:t>ibid</w:t>
      </w:r>
    </w:p>
    <w:p>
      <w:pPr>
        <w:pStyle w:val="ListParagraph"/>
        <w:numPr>
          <w:ilvl w:val="0"/>
          <w:numId w:val="17"/>
        </w:numPr>
        <w:tabs>
          <w:tab w:pos="382" w:val="left" w:leader="none"/>
        </w:tabs>
        <w:spacing w:line="217" w:lineRule="exact" w:before="0" w:after="0"/>
        <w:ind w:left="382" w:right="0" w:hanging="195"/>
        <w:jc w:val="left"/>
        <w:rPr>
          <w:rFonts w:ascii="Times New Roman" w:hAnsi="Times New Roman"/>
          <w:sz w:val="19"/>
        </w:rPr>
      </w:pPr>
      <w:r>
        <w:rPr>
          <w:rFonts w:ascii="Times New Roman" w:hAnsi="Times New Roman"/>
          <w:spacing w:val="-4"/>
          <w:sz w:val="19"/>
        </w:rPr>
        <w:t>Ibid</w:t>
      </w:r>
    </w:p>
    <w:p>
      <w:pPr>
        <w:spacing w:after="0" w:line="217"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114"/>
        <w:ind w:left="864" w:right="567"/>
        <w:jc w:val="both"/>
      </w:pPr>
      <w:r>
        <w:rPr/>
        <w:t>adopted in a manner recognised</w:t>
      </w:r>
      <w:r>
        <w:rPr>
          <w:spacing w:val="22"/>
        </w:rPr>
        <w:t> </w:t>
      </w:r>
      <w:r>
        <w:rPr/>
        <w:t>as lawful</w:t>
      </w:r>
      <w:r>
        <w:rPr>
          <w:spacing w:val="21"/>
        </w:rPr>
        <w:t> </w:t>
      </w:r>
      <w:r>
        <w:rPr/>
        <w:t>in Nigeria.</w:t>
      </w:r>
      <w:r>
        <w:rPr>
          <w:vertAlign w:val="superscript"/>
        </w:rPr>
        <w:t>263</w:t>
      </w:r>
      <w:r>
        <w:rPr>
          <w:vertAlign w:val="baseline"/>
        </w:rPr>
        <w:t> Payment to a child</w:t>
      </w:r>
      <w:r>
        <w:rPr>
          <w:spacing w:val="40"/>
          <w:vertAlign w:val="baseline"/>
        </w:rPr>
        <w:t> </w:t>
      </w:r>
      <w:r>
        <w:rPr>
          <w:vertAlign w:val="baseline"/>
        </w:rPr>
        <w:t>is done until the child reaches 21 years of age or completes undergraduate studies.</w:t>
      </w:r>
      <w:r>
        <w:rPr>
          <w:vertAlign w:val="superscript"/>
        </w:rPr>
        <w:t>264</w:t>
      </w:r>
      <w:r>
        <w:rPr>
          <w:spacing w:val="21"/>
          <w:vertAlign w:val="baseline"/>
        </w:rPr>
        <w:t> </w:t>
      </w:r>
      <w:r>
        <w:rPr>
          <w:vertAlign w:val="baseline"/>
        </w:rPr>
        <w:t>It</w:t>
      </w:r>
      <w:r>
        <w:rPr>
          <w:spacing w:val="18"/>
          <w:vertAlign w:val="baseline"/>
        </w:rPr>
        <w:t> </w:t>
      </w:r>
      <w:r>
        <w:rPr>
          <w:vertAlign w:val="baseline"/>
        </w:rPr>
        <w:t>is</w:t>
      </w:r>
      <w:r>
        <w:rPr>
          <w:spacing w:val="21"/>
          <w:vertAlign w:val="baseline"/>
        </w:rPr>
        <w:t> </w:t>
      </w:r>
      <w:r>
        <w:rPr>
          <w:vertAlign w:val="baseline"/>
        </w:rPr>
        <w:t>the view</w:t>
      </w:r>
      <w:r>
        <w:rPr>
          <w:spacing w:val="24"/>
          <w:vertAlign w:val="baseline"/>
        </w:rPr>
        <w:t> </w:t>
      </w:r>
      <w:r>
        <w:rPr>
          <w:vertAlign w:val="baseline"/>
        </w:rPr>
        <w:t>of</w:t>
      </w:r>
      <w:r>
        <w:rPr>
          <w:spacing w:val="27"/>
          <w:vertAlign w:val="baseline"/>
        </w:rPr>
        <w:t> </w:t>
      </w:r>
      <w:r>
        <w:rPr>
          <w:vertAlign w:val="baseline"/>
        </w:rPr>
        <w:t>the researcher that,</w:t>
      </w:r>
      <w:r>
        <w:rPr>
          <w:spacing w:val="21"/>
          <w:vertAlign w:val="baseline"/>
        </w:rPr>
        <w:t> </w:t>
      </w:r>
      <w:r>
        <w:rPr>
          <w:vertAlign w:val="baseline"/>
        </w:rPr>
        <w:t>21 years</w:t>
      </w:r>
      <w:r>
        <w:rPr>
          <w:spacing w:val="21"/>
          <w:vertAlign w:val="baseline"/>
        </w:rPr>
        <w:t> </w:t>
      </w:r>
      <w:r>
        <w:rPr>
          <w:vertAlign w:val="baseline"/>
        </w:rPr>
        <w:t>is</w:t>
      </w:r>
      <w:r>
        <w:rPr>
          <w:spacing w:val="21"/>
          <w:vertAlign w:val="baseline"/>
        </w:rPr>
        <w:t> </w:t>
      </w:r>
      <w:r>
        <w:rPr>
          <w:vertAlign w:val="baseline"/>
        </w:rPr>
        <w:t>not</w:t>
      </w:r>
      <w:r>
        <w:rPr>
          <w:spacing w:val="23"/>
          <w:vertAlign w:val="baseline"/>
        </w:rPr>
        <w:t> </w:t>
      </w:r>
      <w:r>
        <w:rPr>
          <w:vertAlign w:val="baseline"/>
        </w:rPr>
        <w:t>a safe</w:t>
      </w:r>
      <w:r>
        <w:rPr>
          <w:spacing w:val="22"/>
          <w:vertAlign w:val="baseline"/>
        </w:rPr>
        <w:t> </w:t>
      </w:r>
      <w:r>
        <w:rPr>
          <w:vertAlign w:val="baseline"/>
        </w:rPr>
        <w:t>age to presume that a person will not be wholly dependent on his parents. A good number of the people in Nigeria complete undergraduate studies at</w:t>
      </w:r>
      <w:r>
        <w:rPr>
          <w:spacing w:val="40"/>
          <w:vertAlign w:val="baseline"/>
        </w:rPr>
        <w:t> </w:t>
      </w:r>
      <w:r>
        <w:rPr>
          <w:vertAlign w:val="baseline"/>
        </w:rPr>
        <w:t>the age of 25 years</w:t>
      </w:r>
      <w:r>
        <w:rPr>
          <w:spacing w:val="21"/>
          <w:vertAlign w:val="baseline"/>
        </w:rPr>
        <w:t> </w:t>
      </w:r>
      <w:r>
        <w:rPr>
          <w:vertAlign w:val="baseline"/>
        </w:rPr>
        <w:t>and</w:t>
      </w:r>
      <w:r>
        <w:rPr>
          <w:spacing w:val="20"/>
          <w:vertAlign w:val="baseline"/>
        </w:rPr>
        <w:t> </w:t>
      </w:r>
      <w:r>
        <w:rPr>
          <w:vertAlign w:val="baseline"/>
        </w:rPr>
        <w:t>above. Given</w:t>
      </w:r>
      <w:r>
        <w:rPr>
          <w:spacing w:val="19"/>
          <w:vertAlign w:val="baseline"/>
        </w:rPr>
        <w:t> </w:t>
      </w:r>
      <w:r>
        <w:rPr>
          <w:vertAlign w:val="baseline"/>
        </w:rPr>
        <w:t>our peculiar level</w:t>
      </w:r>
      <w:r>
        <w:rPr>
          <w:spacing w:val="19"/>
          <w:vertAlign w:val="baseline"/>
        </w:rPr>
        <w:t> </w:t>
      </w:r>
      <w:r>
        <w:rPr>
          <w:vertAlign w:val="baseline"/>
        </w:rPr>
        <w:t>of development,</w:t>
      </w:r>
      <w:r>
        <w:rPr>
          <w:spacing w:val="21"/>
          <w:vertAlign w:val="baseline"/>
        </w:rPr>
        <w:t> </w:t>
      </w:r>
      <w:r>
        <w:rPr>
          <w:vertAlign w:val="baseline"/>
        </w:rPr>
        <w:t>it is</w:t>
      </w:r>
      <w:r>
        <w:rPr>
          <w:spacing w:val="30"/>
          <w:vertAlign w:val="baseline"/>
        </w:rPr>
        <w:t> </w:t>
      </w:r>
      <w:r>
        <w:rPr>
          <w:vertAlign w:val="baseline"/>
        </w:rPr>
        <w:t>better</w:t>
      </w:r>
      <w:r>
        <w:rPr>
          <w:spacing w:val="27"/>
          <w:vertAlign w:val="baseline"/>
        </w:rPr>
        <w:t> </w:t>
      </w:r>
      <w:r>
        <w:rPr>
          <w:vertAlign w:val="baseline"/>
        </w:rPr>
        <w:t>to</w:t>
      </w:r>
      <w:r>
        <w:rPr>
          <w:spacing w:val="27"/>
          <w:vertAlign w:val="baseline"/>
        </w:rPr>
        <w:t> </w:t>
      </w:r>
      <w:r>
        <w:rPr>
          <w:vertAlign w:val="baseline"/>
        </w:rPr>
        <w:t>change</w:t>
      </w:r>
      <w:r>
        <w:rPr>
          <w:spacing w:val="26"/>
          <w:vertAlign w:val="baseline"/>
        </w:rPr>
        <w:t> </w:t>
      </w:r>
      <w:r>
        <w:rPr>
          <w:vertAlign w:val="baseline"/>
        </w:rPr>
        <w:t>the</w:t>
      </w:r>
      <w:r>
        <w:rPr>
          <w:spacing w:val="26"/>
          <w:vertAlign w:val="baseline"/>
        </w:rPr>
        <w:t> </w:t>
      </w:r>
      <w:r>
        <w:rPr>
          <w:vertAlign w:val="baseline"/>
        </w:rPr>
        <w:t>definition</w:t>
      </w:r>
      <w:r>
        <w:rPr>
          <w:spacing w:val="28"/>
          <w:vertAlign w:val="baseline"/>
        </w:rPr>
        <w:t> </w:t>
      </w:r>
      <w:r>
        <w:rPr>
          <w:vertAlign w:val="baseline"/>
        </w:rPr>
        <w:t>of</w:t>
      </w:r>
      <w:r>
        <w:rPr>
          <w:spacing w:val="27"/>
          <w:vertAlign w:val="baseline"/>
        </w:rPr>
        <w:t> </w:t>
      </w:r>
      <w:r>
        <w:rPr>
          <w:vertAlign w:val="baseline"/>
        </w:rPr>
        <w:t>a</w:t>
      </w:r>
      <w:r>
        <w:rPr>
          <w:spacing w:val="31"/>
          <w:vertAlign w:val="baseline"/>
        </w:rPr>
        <w:t> </w:t>
      </w:r>
      <w:r>
        <w:rPr>
          <w:vertAlign w:val="baseline"/>
        </w:rPr>
        <w:t>child</w:t>
      </w:r>
      <w:r>
        <w:rPr>
          <w:spacing w:val="29"/>
          <w:vertAlign w:val="baseline"/>
        </w:rPr>
        <w:t> </w:t>
      </w:r>
      <w:r>
        <w:rPr>
          <w:vertAlign w:val="baseline"/>
        </w:rPr>
        <w:t>for</w:t>
      </w:r>
      <w:r>
        <w:rPr>
          <w:spacing w:val="31"/>
          <w:vertAlign w:val="baseline"/>
        </w:rPr>
        <w:t> </w:t>
      </w:r>
      <w:r>
        <w:rPr>
          <w:vertAlign w:val="baseline"/>
        </w:rPr>
        <w:t>the</w:t>
      </w:r>
      <w:r>
        <w:rPr>
          <w:spacing w:val="26"/>
          <w:vertAlign w:val="baseline"/>
        </w:rPr>
        <w:t> </w:t>
      </w:r>
      <w:r>
        <w:rPr>
          <w:vertAlign w:val="baseline"/>
        </w:rPr>
        <w:t>purpose</w:t>
      </w:r>
      <w:r>
        <w:rPr>
          <w:spacing w:val="26"/>
          <w:vertAlign w:val="baseline"/>
        </w:rPr>
        <w:t> </w:t>
      </w:r>
      <w:r>
        <w:rPr>
          <w:vertAlign w:val="baseline"/>
        </w:rPr>
        <w:t>of</w:t>
      </w:r>
      <w:r>
        <w:rPr>
          <w:spacing w:val="31"/>
          <w:vertAlign w:val="baseline"/>
        </w:rPr>
        <w:t> </w:t>
      </w:r>
      <w:r>
        <w:rPr>
          <w:vertAlign w:val="baseline"/>
        </w:rPr>
        <w:t>this</w:t>
      </w:r>
      <w:r>
        <w:rPr>
          <w:spacing w:val="26"/>
          <w:vertAlign w:val="baseline"/>
        </w:rPr>
        <w:t> </w:t>
      </w:r>
      <w:r>
        <w:rPr>
          <w:vertAlign w:val="baseline"/>
        </w:rPr>
        <w:t>Act</w:t>
      </w:r>
      <w:r>
        <w:rPr>
          <w:spacing w:val="23"/>
          <w:vertAlign w:val="baseline"/>
        </w:rPr>
        <w:t> </w:t>
      </w:r>
      <w:r>
        <w:rPr>
          <w:vertAlign w:val="baseline"/>
        </w:rPr>
        <w:t>so as to address the area of age. Also the level of unemployment in the</w:t>
      </w:r>
      <w:r>
        <w:rPr>
          <w:spacing w:val="80"/>
          <w:vertAlign w:val="baseline"/>
        </w:rPr>
        <w:t> </w:t>
      </w:r>
      <w:r>
        <w:rPr>
          <w:vertAlign w:val="baseline"/>
        </w:rPr>
        <w:t>country</w:t>
      </w:r>
      <w:r>
        <w:rPr>
          <w:spacing w:val="25"/>
          <w:vertAlign w:val="baseline"/>
        </w:rPr>
        <w:t> </w:t>
      </w:r>
      <w:r>
        <w:rPr>
          <w:vertAlign w:val="baseline"/>
        </w:rPr>
        <w:t>calls for a rethink on</w:t>
      </w:r>
      <w:r>
        <w:rPr>
          <w:spacing w:val="31"/>
          <w:vertAlign w:val="baseline"/>
        </w:rPr>
        <w:t> </w:t>
      </w:r>
      <w:r>
        <w:rPr>
          <w:vertAlign w:val="baseline"/>
        </w:rPr>
        <w:t>the presumption of independence on ground</w:t>
      </w:r>
      <w:r>
        <w:rPr>
          <w:spacing w:val="40"/>
          <w:vertAlign w:val="baseline"/>
        </w:rPr>
        <w:t> </w:t>
      </w:r>
      <w:r>
        <w:rPr>
          <w:vertAlign w:val="baseline"/>
        </w:rPr>
        <w:t>of graduation. It is neater to consider the issue of employment of the child upon completion of undergraduate studies</w:t>
      </w:r>
      <w:r>
        <w:rPr>
          <w:spacing w:val="80"/>
          <w:vertAlign w:val="baseline"/>
        </w:rPr>
        <w:t> </w:t>
      </w:r>
      <w:r>
        <w:rPr>
          <w:vertAlign w:val="baseline"/>
        </w:rPr>
        <w:t>or upon attainment of 30 years of age whichever comes first rather than completion of undergraduate studies without more.</w:t>
      </w:r>
    </w:p>
    <w:p>
      <w:pPr>
        <w:pStyle w:val="BodyText"/>
        <w:spacing w:before="15"/>
      </w:pPr>
    </w:p>
    <w:p>
      <w:pPr>
        <w:pStyle w:val="BodyText"/>
        <w:spacing w:line="489" w:lineRule="auto" w:before="1"/>
        <w:ind w:left="864" w:right="568"/>
        <w:jc w:val="both"/>
      </w:pPr>
      <w:r>
        <w:rPr/>
        <w:t>For a</w:t>
      </w:r>
      <w:r>
        <w:rPr>
          <w:spacing w:val="23"/>
        </w:rPr>
        <w:t> </w:t>
      </w:r>
      <w:r>
        <w:rPr/>
        <w:t>surviving child who is disabled,</w:t>
      </w:r>
      <w:r>
        <w:rPr>
          <w:spacing w:val="23"/>
        </w:rPr>
        <w:t> </w:t>
      </w:r>
      <w:r>
        <w:rPr/>
        <w:t>the Board shall determine the period</w:t>
      </w:r>
      <w:r>
        <w:rPr>
          <w:spacing w:val="40"/>
        </w:rPr>
        <w:t> </w:t>
      </w:r>
      <w:r>
        <w:rPr/>
        <w:t>of the monthly payment for such time as the Board believes that the disabled child would not have been dependent on the deceased</w:t>
      </w:r>
      <w:r>
        <w:rPr>
          <w:spacing w:val="40"/>
        </w:rPr>
        <w:t> </w:t>
      </w:r>
      <w:r>
        <w:rPr/>
        <w:t>employee.</w:t>
      </w:r>
      <w:r>
        <w:rPr>
          <w:vertAlign w:val="superscript"/>
        </w:rPr>
        <w:t>265</w:t>
      </w:r>
      <w:r>
        <w:rPr>
          <w:vertAlign w:val="baseline"/>
        </w:rPr>
        <w:t> In this situation the child is not governed by the rule of “21 years of age or upon completion of undergraduate studies, whichever one comes first”.</w:t>
      </w:r>
    </w:p>
    <w:p>
      <w:pPr>
        <w:pStyle w:val="BodyText"/>
        <w:spacing w:line="489" w:lineRule="auto" w:before="277"/>
        <w:ind w:left="864" w:right="567"/>
        <w:jc w:val="both"/>
      </w:pPr>
      <w:r>
        <w:rPr/>
        <mc:AlternateContent>
          <mc:Choice Requires="wps">
            <w:drawing>
              <wp:anchor distT="0" distB="0" distL="0" distR="0" allowOverlap="1" layoutInCell="1" locked="0" behindDoc="1" simplePos="0" relativeHeight="486199808">
                <wp:simplePos x="0" y="0"/>
                <wp:positionH relativeFrom="page">
                  <wp:posOffset>1185672</wp:posOffset>
                </wp:positionH>
                <wp:positionV relativeFrom="paragraph">
                  <wp:posOffset>825970</wp:posOffset>
                </wp:positionV>
                <wp:extent cx="1719580" cy="6350"/>
                <wp:effectExtent l="0" t="0" r="0" b="0"/>
                <wp:wrapNone/>
                <wp:docPr id="109" name="Graphic 109"/>
                <wp:cNvGraphicFramePr>
                  <a:graphicFrameLocks/>
                </wp:cNvGraphicFramePr>
                <a:graphic>
                  <a:graphicData uri="http://schemas.microsoft.com/office/word/2010/wordprocessingShape">
                    <wps:wsp>
                      <wps:cNvPr id="109" name="Graphic 109"/>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65.037033pt;width:135.360pt;height:.48pt;mso-position-horizontal-relative:page;mso-position-vertical-relative:paragraph;z-index:-17116672" id="docshape109" filled="true" fillcolor="#000000" stroked="false">
                <v:fill type="solid"/>
                <w10:wrap type="none"/>
              </v:rect>
            </w:pict>
          </mc:Fallback>
        </mc:AlternateContent>
      </w:r>
      <w:r>
        <w:rPr/>
        <w:t>Where the deceased employee does not leave a “spouse or a child entitled to</w:t>
      </w:r>
      <w:r>
        <w:rPr>
          <w:spacing w:val="46"/>
        </w:rPr>
        <w:t> </w:t>
      </w:r>
      <w:r>
        <w:rPr/>
        <w:t>compensation</w:t>
      </w:r>
      <w:r>
        <w:rPr>
          <w:spacing w:val="47"/>
        </w:rPr>
        <w:t> </w:t>
      </w:r>
      <w:r>
        <w:rPr/>
        <w:t>under</w:t>
      </w:r>
      <w:r>
        <w:rPr>
          <w:spacing w:val="51"/>
        </w:rPr>
        <w:t> </w:t>
      </w:r>
      <w:r>
        <w:rPr/>
        <w:t>the</w:t>
      </w:r>
      <w:r>
        <w:rPr>
          <w:spacing w:val="46"/>
        </w:rPr>
        <w:t> </w:t>
      </w:r>
      <w:r>
        <w:rPr/>
        <w:t>Act,</w:t>
      </w:r>
      <w:r>
        <w:rPr>
          <w:spacing w:val="50"/>
        </w:rPr>
        <w:t> </w:t>
      </w:r>
      <w:r>
        <w:rPr/>
        <w:t>then</w:t>
      </w:r>
      <w:r>
        <w:rPr>
          <w:spacing w:val="48"/>
        </w:rPr>
        <w:t> </w:t>
      </w:r>
      <w:r>
        <w:rPr/>
        <w:t>other</w:t>
      </w:r>
      <w:r>
        <w:rPr>
          <w:spacing w:val="46"/>
        </w:rPr>
        <w:t> </w:t>
      </w:r>
      <w:r>
        <w:rPr/>
        <w:t>dependants</w:t>
      </w:r>
      <w:r>
        <w:rPr>
          <w:spacing w:val="46"/>
        </w:rPr>
        <w:t> </w:t>
      </w:r>
      <w:r>
        <w:rPr/>
        <w:t>or</w:t>
      </w:r>
      <w:r>
        <w:rPr>
          <w:spacing w:val="46"/>
        </w:rPr>
        <w:t> </w:t>
      </w:r>
      <w:r>
        <w:rPr/>
        <w:t>next</w:t>
      </w:r>
      <w:r>
        <w:rPr>
          <w:spacing w:val="47"/>
        </w:rPr>
        <w:t> </w:t>
      </w:r>
      <w:r>
        <w:rPr/>
        <w:t>of</w:t>
      </w:r>
      <w:r>
        <w:rPr>
          <w:spacing w:val="52"/>
        </w:rPr>
        <w:t> </w:t>
      </w:r>
      <w:r>
        <w:rPr>
          <w:spacing w:val="-2"/>
        </w:rPr>
        <w:t>kins,</w:t>
      </w:r>
    </w:p>
    <w:p>
      <w:pPr>
        <w:pStyle w:val="ListParagraph"/>
        <w:numPr>
          <w:ilvl w:val="0"/>
          <w:numId w:val="17"/>
        </w:numPr>
        <w:tabs>
          <w:tab w:pos="382" w:val="left" w:leader="none"/>
        </w:tabs>
        <w:spacing w:line="209"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8"/>
          <w:sz w:val="19"/>
        </w:rPr>
        <w:t> </w:t>
      </w:r>
      <w:r>
        <w:rPr>
          <w:rFonts w:ascii="Times New Roman" w:hAnsi="Times New Roman"/>
          <w:sz w:val="19"/>
        </w:rPr>
        <w:t>73</w:t>
      </w:r>
      <w:r>
        <w:rPr>
          <w:rFonts w:ascii="Times New Roman" w:hAnsi="Times New Roman"/>
          <w:spacing w:val="-11"/>
          <w:sz w:val="19"/>
        </w:rPr>
        <w:t> </w:t>
      </w:r>
      <w:r>
        <w:rPr>
          <w:rFonts w:ascii="Times New Roman" w:hAnsi="Times New Roman"/>
          <w:spacing w:val="-4"/>
          <w:sz w:val="19"/>
        </w:rPr>
        <w:t>ibid</w:t>
      </w:r>
    </w:p>
    <w:p>
      <w:pPr>
        <w:pStyle w:val="ListParagraph"/>
        <w:numPr>
          <w:ilvl w:val="0"/>
          <w:numId w:val="17"/>
        </w:numPr>
        <w:tabs>
          <w:tab w:pos="382" w:val="left" w:leader="none"/>
        </w:tabs>
        <w:spacing w:line="216" w:lineRule="exact" w:before="0" w:after="0"/>
        <w:ind w:left="382" w:right="0" w:hanging="195"/>
        <w:jc w:val="left"/>
        <w:rPr>
          <w:rFonts w:ascii="Times New Roman" w:hAnsi="Times New Roman"/>
          <w:sz w:val="19"/>
        </w:rPr>
      </w:pPr>
      <w:r>
        <w:rPr>
          <w:rFonts w:ascii="Times New Roman" w:hAnsi="Times New Roman"/>
          <w:spacing w:val="-2"/>
          <w:sz w:val="19"/>
        </w:rPr>
        <w:t>Section</w:t>
      </w:r>
      <w:r>
        <w:rPr>
          <w:rFonts w:ascii="Times New Roman" w:hAnsi="Times New Roman"/>
          <w:spacing w:val="1"/>
          <w:sz w:val="19"/>
        </w:rPr>
        <w:t> </w:t>
      </w:r>
      <w:r>
        <w:rPr>
          <w:rFonts w:ascii="Times New Roman" w:hAnsi="Times New Roman"/>
          <w:spacing w:val="-2"/>
          <w:sz w:val="19"/>
        </w:rPr>
        <w:t>17(1)(c)</w:t>
      </w:r>
      <w:r>
        <w:rPr>
          <w:rFonts w:ascii="Times New Roman" w:hAnsi="Times New Roman"/>
          <w:spacing w:val="-1"/>
          <w:sz w:val="19"/>
        </w:rPr>
        <w:t> </w:t>
      </w:r>
      <w:r>
        <w:rPr>
          <w:rFonts w:ascii="Times New Roman" w:hAnsi="Times New Roman"/>
          <w:spacing w:val="-4"/>
          <w:sz w:val="19"/>
        </w:rPr>
        <w:t>ibid</w:t>
      </w:r>
    </w:p>
    <w:p>
      <w:pPr>
        <w:pStyle w:val="ListParagraph"/>
        <w:numPr>
          <w:ilvl w:val="0"/>
          <w:numId w:val="17"/>
        </w:numPr>
        <w:tabs>
          <w:tab w:pos="382" w:val="left" w:leader="none"/>
        </w:tabs>
        <w:spacing w:line="217" w:lineRule="exact" w:before="0" w:after="0"/>
        <w:ind w:left="382" w:right="0" w:hanging="195"/>
        <w:jc w:val="left"/>
        <w:rPr>
          <w:rFonts w:ascii="Times New Roman" w:hAnsi="Times New Roman"/>
          <w:sz w:val="19"/>
        </w:rPr>
      </w:pPr>
      <w:r>
        <w:rPr>
          <w:rFonts w:ascii="Times New Roman" w:hAnsi="Times New Roman"/>
          <w:sz w:val="19"/>
        </w:rPr>
        <w:t>Section</w:t>
      </w:r>
      <w:r>
        <w:rPr>
          <w:rFonts w:ascii="Times New Roman" w:hAnsi="Times New Roman"/>
          <w:spacing w:val="-9"/>
          <w:sz w:val="19"/>
        </w:rPr>
        <w:t> </w:t>
      </w:r>
      <w:r>
        <w:rPr>
          <w:rFonts w:ascii="Times New Roman" w:hAnsi="Times New Roman"/>
          <w:sz w:val="19"/>
        </w:rPr>
        <w:t>17</w:t>
      </w:r>
      <w:r>
        <w:rPr>
          <w:rFonts w:ascii="Times New Roman" w:hAnsi="Times New Roman"/>
          <w:spacing w:val="-12"/>
          <w:sz w:val="19"/>
        </w:rPr>
        <w:t> </w:t>
      </w:r>
      <w:r>
        <w:rPr>
          <w:rFonts w:ascii="Times New Roman" w:hAnsi="Times New Roman"/>
          <w:sz w:val="19"/>
        </w:rPr>
        <w:t>(1)(d)</w:t>
      </w:r>
      <w:r>
        <w:rPr>
          <w:rFonts w:ascii="Times New Roman" w:hAnsi="Times New Roman"/>
          <w:spacing w:val="-10"/>
          <w:sz w:val="19"/>
        </w:rPr>
        <w:t> </w:t>
      </w:r>
      <w:r>
        <w:rPr>
          <w:rFonts w:ascii="Times New Roman" w:hAnsi="Times New Roman"/>
          <w:spacing w:val="-4"/>
          <w:sz w:val="19"/>
        </w:rPr>
        <w:t>ibid</w:t>
      </w:r>
    </w:p>
    <w:p>
      <w:pPr>
        <w:spacing w:after="0" w:line="217" w:lineRule="exact"/>
        <w:jc w:val="left"/>
        <w:rPr>
          <w:rFonts w:ascii="Times New Roman" w:hAnsi="Times New Roman"/>
          <w:sz w:val="19"/>
        </w:rPr>
        <w:sectPr>
          <w:pgSz w:w="12240" w:h="15840"/>
          <w:pgMar w:header="0" w:footer="1009" w:top="1240" w:bottom="1200" w:left="1680" w:right="1320"/>
        </w:sectPr>
      </w:pPr>
    </w:p>
    <w:p>
      <w:pPr>
        <w:pStyle w:val="BodyText"/>
        <w:spacing w:line="489" w:lineRule="auto" w:before="94"/>
        <w:ind w:left="864" w:right="566"/>
        <w:jc w:val="both"/>
      </w:pPr>
      <w:r>
        <w:rPr/>
        <w:t>wholly</w:t>
      </w:r>
      <w:r>
        <w:rPr>
          <w:spacing w:val="40"/>
        </w:rPr>
        <w:t> </w:t>
      </w:r>
      <w:r>
        <w:rPr/>
        <w:t>dependent</w:t>
      </w:r>
      <w:r>
        <w:rPr>
          <w:spacing w:val="40"/>
        </w:rPr>
        <w:t> </w:t>
      </w:r>
      <w:r>
        <w:rPr/>
        <w:t>on</w:t>
      </w:r>
      <w:r>
        <w:rPr>
          <w:spacing w:val="40"/>
        </w:rPr>
        <w:t> </w:t>
      </w:r>
      <w:r>
        <w:rPr/>
        <w:t>the</w:t>
      </w:r>
      <w:r>
        <w:rPr>
          <w:spacing w:val="40"/>
        </w:rPr>
        <w:t> </w:t>
      </w:r>
      <w:r>
        <w:rPr/>
        <w:t>employee</w:t>
      </w:r>
      <w:r>
        <w:rPr>
          <w:spacing w:val="40"/>
        </w:rPr>
        <w:t> </w:t>
      </w:r>
      <w:r>
        <w:rPr/>
        <w:t>come</w:t>
      </w:r>
      <w:r>
        <w:rPr>
          <w:spacing w:val="40"/>
        </w:rPr>
        <w:t> </w:t>
      </w:r>
      <w:r>
        <w:rPr/>
        <w:t>in,</w:t>
      </w:r>
      <w:r>
        <w:rPr>
          <w:spacing w:val="40"/>
        </w:rPr>
        <w:t> </w:t>
      </w:r>
      <w:r>
        <w:rPr/>
        <w:t>but</w:t>
      </w:r>
      <w:r>
        <w:rPr>
          <w:spacing w:val="40"/>
        </w:rPr>
        <w:t> </w:t>
      </w:r>
      <w:r>
        <w:rPr/>
        <w:t>in</w:t>
      </w:r>
      <w:r>
        <w:rPr>
          <w:spacing w:val="40"/>
        </w:rPr>
        <w:t> </w:t>
      </w:r>
      <w:r>
        <w:rPr/>
        <w:t>this</w:t>
      </w:r>
      <w:r>
        <w:rPr>
          <w:spacing w:val="40"/>
        </w:rPr>
        <w:t> </w:t>
      </w:r>
      <w:r>
        <w:rPr/>
        <w:t>case,</w:t>
      </w:r>
      <w:r>
        <w:rPr>
          <w:spacing w:val="40"/>
        </w:rPr>
        <w:t> </w:t>
      </w:r>
      <w:r>
        <w:rPr/>
        <w:t>the</w:t>
      </w:r>
      <w:r>
        <w:rPr>
          <w:spacing w:val="40"/>
        </w:rPr>
        <w:t> </w:t>
      </w:r>
      <w:r>
        <w:rPr/>
        <w:t>sum given to them is the amount the Board thinks is reasonable and proportionate to the pecuniary loss suffered by the dependants.</w:t>
      </w:r>
      <w:r>
        <w:rPr>
          <w:vertAlign w:val="superscript"/>
        </w:rPr>
        <w:t>266</w:t>
      </w:r>
      <w:r>
        <w:rPr>
          <w:vertAlign w:val="baseline"/>
        </w:rPr>
        <w:t> It is the view of the writer, that it is better to have a statutory percentage for this category of dependants than to leave it based on the judgements of the Board. This may give room for double standard and compensation may not be adequate in some instances.</w:t>
      </w:r>
    </w:p>
    <w:p>
      <w:pPr>
        <w:pStyle w:val="BodyText"/>
        <w:spacing w:before="10"/>
      </w:pPr>
    </w:p>
    <w:p>
      <w:pPr>
        <w:pStyle w:val="BodyText"/>
        <w:spacing w:line="489" w:lineRule="auto"/>
        <w:ind w:left="864" w:right="564"/>
        <w:jc w:val="both"/>
      </w:pPr>
      <w:r>
        <w:rPr/>
        <w:t>In a situation where compensation is payable only to a spouse child or children,</w:t>
      </w:r>
      <w:r>
        <w:rPr>
          <w:spacing w:val="36"/>
        </w:rPr>
        <w:t> </w:t>
      </w:r>
      <w:r>
        <w:rPr/>
        <w:t>a</w:t>
      </w:r>
      <w:r>
        <w:rPr>
          <w:spacing w:val="33"/>
        </w:rPr>
        <w:t> </w:t>
      </w:r>
      <w:r>
        <w:rPr/>
        <w:t>parent</w:t>
      </w:r>
      <w:r>
        <w:rPr>
          <w:spacing w:val="34"/>
        </w:rPr>
        <w:t> </w:t>
      </w:r>
      <w:r>
        <w:rPr/>
        <w:t>or</w:t>
      </w:r>
      <w:r>
        <w:rPr>
          <w:spacing w:val="37"/>
        </w:rPr>
        <w:t> </w:t>
      </w:r>
      <w:r>
        <w:rPr/>
        <w:t>parents</w:t>
      </w:r>
      <w:r>
        <w:rPr>
          <w:spacing w:val="32"/>
        </w:rPr>
        <w:t> </w:t>
      </w:r>
      <w:r>
        <w:rPr/>
        <w:t>but the</w:t>
      </w:r>
      <w:r>
        <w:rPr>
          <w:spacing w:val="37"/>
        </w:rPr>
        <w:t> </w:t>
      </w:r>
      <w:r>
        <w:rPr/>
        <w:t>employee</w:t>
      </w:r>
      <w:r>
        <w:rPr>
          <w:spacing w:val="32"/>
        </w:rPr>
        <w:t> </w:t>
      </w:r>
      <w:r>
        <w:rPr/>
        <w:t>leaves</w:t>
      </w:r>
      <w:r>
        <w:rPr>
          <w:spacing w:val="32"/>
        </w:rPr>
        <w:t> </w:t>
      </w:r>
      <w:r>
        <w:rPr/>
        <w:t>any</w:t>
      </w:r>
      <w:r>
        <w:rPr>
          <w:spacing w:val="34"/>
        </w:rPr>
        <w:t> </w:t>
      </w:r>
      <w:r>
        <w:rPr/>
        <w:t>or</w:t>
      </w:r>
      <w:r>
        <w:rPr>
          <w:spacing w:val="37"/>
        </w:rPr>
        <w:t> </w:t>
      </w:r>
      <w:r>
        <w:rPr/>
        <w:t>all</w:t>
      </w:r>
      <w:r>
        <w:rPr>
          <w:spacing w:val="34"/>
        </w:rPr>
        <w:t> </w:t>
      </w:r>
      <w:r>
        <w:rPr/>
        <w:t>of</w:t>
      </w:r>
      <w:r>
        <w:rPr>
          <w:spacing w:val="32"/>
        </w:rPr>
        <w:t> </w:t>
      </w:r>
      <w:r>
        <w:rPr/>
        <w:t>them not dependent on the remuneration of the employee at the time of his death, the Board shall make monthly payment of an amount to be determined</w:t>
      </w:r>
      <w:r>
        <w:rPr>
          <w:spacing w:val="40"/>
        </w:rPr>
        <w:t> </w:t>
      </w:r>
      <w:r>
        <w:rPr/>
        <w:t>provided</w:t>
      </w:r>
      <w:r>
        <w:rPr>
          <w:spacing w:val="40"/>
        </w:rPr>
        <w:t> </w:t>
      </w:r>
      <w:r>
        <w:rPr/>
        <w:t>the</w:t>
      </w:r>
      <w:r>
        <w:rPr>
          <w:spacing w:val="40"/>
        </w:rPr>
        <w:t> </w:t>
      </w:r>
      <w:r>
        <w:rPr/>
        <w:t>beneficiaries,</w:t>
      </w:r>
      <w:r>
        <w:rPr>
          <w:spacing w:val="40"/>
        </w:rPr>
        <w:t> </w:t>
      </w:r>
      <w:r>
        <w:rPr/>
        <w:t>here</w:t>
      </w:r>
      <w:r>
        <w:rPr>
          <w:spacing w:val="40"/>
        </w:rPr>
        <w:t> </w:t>
      </w:r>
      <w:r>
        <w:rPr/>
        <w:t>have</w:t>
      </w:r>
      <w:r>
        <w:rPr>
          <w:spacing w:val="40"/>
        </w:rPr>
        <w:t> </w:t>
      </w:r>
      <w:r>
        <w:rPr/>
        <w:t>reasonable</w:t>
      </w:r>
      <w:r>
        <w:rPr>
          <w:spacing w:val="40"/>
        </w:rPr>
        <w:t> </w:t>
      </w:r>
      <w:r>
        <w:rPr/>
        <w:t>expectation of pecuniary benefit from the continuation of the life of the employee.</w:t>
      </w:r>
      <w:r>
        <w:rPr>
          <w:vertAlign w:val="superscript"/>
        </w:rPr>
        <w:t>267</w:t>
      </w:r>
      <w:r>
        <w:rPr>
          <w:spacing w:val="40"/>
          <w:vertAlign w:val="baseline"/>
        </w:rPr>
        <w:t> </w:t>
      </w:r>
      <w:r>
        <w:rPr>
          <w:vertAlign w:val="baseline"/>
        </w:rPr>
        <w:t>This provision seems to be an exception to the requirement of whole dependence on the earnings of the deceased employees. The parents, children</w:t>
      </w:r>
      <w:r>
        <w:rPr>
          <w:spacing w:val="35"/>
          <w:vertAlign w:val="baseline"/>
        </w:rPr>
        <w:t> </w:t>
      </w:r>
      <w:r>
        <w:rPr>
          <w:vertAlign w:val="baseline"/>
        </w:rPr>
        <w:t>and</w:t>
      </w:r>
      <w:r>
        <w:rPr>
          <w:spacing w:val="37"/>
          <w:vertAlign w:val="baseline"/>
        </w:rPr>
        <w:t> </w:t>
      </w:r>
      <w:r>
        <w:rPr>
          <w:vertAlign w:val="baseline"/>
        </w:rPr>
        <w:t>spouses</w:t>
      </w:r>
      <w:r>
        <w:rPr>
          <w:spacing w:val="32"/>
          <w:vertAlign w:val="baseline"/>
        </w:rPr>
        <w:t> </w:t>
      </w:r>
      <w:r>
        <w:rPr>
          <w:vertAlign w:val="baseline"/>
        </w:rPr>
        <w:t>of</w:t>
      </w:r>
      <w:r>
        <w:rPr>
          <w:spacing w:val="34"/>
          <w:vertAlign w:val="baseline"/>
        </w:rPr>
        <w:t> </w:t>
      </w:r>
      <w:r>
        <w:rPr>
          <w:vertAlign w:val="baseline"/>
        </w:rPr>
        <w:t>the</w:t>
      </w:r>
      <w:r>
        <w:rPr>
          <w:spacing w:val="33"/>
          <w:vertAlign w:val="baseline"/>
        </w:rPr>
        <w:t> </w:t>
      </w:r>
      <w:r>
        <w:rPr>
          <w:vertAlign w:val="baseline"/>
        </w:rPr>
        <w:t>deceased</w:t>
      </w:r>
      <w:r>
        <w:rPr>
          <w:spacing w:val="37"/>
          <w:vertAlign w:val="baseline"/>
        </w:rPr>
        <w:t> </w:t>
      </w:r>
      <w:r>
        <w:rPr>
          <w:vertAlign w:val="baseline"/>
        </w:rPr>
        <w:t>can</w:t>
      </w:r>
      <w:r>
        <w:rPr>
          <w:spacing w:val="40"/>
          <w:vertAlign w:val="baseline"/>
        </w:rPr>
        <w:t> </w:t>
      </w:r>
      <w:r>
        <w:rPr>
          <w:vertAlign w:val="baseline"/>
        </w:rPr>
        <w:t>come</w:t>
      </w:r>
      <w:r>
        <w:rPr>
          <w:spacing w:val="33"/>
          <w:vertAlign w:val="baseline"/>
        </w:rPr>
        <w:t> </w:t>
      </w:r>
      <w:r>
        <w:rPr>
          <w:vertAlign w:val="baseline"/>
        </w:rPr>
        <w:t>under</w:t>
      </w:r>
      <w:r>
        <w:rPr>
          <w:spacing w:val="34"/>
          <w:vertAlign w:val="baseline"/>
        </w:rPr>
        <w:t> </w:t>
      </w:r>
      <w:r>
        <w:rPr>
          <w:vertAlign w:val="baseline"/>
        </w:rPr>
        <w:t>this</w:t>
      </w:r>
      <w:r>
        <w:rPr>
          <w:spacing w:val="33"/>
          <w:vertAlign w:val="baseline"/>
        </w:rPr>
        <w:t> </w:t>
      </w:r>
      <w:r>
        <w:rPr>
          <w:vertAlign w:val="baseline"/>
        </w:rPr>
        <w:t>provision</w:t>
      </w:r>
      <w:r>
        <w:rPr>
          <w:spacing w:val="35"/>
          <w:vertAlign w:val="baseline"/>
        </w:rPr>
        <w:t> </w:t>
      </w:r>
      <w:r>
        <w:rPr>
          <w:vertAlign w:val="baseline"/>
        </w:rPr>
        <w:t>and all</w:t>
      </w:r>
      <w:r>
        <w:rPr>
          <w:spacing w:val="40"/>
          <w:vertAlign w:val="baseline"/>
        </w:rPr>
        <w:t> </w:t>
      </w:r>
      <w:r>
        <w:rPr>
          <w:vertAlign w:val="baseline"/>
        </w:rPr>
        <w:t>they</w:t>
      </w:r>
      <w:r>
        <w:rPr>
          <w:spacing w:val="40"/>
          <w:vertAlign w:val="baseline"/>
        </w:rPr>
        <w:t> </w:t>
      </w:r>
      <w:r>
        <w:rPr>
          <w:vertAlign w:val="baseline"/>
        </w:rPr>
        <w:t>need</w:t>
      </w:r>
      <w:r>
        <w:rPr>
          <w:spacing w:val="40"/>
          <w:vertAlign w:val="baseline"/>
        </w:rPr>
        <w:t> </w:t>
      </w:r>
      <w:r>
        <w:rPr>
          <w:vertAlign w:val="baseline"/>
        </w:rPr>
        <w:t>to</w:t>
      </w:r>
      <w:r>
        <w:rPr>
          <w:spacing w:val="40"/>
          <w:vertAlign w:val="baseline"/>
        </w:rPr>
        <w:t> </w:t>
      </w:r>
      <w:r>
        <w:rPr>
          <w:vertAlign w:val="baseline"/>
        </w:rPr>
        <w:t>prove</w:t>
      </w:r>
      <w:r>
        <w:rPr>
          <w:spacing w:val="40"/>
          <w:vertAlign w:val="baseline"/>
        </w:rPr>
        <w:t> </w:t>
      </w:r>
      <w:r>
        <w:rPr>
          <w:vertAlign w:val="baseline"/>
        </w:rPr>
        <w:t>is</w:t>
      </w:r>
      <w:r>
        <w:rPr>
          <w:spacing w:val="40"/>
          <w:vertAlign w:val="baseline"/>
        </w:rPr>
        <w:t> </w:t>
      </w:r>
      <w:r>
        <w:rPr>
          <w:vertAlign w:val="baseline"/>
        </w:rPr>
        <w:t>that</w:t>
      </w:r>
      <w:r>
        <w:rPr>
          <w:spacing w:val="40"/>
          <w:vertAlign w:val="baseline"/>
        </w:rPr>
        <w:t> </w:t>
      </w:r>
      <w:r>
        <w:rPr>
          <w:vertAlign w:val="baseline"/>
        </w:rPr>
        <w:t>they</w:t>
      </w:r>
      <w:r>
        <w:rPr>
          <w:spacing w:val="40"/>
          <w:vertAlign w:val="baseline"/>
        </w:rPr>
        <w:t> </w:t>
      </w:r>
      <w:r>
        <w:rPr>
          <w:vertAlign w:val="baseline"/>
        </w:rPr>
        <w:t>have</w:t>
      </w:r>
      <w:r>
        <w:rPr>
          <w:spacing w:val="40"/>
          <w:vertAlign w:val="baseline"/>
        </w:rPr>
        <w:t> </w:t>
      </w:r>
      <w:r>
        <w:rPr>
          <w:vertAlign w:val="baseline"/>
        </w:rPr>
        <w:t>reasonable</w:t>
      </w:r>
      <w:r>
        <w:rPr>
          <w:spacing w:val="40"/>
          <w:vertAlign w:val="baseline"/>
        </w:rPr>
        <w:t> </w:t>
      </w:r>
      <w:r>
        <w:rPr>
          <w:vertAlign w:val="baseline"/>
        </w:rPr>
        <w:t>expectation</w:t>
      </w:r>
      <w:r>
        <w:rPr>
          <w:spacing w:val="40"/>
          <w:vertAlign w:val="baseline"/>
        </w:rPr>
        <w:t> </w:t>
      </w:r>
      <w:r>
        <w:rPr>
          <w:vertAlign w:val="baseline"/>
        </w:rPr>
        <w:t>of pecuniary benefit from continuation of life of the deceased person.</w:t>
      </w:r>
    </w:p>
    <w:p>
      <w:pPr>
        <w:pStyle w:val="BodyText"/>
        <w:spacing w:before="21"/>
      </w:pPr>
    </w:p>
    <w:p>
      <w:pPr>
        <w:pStyle w:val="BodyText"/>
        <w:spacing w:line="489" w:lineRule="auto"/>
        <w:ind w:left="864" w:right="567"/>
        <w:jc w:val="both"/>
      </w:pPr>
      <w:r>
        <w:rPr/>
        <w:t>Payment of compensation can also be made to foster parents or administrators</w:t>
      </w:r>
      <w:r>
        <w:rPr>
          <w:spacing w:val="55"/>
          <w:w w:val="150"/>
        </w:rPr>
        <w:t> </w:t>
      </w:r>
      <w:r>
        <w:rPr/>
        <w:t>where</w:t>
      </w:r>
      <w:r>
        <w:rPr>
          <w:spacing w:val="65"/>
          <w:w w:val="150"/>
        </w:rPr>
        <w:t> </w:t>
      </w:r>
      <w:r>
        <w:rPr/>
        <w:t>the</w:t>
      </w:r>
      <w:r>
        <w:rPr>
          <w:spacing w:val="56"/>
          <w:w w:val="150"/>
        </w:rPr>
        <w:t> </w:t>
      </w:r>
      <w:r>
        <w:rPr/>
        <w:t>deceased</w:t>
      </w:r>
      <w:r>
        <w:rPr>
          <w:spacing w:val="59"/>
          <w:w w:val="150"/>
        </w:rPr>
        <w:t> </w:t>
      </w:r>
      <w:r>
        <w:rPr/>
        <w:t>died</w:t>
      </w:r>
      <w:r>
        <w:rPr>
          <w:spacing w:val="64"/>
          <w:w w:val="150"/>
        </w:rPr>
        <w:t> </w:t>
      </w:r>
      <w:r>
        <w:rPr/>
        <w:t>without</w:t>
      </w:r>
      <w:r>
        <w:rPr>
          <w:spacing w:val="60"/>
          <w:w w:val="150"/>
        </w:rPr>
        <w:t> </w:t>
      </w:r>
      <w:r>
        <w:rPr/>
        <w:t>leaving</w:t>
      </w:r>
      <w:r>
        <w:rPr>
          <w:spacing w:val="59"/>
          <w:w w:val="150"/>
        </w:rPr>
        <w:t> </w:t>
      </w:r>
      <w:r>
        <w:rPr/>
        <w:t>a</w:t>
      </w:r>
      <w:r>
        <w:rPr>
          <w:spacing w:val="56"/>
          <w:w w:val="150"/>
        </w:rPr>
        <w:t> </w:t>
      </w:r>
      <w:r>
        <w:rPr/>
        <w:t>widow</w:t>
      </w:r>
      <w:r>
        <w:rPr>
          <w:spacing w:val="58"/>
          <w:w w:val="150"/>
        </w:rPr>
        <w:t> </w:t>
      </w:r>
      <w:r>
        <w:rPr>
          <w:spacing w:val="-5"/>
        </w:rPr>
        <w:t>or</w:t>
      </w:r>
    </w:p>
    <w:p>
      <w:pPr>
        <w:pStyle w:val="BodyText"/>
        <w:rPr>
          <w:sz w:val="20"/>
        </w:rPr>
      </w:pPr>
    </w:p>
    <w:p>
      <w:pPr>
        <w:pStyle w:val="BodyText"/>
        <w:spacing w:before="150"/>
        <w:rPr>
          <w:sz w:val="20"/>
        </w:rPr>
      </w:pPr>
      <w:r>
        <w:rPr/>
        <mc:AlternateContent>
          <mc:Choice Requires="wps">
            <w:drawing>
              <wp:anchor distT="0" distB="0" distL="0" distR="0" allowOverlap="1" layoutInCell="1" locked="0" behindDoc="1" simplePos="0" relativeHeight="487636480">
                <wp:simplePos x="0" y="0"/>
                <wp:positionH relativeFrom="page">
                  <wp:posOffset>1185672</wp:posOffset>
                </wp:positionH>
                <wp:positionV relativeFrom="paragraph">
                  <wp:posOffset>264400</wp:posOffset>
                </wp:positionV>
                <wp:extent cx="1719580" cy="6350"/>
                <wp:effectExtent l="0" t="0" r="0" b="0"/>
                <wp:wrapTopAndBottom/>
                <wp:docPr id="110" name="Graphic 110"/>
                <wp:cNvGraphicFramePr>
                  <a:graphicFrameLocks/>
                </wp:cNvGraphicFramePr>
                <a:graphic>
                  <a:graphicData uri="http://schemas.microsoft.com/office/word/2010/wordprocessingShape">
                    <wps:wsp>
                      <wps:cNvPr id="110" name="Graphic 110"/>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818907pt;width:135.360pt;height:.48pt;mso-position-horizontal-relative:page;mso-position-vertical-relative:paragraph;z-index:-15680000;mso-wrap-distance-left:0;mso-wrap-distance-right:0" id="docshape110"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266</w:t>
      </w:r>
      <w:r>
        <w:rPr>
          <w:rFonts w:ascii="Times New Roman"/>
          <w:spacing w:val="-4"/>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17</w:t>
      </w:r>
      <w:r>
        <w:rPr>
          <w:rFonts w:ascii="Times New Roman"/>
          <w:spacing w:val="-4"/>
          <w:sz w:val="19"/>
          <w:vertAlign w:val="baseline"/>
        </w:rPr>
        <w:t> </w:t>
      </w:r>
      <w:r>
        <w:rPr>
          <w:rFonts w:ascii="Times New Roman"/>
          <w:sz w:val="19"/>
          <w:vertAlign w:val="baseline"/>
        </w:rPr>
        <w:t>(1)(e)</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267</w:t>
      </w:r>
      <w:r>
        <w:rPr>
          <w:rFonts w:ascii="Times New Roman"/>
          <w:spacing w:val="-4"/>
          <w:sz w:val="19"/>
          <w:vertAlign w:val="baseline"/>
        </w:rPr>
        <w:t> </w:t>
      </w:r>
      <w:r>
        <w:rPr>
          <w:rFonts w:ascii="Times New Roman"/>
          <w:sz w:val="19"/>
          <w:vertAlign w:val="baseline"/>
        </w:rPr>
        <w:t>Section</w:t>
      </w:r>
      <w:r>
        <w:rPr>
          <w:rFonts w:ascii="Times New Roman"/>
          <w:spacing w:val="-4"/>
          <w:sz w:val="19"/>
          <w:vertAlign w:val="baseline"/>
        </w:rPr>
        <w:t> </w:t>
      </w:r>
      <w:r>
        <w:rPr>
          <w:rFonts w:ascii="Times New Roman"/>
          <w:sz w:val="19"/>
          <w:vertAlign w:val="baseline"/>
        </w:rPr>
        <w:t>17(1)(f)</w:t>
      </w:r>
      <w:r>
        <w:rPr>
          <w:rFonts w:ascii="Times New Roman"/>
          <w:spacing w:val="-10"/>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66"/>
        <w:jc w:val="both"/>
      </w:pPr>
      <w:r>
        <w:rPr/>
        <w:t>widower.</w:t>
      </w:r>
      <w:r>
        <w:rPr>
          <w:vertAlign w:val="superscript"/>
        </w:rPr>
        <w:t>268</w:t>
      </w:r>
      <w:r>
        <w:rPr>
          <w:vertAlign w:val="baseline"/>
        </w:rPr>
        <w:t> This is if the Board considers it desirable to continue the</w:t>
      </w:r>
      <w:r>
        <w:rPr>
          <w:spacing w:val="80"/>
          <w:vertAlign w:val="baseline"/>
        </w:rPr>
        <w:t> </w:t>
      </w:r>
      <w:r>
        <w:rPr>
          <w:vertAlign w:val="baseline"/>
        </w:rPr>
        <w:t>existing household and suitable persons act in keeping up the household</w:t>
      </w:r>
      <w:r>
        <w:rPr>
          <w:spacing w:val="40"/>
          <w:vertAlign w:val="baseline"/>
        </w:rPr>
        <w:t> </w:t>
      </w:r>
      <w:r>
        <w:rPr>
          <w:vertAlign w:val="baseline"/>
        </w:rPr>
        <w:t>and taking care of and maintaining the children.</w:t>
      </w:r>
      <w:r>
        <w:rPr>
          <w:vertAlign w:val="superscript"/>
        </w:rPr>
        <w:t>269</w:t>
      </w:r>
      <w:r>
        <w:rPr>
          <w:vertAlign w:val="baseline"/>
        </w:rPr>
        <w:t> The payment here is made to the foster parents or administrators and on behalf of the children</w:t>
      </w:r>
      <w:r>
        <w:rPr>
          <w:spacing w:val="40"/>
          <w:vertAlign w:val="baseline"/>
        </w:rPr>
        <w:t> </w:t>
      </w:r>
      <w:r>
        <w:rPr>
          <w:vertAlign w:val="baseline"/>
        </w:rPr>
        <w:t>as would have been payable to a widow or widower and children.</w:t>
      </w:r>
      <w:r>
        <w:rPr>
          <w:vertAlign w:val="superscript"/>
        </w:rPr>
        <w:t>270</w:t>
      </w:r>
      <w:r>
        <w:rPr>
          <w:vertAlign w:val="baseline"/>
        </w:rPr>
        <w:t> Where the aforementioned conditions fail to exist, the Board will discontinue the </w:t>
      </w:r>
      <w:r>
        <w:rPr>
          <w:spacing w:val="-2"/>
          <w:vertAlign w:val="baseline"/>
        </w:rPr>
        <w:t>payment.</w:t>
      </w:r>
      <w:r>
        <w:rPr>
          <w:spacing w:val="-2"/>
          <w:vertAlign w:val="superscript"/>
        </w:rPr>
        <w:t>271</w:t>
      </w:r>
    </w:p>
    <w:p>
      <w:pPr>
        <w:pStyle w:val="BodyText"/>
        <w:spacing w:before="10"/>
      </w:pPr>
    </w:p>
    <w:p>
      <w:pPr>
        <w:pStyle w:val="BodyText"/>
        <w:spacing w:line="489" w:lineRule="auto"/>
        <w:ind w:left="864" w:right="566"/>
        <w:jc w:val="both"/>
      </w:pPr>
      <w:r>
        <w:rPr/>
        <w:t>Where</w:t>
      </w:r>
      <w:r>
        <w:rPr>
          <w:spacing w:val="40"/>
        </w:rPr>
        <w:t> </w:t>
      </w:r>
      <w:r>
        <w:rPr/>
        <w:t>there</w:t>
      </w:r>
      <w:r>
        <w:rPr>
          <w:spacing w:val="40"/>
        </w:rPr>
        <w:t> </w:t>
      </w:r>
      <w:r>
        <w:rPr/>
        <w:t>is</w:t>
      </w:r>
      <w:r>
        <w:rPr>
          <w:spacing w:val="40"/>
        </w:rPr>
        <w:t> </w:t>
      </w:r>
      <w:r>
        <w:rPr/>
        <w:t>a</w:t>
      </w:r>
      <w:r>
        <w:rPr>
          <w:spacing w:val="40"/>
        </w:rPr>
        <w:t> </w:t>
      </w:r>
      <w:r>
        <w:rPr/>
        <w:t>widow</w:t>
      </w:r>
      <w:r>
        <w:rPr>
          <w:spacing w:val="40"/>
        </w:rPr>
        <w:t> </w:t>
      </w:r>
      <w:r>
        <w:rPr/>
        <w:t>or</w:t>
      </w:r>
      <w:r>
        <w:rPr>
          <w:spacing w:val="40"/>
        </w:rPr>
        <w:t> </w:t>
      </w:r>
      <w:r>
        <w:rPr/>
        <w:t>widower</w:t>
      </w:r>
      <w:r>
        <w:rPr>
          <w:spacing w:val="40"/>
        </w:rPr>
        <w:t> </w:t>
      </w:r>
      <w:r>
        <w:rPr/>
        <w:t>who</w:t>
      </w:r>
      <w:r>
        <w:rPr>
          <w:spacing w:val="40"/>
        </w:rPr>
        <w:t> </w:t>
      </w:r>
      <w:r>
        <w:rPr/>
        <w:t>subsequently</w:t>
      </w:r>
      <w:r>
        <w:rPr>
          <w:spacing w:val="40"/>
        </w:rPr>
        <w:t> </w:t>
      </w:r>
      <w:r>
        <w:rPr/>
        <w:t>dies</w:t>
      </w:r>
      <w:r>
        <w:rPr>
          <w:spacing w:val="40"/>
        </w:rPr>
        <w:t> </w:t>
      </w:r>
      <w:r>
        <w:rPr/>
        <w:t>leaving children,</w:t>
      </w:r>
      <w:r>
        <w:rPr>
          <w:spacing w:val="40"/>
        </w:rPr>
        <w:t> </w:t>
      </w:r>
      <w:r>
        <w:rPr/>
        <w:t>the</w:t>
      </w:r>
      <w:r>
        <w:rPr>
          <w:spacing w:val="40"/>
        </w:rPr>
        <w:t> </w:t>
      </w:r>
      <w:r>
        <w:rPr/>
        <w:t>allowances</w:t>
      </w:r>
      <w:r>
        <w:rPr>
          <w:spacing w:val="40"/>
        </w:rPr>
        <w:t> </w:t>
      </w:r>
      <w:r>
        <w:rPr/>
        <w:t>of</w:t>
      </w:r>
      <w:r>
        <w:rPr>
          <w:spacing w:val="40"/>
        </w:rPr>
        <w:t> </w:t>
      </w:r>
      <w:r>
        <w:rPr/>
        <w:t>the</w:t>
      </w:r>
      <w:r>
        <w:rPr>
          <w:spacing w:val="40"/>
        </w:rPr>
        <w:t> </w:t>
      </w:r>
      <w:r>
        <w:rPr/>
        <w:t>children</w:t>
      </w:r>
      <w:r>
        <w:rPr>
          <w:spacing w:val="40"/>
        </w:rPr>
        <w:t> </w:t>
      </w:r>
      <w:r>
        <w:rPr/>
        <w:t>will</w:t>
      </w:r>
      <w:r>
        <w:rPr>
          <w:spacing w:val="40"/>
        </w:rPr>
        <w:t> </w:t>
      </w:r>
      <w:r>
        <w:rPr/>
        <w:t>be</w:t>
      </w:r>
      <w:r>
        <w:rPr>
          <w:spacing w:val="40"/>
        </w:rPr>
        <w:t> </w:t>
      </w:r>
      <w:r>
        <w:rPr/>
        <w:t>calculated</w:t>
      </w:r>
      <w:r>
        <w:rPr>
          <w:spacing w:val="40"/>
        </w:rPr>
        <w:t> </w:t>
      </w:r>
      <w:r>
        <w:rPr/>
        <w:t>as</w:t>
      </w:r>
      <w:r>
        <w:rPr>
          <w:spacing w:val="40"/>
        </w:rPr>
        <w:t> </w:t>
      </w:r>
      <w:r>
        <w:rPr/>
        <w:t>if</w:t>
      </w:r>
      <w:r>
        <w:rPr>
          <w:spacing w:val="40"/>
        </w:rPr>
        <w:t> </w:t>
      </w:r>
      <w:r>
        <w:rPr/>
        <w:t>the employee had died leaving no widow or widower.</w:t>
      </w:r>
      <w:r>
        <w:rPr>
          <w:vertAlign w:val="superscript"/>
        </w:rPr>
        <w:t>272</w:t>
      </w:r>
      <w:r>
        <w:rPr>
          <w:vertAlign w:val="baseline"/>
        </w:rPr>
        <w:t> Where a disabled spouse ceases to be disabled or the widow or widower no longer has children or there is a reduction in the number of dependent children, the widow or widower will have to be entitled to the same category of benefits as would hqve been payable if the death of the employee had occurred on the date the disabled spouse ceases to be disabled or the longer the</w:t>
      </w:r>
      <w:r>
        <w:rPr>
          <w:spacing w:val="40"/>
          <w:vertAlign w:val="baseline"/>
        </w:rPr>
        <w:t> </w:t>
      </w:r>
      <w:r>
        <w:rPr>
          <w:vertAlign w:val="baseline"/>
        </w:rPr>
        <w:t>children</w:t>
      </w:r>
      <w:r>
        <w:rPr>
          <w:spacing w:val="40"/>
          <w:vertAlign w:val="baseline"/>
        </w:rPr>
        <w:t> </w:t>
      </w:r>
      <w:r>
        <w:rPr>
          <w:vertAlign w:val="baseline"/>
        </w:rPr>
        <w:t>or</w:t>
      </w:r>
      <w:r>
        <w:rPr>
          <w:spacing w:val="40"/>
          <w:vertAlign w:val="baseline"/>
        </w:rPr>
        <w:t> </w:t>
      </w:r>
      <w:r>
        <w:rPr>
          <w:vertAlign w:val="baseline"/>
        </w:rPr>
        <w:t>the</w:t>
      </w:r>
      <w:r>
        <w:rPr>
          <w:spacing w:val="40"/>
          <w:vertAlign w:val="baseline"/>
        </w:rPr>
        <w:t> </w:t>
      </w:r>
      <w:r>
        <w:rPr>
          <w:vertAlign w:val="baseline"/>
        </w:rPr>
        <w:t>number</w:t>
      </w:r>
      <w:r>
        <w:rPr>
          <w:spacing w:val="40"/>
          <w:vertAlign w:val="baseline"/>
        </w:rPr>
        <w:t> </w:t>
      </w:r>
      <w:r>
        <w:rPr>
          <w:vertAlign w:val="baseline"/>
        </w:rPr>
        <w:t>of</w:t>
      </w:r>
      <w:r>
        <w:rPr>
          <w:spacing w:val="40"/>
          <w:vertAlign w:val="baseline"/>
        </w:rPr>
        <w:t> </w:t>
      </w:r>
      <w:r>
        <w:rPr>
          <w:vertAlign w:val="baseline"/>
        </w:rPr>
        <w:t>children</w:t>
      </w:r>
      <w:r>
        <w:rPr>
          <w:spacing w:val="40"/>
          <w:vertAlign w:val="baseline"/>
        </w:rPr>
        <w:t> </w:t>
      </w:r>
      <w:r>
        <w:rPr>
          <w:vertAlign w:val="baseline"/>
        </w:rPr>
        <w:t>has</w:t>
      </w:r>
      <w:r>
        <w:rPr>
          <w:spacing w:val="40"/>
          <w:vertAlign w:val="baseline"/>
        </w:rPr>
        <w:t> </w:t>
      </w:r>
      <w:r>
        <w:rPr>
          <w:vertAlign w:val="baseline"/>
        </w:rPr>
        <w:t>reduced.</w:t>
      </w:r>
      <w:r>
        <w:rPr>
          <w:vertAlign w:val="superscript"/>
        </w:rPr>
        <w:t>273</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also considers</w:t>
      </w:r>
      <w:r>
        <w:rPr>
          <w:spacing w:val="40"/>
          <w:vertAlign w:val="baseline"/>
        </w:rPr>
        <w:t> </w:t>
      </w:r>
      <w:r>
        <w:rPr>
          <w:vertAlign w:val="baseline"/>
        </w:rPr>
        <w:t>the</w:t>
      </w:r>
      <w:r>
        <w:rPr>
          <w:spacing w:val="40"/>
          <w:vertAlign w:val="baseline"/>
        </w:rPr>
        <w:t> </w:t>
      </w:r>
      <w:r>
        <w:rPr>
          <w:vertAlign w:val="baseline"/>
        </w:rPr>
        <w:t>impairment</w:t>
      </w:r>
      <w:r>
        <w:rPr>
          <w:spacing w:val="40"/>
          <w:vertAlign w:val="baseline"/>
        </w:rPr>
        <w:t> </w:t>
      </w:r>
      <w:r>
        <w:rPr>
          <w:vertAlign w:val="baseline"/>
        </w:rPr>
        <w:t>of</w:t>
      </w:r>
      <w:r>
        <w:rPr>
          <w:spacing w:val="40"/>
          <w:vertAlign w:val="baseline"/>
        </w:rPr>
        <w:t> </w:t>
      </w:r>
      <w:r>
        <w:rPr>
          <w:vertAlign w:val="baseline"/>
        </w:rPr>
        <w:t>work</w:t>
      </w:r>
      <w:r>
        <w:rPr>
          <w:spacing w:val="40"/>
          <w:vertAlign w:val="baseline"/>
        </w:rPr>
        <w:t> </w:t>
      </w:r>
      <w:r>
        <w:rPr>
          <w:vertAlign w:val="baseline"/>
        </w:rPr>
        <w:t>ability</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spouse</w:t>
      </w:r>
      <w:r>
        <w:rPr>
          <w:spacing w:val="40"/>
          <w:vertAlign w:val="baseline"/>
        </w:rPr>
        <w:t> </w:t>
      </w:r>
      <w:r>
        <w:rPr>
          <w:vertAlign w:val="baseline"/>
        </w:rPr>
        <w:t>and</w:t>
      </w:r>
      <w:r>
        <w:rPr>
          <w:spacing w:val="40"/>
          <w:vertAlign w:val="baseline"/>
        </w:rPr>
        <w:t> </w:t>
      </w:r>
      <w:r>
        <w:rPr>
          <w:vertAlign w:val="baseline"/>
        </w:rPr>
        <w:t>pays</w:t>
      </w:r>
      <w:r>
        <w:rPr>
          <w:spacing w:val="40"/>
          <w:vertAlign w:val="baseline"/>
        </w:rPr>
        <w:t> </w:t>
      </w:r>
      <w:r>
        <w:rPr>
          <w:vertAlign w:val="baseline"/>
        </w:rPr>
        <w:t>the spouse</w:t>
      </w:r>
      <w:r>
        <w:rPr>
          <w:spacing w:val="40"/>
          <w:vertAlign w:val="baseline"/>
        </w:rPr>
        <w:t> </w:t>
      </w:r>
      <w:r>
        <w:rPr>
          <w:vertAlign w:val="baseline"/>
        </w:rPr>
        <w:t>a</w:t>
      </w:r>
      <w:r>
        <w:rPr>
          <w:spacing w:val="40"/>
          <w:vertAlign w:val="baseline"/>
        </w:rPr>
        <w:t> </w:t>
      </w:r>
      <w:r>
        <w:rPr>
          <w:vertAlign w:val="baseline"/>
        </w:rPr>
        <w:t>proportion</w:t>
      </w:r>
      <w:r>
        <w:rPr>
          <w:spacing w:val="40"/>
          <w:vertAlign w:val="baseline"/>
        </w:rPr>
        <w:t> </w:t>
      </w:r>
      <w:r>
        <w:rPr>
          <w:vertAlign w:val="baseline"/>
        </w:rPr>
        <w:t>she</w:t>
      </w:r>
      <w:r>
        <w:rPr>
          <w:spacing w:val="40"/>
          <w:vertAlign w:val="baseline"/>
        </w:rPr>
        <w:t> </w:t>
      </w:r>
      <w:r>
        <w:rPr>
          <w:vertAlign w:val="baseline"/>
        </w:rPr>
        <w:t>would</w:t>
      </w:r>
      <w:r>
        <w:rPr>
          <w:spacing w:val="40"/>
          <w:vertAlign w:val="baseline"/>
        </w:rPr>
        <w:t> </w:t>
      </w:r>
      <w:r>
        <w:rPr>
          <w:vertAlign w:val="baseline"/>
        </w:rPr>
        <w:t>have</w:t>
      </w:r>
      <w:r>
        <w:rPr>
          <w:spacing w:val="40"/>
          <w:vertAlign w:val="baseline"/>
        </w:rPr>
        <w:t> </w:t>
      </w:r>
      <w:r>
        <w:rPr>
          <w:vertAlign w:val="baseline"/>
        </w:rPr>
        <w:t>been</w:t>
      </w:r>
      <w:r>
        <w:rPr>
          <w:spacing w:val="40"/>
          <w:vertAlign w:val="baseline"/>
        </w:rPr>
        <w:t> </w:t>
      </w:r>
      <w:r>
        <w:rPr>
          <w:vertAlign w:val="baseline"/>
        </w:rPr>
        <w:t>entitled</w:t>
      </w:r>
      <w:r>
        <w:rPr>
          <w:spacing w:val="40"/>
          <w:vertAlign w:val="baseline"/>
        </w:rPr>
        <w:t> </w:t>
      </w:r>
      <w:r>
        <w:rPr>
          <w:vertAlign w:val="baseline"/>
        </w:rPr>
        <w:t>to</w:t>
      </w:r>
      <w:r>
        <w:rPr>
          <w:spacing w:val="40"/>
          <w:vertAlign w:val="baseline"/>
        </w:rPr>
        <w:t> </w:t>
      </w:r>
      <w:r>
        <w:rPr>
          <w:vertAlign w:val="baseline"/>
        </w:rPr>
        <w:t>if</w:t>
      </w:r>
      <w:r>
        <w:rPr>
          <w:spacing w:val="40"/>
          <w:vertAlign w:val="baseline"/>
        </w:rPr>
        <w:t> </w:t>
      </w:r>
      <w:r>
        <w:rPr>
          <w:vertAlign w:val="baseline"/>
        </w:rPr>
        <w:t>the spouse had been</w:t>
      </w:r>
      <w:r>
        <w:rPr>
          <w:spacing w:val="35"/>
          <w:vertAlign w:val="baseline"/>
        </w:rPr>
        <w:t> </w:t>
      </w:r>
      <w:r>
        <w:rPr>
          <w:vertAlign w:val="baseline"/>
        </w:rPr>
        <w:t>disabled.</w:t>
      </w:r>
      <w:r>
        <w:rPr>
          <w:vertAlign w:val="superscript"/>
        </w:rPr>
        <w:t>274</w:t>
      </w:r>
      <w:r>
        <w:rPr>
          <w:spacing w:val="32"/>
          <w:vertAlign w:val="baseline"/>
        </w:rPr>
        <w:t> </w:t>
      </w:r>
      <w:r>
        <w:rPr>
          <w:vertAlign w:val="baseline"/>
        </w:rPr>
        <w:t>Who</w:t>
      </w:r>
      <w:r>
        <w:rPr>
          <w:spacing w:val="30"/>
          <w:vertAlign w:val="baseline"/>
        </w:rPr>
        <w:t> </w:t>
      </w:r>
      <w:r>
        <w:rPr>
          <w:vertAlign w:val="baseline"/>
        </w:rPr>
        <w:t>is</w:t>
      </w:r>
      <w:r>
        <w:rPr>
          <w:spacing w:val="32"/>
          <w:vertAlign w:val="baseline"/>
        </w:rPr>
        <w:t> </w:t>
      </w:r>
      <w:r>
        <w:rPr>
          <w:vertAlign w:val="baseline"/>
        </w:rPr>
        <w:t>a</w:t>
      </w:r>
      <w:r>
        <w:rPr>
          <w:spacing w:val="33"/>
          <w:vertAlign w:val="baseline"/>
        </w:rPr>
        <w:t> </w:t>
      </w:r>
      <w:r>
        <w:rPr>
          <w:vertAlign w:val="baseline"/>
        </w:rPr>
        <w:t>spouse</w:t>
      </w:r>
      <w:r>
        <w:rPr>
          <w:spacing w:val="34"/>
          <w:vertAlign w:val="baseline"/>
        </w:rPr>
        <w:t> </w:t>
      </w:r>
      <w:r>
        <w:rPr>
          <w:vertAlign w:val="baseline"/>
        </w:rPr>
        <w:t>in</w:t>
      </w:r>
      <w:r>
        <w:rPr>
          <w:spacing w:val="35"/>
          <w:vertAlign w:val="baseline"/>
        </w:rPr>
        <w:t> </w:t>
      </w:r>
      <w:r>
        <w:rPr>
          <w:vertAlign w:val="baseline"/>
        </w:rPr>
        <w:t>accordance</w:t>
      </w:r>
      <w:r>
        <w:rPr>
          <w:spacing w:val="34"/>
          <w:vertAlign w:val="baseline"/>
        </w:rPr>
        <w:t> </w:t>
      </w:r>
      <w:r>
        <w:rPr>
          <w:vertAlign w:val="baseline"/>
        </w:rPr>
        <w:t>with</w:t>
      </w:r>
      <w:r>
        <w:rPr>
          <w:spacing w:val="35"/>
          <w:vertAlign w:val="baseline"/>
        </w:rPr>
        <w:t> </w:t>
      </w:r>
      <w:r>
        <w:rPr>
          <w:vertAlign w:val="baseline"/>
        </w:rPr>
        <w:t>the</w:t>
      </w:r>
      <w:r>
        <w:rPr>
          <w:spacing w:val="33"/>
          <w:vertAlign w:val="baseline"/>
        </w:rPr>
        <w:t> </w:t>
      </w:r>
      <w:r>
        <w:rPr>
          <w:vertAlign w:val="baseline"/>
        </w:rPr>
        <w:t>Act?</w:t>
      </w:r>
      <w:r>
        <w:rPr>
          <w:spacing w:val="39"/>
          <w:vertAlign w:val="baseline"/>
        </w:rPr>
        <w:t> </w:t>
      </w:r>
      <w:r>
        <w:rPr>
          <w:vertAlign w:val="baseline"/>
        </w:rPr>
        <w:t>A</w:t>
      </w:r>
      <w:r>
        <w:rPr>
          <w:spacing w:val="35"/>
          <w:vertAlign w:val="baseline"/>
        </w:rPr>
        <w:t> </w:t>
      </w:r>
      <w:r>
        <w:rPr>
          <w:spacing w:val="-2"/>
          <w:vertAlign w:val="baseline"/>
        </w:rPr>
        <w:t>spouse</w:t>
      </w:r>
    </w:p>
    <w:p>
      <w:pPr>
        <w:pStyle w:val="BodyText"/>
        <w:spacing w:before="172"/>
        <w:rPr>
          <w:sz w:val="20"/>
        </w:rPr>
      </w:pPr>
      <w:r>
        <w:rPr/>
        <mc:AlternateContent>
          <mc:Choice Requires="wps">
            <w:drawing>
              <wp:anchor distT="0" distB="0" distL="0" distR="0" allowOverlap="1" layoutInCell="1" locked="0" behindDoc="1" simplePos="0" relativeHeight="487636992">
                <wp:simplePos x="0" y="0"/>
                <wp:positionH relativeFrom="page">
                  <wp:posOffset>1185672</wp:posOffset>
                </wp:positionH>
                <wp:positionV relativeFrom="paragraph">
                  <wp:posOffset>278092</wp:posOffset>
                </wp:positionV>
                <wp:extent cx="1719580" cy="6350"/>
                <wp:effectExtent l="0" t="0" r="0" b="0"/>
                <wp:wrapTopAndBottom/>
                <wp:docPr id="111" name="Graphic 111"/>
                <wp:cNvGraphicFramePr>
                  <a:graphicFrameLocks/>
                </wp:cNvGraphicFramePr>
                <a:graphic>
                  <a:graphicData uri="http://schemas.microsoft.com/office/word/2010/wordprocessingShape">
                    <wps:wsp>
                      <wps:cNvPr id="111" name="Graphic 111"/>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1.897032pt;width:135.360pt;height:.48pt;mso-position-horizontal-relative:page;mso-position-vertical-relative:paragraph;z-index:-15679488;mso-wrap-distance-left:0;mso-wrap-distance-right:0" id="docshape111" filled="true" fillcolor="#000000" stroked="false">
                <v:fill type="solid"/>
                <w10:wrap type="topAndBottom"/>
              </v:rect>
            </w:pict>
          </mc:Fallback>
        </mc:AlternateContent>
      </w:r>
    </w:p>
    <w:p>
      <w:pPr>
        <w:spacing w:before="96"/>
        <w:ind w:left="187" w:right="0" w:firstLine="0"/>
        <w:jc w:val="left"/>
        <w:rPr>
          <w:rFonts w:ascii="Times New Roman"/>
          <w:i/>
          <w:sz w:val="19"/>
        </w:rPr>
      </w:pPr>
      <w:r>
        <w:rPr>
          <w:rFonts w:ascii="Times New Roman"/>
          <w:sz w:val="19"/>
          <w:vertAlign w:val="superscript"/>
        </w:rPr>
        <w:t>268</w:t>
      </w:r>
      <w:r>
        <w:rPr>
          <w:rFonts w:ascii="Times New Roman"/>
          <w:spacing w:val="-4"/>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17(1)(g</w:t>
      </w:r>
      <w:r>
        <w:rPr>
          <w:rFonts w:ascii="Times New Roman"/>
          <w:i/>
          <w:sz w:val="19"/>
          <w:vertAlign w:val="baseline"/>
        </w:rPr>
        <w:t>)</w:t>
      </w:r>
      <w:r>
        <w:rPr>
          <w:rFonts w:ascii="Times New Roman"/>
          <w:i/>
          <w:spacing w:val="-9"/>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269</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270</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271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272</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17(3</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273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17(2</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274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17(3)</w:t>
      </w:r>
      <w:r>
        <w:rPr>
          <w:rFonts w:ascii="Times New Roman"/>
          <w:spacing w:val="-8"/>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864" w:right="567"/>
        <w:jc w:val="both"/>
      </w:pPr>
      <w:r>
        <w:rPr/>
        <w:t>“means</w:t>
      </w:r>
      <w:r>
        <w:rPr>
          <w:spacing w:val="40"/>
        </w:rPr>
        <w:t> </w:t>
      </w:r>
      <w:r>
        <w:rPr/>
        <w:t>the</w:t>
      </w:r>
      <w:r>
        <w:rPr>
          <w:spacing w:val="40"/>
        </w:rPr>
        <w:t> </w:t>
      </w:r>
      <w:r>
        <w:rPr/>
        <w:t>person</w:t>
      </w:r>
      <w:r>
        <w:rPr>
          <w:spacing w:val="40"/>
        </w:rPr>
        <w:t> </w:t>
      </w:r>
      <w:r>
        <w:rPr/>
        <w:t>who</w:t>
      </w:r>
      <w:r>
        <w:rPr>
          <w:spacing w:val="40"/>
        </w:rPr>
        <w:t> </w:t>
      </w:r>
      <w:r>
        <w:rPr/>
        <w:t>at</w:t>
      </w:r>
      <w:r>
        <w:rPr>
          <w:spacing w:val="40"/>
        </w:rPr>
        <w:t> </w:t>
      </w:r>
      <w:r>
        <w:rPr/>
        <w:t>the</w:t>
      </w:r>
      <w:r>
        <w:rPr>
          <w:spacing w:val="40"/>
        </w:rPr>
        <w:t> </w:t>
      </w:r>
      <w:r>
        <w:rPr/>
        <w:t>date</w:t>
      </w:r>
      <w:r>
        <w:rPr>
          <w:spacing w:val="40"/>
        </w:rPr>
        <w:t> </w:t>
      </w:r>
      <w:r>
        <w:rPr/>
        <w:t>of</w:t>
      </w:r>
      <w:r>
        <w:rPr>
          <w:spacing w:val="40"/>
        </w:rPr>
        <w:t> </w:t>
      </w:r>
      <w:r>
        <w:rPr/>
        <w:t>the</w:t>
      </w:r>
      <w:r>
        <w:rPr>
          <w:spacing w:val="40"/>
        </w:rPr>
        <w:t> </w:t>
      </w:r>
      <w:r>
        <w:rPr/>
        <w:t>employees’</w:t>
      </w:r>
      <w:r>
        <w:rPr>
          <w:spacing w:val="40"/>
        </w:rPr>
        <w:t> </w:t>
      </w:r>
      <w:r>
        <w:rPr/>
        <w:t>death</w:t>
      </w:r>
      <w:r>
        <w:rPr>
          <w:spacing w:val="40"/>
        </w:rPr>
        <w:t> </w:t>
      </w:r>
      <w:r>
        <w:rPr/>
        <w:t>cohabited with the employee, and to whom the employee is legally married or with whom the employee cohabited as a couple for at least 12 months immediately before the death of the employee”. It therefore means that a paramour can qualify as a spouse in accordance with the Act. It is the view of</w:t>
      </w:r>
      <w:r>
        <w:rPr>
          <w:spacing w:val="40"/>
        </w:rPr>
        <w:t> </w:t>
      </w:r>
      <w:r>
        <w:rPr/>
        <w:t>the researcher</w:t>
      </w:r>
      <w:r>
        <w:rPr>
          <w:spacing w:val="40"/>
        </w:rPr>
        <w:t> </w:t>
      </w:r>
      <w:r>
        <w:rPr/>
        <w:t>that</w:t>
      </w:r>
      <w:r>
        <w:rPr>
          <w:spacing w:val="40"/>
        </w:rPr>
        <w:t> </w:t>
      </w:r>
      <w:r>
        <w:rPr/>
        <w:t>in</w:t>
      </w:r>
      <w:r>
        <w:rPr>
          <w:spacing w:val="40"/>
        </w:rPr>
        <w:t> </w:t>
      </w:r>
      <w:r>
        <w:rPr/>
        <w:t>order</w:t>
      </w:r>
      <w:r>
        <w:rPr>
          <w:spacing w:val="40"/>
        </w:rPr>
        <w:t> </w:t>
      </w:r>
      <w:r>
        <w:rPr/>
        <w:t>to protect</w:t>
      </w:r>
      <w:r>
        <w:rPr>
          <w:spacing w:val="40"/>
        </w:rPr>
        <w:t> </w:t>
      </w:r>
      <w:r>
        <w:rPr/>
        <w:t>public</w:t>
      </w:r>
      <w:r>
        <w:rPr>
          <w:spacing w:val="40"/>
        </w:rPr>
        <w:t> </w:t>
      </w:r>
      <w:r>
        <w:rPr/>
        <w:t>morality,</w:t>
      </w:r>
      <w:r>
        <w:rPr>
          <w:spacing w:val="40"/>
        </w:rPr>
        <w:t> </w:t>
      </w:r>
      <w:r>
        <w:rPr/>
        <w:t>a</w:t>
      </w:r>
      <w:r>
        <w:rPr>
          <w:spacing w:val="40"/>
        </w:rPr>
        <w:t> </w:t>
      </w:r>
      <w:r>
        <w:rPr/>
        <w:t>paramour should not be entitled to compensation. The child or children of such relationship are properly covered because they are innocent and cannot be discriminated on the basis of the circumstance of their birth.</w:t>
      </w:r>
      <w:r>
        <w:rPr>
          <w:vertAlign w:val="superscript"/>
        </w:rPr>
        <w:t>275</w:t>
      </w:r>
      <w:r>
        <w:rPr>
          <w:vertAlign w:val="baseline"/>
        </w:rPr>
        <w:t> A paramour should only be a custodian of the compensation for the benefit of the children if the relationship produces children but the paramour should not</w:t>
      </w:r>
      <w:r>
        <w:rPr>
          <w:spacing w:val="40"/>
          <w:vertAlign w:val="baseline"/>
        </w:rPr>
        <w:t> </w:t>
      </w:r>
      <w:r>
        <w:rPr>
          <w:vertAlign w:val="baseline"/>
        </w:rPr>
        <w:t>be entitled to any statutory amount of compensation.</w:t>
      </w:r>
    </w:p>
    <w:p>
      <w:pPr>
        <w:pStyle w:val="BodyText"/>
        <w:spacing w:before="20"/>
      </w:pPr>
    </w:p>
    <w:p>
      <w:pPr>
        <w:pStyle w:val="BodyText"/>
        <w:spacing w:line="489" w:lineRule="auto"/>
        <w:ind w:left="864" w:right="567"/>
        <w:jc w:val="both"/>
      </w:pPr>
      <w:r>
        <w:rPr/>
        <w:t>If two employees in a workplace are married to each other and both are contributing to the support of a common household, each is deemed to be dependant of the other and their children who are resident therein are deemed to be their dependants.</w:t>
      </w:r>
      <w:r>
        <w:rPr>
          <w:vertAlign w:val="superscript"/>
        </w:rPr>
        <w:t>276</w:t>
      </w:r>
      <w:r>
        <w:rPr>
          <w:vertAlign w:val="baseline"/>
        </w:rPr>
        <w:t>In this instance, the husband and wife</w:t>
      </w:r>
      <w:r>
        <w:rPr>
          <w:spacing w:val="80"/>
          <w:vertAlign w:val="baseline"/>
        </w:rPr>
        <w:t> </w:t>
      </w:r>
      <w:r>
        <w:rPr>
          <w:vertAlign w:val="baseline"/>
        </w:rPr>
        <w:t>are seen as dependants to each other for the purpose of compensation.</w:t>
      </w:r>
    </w:p>
    <w:p>
      <w:pPr>
        <w:pStyle w:val="BodyText"/>
        <w:spacing w:line="491" w:lineRule="auto" w:before="244"/>
        <w:ind w:left="864" w:right="571"/>
        <w:jc w:val="both"/>
      </w:pPr>
      <w:r>
        <w:rPr/>
        <mc:AlternateContent>
          <mc:Choice Requires="wps">
            <w:drawing>
              <wp:anchor distT="0" distB="0" distL="0" distR="0" allowOverlap="1" layoutInCell="1" locked="0" behindDoc="1" simplePos="0" relativeHeight="486201344">
                <wp:simplePos x="0" y="0"/>
                <wp:positionH relativeFrom="page">
                  <wp:posOffset>1185672</wp:posOffset>
                </wp:positionH>
                <wp:positionV relativeFrom="paragraph">
                  <wp:posOffset>1542680</wp:posOffset>
                </wp:positionV>
                <wp:extent cx="1719580" cy="6350"/>
                <wp:effectExtent l="0" t="0" r="0" b="0"/>
                <wp:wrapNone/>
                <wp:docPr id="112" name="Graphic 112"/>
                <wp:cNvGraphicFramePr>
                  <a:graphicFrameLocks/>
                </wp:cNvGraphicFramePr>
                <a:graphic>
                  <a:graphicData uri="http://schemas.microsoft.com/office/word/2010/wordprocessingShape">
                    <wps:wsp>
                      <wps:cNvPr id="112" name="Graphic 112"/>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21.47094pt;width:135.360pt;height:.48pt;mso-position-horizontal-relative:page;mso-position-vertical-relative:paragraph;z-index:-17115136" id="docshape112" filled="true" fillcolor="#000000" stroked="false">
                <v:fill type="solid"/>
                <w10:wrap type="none"/>
              </v:rect>
            </w:pict>
          </mc:Fallback>
        </mc:AlternateContent>
      </w:r>
      <w:r>
        <w:rPr/>
        <w:t>In a situation where there was a court order or separation agreement providing periodic payments for the support of the dependent spouse or children living with the spouse, the dependent spouse and children will be entitled</w:t>
      </w:r>
      <w:r>
        <w:rPr>
          <w:spacing w:val="32"/>
        </w:rPr>
        <w:t> </w:t>
      </w:r>
      <w:r>
        <w:rPr/>
        <w:t>to</w:t>
      </w:r>
      <w:r>
        <w:rPr>
          <w:spacing w:val="35"/>
        </w:rPr>
        <w:t> </w:t>
      </w:r>
      <w:r>
        <w:rPr/>
        <w:t>such</w:t>
      </w:r>
      <w:r>
        <w:rPr>
          <w:spacing w:val="36"/>
        </w:rPr>
        <w:t> </w:t>
      </w:r>
      <w:r>
        <w:rPr/>
        <w:t>amount</w:t>
      </w:r>
      <w:r>
        <w:rPr>
          <w:spacing w:val="36"/>
        </w:rPr>
        <w:t> </w:t>
      </w:r>
      <w:r>
        <w:rPr/>
        <w:t>and</w:t>
      </w:r>
      <w:r>
        <w:rPr>
          <w:spacing w:val="27"/>
        </w:rPr>
        <w:t> </w:t>
      </w:r>
      <w:r>
        <w:rPr/>
        <w:t>not</w:t>
      </w:r>
      <w:r>
        <w:rPr>
          <w:spacing w:val="36"/>
        </w:rPr>
        <w:t> </w:t>
      </w:r>
      <w:r>
        <w:rPr/>
        <w:t>the</w:t>
      </w:r>
      <w:r>
        <w:rPr>
          <w:spacing w:val="35"/>
        </w:rPr>
        <w:t> </w:t>
      </w:r>
      <w:r>
        <w:rPr/>
        <w:t>one</w:t>
      </w:r>
      <w:r>
        <w:rPr>
          <w:spacing w:val="34"/>
        </w:rPr>
        <w:t> </w:t>
      </w:r>
      <w:r>
        <w:rPr/>
        <w:t>statutorily</w:t>
      </w:r>
      <w:r>
        <w:rPr>
          <w:spacing w:val="32"/>
        </w:rPr>
        <w:t> </w:t>
      </w:r>
      <w:r>
        <w:rPr/>
        <w:t>provided</w:t>
      </w:r>
      <w:r>
        <w:rPr>
          <w:spacing w:val="33"/>
        </w:rPr>
        <w:t> </w:t>
      </w:r>
      <w:r>
        <w:rPr/>
        <w:t>except</w:t>
      </w:r>
      <w:r>
        <w:rPr>
          <w:spacing w:val="31"/>
        </w:rPr>
        <w:t> </w:t>
      </w:r>
      <w:r>
        <w:rPr>
          <w:spacing w:val="-4"/>
        </w:rPr>
        <w:t>that</w:t>
      </w:r>
    </w:p>
    <w:p>
      <w:pPr>
        <w:spacing w:line="237" w:lineRule="auto" w:before="11"/>
        <w:ind w:left="187" w:right="661" w:firstLine="0"/>
        <w:jc w:val="left"/>
        <w:rPr>
          <w:rFonts w:ascii="Times New Roman"/>
          <w:sz w:val="19"/>
        </w:rPr>
      </w:pPr>
      <w:r>
        <w:rPr>
          <w:rFonts w:ascii="Times New Roman"/>
          <w:sz w:val="19"/>
          <w:vertAlign w:val="superscript"/>
        </w:rPr>
        <w:t>275</w:t>
      </w:r>
      <w:r>
        <w:rPr>
          <w:rFonts w:ascii="Times New Roman"/>
          <w:spacing w:val="-1"/>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42(2)</w:t>
      </w:r>
      <w:r>
        <w:rPr>
          <w:rFonts w:ascii="Times New Roman"/>
          <w:spacing w:val="-7"/>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Constitution</w:t>
      </w:r>
      <w:r>
        <w:rPr>
          <w:rFonts w:ascii="Times New Roman"/>
          <w:spacing w:val="-5"/>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Federal</w:t>
      </w:r>
      <w:r>
        <w:rPr>
          <w:rFonts w:ascii="Times New Roman"/>
          <w:spacing w:val="-2"/>
          <w:sz w:val="19"/>
          <w:vertAlign w:val="baseline"/>
        </w:rPr>
        <w:t> </w:t>
      </w:r>
      <w:r>
        <w:rPr>
          <w:rFonts w:ascii="Times New Roman"/>
          <w:sz w:val="19"/>
          <w:vertAlign w:val="baseline"/>
        </w:rPr>
        <w:t>Republic</w:t>
      </w:r>
      <w:r>
        <w:rPr>
          <w:rFonts w:ascii="Times New Roman"/>
          <w:spacing w:val="-8"/>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Nigeria</w:t>
      </w:r>
      <w:r>
        <w:rPr>
          <w:rFonts w:ascii="Times New Roman"/>
          <w:spacing w:val="-4"/>
          <w:sz w:val="19"/>
          <w:vertAlign w:val="baseline"/>
        </w:rPr>
        <w:t> </w:t>
      </w:r>
      <w:r>
        <w:rPr>
          <w:rFonts w:ascii="Times New Roman"/>
          <w:sz w:val="19"/>
          <w:vertAlign w:val="baseline"/>
        </w:rPr>
        <w:t>1999</w:t>
      </w:r>
      <w:r>
        <w:rPr>
          <w:rFonts w:ascii="Times New Roman"/>
          <w:spacing w:val="-9"/>
          <w:sz w:val="19"/>
          <w:vertAlign w:val="baseline"/>
        </w:rPr>
        <w:t> </w:t>
      </w:r>
      <w:r>
        <w:rPr>
          <w:rFonts w:ascii="Times New Roman"/>
          <w:i/>
          <w:sz w:val="19"/>
          <w:vertAlign w:val="baseline"/>
        </w:rPr>
        <w:t>(</w:t>
      </w:r>
      <w:r>
        <w:rPr>
          <w:rFonts w:ascii="Times New Roman"/>
          <w:sz w:val="19"/>
          <w:vertAlign w:val="baseline"/>
        </w:rPr>
        <w:t>as</w:t>
      </w:r>
      <w:r>
        <w:rPr>
          <w:rFonts w:ascii="Times New Roman"/>
          <w:spacing w:val="-8"/>
          <w:sz w:val="19"/>
          <w:vertAlign w:val="baseline"/>
        </w:rPr>
        <w:t> </w:t>
      </w:r>
      <w:r>
        <w:rPr>
          <w:rFonts w:ascii="Times New Roman"/>
          <w:sz w:val="19"/>
          <w:vertAlign w:val="baseline"/>
        </w:rPr>
        <w:t>amended</w:t>
      </w:r>
      <w:r>
        <w:rPr>
          <w:rFonts w:ascii="Times New Roman"/>
          <w:i/>
          <w:sz w:val="19"/>
          <w:vertAlign w:val="baseline"/>
        </w:rPr>
        <w:t>)</w:t>
      </w:r>
      <w:r>
        <w:rPr>
          <w:rFonts w:ascii="Times New Roman"/>
          <w:i/>
          <w:spacing w:val="-7"/>
          <w:sz w:val="19"/>
          <w:vertAlign w:val="baseline"/>
        </w:rPr>
        <w:t> </w:t>
      </w:r>
      <w:r>
        <w:rPr>
          <w:rFonts w:ascii="Times New Roman"/>
          <w:sz w:val="19"/>
          <w:vertAlign w:val="baseline"/>
        </w:rPr>
        <w:t>which</w:t>
      </w:r>
      <w:r>
        <w:rPr>
          <w:rFonts w:ascii="Times New Roman"/>
          <w:spacing w:val="-5"/>
          <w:sz w:val="19"/>
          <w:vertAlign w:val="baseline"/>
        </w:rPr>
        <w:t> </w:t>
      </w:r>
      <w:r>
        <w:rPr>
          <w:rFonts w:ascii="Times New Roman"/>
          <w:sz w:val="19"/>
          <w:vertAlign w:val="baseline"/>
        </w:rPr>
        <w:t>says</w:t>
      </w:r>
      <w:r>
        <w:rPr>
          <w:rFonts w:ascii="Times New Roman"/>
          <w:spacing w:val="-8"/>
          <w:sz w:val="19"/>
          <w:vertAlign w:val="baseline"/>
        </w:rPr>
        <w:t> </w:t>
      </w:r>
      <w:r>
        <w:rPr>
          <w:rFonts w:ascii="Times New Roman"/>
          <w:sz w:val="19"/>
          <w:vertAlign w:val="baseline"/>
        </w:rPr>
        <w:t>no one shall be discriminated on the basis of the circumstance of their birth</w:t>
      </w:r>
    </w:p>
    <w:p>
      <w:pPr>
        <w:spacing w:line="216" w:lineRule="exact" w:before="0"/>
        <w:ind w:left="187" w:right="0" w:firstLine="0"/>
        <w:jc w:val="left"/>
        <w:rPr>
          <w:rFonts w:ascii="Times New Roman" w:hAnsi="Times New Roman"/>
          <w:i/>
          <w:sz w:val="19"/>
        </w:rPr>
      </w:pPr>
      <w:r>
        <w:rPr>
          <w:rFonts w:ascii="Times New Roman" w:hAnsi="Times New Roman"/>
          <w:sz w:val="19"/>
          <w:vertAlign w:val="superscript"/>
        </w:rPr>
        <w:t>276</w:t>
      </w:r>
      <w:r>
        <w:rPr>
          <w:rFonts w:ascii="Times New Roman" w:hAnsi="Times New Roman"/>
          <w:spacing w:val="-6"/>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17(5)(6)</w:t>
      </w:r>
      <w:r>
        <w:rPr>
          <w:rFonts w:ascii="Times New Roman" w:hAnsi="Times New Roman"/>
          <w:spacing w:val="23"/>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Employees’</w:t>
      </w:r>
      <w:r>
        <w:rPr>
          <w:rFonts w:ascii="Times New Roman" w:hAnsi="Times New Roman"/>
          <w:spacing w:val="-7"/>
          <w:sz w:val="19"/>
          <w:vertAlign w:val="baseline"/>
        </w:rPr>
        <w:t> </w:t>
      </w:r>
      <w:r>
        <w:rPr>
          <w:rFonts w:ascii="Times New Roman" w:hAnsi="Times New Roman"/>
          <w:sz w:val="19"/>
          <w:vertAlign w:val="baseline"/>
        </w:rPr>
        <w:t>Compensation</w:t>
      </w:r>
      <w:r>
        <w:rPr>
          <w:rFonts w:ascii="Times New Roman" w:hAnsi="Times New Roman"/>
          <w:spacing w:val="-8"/>
          <w:sz w:val="19"/>
          <w:vertAlign w:val="baseline"/>
        </w:rPr>
        <w:t> </w:t>
      </w:r>
      <w:r>
        <w:rPr>
          <w:rFonts w:ascii="Times New Roman" w:hAnsi="Times New Roman"/>
          <w:sz w:val="19"/>
          <w:vertAlign w:val="baseline"/>
        </w:rPr>
        <w:t>Act</w:t>
      </w:r>
      <w:r>
        <w:rPr>
          <w:rFonts w:ascii="Times New Roman" w:hAnsi="Times New Roman"/>
          <w:spacing w:val="-10"/>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after="0" w:line="216"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94"/>
        <w:ind w:left="864" w:right="564"/>
        <w:jc w:val="both"/>
      </w:pPr>
      <w:r>
        <w:rPr/>
        <w:t>the</w:t>
      </w:r>
      <w:r>
        <w:rPr>
          <w:spacing w:val="23"/>
        </w:rPr>
        <w:t> </w:t>
      </w:r>
      <w:r>
        <w:rPr/>
        <w:t>Board</w:t>
      </w:r>
      <w:r>
        <w:rPr>
          <w:spacing w:val="22"/>
        </w:rPr>
        <w:t> </w:t>
      </w:r>
      <w:r>
        <w:rPr/>
        <w:t>will</w:t>
      </w:r>
      <w:r>
        <w:rPr>
          <w:spacing w:val="21"/>
        </w:rPr>
        <w:t> </w:t>
      </w:r>
      <w:r>
        <w:rPr/>
        <w:t>not give any</w:t>
      </w:r>
      <w:r>
        <w:rPr>
          <w:spacing w:val="26"/>
        </w:rPr>
        <w:t> </w:t>
      </w:r>
      <w:r>
        <w:rPr/>
        <w:t>amount in</w:t>
      </w:r>
      <w:r>
        <w:rPr>
          <w:spacing w:val="21"/>
        </w:rPr>
        <w:t> </w:t>
      </w:r>
      <w:r>
        <w:rPr/>
        <w:t>excess</w:t>
      </w:r>
      <w:r>
        <w:rPr>
          <w:spacing w:val="23"/>
        </w:rPr>
        <w:t> </w:t>
      </w:r>
      <w:r>
        <w:rPr/>
        <w:t>of</w:t>
      </w:r>
      <w:r>
        <w:rPr>
          <w:spacing w:val="24"/>
        </w:rPr>
        <w:t> </w:t>
      </w:r>
      <w:r>
        <w:rPr/>
        <w:t>the statutory amount due to the dependants.</w:t>
      </w:r>
      <w:r>
        <w:rPr>
          <w:vertAlign w:val="superscript"/>
        </w:rPr>
        <w:t>277</w:t>
      </w:r>
      <w:r>
        <w:rPr>
          <w:vertAlign w:val="baseline"/>
        </w:rPr>
        <w:t> Where there is no court order or separation</w:t>
      </w:r>
      <w:r>
        <w:rPr>
          <w:spacing w:val="40"/>
          <w:vertAlign w:val="baseline"/>
        </w:rPr>
        <w:t> </w:t>
      </w:r>
      <w:r>
        <w:rPr>
          <w:vertAlign w:val="baseline"/>
        </w:rPr>
        <w:t>agreement in force at the date of the employee’s death, providing periodic payment, the Board shall make compensation in accordance with the provisions</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Act</w:t>
      </w:r>
      <w:r>
        <w:rPr>
          <w:spacing w:val="40"/>
          <w:vertAlign w:val="baseline"/>
        </w:rPr>
        <w:t> </w:t>
      </w:r>
      <w:r>
        <w:rPr>
          <w:vertAlign w:val="baseline"/>
        </w:rPr>
        <w:t>but</w:t>
      </w:r>
      <w:r>
        <w:rPr>
          <w:spacing w:val="40"/>
          <w:vertAlign w:val="baseline"/>
        </w:rPr>
        <w:t> </w:t>
      </w:r>
      <w:r>
        <w:rPr>
          <w:vertAlign w:val="baseline"/>
        </w:rPr>
        <w:t>the</w:t>
      </w:r>
      <w:r>
        <w:rPr>
          <w:spacing w:val="40"/>
          <w:vertAlign w:val="baseline"/>
        </w:rPr>
        <w:t> </w:t>
      </w:r>
      <w:r>
        <w:rPr>
          <w:vertAlign w:val="baseline"/>
        </w:rPr>
        <w:t>dependant</w:t>
      </w:r>
      <w:r>
        <w:rPr>
          <w:spacing w:val="40"/>
          <w:vertAlign w:val="baseline"/>
        </w:rPr>
        <w:t> </w:t>
      </w:r>
      <w:r>
        <w:rPr>
          <w:vertAlign w:val="baseline"/>
        </w:rPr>
        <w:t>must</w:t>
      </w:r>
      <w:r>
        <w:rPr>
          <w:spacing w:val="40"/>
          <w:vertAlign w:val="baseline"/>
        </w:rPr>
        <w:t> </w:t>
      </w:r>
      <w:r>
        <w:rPr>
          <w:vertAlign w:val="baseline"/>
        </w:rPr>
        <w:t>be</w:t>
      </w:r>
      <w:r>
        <w:rPr>
          <w:spacing w:val="40"/>
          <w:vertAlign w:val="baseline"/>
        </w:rPr>
        <w:t> </w:t>
      </w:r>
      <w:r>
        <w:rPr>
          <w:vertAlign w:val="baseline"/>
        </w:rPr>
        <w:t>living</w:t>
      </w:r>
      <w:r>
        <w:rPr>
          <w:spacing w:val="40"/>
          <w:vertAlign w:val="baseline"/>
        </w:rPr>
        <w:t> </w:t>
      </w:r>
      <w:r>
        <w:rPr>
          <w:vertAlign w:val="baseline"/>
        </w:rPr>
        <w:t>separate</w:t>
      </w:r>
      <w:r>
        <w:rPr>
          <w:spacing w:val="40"/>
          <w:vertAlign w:val="baseline"/>
        </w:rPr>
        <w:t> </w:t>
      </w:r>
      <w:r>
        <w:rPr>
          <w:vertAlign w:val="baseline"/>
        </w:rPr>
        <w:t>for</w:t>
      </w:r>
      <w:r>
        <w:rPr>
          <w:spacing w:val="40"/>
          <w:vertAlign w:val="baseline"/>
        </w:rPr>
        <w:t> </w:t>
      </w:r>
      <w:r>
        <w:rPr>
          <w:vertAlign w:val="baseline"/>
        </w:rPr>
        <w:t>a period less than three months preceding the death of the employee.</w:t>
      </w:r>
      <w:r>
        <w:rPr>
          <w:vertAlign w:val="superscript"/>
        </w:rPr>
        <w:t>278</w:t>
      </w:r>
      <w:r>
        <w:rPr>
          <w:vertAlign w:val="baseline"/>
        </w:rPr>
        <w:t> Where they are separate for three months and above at the date of the death</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employee</w:t>
      </w:r>
      <w:r>
        <w:rPr>
          <w:spacing w:val="40"/>
          <w:vertAlign w:val="baseline"/>
        </w:rPr>
        <w:t> </w:t>
      </w:r>
      <w:r>
        <w:rPr>
          <w:vertAlign w:val="baseline"/>
        </w:rPr>
        <w:t>and</w:t>
      </w:r>
      <w:r>
        <w:rPr>
          <w:spacing w:val="40"/>
          <w:vertAlign w:val="baseline"/>
        </w:rPr>
        <w:t> </w:t>
      </w:r>
      <w:r>
        <w:rPr>
          <w:vertAlign w:val="baseline"/>
        </w:rPr>
        <w:t>there</w:t>
      </w:r>
      <w:r>
        <w:rPr>
          <w:spacing w:val="40"/>
          <w:vertAlign w:val="baseline"/>
        </w:rPr>
        <w:t> </w:t>
      </w:r>
      <w:r>
        <w:rPr>
          <w:vertAlign w:val="baseline"/>
        </w:rPr>
        <w:t>is</w:t>
      </w:r>
      <w:r>
        <w:rPr>
          <w:spacing w:val="40"/>
          <w:vertAlign w:val="baseline"/>
        </w:rPr>
        <w:t> </w:t>
      </w:r>
      <w:r>
        <w:rPr>
          <w:vertAlign w:val="baseline"/>
        </w:rPr>
        <w:t>no</w:t>
      </w:r>
      <w:r>
        <w:rPr>
          <w:spacing w:val="40"/>
          <w:vertAlign w:val="baseline"/>
        </w:rPr>
        <w:t> </w:t>
      </w:r>
      <w:r>
        <w:rPr>
          <w:vertAlign w:val="baseline"/>
        </w:rPr>
        <w:t>court</w:t>
      </w:r>
      <w:r>
        <w:rPr>
          <w:spacing w:val="40"/>
          <w:vertAlign w:val="baseline"/>
        </w:rPr>
        <w:t> </w:t>
      </w:r>
      <w:r>
        <w:rPr>
          <w:vertAlign w:val="baseline"/>
        </w:rPr>
        <w:t>order</w:t>
      </w:r>
      <w:r>
        <w:rPr>
          <w:spacing w:val="40"/>
          <w:vertAlign w:val="baseline"/>
        </w:rPr>
        <w:t> </w:t>
      </w:r>
      <w:r>
        <w:rPr>
          <w:vertAlign w:val="baseline"/>
        </w:rPr>
        <w:t>or</w:t>
      </w:r>
      <w:r>
        <w:rPr>
          <w:spacing w:val="40"/>
          <w:vertAlign w:val="baseline"/>
        </w:rPr>
        <w:t> </w:t>
      </w:r>
      <w:r>
        <w:rPr>
          <w:vertAlign w:val="baseline"/>
        </w:rPr>
        <w:t>separation agreement in force, the Board will give monthly payment it believes the spouse and the children would have been likely to receive from the employee if he had not died.</w:t>
      </w:r>
      <w:r>
        <w:rPr>
          <w:vertAlign w:val="superscript"/>
        </w:rPr>
        <w:t>279</w:t>
      </w:r>
      <w:r>
        <w:rPr>
          <w:vertAlign w:val="baseline"/>
        </w:rPr>
        <w:t> In the exercise of its discretion, the Board shall not give an amount that exceeds the one statutorily prescribed.</w:t>
      </w:r>
      <w:r>
        <w:rPr>
          <w:vertAlign w:val="superscript"/>
        </w:rPr>
        <w:t>280</w:t>
      </w:r>
    </w:p>
    <w:p>
      <w:pPr>
        <w:pStyle w:val="BodyText"/>
        <w:spacing w:before="20"/>
      </w:pPr>
    </w:p>
    <w:p>
      <w:pPr>
        <w:pStyle w:val="BodyText"/>
        <w:spacing w:line="489" w:lineRule="auto"/>
        <w:ind w:left="864" w:right="565"/>
        <w:jc w:val="both"/>
      </w:pPr>
      <w:r>
        <w:rPr/>
        <w:t>Where an employee lived with and contributed to the support and maintenance of a spouse and the employee and the spouse have no</w:t>
      </w:r>
      <w:r>
        <w:rPr>
          <w:spacing w:val="80"/>
        </w:rPr>
        <w:t> </w:t>
      </w:r>
      <w:r>
        <w:rPr/>
        <w:t>children for a period of three years or</w:t>
      </w:r>
      <w:r>
        <w:rPr>
          <w:spacing w:val="80"/>
          <w:w w:val="150"/>
        </w:rPr>
        <w:t> </w:t>
      </w:r>
      <w:r>
        <w:rPr/>
        <w:t>have children for the period of one year immediately preceding the death of the employee and when he/she does not leave a dependant widower, or widow, the Board may pay for the compensation to which the dependant widow or widower would have been entitled under the Act, to the spouse.</w:t>
      </w:r>
      <w:r>
        <w:rPr>
          <w:vertAlign w:val="superscript"/>
        </w:rPr>
        <w:t>281</w:t>
      </w:r>
      <w:r>
        <w:rPr>
          <w:vertAlign w:val="baseline"/>
        </w:rPr>
        <w:t> In a situation where an employee has</w:t>
      </w:r>
      <w:r>
        <w:rPr>
          <w:spacing w:val="58"/>
          <w:vertAlign w:val="baseline"/>
        </w:rPr>
        <w:t> </w:t>
      </w:r>
      <w:r>
        <w:rPr>
          <w:vertAlign w:val="baseline"/>
        </w:rPr>
        <w:t>lived</w:t>
      </w:r>
      <w:r>
        <w:rPr>
          <w:spacing w:val="61"/>
          <w:vertAlign w:val="baseline"/>
        </w:rPr>
        <w:t> </w:t>
      </w:r>
      <w:r>
        <w:rPr>
          <w:vertAlign w:val="baseline"/>
        </w:rPr>
        <w:t>with</w:t>
      </w:r>
      <w:r>
        <w:rPr>
          <w:spacing w:val="66"/>
          <w:vertAlign w:val="baseline"/>
        </w:rPr>
        <w:t> </w:t>
      </w:r>
      <w:r>
        <w:rPr>
          <w:vertAlign w:val="baseline"/>
        </w:rPr>
        <w:t>and</w:t>
      </w:r>
      <w:r>
        <w:rPr>
          <w:spacing w:val="56"/>
          <w:vertAlign w:val="baseline"/>
        </w:rPr>
        <w:t> </w:t>
      </w:r>
      <w:r>
        <w:rPr>
          <w:vertAlign w:val="baseline"/>
        </w:rPr>
        <w:t>contributed</w:t>
      </w:r>
      <w:r>
        <w:rPr>
          <w:spacing w:val="61"/>
          <w:vertAlign w:val="baseline"/>
        </w:rPr>
        <w:t> </w:t>
      </w:r>
      <w:r>
        <w:rPr>
          <w:vertAlign w:val="baseline"/>
        </w:rPr>
        <w:t>to</w:t>
      </w:r>
      <w:r>
        <w:rPr>
          <w:spacing w:val="55"/>
          <w:vertAlign w:val="baseline"/>
        </w:rPr>
        <w:t> </w:t>
      </w:r>
      <w:r>
        <w:rPr>
          <w:vertAlign w:val="baseline"/>
        </w:rPr>
        <w:t>the</w:t>
      </w:r>
      <w:r>
        <w:rPr>
          <w:spacing w:val="53"/>
          <w:vertAlign w:val="baseline"/>
        </w:rPr>
        <w:t> </w:t>
      </w:r>
      <w:r>
        <w:rPr>
          <w:vertAlign w:val="baseline"/>
        </w:rPr>
        <w:t>support</w:t>
      </w:r>
      <w:r>
        <w:rPr>
          <w:spacing w:val="55"/>
          <w:vertAlign w:val="baseline"/>
        </w:rPr>
        <w:t> </w:t>
      </w:r>
      <w:r>
        <w:rPr>
          <w:vertAlign w:val="baseline"/>
        </w:rPr>
        <w:t>and</w:t>
      </w:r>
      <w:r>
        <w:rPr>
          <w:spacing w:val="56"/>
          <w:vertAlign w:val="baseline"/>
        </w:rPr>
        <w:t> </w:t>
      </w:r>
      <w:r>
        <w:rPr>
          <w:vertAlign w:val="baseline"/>
        </w:rPr>
        <w:t>maintenance</w:t>
      </w:r>
      <w:r>
        <w:rPr>
          <w:spacing w:val="63"/>
          <w:vertAlign w:val="baseline"/>
        </w:rPr>
        <w:t> </w:t>
      </w:r>
      <w:r>
        <w:rPr>
          <w:vertAlign w:val="baseline"/>
        </w:rPr>
        <w:t>of</w:t>
      </w:r>
      <w:r>
        <w:rPr>
          <w:spacing w:val="64"/>
          <w:vertAlign w:val="baseline"/>
        </w:rPr>
        <w:t> </w:t>
      </w:r>
      <w:r>
        <w:rPr>
          <w:spacing w:val="-5"/>
          <w:vertAlign w:val="baseline"/>
        </w:rPr>
        <w:t>the</w:t>
      </w:r>
    </w:p>
    <w:p>
      <w:pPr>
        <w:pStyle w:val="BodyText"/>
        <w:spacing w:before="28"/>
        <w:rPr>
          <w:sz w:val="20"/>
        </w:rPr>
      </w:pPr>
      <w:r>
        <w:rPr/>
        <mc:AlternateContent>
          <mc:Choice Requires="wps">
            <w:drawing>
              <wp:anchor distT="0" distB="0" distL="0" distR="0" allowOverlap="1" layoutInCell="1" locked="0" behindDoc="1" simplePos="0" relativeHeight="487638016">
                <wp:simplePos x="0" y="0"/>
                <wp:positionH relativeFrom="page">
                  <wp:posOffset>1185672</wp:posOffset>
                </wp:positionH>
                <wp:positionV relativeFrom="paragraph">
                  <wp:posOffset>186436</wp:posOffset>
                </wp:positionV>
                <wp:extent cx="1719580" cy="6350"/>
                <wp:effectExtent l="0" t="0" r="0" b="0"/>
                <wp:wrapTopAndBottom/>
                <wp:docPr id="113" name="Graphic 113"/>
                <wp:cNvGraphicFramePr>
                  <a:graphicFrameLocks/>
                </wp:cNvGraphicFramePr>
                <a:graphic>
                  <a:graphicData uri="http://schemas.microsoft.com/office/word/2010/wordprocessingShape">
                    <wps:wsp>
                      <wps:cNvPr id="113" name="Graphic 11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680079pt;width:135.360pt;height:.48pt;mso-position-horizontal-relative:page;mso-position-vertical-relative:paragraph;z-index:-15678464;mso-wrap-distance-left:0;mso-wrap-distance-right:0" id="docshape113"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277</w:t>
      </w:r>
      <w:r>
        <w:rPr>
          <w:rFonts w:ascii="Times New Roman"/>
          <w:spacing w:val="-1"/>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17(7)(a)</w:t>
      </w:r>
      <w:r>
        <w:rPr>
          <w:rFonts w:ascii="Times New Roman"/>
          <w:spacing w:val="-7"/>
          <w:sz w:val="19"/>
          <w:vertAlign w:val="baseline"/>
        </w:rPr>
        <w:t> </w:t>
      </w:r>
      <w:r>
        <w:rPr>
          <w:rFonts w:ascii="Times New Roman"/>
          <w:sz w:val="19"/>
          <w:vertAlign w:val="baseline"/>
        </w:rPr>
        <w:t>and</w:t>
      </w:r>
      <w:r>
        <w:rPr>
          <w:rFonts w:ascii="Times New Roman"/>
          <w:spacing w:val="-9"/>
          <w:sz w:val="19"/>
          <w:vertAlign w:val="baseline"/>
        </w:rPr>
        <w:t> </w:t>
      </w:r>
      <w:r>
        <w:rPr>
          <w:rFonts w:ascii="Times New Roman"/>
          <w:sz w:val="19"/>
          <w:vertAlign w:val="baseline"/>
        </w:rPr>
        <w:t>8</w:t>
      </w:r>
      <w:r>
        <w:rPr>
          <w:rFonts w:ascii="Times New Roman"/>
          <w:spacing w:val="-9"/>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278</w:t>
      </w:r>
      <w:r>
        <w:rPr>
          <w:rFonts w:ascii="Times New Roman"/>
          <w:spacing w:val="-8"/>
          <w:sz w:val="19"/>
          <w:vertAlign w:val="baseline"/>
        </w:rPr>
        <w:t> </w:t>
      </w:r>
      <w:r>
        <w:rPr>
          <w:rFonts w:ascii="Times New Roman"/>
          <w:sz w:val="19"/>
          <w:vertAlign w:val="baseline"/>
        </w:rPr>
        <w:t>Section</w:t>
      </w:r>
      <w:r>
        <w:rPr>
          <w:rFonts w:ascii="Times New Roman"/>
          <w:spacing w:val="-5"/>
          <w:sz w:val="19"/>
          <w:vertAlign w:val="baseline"/>
        </w:rPr>
        <w:t> </w:t>
      </w:r>
      <w:r>
        <w:rPr>
          <w:rFonts w:ascii="Times New Roman"/>
          <w:sz w:val="19"/>
          <w:vertAlign w:val="baseline"/>
        </w:rPr>
        <w:t>17(7)(b)(i)</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279</w:t>
      </w:r>
      <w:r>
        <w:rPr>
          <w:rFonts w:ascii="Times New Roman"/>
          <w:spacing w:val="-7"/>
          <w:sz w:val="19"/>
          <w:vertAlign w:val="baseline"/>
        </w:rPr>
        <w:t> </w:t>
      </w:r>
      <w:r>
        <w:rPr>
          <w:rFonts w:ascii="Times New Roman"/>
          <w:sz w:val="19"/>
          <w:vertAlign w:val="baseline"/>
        </w:rPr>
        <w:t>Section</w:t>
      </w:r>
      <w:r>
        <w:rPr>
          <w:rFonts w:ascii="Times New Roman"/>
          <w:spacing w:val="-6"/>
          <w:sz w:val="19"/>
          <w:vertAlign w:val="baseline"/>
        </w:rPr>
        <w:t> </w:t>
      </w:r>
      <w:r>
        <w:rPr>
          <w:rFonts w:ascii="Times New Roman"/>
          <w:sz w:val="19"/>
          <w:vertAlign w:val="baseline"/>
        </w:rPr>
        <w:t>17(7)(b)(ii)</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280</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17(8)</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281</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17(9</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5"/>
        <w:jc w:val="both"/>
      </w:pPr>
      <w:r>
        <w:rPr/>
        <w:t>spouse for periods mentioned above and where an employee also left surviving,</w:t>
      </w:r>
      <w:r>
        <w:rPr>
          <w:spacing w:val="25"/>
        </w:rPr>
        <w:t> </w:t>
      </w:r>
      <w:r>
        <w:rPr/>
        <w:t>a dependant,</w:t>
      </w:r>
      <w:r>
        <w:rPr>
          <w:spacing w:val="25"/>
        </w:rPr>
        <w:t> </w:t>
      </w:r>
      <w:r>
        <w:rPr/>
        <w:t>widow</w:t>
      </w:r>
      <w:r>
        <w:rPr>
          <w:spacing w:val="22"/>
        </w:rPr>
        <w:t> </w:t>
      </w:r>
      <w:r>
        <w:rPr/>
        <w:t>or widower</w:t>
      </w:r>
      <w:r>
        <w:rPr>
          <w:spacing w:val="26"/>
        </w:rPr>
        <w:t> </w:t>
      </w:r>
      <w:r>
        <w:rPr/>
        <w:t>whom</w:t>
      </w:r>
      <w:r>
        <w:rPr>
          <w:spacing w:val="24"/>
        </w:rPr>
        <w:t> </w:t>
      </w:r>
      <w:r>
        <w:rPr/>
        <w:t>at the</w:t>
      </w:r>
      <w:r>
        <w:rPr>
          <w:spacing w:val="25"/>
        </w:rPr>
        <w:t> </w:t>
      </w:r>
      <w:r>
        <w:rPr/>
        <w:t>date of</w:t>
      </w:r>
      <w:r>
        <w:rPr>
          <w:spacing w:val="26"/>
        </w:rPr>
        <w:t> </w:t>
      </w:r>
      <w:r>
        <w:rPr/>
        <w:t>the death of that deceased, was living separate and apart and there is a difference in the amount of</w:t>
      </w:r>
      <w:r>
        <w:rPr>
          <w:spacing w:val="31"/>
        </w:rPr>
        <w:t> </w:t>
      </w:r>
      <w:r>
        <w:rPr/>
        <w:t>compensation</w:t>
      </w:r>
      <w:r>
        <w:rPr>
          <w:spacing w:val="28"/>
        </w:rPr>
        <w:t> </w:t>
      </w:r>
      <w:r>
        <w:rPr/>
        <w:t>payable to</w:t>
      </w:r>
      <w:r>
        <w:rPr>
          <w:spacing w:val="31"/>
        </w:rPr>
        <w:t> </w:t>
      </w:r>
      <w:r>
        <w:rPr/>
        <w:t>the widower, widower,</w:t>
      </w:r>
      <w:r>
        <w:rPr>
          <w:spacing w:val="30"/>
        </w:rPr>
        <w:t> </w:t>
      </w:r>
      <w:r>
        <w:rPr/>
        <w:t>by reason of the separation and the amount of compensation that would have been payable to that spouse if the spouse and the employee had not been living separate and apart, the Board may pay compensation to the spouse up to the amount of the difference.</w:t>
      </w:r>
      <w:r>
        <w:rPr>
          <w:vertAlign w:val="superscript"/>
        </w:rPr>
        <w:t>282</w:t>
      </w:r>
    </w:p>
    <w:p>
      <w:pPr>
        <w:pStyle w:val="BodyText"/>
        <w:spacing w:before="15"/>
      </w:pPr>
    </w:p>
    <w:p>
      <w:pPr>
        <w:pStyle w:val="BodyText"/>
        <w:spacing w:line="489" w:lineRule="auto"/>
        <w:ind w:left="864" w:right="566"/>
        <w:jc w:val="both"/>
      </w:pPr>
      <w:r>
        <w:rPr/>
        <w:t>There are situations where there is need to share the compensation due under the Act, amongst dependants and the Act has made provision for</w:t>
      </w:r>
      <w:r>
        <w:rPr>
          <w:spacing w:val="40"/>
        </w:rPr>
        <w:t> </w:t>
      </w:r>
      <w:r>
        <w:rPr/>
        <w:t>such a situation as regard the formula for apportionment of compensation amongst dependent spouses and children. Where there is a dependent spouse and child, the spouse takes two- third while the child takes one- third.</w:t>
      </w:r>
      <w:r>
        <w:rPr>
          <w:vertAlign w:val="superscript"/>
        </w:rPr>
        <w:t>283</w:t>
      </w:r>
      <w:r>
        <w:rPr>
          <w:vertAlign w:val="baseline"/>
        </w:rPr>
        <w:t> Where there is a dependent spouse and more than one child, the spouse takes half and the children take half to be shared equally.</w:t>
      </w:r>
      <w:r>
        <w:rPr>
          <w:vertAlign w:val="superscript"/>
        </w:rPr>
        <w:t>284</w:t>
      </w:r>
      <w:r>
        <w:rPr>
          <w:vertAlign w:val="baseline"/>
        </w:rPr>
        <w:t> Where there is no surviving spouse, the amount of compensation is shared</w:t>
      </w:r>
      <w:r>
        <w:rPr>
          <w:spacing w:val="40"/>
          <w:vertAlign w:val="baseline"/>
        </w:rPr>
        <w:t> </w:t>
      </w:r>
      <w:r>
        <w:rPr>
          <w:vertAlign w:val="baseline"/>
        </w:rPr>
        <w:t>amongst children equally.</w:t>
      </w:r>
      <w:r>
        <w:rPr>
          <w:vertAlign w:val="superscript"/>
        </w:rPr>
        <w:t>285</w:t>
      </w:r>
      <w:r>
        <w:rPr>
          <w:vertAlign w:val="baseline"/>
        </w:rPr>
        <w:t> The Board may however have grounds for a different apportionment but unless and until that is the case the provisions here shall be the sharing formula.</w:t>
      </w:r>
      <w:r>
        <w:rPr>
          <w:vertAlign w:val="superscript"/>
        </w:rPr>
        <w:t>286</w:t>
      </w:r>
      <w:r>
        <w:rPr>
          <w:vertAlign w:val="baseline"/>
        </w:rPr>
        <w:t> If a dependant is to receive a compensation</w:t>
      </w:r>
      <w:r>
        <w:rPr>
          <w:spacing w:val="21"/>
          <w:vertAlign w:val="baseline"/>
        </w:rPr>
        <w:t> </w:t>
      </w:r>
      <w:r>
        <w:rPr>
          <w:vertAlign w:val="baseline"/>
        </w:rPr>
        <w:t>for</w:t>
      </w:r>
      <w:r>
        <w:rPr>
          <w:spacing w:val="24"/>
          <w:vertAlign w:val="baseline"/>
        </w:rPr>
        <w:t> </w:t>
      </w:r>
      <w:r>
        <w:rPr>
          <w:vertAlign w:val="baseline"/>
        </w:rPr>
        <w:t>death</w:t>
      </w:r>
      <w:r>
        <w:rPr>
          <w:spacing w:val="21"/>
          <w:vertAlign w:val="baseline"/>
        </w:rPr>
        <w:t> </w:t>
      </w:r>
      <w:r>
        <w:rPr>
          <w:vertAlign w:val="baseline"/>
        </w:rPr>
        <w:t>of</w:t>
      </w:r>
      <w:r>
        <w:rPr>
          <w:spacing w:val="24"/>
          <w:vertAlign w:val="baseline"/>
        </w:rPr>
        <w:t> </w:t>
      </w:r>
      <w:r>
        <w:rPr>
          <w:vertAlign w:val="baseline"/>
        </w:rPr>
        <w:t>an</w:t>
      </w:r>
      <w:r>
        <w:rPr>
          <w:spacing w:val="21"/>
          <w:vertAlign w:val="baseline"/>
        </w:rPr>
        <w:t> </w:t>
      </w:r>
      <w:r>
        <w:rPr>
          <w:vertAlign w:val="baseline"/>
        </w:rPr>
        <w:t>employee</w:t>
      </w:r>
      <w:r>
        <w:rPr>
          <w:spacing w:val="19"/>
          <w:vertAlign w:val="baseline"/>
        </w:rPr>
        <w:t> </w:t>
      </w:r>
      <w:r>
        <w:rPr>
          <w:vertAlign w:val="baseline"/>
        </w:rPr>
        <w:t>and</w:t>
      </w:r>
      <w:r>
        <w:rPr>
          <w:spacing w:val="22"/>
          <w:vertAlign w:val="baseline"/>
        </w:rPr>
        <w:t> </w:t>
      </w:r>
      <w:r>
        <w:rPr>
          <w:vertAlign w:val="baseline"/>
        </w:rPr>
        <w:t>subsequent</w:t>
      </w:r>
      <w:r>
        <w:rPr>
          <w:spacing w:val="20"/>
          <w:vertAlign w:val="baseline"/>
        </w:rPr>
        <w:t> </w:t>
      </w:r>
      <w:r>
        <w:rPr>
          <w:vertAlign w:val="baseline"/>
        </w:rPr>
        <w:t>death</w:t>
      </w:r>
      <w:r>
        <w:rPr>
          <w:spacing w:val="21"/>
          <w:vertAlign w:val="baseline"/>
        </w:rPr>
        <w:t> </w:t>
      </w:r>
      <w:r>
        <w:rPr>
          <w:vertAlign w:val="baseline"/>
        </w:rPr>
        <w:t>of</w:t>
      </w:r>
      <w:r>
        <w:rPr>
          <w:spacing w:val="24"/>
          <w:vertAlign w:val="baseline"/>
        </w:rPr>
        <w:t> </w:t>
      </w:r>
      <w:r>
        <w:rPr>
          <w:spacing w:val="-2"/>
          <w:vertAlign w:val="baseline"/>
        </w:rPr>
        <w:t>another</w:t>
      </w:r>
    </w:p>
    <w:p>
      <w:pPr>
        <w:pStyle w:val="BodyText"/>
        <w:spacing w:before="33"/>
        <w:rPr>
          <w:sz w:val="20"/>
        </w:rPr>
      </w:pPr>
      <w:r>
        <w:rPr/>
        <mc:AlternateContent>
          <mc:Choice Requires="wps">
            <w:drawing>
              <wp:anchor distT="0" distB="0" distL="0" distR="0" allowOverlap="1" layoutInCell="1" locked="0" behindDoc="1" simplePos="0" relativeHeight="487638528">
                <wp:simplePos x="0" y="0"/>
                <wp:positionH relativeFrom="page">
                  <wp:posOffset>1185672</wp:posOffset>
                </wp:positionH>
                <wp:positionV relativeFrom="paragraph">
                  <wp:posOffset>189611</wp:posOffset>
                </wp:positionV>
                <wp:extent cx="1719580" cy="6350"/>
                <wp:effectExtent l="0" t="0" r="0" b="0"/>
                <wp:wrapTopAndBottom/>
                <wp:docPr id="114" name="Graphic 114"/>
                <wp:cNvGraphicFramePr>
                  <a:graphicFrameLocks/>
                </wp:cNvGraphicFramePr>
                <a:graphic>
                  <a:graphicData uri="http://schemas.microsoft.com/office/word/2010/wordprocessingShape">
                    <wps:wsp>
                      <wps:cNvPr id="114" name="Graphic 114"/>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930079pt;width:135.360pt;height:.48pt;mso-position-horizontal-relative:page;mso-position-vertical-relative:paragraph;z-index:-15677952;mso-wrap-distance-left:0;mso-wrap-distance-right:0" id="docshape114"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282</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17(10)</w:t>
      </w:r>
      <w:r>
        <w:rPr>
          <w:rFonts w:ascii="Times New Roman"/>
          <w:spacing w:val="-12"/>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283</w:t>
      </w:r>
      <w:r>
        <w:rPr>
          <w:rFonts w:ascii="Times New Roman"/>
          <w:spacing w:val="-1"/>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17(11)</w:t>
      </w:r>
      <w:r>
        <w:rPr>
          <w:rFonts w:ascii="Times New Roman"/>
          <w:spacing w:val="-10"/>
          <w:sz w:val="19"/>
          <w:vertAlign w:val="baseline"/>
        </w:rPr>
        <w:t> </w:t>
      </w:r>
      <w:r>
        <w:rPr>
          <w:rFonts w:ascii="Times New Roman"/>
          <w:sz w:val="19"/>
          <w:vertAlign w:val="baseline"/>
        </w:rPr>
        <w:t>(a)</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284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17(11)</w:t>
      </w:r>
      <w:r>
        <w:rPr>
          <w:rFonts w:ascii="Times New Roman"/>
          <w:spacing w:val="-11"/>
          <w:sz w:val="19"/>
          <w:vertAlign w:val="baseline"/>
        </w:rPr>
        <w:t> </w:t>
      </w:r>
      <w:r>
        <w:rPr>
          <w:rFonts w:ascii="Times New Roman"/>
          <w:sz w:val="19"/>
          <w:vertAlign w:val="baseline"/>
        </w:rPr>
        <w:t>(b)</w:t>
      </w:r>
      <w:r>
        <w:rPr>
          <w:rFonts w:ascii="Times New Roman"/>
          <w:spacing w:val="-4"/>
          <w:sz w:val="19"/>
          <w:vertAlign w:val="baseline"/>
        </w:rPr>
        <w:t> </w:t>
      </w:r>
      <w:r>
        <w:rPr>
          <w:rFonts w:ascii="Times New Roman"/>
          <w:i/>
          <w:spacing w:val="-4"/>
          <w:sz w:val="19"/>
          <w:vertAlign w:val="baseline"/>
        </w:rPr>
        <w:t>ibid</w:t>
      </w:r>
    </w:p>
    <w:p>
      <w:pPr>
        <w:spacing w:line="205" w:lineRule="exact" w:before="0"/>
        <w:ind w:left="187" w:right="0" w:firstLine="0"/>
        <w:jc w:val="left"/>
        <w:rPr>
          <w:rFonts w:ascii="Times New Roman"/>
          <w:i/>
          <w:sz w:val="19"/>
        </w:rPr>
      </w:pPr>
      <w:r>
        <w:rPr>
          <w:rFonts w:ascii="Times New Roman"/>
          <w:sz w:val="19"/>
          <w:vertAlign w:val="superscript"/>
        </w:rPr>
        <w:t>285</w:t>
      </w:r>
      <w:r>
        <w:rPr>
          <w:rFonts w:ascii="Times New Roman"/>
          <w:spacing w:val="-6"/>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17</w:t>
      </w:r>
      <w:r>
        <w:rPr>
          <w:rFonts w:ascii="Times New Roman"/>
          <w:spacing w:val="-4"/>
          <w:sz w:val="19"/>
          <w:vertAlign w:val="baseline"/>
        </w:rPr>
        <w:t> </w:t>
      </w:r>
      <w:r>
        <w:rPr>
          <w:rFonts w:ascii="Times New Roman"/>
          <w:sz w:val="19"/>
          <w:vertAlign w:val="baseline"/>
        </w:rPr>
        <w:t>(11)(c)</w:t>
      </w:r>
      <w:r>
        <w:rPr>
          <w:rFonts w:ascii="Times New Roman"/>
          <w:spacing w:val="-12"/>
          <w:sz w:val="19"/>
          <w:vertAlign w:val="baseline"/>
        </w:rPr>
        <w:t> </w:t>
      </w:r>
      <w:r>
        <w:rPr>
          <w:rFonts w:ascii="Times New Roman"/>
          <w:i/>
          <w:spacing w:val="-4"/>
          <w:sz w:val="19"/>
          <w:vertAlign w:val="baseline"/>
        </w:rPr>
        <w:t>ibid</w:t>
      </w:r>
    </w:p>
    <w:p>
      <w:pPr>
        <w:spacing w:line="126" w:lineRule="exact" w:before="0"/>
        <w:ind w:left="187" w:right="0" w:firstLine="0"/>
        <w:jc w:val="left"/>
        <w:rPr>
          <w:rFonts w:ascii="Times New Roman"/>
          <w:sz w:val="12"/>
        </w:rPr>
      </w:pPr>
      <w:r>
        <w:rPr>
          <w:rFonts w:ascii="Times New Roman"/>
          <w:sz w:val="12"/>
        </w:rPr>
        <w:t>286??Section??????</w:t>
      </w:r>
      <w:r>
        <w:rPr>
          <w:rFonts w:ascii="Times New Roman"/>
          <w:spacing w:val="72"/>
          <w:sz w:val="12"/>
        </w:rPr>
        <w:t> </w:t>
      </w:r>
      <w:r>
        <w:rPr>
          <w:rFonts w:ascii="Times New Roman"/>
          <w:spacing w:val="-2"/>
          <w:sz w:val="12"/>
        </w:rPr>
        <w:t>????????ibid</w:t>
      </w:r>
    </w:p>
    <w:p>
      <w:pPr>
        <w:spacing w:after="0" w:line="126" w:lineRule="exact"/>
        <w:jc w:val="left"/>
        <w:rPr>
          <w:rFonts w:ascii="Times New Roman"/>
          <w:sz w:val="12"/>
        </w:rPr>
        <w:sectPr>
          <w:pgSz w:w="12240" w:h="15840"/>
          <w:pgMar w:header="0" w:footer="1009" w:top="1260" w:bottom="1200" w:left="1680" w:right="1320"/>
        </w:sectPr>
      </w:pPr>
    </w:p>
    <w:p>
      <w:pPr>
        <w:pStyle w:val="BodyText"/>
        <w:spacing w:line="489" w:lineRule="auto" w:before="94"/>
        <w:ind w:left="864" w:right="566"/>
        <w:jc w:val="both"/>
      </w:pPr>
      <w:r>
        <w:rPr/>
        <w:t>employee, the total compensation payable shall be an amount that the Board has reasonable ground to believe is appropriate, provided that the compensation payable in respect of a dependant shall not be less than the highest of the amounts that would otherwise be payable in respect of the death</w:t>
      </w:r>
      <w:r>
        <w:rPr>
          <w:spacing w:val="29"/>
        </w:rPr>
        <w:t> </w:t>
      </w:r>
      <w:r>
        <w:rPr/>
        <w:t>of</w:t>
      </w:r>
      <w:r>
        <w:rPr>
          <w:spacing w:val="31"/>
        </w:rPr>
        <w:t> </w:t>
      </w:r>
      <w:r>
        <w:rPr/>
        <w:t>any</w:t>
      </w:r>
      <w:r>
        <w:rPr>
          <w:spacing w:val="33"/>
        </w:rPr>
        <w:t> </w:t>
      </w:r>
      <w:r>
        <w:rPr/>
        <w:t>of</w:t>
      </w:r>
      <w:r>
        <w:rPr>
          <w:spacing w:val="31"/>
        </w:rPr>
        <w:t> </w:t>
      </w:r>
      <w:r>
        <w:rPr/>
        <w:t>the</w:t>
      </w:r>
      <w:r>
        <w:rPr>
          <w:spacing w:val="31"/>
        </w:rPr>
        <w:t> </w:t>
      </w:r>
      <w:r>
        <w:rPr/>
        <w:t>employees and</w:t>
      </w:r>
      <w:r>
        <w:rPr>
          <w:spacing w:val="29"/>
        </w:rPr>
        <w:t> </w:t>
      </w:r>
      <w:r>
        <w:rPr/>
        <w:t>shall</w:t>
      </w:r>
      <w:r>
        <w:rPr>
          <w:spacing w:val="29"/>
        </w:rPr>
        <w:t> </w:t>
      </w:r>
      <w:r>
        <w:rPr/>
        <w:t>not</w:t>
      </w:r>
      <w:r>
        <w:rPr>
          <w:spacing w:val="28"/>
        </w:rPr>
        <w:t> </w:t>
      </w:r>
      <w:r>
        <w:rPr/>
        <w:t>be more</w:t>
      </w:r>
      <w:r>
        <w:rPr>
          <w:spacing w:val="31"/>
        </w:rPr>
        <w:t> </w:t>
      </w:r>
      <w:r>
        <w:rPr/>
        <w:t>than</w:t>
      </w:r>
      <w:r>
        <w:rPr>
          <w:spacing w:val="33"/>
        </w:rPr>
        <w:t> </w:t>
      </w:r>
      <w:r>
        <w:rPr/>
        <w:t>90</w:t>
      </w:r>
      <w:r>
        <w:rPr>
          <w:spacing w:val="31"/>
        </w:rPr>
        <w:t> </w:t>
      </w:r>
      <w:r>
        <w:rPr/>
        <w:t>percent</w:t>
      </w:r>
      <w:r>
        <w:rPr>
          <w:spacing w:val="33"/>
        </w:rPr>
        <w:t> </w:t>
      </w:r>
      <w:r>
        <w:rPr/>
        <w:t>of the average remuneration of an employee.</w:t>
      </w:r>
      <w:r>
        <w:rPr>
          <w:vertAlign w:val="superscript"/>
        </w:rPr>
        <w:t>287</w:t>
      </w:r>
      <w:r>
        <w:rPr>
          <w:vertAlign w:val="baseline"/>
        </w:rPr>
        <w:t> It is the candid view of the researcher that the dependant should be entitled to the full statutory portions for the two deceased employees on whose resources he/she depends. Compensation for death should not only be seen in terms of loss</w:t>
      </w:r>
      <w:r>
        <w:rPr>
          <w:spacing w:val="40"/>
          <w:vertAlign w:val="baseline"/>
        </w:rPr>
        <w:t> </w:t>
      </w:r>
      <w:r>
        <w:rPr>
          <w:vertAlign w:val="baseline"/>
        </w:rPr>
        <w:t>of monetary assistance; it goes beyond that. It will not comfort any dependant to go home with what is due for the death of one employee</w:t>
      </w:r>
      <w:r>
        <w:rPr>
          <w:spacing w:val="40"/>
          <w:vertAlign w:val="baseline"/>
        </w:rPr>
        <w:t> </w:t>
      </w:r>
      <w:r>
        <w:rPr>
          <w:vertAlign w:val="baseline"/>
        </w:rPr>
        <w:t>when</w:t>
      </w:r>
      <w:r>
        <w:rPr>
          <w:spacing w:val="40"/>
          <w:vertAlign w:val="baseline"/>
        </w:rPr>
        <w:t> </w:t>
      </w:r>
      <w:r>
        <w:rPr>
          <w:vertAlign w:val="baseline"/>
        </w:rPr>
        <w:t>in</w:t>
      </w:r>
      <w:r>
        <w:rPr>
          <w:spacing w:val="40"/>
          <w:vertAlign w:val="baseline"/>
        </w:rPr>
        <w:t> </w:t>
      </w:r>
      <w:r>
        <w:rPr>
          <w:vertAlign w:val="baseline"/>
        </w:rPr>
        <w:t>fact</w:t>
      </w:r>
      <w:r>
        <w:rPr>
          <w:spacing w:val="40"/>
          <w:vertAlign w:val="baseline"/>
        </w:rPr>
        <w:t> </w:t>
      </w:r>
      <w:r>
        <w:rPr>
          <w:vertAlign w:val="baseline"/>
        </w:rPr>
        <w:t>he</w:t>
      </w:r>
      <w:r>
        <w:rPr>
          <w:spacing w:val="40"/>
          <w:vertAlign w:val="baseline"/>
        </w:rPr>
        <w:t> </w:t>
      </w:r>
      <w:r>
        <w:rPr>
          <w:vertAlign w:val="baseline"/>
        </w:rPr>
        <w:t>lost</w:t>
      </w:r>
      <w:r>
        <w:rPr>
          <w:spacing w:val="40"/>
          <w:vertAlign w:val="baseline"/>
        </w:rPr>
        <w:t> </w:t>
      </w:r>
      <w:r>
        <w:rPr>
          <w:vertAlign w:val="baseline"/>
        </w:rPr>
        <w:t>two</w:t>
      </w:r>
      <w:r>
        <w:rPr>
          <w:spacing w:val="40"/>
          <w:vertAlign w:val="baseline"/>
        </w:rPr>
        <w:t> </w:t>
      </w:r>
      <w:r>
        <w:rPr>
          <w:vertAlign w:val="baseline"/>
        </w:rPr>
        <w:t>employees.</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is</w:t>
      </w:r>
      <w:r>
        <w:rPr>
          <w:spacing w:val="40"/>
          <w:vertAlign w:val="baseline"/>
        </w:rPr>
        <w:t> </w:t>
      </w:r>
      <w:r>
        <w:rPr>
          <w:vertAlign w:val="baseline"/>
        </w:rPr>
        <w:t>empowered</w:t>
      </w:r>
      <w:r>
        <w:rPr>
          <w:spacing w:val="40"/>
          <w:vertAlign w:val="baseline"/>
        </w:rPr>
        <w:t> </w:t>
      </w:r>
      <w:r>
        <w:rPr>
          <w:vertAlign w:val="baseline"/>
        </w:rPr>
        <w:t>to</w:t>
      </w:r>
      <w:r>
        <w:rPr>
          <w:spacing w:val="40"/>
          <w:vertAlign w:val="baseline"/>
        </w:rPr>
        <w:t> </w:t>
      </w:r>
      <w:r>
        <w:rPr>
          <w:vertAlign w:val="baseline"/>
        </w:rPr>
        <w:t>make rules and take decision in respect of cases and situations not covered by section 17 in respect of compensation for death.</w:t>
      </w:r>
      <w:r>
        <w:rPr>
          <w:vertAlign w:val="superscript"/>
        </w:rPr>
        <w:t>288</w:t>
      </w:r>
    </w:p>
    <w:p>
      <w:pPr>
        <w:pStyle w:val="BodyText"/>
      </w:pPr>
    </w:p>
    <w:p>
      <w:pPr>
        <w:pStyle w:val="BodyText"/>
        <w:spacing w:before="26"/>
      </w:pPr>
    </w:p>
    <w:p>
      <w:pPr>
        <w:pStyle w:val="BodyText"/>
        <w:spacing w:line="489" w:lineRule="auto"/>
        <w:ind w:left="864" w:right="562"/>
        <w:jc w:val="both"/>
      </w:pPr>
      <w:r>
        <w:rPr/>
        <w:t>The Board shall make monthly payment as compensation for death, except where it is stated otherwise under the Act or as may be specified by the Board through regulation.</w:t>
      </w:r>
      <w:r>
        <w:rPr>
          <w:vertAlign w:val="superscript"/>
        </w:rPr>
        <w:t>289</w:t>
      </w:r>
      <w:r>
        <w:rPr>
          <w:vertAlign w:val="baseline"/>
        </w:rPr>
        <w:t> For example, compensation to children of the deceased</w:t>
      </w:r>
      <w:r>
        <w:rPr>
          <w:spacing w:val="59"/>
          <w:vertAlign w:val="baseline"/>
        </w:rPr>
        <w:t> </w:t>
      </w:r>
      <w:r>
        <w:rPr>
          <w:vertAlign w:val="baseline"/>
        </w:rPr>
        <w:t>is</w:t>
      </w:r>
      <w:r>
        <w:rPr>
          <w:spacing w:val="60"/>
          <w:vertAlign w:val="baseline"/>
        </w:rPr>
        <w:t> </w:t>
      </w:r>
      <w:r>
        <w:rPr>
          <w:vertAlign w:val="baseline"/>
        </w:rPr>
        <w:t>not</w:t>
      </w:r>
      <w:r>
        <w:rPr>
          <w:spacing w:val="59"/>
          <w:vertAlign w:val="baseline"/>
        </w:rPr>
        <w:t> </w:t>
      </w:r>
      <w:r>
        <w:rPr>
          <w:vertAlign w:val="baseline"/>
        </w:rPr>
        <w:t>to</w:t>
      </w:r>
      <w:r>
        <w:rPr>
          <w:spacing w:val="63"/>
          <w:vertAlign w:val="baseline"/>
        </w:rPr>
        <w:t> </w:t>
      </w:r>
      <w:r>
        <w:rPr>
          <w:vertAlign w:val="baseline"/>
        </w:rPr>
        <w:t>be</w:t>
      </w:r>
      <w:r>
        <w:rPr>
          <w:spacing w:val="61"/>
          <w:vertAlign w:val="baseline"/>
        </w:rPr>
        <w:t> </w:t>
      </w:r>
      <w:r>
        <w:rPr>
          <w:vertAlign w:val="baseline"/>
        </w:rPr>
        <w:t>for</w:t>
      </w:r>
      <w:r>
        <w:rPr>
          <w:spacing w:val="62"/>
          <w:vertAlign w:val="baseline"/>
        </w:rPr>
        <w:t> </w:t>
      </w:r>
      <w:r>
        <w:rPr>
          <w:vertAlign w:val="baseline"/>
        </w:rPr>
        <w:t>life.</w:t>
      </w:r>
      <w:r>
        <w:rPr>
          <w:spacing w:val="60"/>
          <w:vertAlign w:val="baseline"/>
        </w:rPr>
        <w:t> </w:t>
      </w:r>
      <w:r>
        <w:rPr>
          <w:vertAlign w:val="baseline"/>
        </w:rPr>
        <w:t>Also</w:t>
      </w:r>
      <w:r>
        <w:rPr>
          <w:spacing w:val="58"/>
          <w:vertAlign w:val="baseline"/>
        </w:rPr>
        <w:t> </w:t>
      </w:r>
      <w:r>
        <w:rPr>
          <w:vertAlign w:val="baseline"/>
        </w:rPr>
        <w:t>the</w:t>
      </w:r>
      <w:r>
        <w:rPr>
          <w:spacing w:val="65"/>
          <w:vertAlign w:val="baseline"/>
        </w:rPr>
        <w:t> </w:t>
      </w:r>
      <w:r>
        <w:rPr>
          <w:vertAlign w:val="baseline"/>
        </w:rPr>
        <w:t>Board</w:t>
      </w:r>
      <w:r>
        <w:rPr>
          <w:spacing w:val="60"/>
          <w:vertAlign w:val="baseline"/>
        </w:rPr>
        <w:t> </w:t>
      </w:r>
      <w:r>
        <w:rPr>
          <w:vertAlign w:val="baseline"/>
        </w:rPr>
        <w:t>may</w:t>
      </w:r>
      <w:r>
        <w:rPr>
          <w:spacing w:val="63"/>
          <w:vertAlign w:val="baseline"/>
        </w:rPr>
        <w:t> </w:t>
      </w:r>
      <w:r>
        <w:rPr>
          <w:vertAlign w:val="baseline"/>
        </w:rPr>
        <w:t>from</w:t>
      </w:r>
      <w:r>
        <w:rPr>
          <w:spacing w:val="60"/>
          <w:vertAlign w:val="baseline"/>
        </w:rPr>
        <w:t> </w:t>
      </w:r>
      <w:r>
        <w:rPr>
          <w:vertAlign w:val="baseline"/>
        </w:rPr>
        <w:t>time</w:t>
      </w:r>
      <w:r>
        <w:rPr>
          <w:spacing w:val="61"/>
          <w:vertAlign w:val="baseline"/>
        </w:rPr>
        <w:t> </w:t>
      </w:r>
      <w:r>
        <w:rPr>
          <w:vertAlign w:val="baseline"/>
        </w:rPr>
        <w:t>to</w:t>
      </w:r>
      <w:r>
        <w:rPr>
          <w:spacing w:val="58"/>
          <w:vertAlign w:val="baseline"/>
        </w:rPr>
        <w:t> </w:t>
      </w:r>
      <w:r>
        <w:rPr>
          <w:spacing w:val="-4"/>
          <w:vertAlign w:val="baseline"/>
        </w:rPr>
        <w:t>time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7"/>
        <w:rPr>
          <w:sz w:val="20"/>
        </w:rPr>
      </w:pPr>
      <w:r>
        <w:rPr/>
        <mc:AlternateContent>
          <mc:Choice Requires="wps">
            <w:drawing>
              <wp:anchor distT="0" distB="0" distL="0" distR="0" allowOverlap="1" layoutInCell="1" locked="0" behindDoc="1" simplePos="0" relativeHeight="487639040">
                <wp:simplePos x="0" y="0"/>
                <wp:positionH relativeFrom="page">
                  <wp:posOffset>1185672</wp:posOffset>
                </wp:positionH>
                <wp:positionV relativeFrom="paragraph">
                  <wp:posOffset>236493</wp:posOffset>
                </wp:positionV>
                <wp:extent cx="1719580" cy="6350"/>
                <wp:effectExtent l="0" t="0" r="0" b="0"/>
                <wp:wrapTopAndBottom/>
                <wp:docPr id="115" name="Graphic 115"/>
                <wp:cNvGraphicFramePr>
                  <a:graphicFrameLocks/>
                </wp:cNvGraphicFramePr>
                <a:graphic>
                  <a:graphicData uri="http://schemas.microsoft.com/office/word/2010/wordprocessingShape">
                    <wps:wsp>
                      <wps:cNvPr id="115" name="Graphic 11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8.621563pt;width:135.360pt;height:.48pt;mso-position-horizontal-relative:page;mso-position-vertical-relative:paragraph;z-index:-15677440;mso-wrap-distance-left:0;mso-wrap-distance-right:0" id="docshape115" filled="true" fillcolor="#000000" stroked="false">
                <v:fill type="solid"/>
                <w10:wrap type="topAndBottom"/>
              </v:rect>
            </w:pict>
          </mc:Fallback>
        </mc:AlternateContent>
      </w:r>
    </w:p>
    <w:p>
      <w:pPr>
        <w:spacing w:before="70"/>
        <w:ind w:left="187" w:right="0" w:firstLine="0"/>
        <w:jc w:val="left"/>
        <w:rPr>
          <w:rFonts w:ascii="Times New Roman"/>
          <w:sz w:val="12"/>
        </w:rPr>
      </w:pPr>
      <w:r>
        <w:rPr>
          <w:rFonts w:ascii="Times New Roman"/>
          <w:sz w:val="12"/>
        </w:rPr>
        <w:t>287??Section??????</w:t>
      </w:r>
      <w:r>
        <w:rPr>
          <w:rFonts w:ascii="Times New Roman"/>
          <w:spacing w:val="72"/>
          <w:sz w:val="12"/>
        </w:rPr>
        <w:t> </w:t>
      </w:r>
      <w:r>
        <w:rPr>
          <w:rFonts w:ascii="Times New Roman"/>
          <w:spacing w:val="-2"/>
          <w:sz w:val="12"/>
        </w:rPr>
        <w:t>????????ibid</w:t>
      </w:r>
    </w:p>
    <w:p>
      <w:pPr>
        <w:spacing w:line="376" w:lineRule="auto" w:before="78"/>
        <w:ind w:left="187" w:right="6212" w:firstLine="0"/>
        <w:jc w:val="left"/>
        <w:rPr>
          <w:rFonts w:ascii="Times New Roman"/>
          <w:sz w:val="12"/>
        </w:rPr>
      </w:pPr>
      <w:r>
        <w:rPr>
          <w:rFonts w:ascii="Times New Roman"/>
          <w:sz w:val="12"/>
        </w:rPr>
        <w:t>288??Section??????</w:t>
      </w:r>
      <w:r>
        <w:rPr>
          <w:rFonts w:ascii="Times New Roman"/>
          <w:spacing w:val="40"/>
          <w:sz w:val="12"/>
        </w:rPr>
        <w:t> </w:t>
      </w:r>
      <w:r>
        <w:rPr>
          <w:rFonts w:ascii="Times New Roman"/>
          <w:sz w:val="12"/>
        </w:rPr>
        <w:t>????????ibid</w:t>
      </w:r>
      <w:r>
        <w:rPr>
          <w:rFonts w:ascii="Times New Roman"/>
          <w:spacing w:val="40"/>
          <w:sz w:val="12"/>
        </w:rPr>
        <w:t> </w:t>
      </w:r>
      <w:r>
        <w:rPr>
          <w:rFonts w:ascii="Times New Roman"/>
          <w:spacing w:val="-2"/>
          <w:sz w:val="12"/>
        </w:rPr>
        <w:t>289??Section????????ibid</w:t>
      </w:r>
    </w:p>
    <w:p>
      <w:pPr>
        <w:spacing w:after="0" w:line="376" w:lineRule="auto"/>
        <w:jc w:val="left"/>
        <w:rPr>
          <w:rFonts w:ascii="Times New Roman"/>
          <w:sz w:val="12"/>
        </w:rPr>
        <w:sectPr>
          <w:pgSz w:w="12240" w:h="15840"/>
          <w:pgMar w:header="0" w:footer="1009" w:top="1260" w:bottom="1200" w:left="1680" w:right="1320"/>
        </w:sectPr>
      </w:pPr>
    </w:p>
    <w:p>
      <w:pPr>
        <w:pStyle w:val="BodyText"/>
        <w:spacing w:line="489" w:lineRule="auto" w:before="94"/>
        <w:ind w:left="864" w:right="571"/>
        <w:jc w:val="both"/>
      </w:pPr>
      <w:r>
        <w:rPr/>
        <w:t>require proof of</w:t>
      </w:r>
      <w:r>
        <w:rPr>
          <w:spacing w:val="40"/>
        </w:rPr>
        <w:t> </w:t>
      </w:r>
      <w:r>
        <w:rPr/>
        <w:t>the existence and</w:t>
      </w:r>
      <w:r>
        <w:rPr>
          <w:spacing w:val="40"/>
        </w:rPr>
        <w:t> </w:t>
      </w:r>
      <w:r>
        <w:rPr/>
        <w:t>condition of</w:t>
      </w:r>
      <w:r>
        <w:rPr>
          <w:spacing w:val="40"/>
        </w:rPr>
        <w:t> </w:t>
      </w:r>
      <w:r>
        <w:rPr/>
        <w:t>dependence otherwise it may withhold further compensation.</w:t>
      </w:r>
      <w:r>
        <w:rPr>
          <w:vertAlign w:val="superscript"/>
        </w:rPr>
        <w:t>290</w:t>
      </w:r>
    </w:p>
    <w:p>
      <w:pPr>
        <w:pStyle w:val="BodyText"/>
        <w:spacing w:before="5"/>
      </w:pPr>
    </w:p>
    <w:p>
      <w:pPr>
        <w:pStyle w:val="Heading3"/>
        <w:numPr>
          <w:ilvl w:val="2"/>
          <w:numId w:val="13"/>
        </w:numPr>
        <w:tabs>
          <w:tab w:pos="860" w:val="left" w:leader="none"/>
          <w:tab w:pos="864" w:val="left" w:leader="none"/>
        </w:tabs>
        <w:spacing w:line="494" w:lineRule="auto" w:before="0" w:after="0"/>
        <w:ind w:left="864" w:right="569" w:hanging="677"/>
        <w:jc w:val="both"/>
      </w:pPr>
      <w:r>
        <w:rPr/>
        <w:t>Scale of Compensation Relating to Enemy War-Like Action or </w:t>
      </w:r>
      <w:r>
        <w:rPr>
          <w:spacing w:val="-2"/>
        </w:rPr>
        <w:t>Counteraction</w:t>
      </w:r>
    </w:p>
    <w:p>
      <w:pPr>
        <w:pStyle w:val="BodyText"/>
        <w:spacing w:line="489" w:lineRule="auto"/>
        <w:ind w:left="864" w:right="564"/>
        <w:jc w:val="both"/>
      </w:pPr>
      <w:r>
        <w:rPr/>
        <w:t>Sometimes death, injury disability or disease of an employee may be as a result of counteraction or enemy war-like action. The Act says where employee</w:t>
      </w:r>
      <w:r>
        <w:rPr>
          <w:spacing w:val="40"/>
        </w:rPr>
        <w:t> </w:t>
      </w:r>
      <w:r>
        <w:rPr/>
        <w:t>who</w:t>
      </w:r>
      <w:r>
        <w:rPr>
          <w:spacing w:val="40"/>
        </w:rPr>
        <w:t> </w:t>
      </w:r>
      <w:r>
        <w:rPr/>
        <w:t>suffers</w:t>
      </w:r>
      <w:r>
        <w:rPr>
          <w:spacing w:val="40"/>
        </w:rPr>
        <w:t> </w:t>
      </w:r>
      <w:r>
        <w:rPr/>
        <w:t>any</w:t>
      </w:r>
      <w:r>
        <w:rPr>
          <w:spacing w:val="40"/>
        </w:rPr>
        <w:t> </w:t>
      </w:r>
      <w:r>
        <w:rPr/>
        <w:t>injury,</w:t>
      </w:r>
      <w:r>
        <w:rPr>
          <w:spacing w:val="40"/>
        </w:rPr>
        <w:t> </w:t>
      </w:r>
      <w:r>
        <w:rPr/>
        <w:t>death,</w:t>
      </w:r>
      <w:r>
        <w:rPr>
          <w:spacing w:val="40"/>
        </w:rPr>
        <w:t> </w:t>
      </w:r>
      <w:r>
        <w:rPr/>
        <w:t>disease</w:t>
      </w:r>
      <w:r>
        <w:rPr>
          <w:spacing w:val="40"/>
        </w:rPr>
        <w:t> </w:t>
      </w:r>
      <w:r>
        <w:rPr/>
        <w:t>or</w:t>
      </w:r>
      <w:r>
        <w:rPr>
          <w:spacing w:val="40"/>
        </w:rPr>
        <w:t> </w:t>
      </w:r>
      <w:r>
        <w:rPr/>
        <w:t>disability</w:t>
      </w:r>
      <w:r>
        <w:rPr>
          <w:spacing w:val="40"/>
        </w:rPr>
        <w:t> </w:t>
      </w:r>
      <w:r>
        <w:rPr/>
        <w:t>as</w:t>
      </w:r>
      <w:r>
        <w:rPr>
          <w:spacing w:val="40"/>
        </w:rPr>
        <w:t> </w:t>
      </w:r>
      <w:r>
        <w:rPr/>
        <w:t>a</w:t>
      </w:r>
      <w:r>
        <w:rPr>
          <w:spacing w:val="40"/>
        </w:rPr>
        <w:t> </w:t>
      </w:r>
      <w:r>
        <w:rPr/>
        <w:t>result any counteraction or enemy war-like action, and has been offered any compensation by the government, the</w:t>
      </w:r>
      <w:r>
        <w:rPr>
          <w:spacing w:val="40"/>
        </w:rPr>
        <w:t> </w:t>
      </w:r>
      <w:r>
        <w:rPr/>
        <w:t>affected employee</w:t>
      </w:r>
      <w:r>
        <w:rPr>
          <w:spacing w:val="40"/>
        </w:rPr>
        <w:t> </w:t>
      </w:r>
      <w:r>
        <w:rPr/>
        <w:t>or their dependent</w:t>
      </w:r>
      <w:r>
        <w:rPr>
          <w:spacing w:val="40"/>
        </w:rPr>
        <w:t> </w:t>
      </w:r>
      <w:r>
        <w:rPr/>
        <w:t>will</w:t>
      </w:r>
      <w:r>
        <w:rPr>
          <w:spacing w:val="40"/>
        </w:rPr>
        <w:t> </w:t>
      </w:r>
      <w:r>
        <w:rPr/>
        <w:t>no</w:t>
      </w:r>
      <w:r>
        <w:rPr>
          <w:spacing w:val="40"/>
        </w:rPr>
        <w:t> </w:t>
      </w:r>
      <w:r>
        <w:rPr/>
        <w:t>longer</w:t>
      </w:r>
      <w:r>
        <w:rPr>
          <w:spacing w:val="40"/>
        </w:rPr>
        <w:t> </w:t>
      </w:r>
      <w:r>
        <w:rPr/>
        <w:t>benefit</w:t>
      </w:r>
      <w:r>
        <w:rPr>
          <w:spacing w:val="40"/>
        </w:rPr>
        <w:t> </w:t>
      </w:r>
      <w:r>
        <w:rPr/>
        <w:t>from</w:t>
      </w:r>
      <w:r>
        <w:rPr>
          <w:spacing w:val="40"/>
        </w:rPr>
        <w:t> </w:t>
      </w:r>
      <w:r>
        <w:rPr/>
        <w:t>the</w:t>
      </w:r>
      <w:r>
        <w:rPr>
          <w:spacing w:val="40"/>
        </w:rPr>
        <w:t> </w:t>
      </w:r>
      <w:r>
        <w:rPr/>
        <w:t>compensation</w:t>
      </w:r>
      <w:r>
        <w:rPr>
          <w:spacing w:val="40"/>
        </w:rPr>
        <w:t> </w:t>
      </w:r>
      <w:r>
        <w:rPr/>
        <w:t>provided</w:t>
      </w:r>
      <w:r>
        <w:rPr>
          <w:spacing w:val="40"/>
        </w:rPr>
        <w:t> </w:t>
      </w:r>
      <w:r>
        <w:rPr/>
        <w:t>under the Act when the compensation provided</w:t>
      </w:r>
      <w:r>
        <w:rPr>
          <w:spacing w:val="29"/>
        </w:rPr>
        <w:t> </w:t>
      </w:r>
      <w:r>
        <w:rPr/>
        <w:t>by the government is more than</w:t>
      </w:r>
      <w:r>
        <w:rPr>
          <w:spacing w:val="40"/>
        </w:rPr>
        <w:t> </w:t>
      </w:r>
      <w:r>
        <w:rPr/>
        <w:t>or equivalent to what the employees or their dependants will be entitled to under the Act.</w:t>
      </w:r>
      <w:r>
        <w:rPr>
          <w:vertAlign w:val="superscript"/>
        </w:rPr>
        <w:t>291</w:t>
      </w:r>
      <w:r>
        <w:rPr>
          <w:vertAlign w:val="baseline"/>
        </w:rPr>
        <w:t> The employees or their dependants will however, be entitled to compensation under the Act where the compensation provided</w:t>
      </w:r>
      <w:r>
        <w:rPr>
          <w:spacing w:val="80"/>
          <w:vertAlign w:val="baseline"/>
        </w:rPr>
        <w:t> </w:t>
      </w:r>
      <w:r>
        <w:rPr>
          <w:vertAlign w:val="baseline"/>
        </w:rPr>
        <w:t>by the government is less than what they will be entitled to, under the Act.</w:t>
      </w:r>
      <w:r>
        <w:rPr>
          <w:vertAlign w:val="superscript"/>
        </w:rPr>
        <w:t>292</w:t>
      </w:r>
      <w:r>
        <w:rPr>
          <w:vertAlign w:val="baseline"/>
        </w:rPr>
        <w:t> In this case, the employee or their dependants will only be paid to</w:t>
      </w:r>
      <w:r>
        <w:rPr>
          <w:spacing w:val="40"/>
          <w:vertAlign w:val="baseline"/>
        </w:rPr>
        <w:t> </w:t>
      </w:r>
      <w:r>
        <w:rPr>
          <w:vertAlign w:val="baseline"/>
        </w:rPr>
        <w:t>the</w:t>
      </w:r>
      <w:r>
        <w:rPr>
          <w:spacing w:val="40"/>
          <w:vertAlign w:val="baseline"/>
        </w:rPr>
        <w:t> </w:t>
      </w:r>
      <w:r>
        <w:rPr>
          <w:vertAlign w:val="baseline"/>
        </w:rPr>
        <w:t>extent</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difference</w:t>
      </w:r>
      <w:r>
        <w:rPr>
          <w:spacing w:val="40"/>
          <w:vertAlign w:val="baseline"/>
        </w:rPr>
        <w:t> </w:t>
      </w:r>
      <w:r>
        <w:rPr>
          <w:vertAlign w:val="baseline"/>
        </w:rPr>
        <w:t>between</w:t>
      </w:r>
      <w:r>
        <w:rPr>
          <w:spacing w:val="40"/>
          <w:vertAlign w:val="baseline"/>
        </w:rPr>
        <w:t> </w:t>
      </w:r>
      <w:r>
        <w:rPr>
          <w:vertAlign w:val="baseline"/>
        </w:rPr>
        <w:t>what</w:t>
      </w:r>
      <w:r>
        <w:rPr>
          <w:spacing w:val="40"/>
          <w:vertAlign w:val="baseline"/>
        </w:rPr>
        <w:t> </w:t>
      </w:r>
      <w:r>
        <w:rPr>
          <w:vertAlign w:val="baseline"/>
        </w:rPr>
        <w:t>was</w:t>
      </w:r>
      <w:r>
        <w:rPr>
          <w:spacing w:val="40"/>
          <w:vertAlign w:val="baseline"/>
        </w:rPr>
        <w:t> </w:t>
      </w:r>
      <w:r>
        <w:rPr>
          <w:vertAlign w:val="baseline"/>
        </w:rPr>
        <w:t>paid</w:t>
      </w:r>
      <w:r>
        <w:rPr>
          <w:spacing w:val="40"/>
          <w:vertAlign w:val="baseline"/>
        </w:rPr>
        <w:t> </w:t>
      </w:r>
      <w:r>
        <w:rPr>
          <w:vertAlign w:val="baseline"/>
        </w:rPr>
        <w:t>by</w:t>
      </w:r>
      <w:r>
        <w:rPr>
          <w:spacing w:val="40"/>
          <w:vertAlign w:val="baseline"/>
        </w:rPr>
        <w:t> </w:t>
      </w:r>
      <w:r>
        <w:rPr>
          <w:vertAlign w:val="baseline"/>
        </w:rPr>
        <w:t>the</w:t>
      </w:r>
      <w:r>
        <w:rPr>
          <w:spacing w:val="40"/>
          <w:vertAlign w:val="baseline"/>
        </w:rPr>
        <w:t> </w:t>
      </w:r>
      <w:r>
        <w:rPr>
          <w:vertAlign w:val="baseline"/>
        </w:rPr>
        <w:t>government and what they are entitled to under the Act.</w:t>
      </w:r>
      <w:r>
        <w:rPr>
          <w:vertAlign w:val="superscript"/>
        </w:rPr>
        <w:t>293</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99"/>
        <w:rPr>
          <w:sz w:val="20"/>
        </w:rPr>
      </w:pPr>
      <w:r>
        <w:rPr/>
        <mc:AlternateContent>
          <mc:Choice Requires="wps">
            <w:drawing>
              <wp:anchor distT="0" distB="0" distL="0" distR="0" allowOverlap="1" layoutInCell="1" locked="0" behindDoc="1" simplePos="0" relativeHeight="487639552">
                <wp:simplePos x="0" y="0"/>
                <wp:positionH relativeFrom="page">
                  <wp:posOffset>1185672</wp:posOffset>
                </wp:positionH>
                <wp:positionV relativeFrom="paragraph">
                  <wp:posOffset>294989</wp:posOffset>
                </wp:positionV>
                <wp:extent cx="1719580" cy="6350"/>
                <wp:effectExtent l="0" t="0" r="0" b="0"/>
                <wp:wrapTopAndBottom/>
                <wp:docPr id="116" name="Graphic 116"/>
                <wp:cNvGraphicFramePr>
                  <a:graphicFrameLocks/>
                </wp:cNvGraphicFramePr>
                <a:graphic>
                  <a:graphicData uri="http://schemas.microsoft.com/office/word/2010/wordprocessingShape">
                    <wps:wsp>
                      <wps:cNvPr id="116" name="Graphic 116"/>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3.227501pt;width:135.360pt;height:.48pt;mso-position-horizontal-relative:page;mso-position-vertical-relative:paragraph;z-index:-15676928;mso-wrap-distance-left:0;mso-wrap-distance-right:0" id="docshape116" filled="true" fillcolor="#000000" stroked="false">
                <v:fill type="solid"/>
                <w10:wrap type="topAndBottom"/>
              </v:rect>
            </w:pict>
          </mc:Fallback>
        </mc:AlternateContent>
      </w:r>
    </w:p>
    <w:p>
      <w:pPr>
        <w:spacing w:before="80"/>
        <w:ind w:left="187" w:right="0" w:firstLine="0"/>
        <w:jc w:val="left"/>
        <w:rPr>
          <w:rFonts w:ascii="Times New Roman"/>
          <w:sz w:val="12"/>
        </w:rPr>
      </w:pPr>
      <w:r>
        <w:rPr>
          <w:rFonts w:ascii="Times New Roman"/>
          <w:spacing w:val="-2"/>
          <w:sz w:val="12"/>
        </w:rPr>
        <w:t>290??Section????</w:t>
      </w:r>
    </w:p>
    <w:p>
      <w:pPr>
        <w:spacing w:line="376" w:lineRule="auto" w:before="73"/>
        <w:ind w:left="187" w:right="7580" w:firstLine="0"/>
        <w:jc w:val="left"/>
        <w:rPr>
          <w:rFonts w:ascii="Times New Roman"/>
          <w:sz w:val="12"/>
        </w:rPr>
      </w:pPr>
      <w:r>
        <w:rPr>
          <w:rFonts w:ascii="Times New Roman"/>
          <w:spacing w:val="-2"/>
          <w:sz w:val="12"/>
        </w:rPr>
        <w:t>??ibid</w:t>
      </w:r>
      <w:r>
        <w:rPr>
          <w:rFonts w:ascii="Times New Roman"/>
          <w:spacing w:val="40"/>
          <w:sz w:val="12"/>
        </w:rPr>
        <w:t> </w:t>
      </w:r>
      <w:r>
        <w:rPr>
          <w:rFonts w:ascii="Times New Roman"/>
          <w:spacing w:val="-2"/>
          <w:sz w:val="12"/>
        </w:rPr>
        <w:t>291??Section????????ibid</w:t>
      </w:r>
      <w:r>
        <w:rPr>
          <w:rFonts w:ascii="Times New Roman"/>
          <w:spacing w:val="40"/>
          <w:sz w:val="12"/>
        </w:rPr>
        <w:t> </w:t>
      </w:r>
      <w:r>
        <w:rPr>
          <w:rFonts w:ascii="Times New Roman"/>
          <w:spacing w:val="-2"/>
          <w:sz w:val="12"/>
        </w:rPr>
        <w:t>292??Ibid</w:t>
      </w:r>
    </w:p>
    <w:p>
      <w:pPr>
        <w:spacing w:line="136" w:lineRule="exact" w:before="0"/>
        <w:ind w:left="187" w:right="0" w:firstLine="0"/>
        <w:jc w:val="left"/>
        <w:rPr>
          <w:rFonts w:ascii="Times New Roman"/>
          <w:sz w:val="12"/>
        </w:rPr>
      </w:pPr>
      <w:r>
        <w:rPr>
          <w:rFonts w:ascii="Times New Roman"/>
          <w:spacing w:val="-2"/>
          <w:sz w:val="12"/>
        </w:rPr>
        <w:t>293??Ibid</w:t>
      </w:r>
    </w:p>
    <w:p>
      <w:pPr>
        <w:spacing w:after="0" w:line="136" w:lineRule="exact"/>
        <w:jc w:val="left"/>
        <w:rPr>
          <w:rFonts w:ascii="Times New Roman"/>
          <w:sz w:val="12"/>
        </w:rPr>
        <w:sectPr>
          <w:pgSz w:w="12240" w:h="15840"/>
          <w:pgMar w:header="0" w:footer="1009" w:top="1260" w:bottom="1200" w:left="1680" w:right="1320"/>
        </w:sectPr>
      </w:pPr>
    </w:p>
    <w:p>
      <w:pPr>
        <w:pStyle w:val="BodyText"/>
        <w:spacing w:line="489" w:lineRule="auto" w:before="114"/>
        <w:ind w:left="864" w:right="564"/>
        <w:jc w:val="both"/>
      </w:pPr>
      <w:r>
        <w:rPr/>
        <w:t>The Act explains what the phrase “enemy warlike action” means.</w:t>
      </w:r>
      <w:r>
        <w:rPr>
          <w:vertAlign w:val="superscript"/>
        </w:rPr>
        <w:t>294</w:t>
      </w:r>
      <w:r>
        <w:rPr>
          <w:vertAlign w:val="baseline"/>
        </w:rPr>
        <w:t> Enemy warlike action includes civil insurrection, riots, commotion, conflicts, terrorists</w:t>
      </w:r>
      <w:r>
        <w:rPr>
          <w:spacing w:val="40"/>
          <w:vertAlign w:val="baseline"/>
        </w:rPr>
        <w:t> </w:t>
      </w:r>
      <w:r>
        <w:rPr>
          <w:vertAlign w:val="baseline"/>
        </w:rPr>
        <w:t>act</w:t>
      </w:r>
      <w:r>
        <w:rPr>
          <w:spacing w:val="40"/>
          <w:vertAlign w:val="baseline"/>
        </w:rPr>
        <w:t> </w:t>
      </w:r>
      <w:r>
        <w:rPr>
          <w:vertAlign w:val="baseline"/>
        </w:rPr>
        <w:t>and</w:t>
      </w:r>
      <w:r>
        <w:rPr>
          <w:spacing w:val="40"/>
          <w:vertAlign w:val="baseline"/>
        </w:rPr>
        <w:t> </w:t>
      </w:r>
      <w:r>
        <w:rPr>
          <w:vertAlign w:val="baseline"/>
        </w:rPr>
        <w:t>hostilities.</w:t>
      </w:r>
      <w:r>
        <w:rPr>
          <w:vertAlign w:val="superscript"/>
        </w:rPr>
        <w:t>295</w:t>
      </w:r>
      <w:r>
        <w:rPr>
          <w:spacing w:val="40"/>
          <w:vertAlign w:val="baseline"/>
        </w:rPr>
        <w:t> </w:t>
      </w:r>
      <w:r>
        <w:rPr>
          <w:vertAlign w:val="baseline"/>
        </w:rPr>
        <w:t>Counteraction</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sense</w:t>
      </w:r>
      <w:r>
        <w:rPr>
          <w:spacing w:val="40"/>
          <w:vertAlign w:val="baseline"/>
        </w:rPr>
        <w:t> </w:t>
      </w:r>
      <w:r>
        <w:rPr>
          <w:vertAlign w:val="baseline"/>
        </w:rPr>
        <w:t>used</w:t>
      </w:r>
      <w:r>
        <w:rPr>
          <w:spacing w:val="40"/>
          <w:vertAlign w:val="baseline"/>
        </w:rPr>
        <w:t> </w:t>
      </w:r>
      <w:r>
        <w:rPr>
          <w:vertAlign w:val="baseline"/>
        </w:rPr>
        <w:t>here means an action to reduce or prevent the bad effect of enemy warlike action.</w:t>
      </w:r>
      <w:r>
        <w:rPr>
          <w:vertAlign w:val="superscript"/>
        </w:rPr>
        <w:t>296</w:t>
      </w:r>
      <w:r>
        <w:rPr>
          <w:vertAlign w:val="baseline"/>
        </w:rPr>
        <w:t> For</w:t>
      </w:r>
      <w:r>
        <w:rPr>
          <w:spacing w:val="23"/>
          <w:vertAlign w:val="baseline"/>
        </w:rPr>
        <w:t> </w:t>
      </w:r>
      <w:r>
        <w:rPr>
          <w:vertAlign w:val="baseline"/>
        </w:rPr>
        <w:t>example if one by trying to be a good citizen makes</w:t>
      </w:r>
      <w:r>
        <w:rPr>
          <w:spacing w:val="22"/>
          <w:vertAlign w:val="baseline"/>
        </w:rPr>
        <w:t> </w:t>
      </w:r>
      <w:r>
        <w:rPr>
          <w:vertAlign w:val="baseline"/>
        </w:rPr>
        <w:t>attempt</w:t>
      </w:r>
      <w:r>
        <w:rPr>
          <w:spacing w:val="40"/>
          <w:vertAlign w:val="baseline"/>
        </w:rPr>
        <w:t> </w:t>
      </w:r>
      <w:r>
        <w:rPr>
          <w:vertAlign w:val="baseline"/>
        </w:rPr>
        <w:t>of saving the lives and property of victims of riots, commotion, civil insurrection, terrorism, hostilities</w:t>
      </w:r>
      <w:r>
        <w:rPr>
          <w:spacing w:val="80"/>
          <w:vertAlign w:val="baseline"/>
        </w:rPr>
        <w:t> </w:t>
      </w:r>
      <w:r>
        <w:rPr>
          <w:vertAlign w:val="baseline"/>
        </w:rPr>
        <w:t>etc, and in the process, he is also</w:t>
      </w:r>
      <w:r>
        <w:rPr>
          <w:spacing w:val="40"/>
          <w:vertAlign w:val="baseline"/>
        </w:rPr>
        <w:t> </w:t>
      </w:r>
      <w:r>
        <w:rPr>
          <w:vertAlign w:val="baseline"/>
        </w:rPr>
        <w:t>affected, he is also a victim of enemy warlike action as a result of his counteraction. The primary targets whose lives and property he was trying to save are victims of enemy warlike action. Another example is, if in the process of trying to protect the lives and property of that main target of enemy warlike action, a non-targeted innocent person is affected, such innocent person is a victim of counteraction.</w:t>
      </w:r>
    </w:p>
    <w:p>
      <w:pPr>
        <w:pStyle w:val="BodyText"/>
        <w:spacing w:before="15"/>
      </w:pPr>
    </w:p>
    <w:p>
      <w:pPr>
        <w:pStyle w:val="Heading3"/>
        <w:numPr>
          <w:ilvl w:val="1"/>
          <w:numId w:val="13"/>
        </w:numPr>
        <w:tabs>
          <w:tab w:pos="863" w:val="left" w:leader="none"/>
        </w:tabs>
        <w:spacing w:line="240" w:lineRule="auto" w:before="1" w:after="0"/>
        <w:ind w:left="863" w:right="0" w:hanging="676"/>
        <w:jc w:val="left"/>
      </w:pPr>
      <w:bookmarkStart w:name="_TOC_250009" w:id="21"/>
      <w:r>
        <w:rPr/>
        <w:t>Vocational</w:t>
      </w:r>
      <w:r>
        <w:rPr>
          <w:spacing w:val="11"/>
        </w:rPr>
        <w:t> </w:t>
      </w:r>
      <w:bookmarkEnd w:id="21"/>
      <w:r>
        <w:rPr>
          <w:spacing w:val="-2"/>
        </w:rPr>
        <w:t>Rehabilitation</w:t>
      </w:r>
    </w:p>
    <w:p>
      <w:pPr>
        <w:pStyle w:val="BodyText"/>
        <w:spacing w:before="15"/>
        <w:rPr>
          <w:b/>
        </w:rPr>
      </w:pPr>
    </w:p>
    <w:p>
      <w:pPr>
        <w:pStyle w:val="BodyText"/>
        <w:spacing w:line="489" w:lineRule="auto" w:before="1"/>
        <w:ind w:left="864" w:right="566"/>
        <w:jc w:val="both"/>
      </w:pPr>
      <w:r>
        <w:rPr/>
        <w:t>Vocational rehabilitation is a form of compensation provided under the Act.</w:t>
      </w:r>
      <w:r>
        <w:rPr>
          <w:vertAlign w:val="superscript"/>
        </w:rPr>
        <w:t>297</w:t>
      </w:r>
      <w:r>
        <w:rPr>
          <w:vertAlign w:val="baseline"/>
        </w:rPr>
        <w:t> Section 16 of the Act says:</w:t>
      </w:r>
    </w:p>
    <w:p>
      <w:pPr>
        <w:pStyle w:val="BodyText"/>
        <w:spacing w:line="244" w:lineRule="auto"/>
        <w:ind w:left="1540" w:right="1241" w:hanging="677"/>
        <w:jc w:val="both"/>
      </w:pPr>
      <w:r>
        <w:rPr>
          <w:w w:val="105"/>
        </w:rPr>
        <w:t>(1)</w:t>
      </w:r>
      <w:r>
        <w:rPr>
          <w:spacing w:val="40"/>
          <w:w w:val="105"/>
        </w:rPr>
        <w:t>  </w:t>
      </w:r>
      <w:r>
        <w:rPr>
          <w:w w:val="105"/>
        </w:rPr>
        <w:t>The Board may,</w:t>
      </w:r>
      <w:r>
        <w:rPr>
          <w:spacing w:val="-3"/>
          <w:w w:val="105"/>
        </w:rPr>
        <w:t> </w:t>
      </w:r>
      <w:r>
        <w:rPr>
          <w:w w:val="105"/>
        </w:rPr>
        <w:t>in</w:t>
      </w:r>
      <w:r>
        <w:rPr>
          <w:spacing w:val="-5"/>
          <w:w w:val="105"/>
        </w:rPr>
        <w:t> </w:t>
      </w:r>
      <w:r>
        <w:rPr>
          <w:w w:val="105"/>
        </w:rPr>
        <w:t>getting an</w:t>
      </w:r>
      <w:r>
        <w:rPr>
          <w:spacing w:val="-2"/>
          <w:w w:val="105"/>
        </w:rPr>
        <w:t> </w:t>
      </w:r>
      <w:r>
        <w:rPr>
          <w:w w:val="105"/>
        </w:rPr>
        <w:t>injured employee</w:t>
      </w:r>
      <w:r>
        <w:rPr>
          <w:spacing w:val="-3"/>
          <w:w w:val="105"/>
        </w:rPr>
        <w:t> </w:t>
      </w:r>
      <w:r>
        <w:rPr>
          <w:w w:val="105"/>
        </w:rPr>
        <w:t>back</w:t>
      </w:r>
      <w:r>
        <w:rPr>
          <w:spacing w:val="-2"/>
          <w:w w:val="105"/>
        </w:rPr>
        <w:t> </w:t>
      </w:r>
      <w:r>
        <w:rPr>
          <w:w w:val="105"/>
        </w:rPr>
        <w:t>to</w:t>
      </w:r>
      <w:r>
        <w:rPr>
          <w:spacing w:val="-3"/>
          <w:w w:val="105"/>
        </w:rPr>
        <w:t> </w:t>
      </w:r>
      <w:r>
        <w:rPr>
          <w:w w:val="105"/>
        </w:rPr>
        <w:t>work or in assistino |□ lessen or remove resulting disability, take any</w:t>
      </w:r>
      <w:r>
        <w:rPr>
          <w:spacing w:val="-3"/>
          <w:w w:val="105"/>
        </w:rPr>
        <w:t> </w:t>
      </w:r>
      <w:r>
        <w:rPr>
          <w:w w:val="105"/>
        </w:rPr>
        <w:t>measure</w:t>
      </w:r>
      <w:r>
        <w:rPr>
          <w:spacing w:val="-5"/>
          <w:w w:val="105"/>
        </w:rPr>
        <w:t> </w:t>
      </w:r>
      <w:r>
        <w:rPr>
          <w:w w:val="105"/>
        </w:rPr>
        <w:t>and</w:t>
      </w:r>
      <w:r>
        <w:rPr>
          <w:spacing w:val="-2"/>
          <w:w w:val="105"/>
        </w:rPr>
        <w:t> </w:t>
      </w:r>
      <w:r>
        <w:rPr>
          <w:w w:val="105"/>
        </w:rPr>
        <w:t>make</w:t>
      </w:r>
      <w:r>
        <w:rPr>
          <w:spacing w:val="-5"/>
          <w:w w:val="105"/>
        </w:rPr>
        <w:t> </w:t>
      </w:r>
      <w:r>
        <w:rPr>
          <w:w w:val="105"/>
        </w:rPr>
        <w:t>the</w:t>
      </w:r>
      <w:r>
        <w:rPr>
          <w:spacing w:val="-5"/>
          <w:w w:val="105"/>
        </w:rPr>
        <w:t> </w:t>
      </w:r>
      <w:r>
        <w:rPr>
          <w:w w:val="105"/>
        </w:rPr>
        <w:t>expenditures</w:t>
      </w:r>
      <w:r>
        <w:rPr>
          <w:spacing w:val="-5"/>
          <w:w w:val="105"/>
        </w:rPr>
        <w:t> </w:t>
      </w:r>
      <w:r>
        <w:rPr>
          <w:w w:val="105"/>
        </w:rPr>
        <w:t>from</w:t>
      </w:r>
      <w:r>
        <w:rPr>
          <w:spacing w:val="-2"/>
          <w:w w:val="105"/>
        </w:rPr>
        <w:t> </w:t>
      </w:r>
      <w:r>
        <w:rPr>
          <w:w w:val="105"/>
        </w:rPr>
        <w:t>the</w:t>
      </w:r>
      <w:r>
        <w:rPr>
          <w:spacing w:val="-5"/>
          <w:w w:val="105"/>
        </w:rPr>
        <w:t> </w:t>
      </w:r>
      <w:r>
        <w:rPr>
          <w:w w:val="105"/>
        </w:rPr>
        <w:t>Fund</w:t>
      </w:r>
      <w:r>
        <w:rPr>
          <w:spacing w:val="-2"/>
          <w:w w:val="105"/>
        </w:rPr>
        <w:t> </w:t>
      </w:r>
      <w:r>
        <w:rPr>
          <w:w w:val="105"/>
        </w:rPr>
        <w:t>that it</w:t>
      </w:r>
      <w:r>
        <w:rPr>
          <w:w w:val="105"/>
        </w:rPr>
        <w:t> considers</w:t>
      </w:r>
      <w:r>
        <w:rPr>
          <w:w w:val="105"/>
        </w:rPr>
        <w:t> necessary</w:t>
      </w:r>
      <w:r>
        <w:rPr>
          <w:w w:val="105"/>
        </w:rPr>
        <w:t> and</w:t>
      </w:r>
      <w:r>
        <w:rPr>
          <w:w w:val="105"/>
        </w:rPr>
        <w:t> expedient</w:t>
      </w:r>
      <w:r>
        <w:rPr>
          <w:w w:val="105"/>
        </w:rPr>
        <w:t> regardless</w:t>
      </w:r>
      <w:r>
        <w:rPr>
          <w:w w:val="105"/>
        </w:rPr>
        <w:t> of</w:t>
      </w:r>
      <w:r>
        <w:rPr>
          <w:w w:val="105"/>
        </w:rPr>
        <w:t> the</w:t>
      </w:r>
      <w:r>
        <w:rPr>
          <w:w w:val="105"/>
        </w:rPr>
        <w:t> date on</w:t>
      </w:r>
      <w:r>
        <w:rPr>
          <w:w w:val="105"/>
        </w:rPr>
        <w:t> which</w:t>
      </w:r>
      <w:r>
        <w:rPr>
          <w:w w:val="105"/>
        </w:rPr>
        <w:t> the</w:t>
      </w:r>
      <w:r>
        <w:rPr>
          <w:w w:val="105"/>
        </w:rPr>
        <w:t> employee</w:t>
      </w:r>
      <w:r>
        <w:rPr>
          <w:w w:val="105"/>
        </w:rPr>
        <w:t> first</w:t>
      </w:r>
      <w:r>
        <w:rPr>
          <w:w w:val="105"/>
        </w:rPr>
        <w:t> became</w:t>
      </w:r>
      <w:r>
        <w:rPr>
          <w:w w:val="105"/>
        </w:rPr>
        <w:t> entitled</w:t>
      </w:r>
      <w:r>
        <w:rPr>
          <w:w w:val="105"/>
        </w:rPr>
        <w:t> to </w:t>
      </w:r>
      <w:r>
        <w:rPr>
          <w:spacing w:val="-2"/>
          <w:w w:val="105"/>
        </w:rPr>
        <w:t>compensation.</w:t>
      </w:r>
    </w:p>
    <w:p>
      <w:pPr>
        <w:pStyle w:val="BodyText"/>
        <w:rPr>
          <w:sz w:val="20"/>
        </w:rPr>
      </w:pPr>
    </w:p>
    <w:p>
      <w:pPr>
        <w:pStyle w:val="BodyText"/>
        <w:rPr>
          <w:sz w:val="20"/>
        </w:rPr>
      </w:pPr>
    </w:p>
    <w:p>
      <w:pPr>
        <w:pStyle w:val="BodyText"/>
        <w:rPr>
          <w:sz w:val="20"/>
        </w:rPr>
      </w:pPr>
    </w:p>
    <w:p>
      <w:pPr>
        <w:pStyle w:val="BodyText"/>
        <w:spacing w:before="90"/>
        <w:rPr>
          <w:sz w:val="20"/>
        </w:rPr>
      </w:pPr>
      <w:r>
        <w:rPr/>
        <mc:AlternateContent>
          <mc:Choice Requires="wps">
            <w:drawing>
              <wp:anchor distT="0" distB="0" distL="0" distR="0" allowOverlap="1" layoutInCell="1" locked="0" behindDoc="1" simplePos="0" relativeHeight="487640064">
                <wp:simplePos x="0" y="0"/>
                <wp:positionH relativeFrom="page">
                  <wp:posOffset>1185672</wp:posOffset>
                </wp:positionH>
                <wp:positionV relativeFrom="paragraph">
                  <wp:posOffset>225822</wp:posOffset>
                </wp:positionV>
                <wp:extent cx="1719580" cy="3175"/>
                <wp:effectExtent l="0" t="0" r="0" b="0"/>
                <wp:wrapTopAndBottom/>
                <wp:docPr id="117" name="Graphic 117"/>
                <wp:cNvGraphicFramePr>
                  <a:graphicFrameLocks/>
                </wp:cNvGraphicFramePr>
                <a:graphic>
                  <a:graphicData uri="http://schemas.microsoft.com/office/word/2010/wordprocessingShape">
                    <wps:wsp>
                      <wps:cNvPr id="117" name="Graphic 117"/>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7.781328pt;width:135.360pt;height:.24pt;mso-position-horizontal-relative:page;mso-position-vertical-relative:paragraph;z-index:-15676416;mso-wrap-distance-left:0;mso-wrap-distance-right:0" id="docshape117" filled="true" fillcolor="#000000" stroked="false">
                <v:fill type="solid"/>
                <w10:wrap type="topAndBottom"/>
              </v:rect>
            </w:pict>
          </mc:Fallback>
        </mc:AlternateContent>
      </w:r>
    </w:p>
    <w:p>
      <w:pPr>
        <w:spacing w:line="376" w:lineRule="auto" w:before="75"/>
        <w:ind w:left="187" w:right="7580" w:firstLine="0"/>
        <w:jc w:val="left"/>
        <w:rPr>
          <w:rFonts w:ascii="Times New Roman"/>
          <w:sz w:val="12"/>
        </w:rPr>
      </w:pPr>
      <w:r>
        <w:rPr>
          <w:rFonts w:ascii="Times New Roman"/>
          <w:spacing w:val="-2"/>
          <w:sz w:val="12"/>
        </w:rPr>
        <w:t>294??Section????????ibid</w:t>
      </w:r>
      <w:r>
        <w:rPr>
          <w:rFonts w:ascii="Times New Roman"/>
          <w:spacing w:val="40"/>
          <w:sz w:val="12"/>
        </w:rPr>
        <w:t> </w:t>
      </w:r>
      <w:r>
        <w:rPr>
          <w:rFonts w:ascii="Times New Roman"/>
          <w:spacing w:val="-2"/>
          <w:sz w:val="12"/>
        </w:rPr>
        <w:t>295??Ibid</w:t>
      </w:r>
    </w:p>
    <w:p>
      <w:pPr>
        <w:spacing w:line="412" w:lineRule="auto" w:before="0"/>
        <w:ind w:left="187" w:right="4862" w:firstLine="0"/>
        <w:jc w:val="left"/>
        <w:rPr>
          <w:rFonts w:ascii="Times New Roman"/>
          <w:i/>
          <w:sz w:val="19"/>
        </w:rPr>
      </w:pPr>
      <w:r>
        <w:rPr>
          <w:rFonts w:ascii="Times New Roman"/>
          <w:spacing w:val="-2"/>
          <w:sz w:val="12"/>
        </w:rPr>
        <w:t>296??Summers??D??Longman??Dictionary??of??Contemporary??English??op??cit??</w:t>
      </w:r>
      <w:r>
        <w:rPr>
          <w:rFonts w:ascii="Times New Roman"/>
          <w:spacing w:val="80"/>
          <w:sz w:val="12"/>
        </w:rPr>
        <w:t> </w:t>
      </w:r>
      <w:r>
        <w:rPr>
          <w:rFonts w:ascii="Times New Roman"/>
          <w:sz w:val="19"/>
          <w:vertAlign w:val="superscript"/>
        </w:rPr>
        <w:t>297</w:t>
      </w:r>
      <w:r>
        <w:rPr>
          <w:rFonts w:ascii="Times New Roman"/>
          <w:sz w:val="19"/>
          <w:vertAlign w:val="baseline"/>
        </w:rPr>
        <w:t> Section 16 </w:t>
      </w:r>
      <w:r>
        <w:rPr>
          <w:rFonts w:ascii="Times New Roman"/>
          <w:i/>
          <w:sz w:val="19"/>
          <w:vertAlign w:val="baseline"/>
        </w:rPr>
        <w:t>ibid</w:t>
      </w:r>
    </w:p>
    <w:p>
      <w:pPr>
        <w:spacing w:after="0" w:line="412" w:lineRule="auto"/>
        <w:jc w:val="left"/>
        <w:rPr>
          <w:rFonts w:ascii="Times New Roman"/>
          <w:sz w:val="19"/>
        </w:rPr>
        <w:sectPr>
          <w:pgSz w:w="12240" w:h="15840"/>
          <w:pgMar w:header="0" w:footer="1009" w:top="1240" w:bottom="1200" w:left="1680" w:right="1320"/>
        </w:sectPr>
      </w:pPr>
    </w:p>
    <w:p>
      <w:pPr>
        <w:pStyle w:val="BodyText"/>
        <w:spacing w:line="489" w:lineRule="auto" w:before="94"/>
        <w:ind w:left="864" w:right="561"/>
        <w:jc w:val="both"/>
      </w:pPr>
      <w:r>
        <w:rPr/>
        <w:t>It is clear that the measure the Board will take to lessen or remove any resulting disability is medical in nature. The Board may provide for the injured employee any medical, surgical, hospital and other care or</w:t>
      </w:r>
      <w:r>
        <w:rPr>
          <w:spacing w:val="40"/>
        </w:rPr>
        <w:t> </w:t>
      </w:r>
      <w:r>
        <w:rPr/>
        <w:t>treatment, transport, medicines, crutches and apparatus including artificial members that</w:t>
      </w:r>
      <w:r>
        <w:rPr>
          <w:spacing w:val="40"/>
        </w:rPr>
        <w:t> </w:t>
      </w:r>
      <w:r>
        <w:rPr/>
        <w:t>it may</w:t>
      </w:r>
      <w:r>
        <w:rPr>
          <w:spacing w:val="40"/>
        </w:rPr>
        <w:t> </w:t>
      </w:r>
      <w:r>
        <w:rPr/>
        <w:t>consider</w:t>
      </w:r>
      <w:r>
        <w:rPr>
          <w:spacing w:val="40"/>
        </w:rPr>
        <w:t> </w:t>
      </w:r>
      <w:r>
        <w:rPr/>
        <w:t>reasonably</w:t>
      </w:r>
      <w:r>
        <w:rPr>
          <w:spacing w:val="40"/>
        </w:rPr>
        <w:t> </w:t>
      </w:r>
      <w:r>
        <w:rPr/>
        <w:t>necessary</w:t>
      </w:r>
      <w:r>
        <w:rPr>
          <w:spacing w:val="40"/>
        </w:rPr>
        <w:t> </w:t>
      </w:r>
      <w:r>
        <w:rPr/>
        <w:t>at</w:t>
      </w:r>
      <w:r>
        <w:rPr>
          <w:spacing w:val="40"/>
        </w:rPr>
        <w:t> </w:t>
      </w:r>
      <w:r>
        <w:rPr/>
        <w:t>the time</w:t>
      </w:r>
      <w:r>
        <w:rPr>
          <w:spacing w:val="40"/>
        </w:rPr>
        <w:t> </w:t>
      </w:r>
      <w:r>
        <w:rPr/>
        <w:t>of</w:t>
      </w:r>
      <w:r>
        <w:rPr>
          <w:spacing w:val="40"/>
        </w:rPr>
        <w:t> </w:t>
      </w:r>
      <w:r>
        <w:rPr/>
        <w:t>the injury and thereafter during the disability, to care and relieve from the effects of the injury or alleviate those effects.</w:t>
      </w:r>
      <w:r>
        <w:rPr>
          <w:vertAlign w:val="superscript"/>
        </w:rPr>
        <w:t>298</w:t>
      </w:r>
      <w:r>
        <w:rPr>
          <w:vertAlign w:val="baseline"/>
        </w:rPr>
        <w:t> In this instance, the Board can make rules and regulations with respect to furnishing health care to injured employee entitled to it and for the payment of the bills.</w:t>
      </w:r>
      <w:r>
        <w:rPr>
          <w:vertAlign w:val="superscript"/>
        </w:rPr>
        <w:t>299</w:t>
      </w:r>
      <w:r>
        <w:rPr>
          <w:spacing w:val="40"/>
          <w:vertAlign w:val="baseline"/>
        </w:rPr>
        <w:t> </w:t>
      </w:r>
      <w:r>
        <w:rPr>
          <w:vertAlign w:val="baseline"/>
        </w:rPr>
        <w:t>Where there is a case of emergency, or for other justifiable cause, a physician or accredited medical practitioner other than the one provided by the Board is called to diagnose an injured employee and if the Board finds there was a justifiable cause and that the charge for the service is reasonable, the cost</w:t>
      </w:r>
      <w:r>
        <w:rPr>
          <w:spacing w:val="40"/>
          <w:vertAlign w:val="baseline"/>
        </w:rPr>
        <w:t> </w:t>
      </w:r>
      <w:r>
        <w:rPr>
          <w:vertAlign w:val="baseline"/>
        </w:rPr>
        <w:t>of the services shall be paid by the Board.</w:t>
      </w:r>
      <w:r>
        <w:rPr>
          <w:vertAlign w:val="superscript"/>
        </w:rPr>
        <w:t>300</w:t>
      </w:r>
      <w:r>
        <w:rPr>
          <w:vertAlign w:val="baseline"/>
        </w:rPr>
        <w:t> The Board may authorize employer to provide health care and at the expense of the Board and daily allowance for the subsistence of the injured employee may be provided by the Board if it sees that where the injured</w:t>
      </w:r>
      <w:r>
        <w:rPr>
          <w:spacing w:val="22"/>
          <w:vertAlign w:val="baseline"/>
        </w:rPr>
        <w:t> </w:t>
      </w:r>
      <w:r>
        <w:rPr>
          <w:vertAlign w:val="baseline"/>
        </w:rPr>
        <w:t>employee is receiving treatment</w:t>
      </w:r>
      <w:r>
        <w:rPr>
          <w:spacing w:val="40"/>
          <w:vertAlign w:val="baseline"/>
        </w:rPr>
        <w:t> </w:t>
      </w:r>
      <w:r>
        <w:rPr>
          <w:vertAlign w:val="baseline"/>
        </w:rPr>
        <w:t>is not the place the employee resides but for the treatment.</w:t>
      </w:r>
      <w:r>
        <w:rPr>
          <w:vertAlign w:val="superscript"/>
        </w:rPr>
        <w:t>301</w:t>
      </w:r>
    </w:p>
    <w:p>
      <w:pPr>
        <w:pStyle w:val="BodyText"/>
        <w:spacing w:before="20"/>
      </w:pPr>
    </w:p>
    <w:p>
      <w:pPr>
        <w:pStyle w:val="BodyText"/>
        <w:spacing w:line="494" w:lineRule="auto" w:before="1"/>
        <w:ind w:left="864" w:right="568"/>
        <w:jc w:val="both"/>
      </w:pPr>
      <w:r>
        <w:rPr/>
        <w:t>The fees or remuneration for health care provided under section 26 of the Act</w:t>
      </w:r>
      <w:r>
        <w:rPr>
          <w:spacing w:val="40"/>
        </w:rPr>
        <w:t> </w:t>
      </w:r>
      <w:r>
        <w:rPr/>
        <w:t>shall</w:t>
      </w:r>
      <w:r>
        <w:rPr>
          <w:spacing w:val="40"/>
        </w:rPr>
        <w:t> </w:t>
      </w:r>
      <w:r>
        <w:rPr/>
        <w:t>not</w:t>
      </w:r>
      <w:r>
        <w:rPr>
          <w:spacing w:val="44"/>
        </w:rPr>
        <w:t> </w:t>
      </w:r>
      <w:r>
        <w:rPr/>
        <w:t>be</w:t>
      </w:r>
      <w:r>
        <w:rPr>
          <w:spacing w:val="43"/>
        </w:rPr>
        <w:t> </w:t>
      </w:r>
      <w:r>
        <w:rPr/>
        <w:t>more</w:t>
      </w:r>
      <w:r>
        <w:rPr>
          <w:spacing w:val="48"/>
        </w:rPr>
        <w:t> </w:t>
      </w:r>
      <w:r>
        <w:rPr/>
        <w:t>than</w:t>
      </w:r>
      <w:r>
        <w:rPr>
          <w:spacing w:val="45"/>
        </w:rPr>
        <w:t> </w:t>
      </w:r>
      <w:r>
        <w:rPr/>
        <w:t>the</w:t>
      </w:r>
      <w:r>
        <w:rPr>
          <w:spacing w:val="42"/>
        </w:rPr>
        <w:t> </w:t>
      </w:r>
      <w:r>
        <w:rPr/>
        <w:t>fees</w:t>
      </w:r>
      <w:r>
        <w:rPr>
          <w:spacing w:val="48"/>
        </w:rPr>
        <w:t> </w:t>
      </w:r>
      <w:r>
        <w:rPr/>
        <w:t>that</w:t>
      </w:r>
      <w:r>
        <w:rPr>
          <w:spacing w:val="44"/>
        </w:rPr>
        <w:t> </w:t>
      </w:r>
      <w:r>
        <w:rPr/>
        <w:t>will</w:t>
      </w:r>
      <w:r>
        <w:rPr>
          <w:spacing w:val="45"/>
        </w:rPr>
        <w:t> </w:t>
      </w:r>
      <w:r>
        <w:rPr/>
        <w:t>be</w:t>
      </w:r>
      <w:r>
        <w:rPr>
          <w:spacing w:val="43"/>
        </w:rPr>
        <w:t> </w:t>
      </w:r>
      <w:r>
        <w:rPr/>
        <w:t>proper</w:t>
      </w:r>
      <w:r>
        <w:rPr>
          <w:spacing w:val="48"/>
        </w:rPr>
        <w:t> </w:t>
      </w:r>
      <w:r>
        <w:rPr/>
        <w:t>and</w:t>
      </w:r>
      <w:r>
        <w:rPr>
          <w:spacing w:val="46"/>
        </w:rPr>
        <w:t> </w:t>
      </w:r>
      <w:r>
        <w:rPr>
          <w:spacing w:val="-2"/>
        </w:rPr>
        <w:t>reasonably</w:t>
      </w:r>
    </w:p>
    <w:p>
      <w:pPr>
        <w:pStyle w:val="BodyText"/>
        <w:spacing w:before="236"/>
        <w:rPr>
          <w:sz w:val="20"/>
        </w:rPr>
      </w:pPr>
      <w:r>
        <w:rPr/>
        <mc:AlternateContent>
          <mc:Choice Requires="wps">
            <w:drawing>
              <wp:anchor distT="0" distB="0" distL="0" distR="0" allowOverlap="1" layoutInCell="1" locked="0" behindDoc="1" simplePos="0" relativeHeight="487640576">
                <wp:simplePos x="0" y="0"/>
                <wp:positionH relativeFrom="page">
                  <wp:posOffset>1185672</wp:posOffset>
                </wp:positionH>
                <wp:positionV relativeFrom="paragraph">
                  <wp:posOffset>318958</wp:posOffset>
                </wp:positionV>
                <wp:extent cx="1719580" cy="3175"/>
                <wp:effectExtent l="0" t="0" r="0" b="0"/>
                <wp:wrapTopAndBottom/>
                <wp:docPr id="118" name="Graphic 118"/>
                <wp:cNvGraphicFramePr>
                  <a:graphicFrameLocks/>
                </wp:cNvGraphicFramePr>
                <a:graphic>
                  <a:graphicData uri="http://schemas.microsoft.com/office/word/2010/wordprocessingShape">
                    <wps:wsp>
                      <wps:cNvPr id="118" name="Graphic 118"/>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5.114843pt;width:135.360pt;height:.24pt;mso-position-horizontal-relative:page;mso-position-vertical-relative:paragraph;z-index:-15675904;mso-wrap-distance-left:0;mso-wrap-distance-right:0" id="docshape118"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298</w:t>
      </w:r>
      <w:r>
        <w:rPr>
          <w:rFonts w:ascii="Times New Roman"/>
          <w:spacing w:val="-7"/>
          <w:sz w:val="19"/>
          <w:vertAlign w:val="baseline"/>
        </w:rPr>
        <w:t> </w:t>
      </w:r>
      <w:r>
        <w:rPr>
          <w:rFonts w:ascii="Times New Roman"/>
          <w:sz w:val="19"/>
          <w:vertAlign w:val="baseline"/>
        </w:rPr>
        <w:t>Section</w:t>
      </w:r>
      <w:r>
        <w:rPr>
          <w:rFonts w:ascii="Times New Roman"/>
          <w:spacing w:val="-6"/>
          <w:sz w:val="19"/>
          <w:vertAlign w:val="baseline"/>
        </w:rPr>
        <w:t> </w:t>
      </w:r>
      <w:r>
        <w:rPr>
          <w:rFonts w:ascii="Times New Roman"/>
          <w:sz w:val="19"/>
          <w:vertAlign w:val="baseline"/>
        </w:rPr>
        <w:t>26(1)(8)(9)</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299</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300</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26(2)</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301</w:t>
      </w:r>
      <w:r>
        <w:rPr>
          <w:rFonts w:ascii="Times New Roman"/>
          <w:spacing w:val="-4"/>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26(2)(4</w:t>
      </w:r>
      <w:r>
        <w:rPr>
          <w:rFonts w:ascii="Times New Roman"/>
          <w:i/>
          <w:sz w:val="19"/>
          <w:vertAlign w:val="baseline"/>
        </w:rPr>
        <w:t>)</w:t>
      </w:r>
      <w:r>
        <w:rPr>
          <w:rFonts w:ascii="Times New Roman"/>
          <w:i/>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69"/>
        <w:jc w:val="both"/>
      </w:pPr>
      <w:r>
        <w:rPr/>
        <w:t>charged</w:t>
      </w:r>
      <w:r>
        <w:rPr>
          <w:spacing w:val="40"/>
        </w:rPr>
        <w:t> </w:t>
      </w:r>
      <w:r>
        <w:rPr/>
        <w:t>if</w:t>
      </w:r>
      <w:r>
        <w:rPr>
          <w:spacing w:val="40"/>
        </w:rPr>
        <w:t> </w:t>
      </w:r>
      <w:r>
        <w:rPr/>
        <w:t>the</w:t>
      </w:r>
      <w:r>
        <w:rPr>
          <w:spacing w:val="40"/>
        </w:rPr>
        <w:t> </w:t>
      </w:r>
      <w:r>
        <w:rPr/>
        <w:t>employee</w:t>
      </w:r>
      <w:r>
        <w:rPr>
          <w:spacing w:val="40"/>
        </w:rPr>
        <w:t> </w:t>
      </w:r>
      <w:r>
        <w:rPr/>
        <w:t>were</w:t>
      </w:r>
      <w:r>
        <w:rPr>
          <w:spacing w:val="40"/>
        </w:rPr>
        <w:t> </w:t>
      </w:r>
      <w:r>
        <w:rPr/>
        <w:t>paying.</w:t>
      </w:r>
      <w:r>
        <w:rPr>
          <w:vertAlign w:val="superscript"/>
        </w:rPr>
        <w:t>302</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shall</w:t>
      </w:r>
      <w:r>
        <w:rPr>
          <w:spacing w:val="40"/>
          <w:vertAlign w:val="baseline"/>
        </w:rPr>
        <w:t> </w:t>
      </w:r>
      <w:r>
        <w:rPr>
          <w:vertAlign w:val="baseline"/>
        </w:rPr>
        <w:t>permit</w:t>
      </w:r>
      <w:r>
        <w:rPr>
          <w:spacing w:val="40"/>
          <w:vertAlign w:val="baseline"/>
        </w:rPr>
        <w:t> </w:t>
      </w:r>
      <w:r>
        <w:rPr>
          <w:vertAlign w:val="baseline"/>
        </w:rPr>
        <w:t>health care to be administered by the physician or</w:t>
      </w:r>
      <w:r>
        <w:rPr>
          <w:spacing w:val="34"/>
          <w:vertAlign w:val="baseline"/>
        </w:rPr>
        <w:t> </w:t>
      </w:r>
      <w:r>
        <w:rPr>
          <w:vertAlign w:val="baseline"/>
        </w:rPr>
        <w:t>medical practitioner</w:t>
      </w:r>
      <w:r>
        <w:rPr>
          <w:spacing w:val="30"/>
          <w:vertAlign w:val="baseline"/>
        </w:rPr>
        <w:t> </w:t>
      </w:r>
      <w:r>
        <w:rPr>
          <w:vertAlign w:val="baseline"/>
        </w:rPr>
        <w:t>who may be</w:t>
      </w:r>
      <w:r>
        <w:rPr>
          <w:spacing w:val="22"/>
          <w:vertAlign w:val="baseline"/>
        </w:rPr>
        <w:t> </w:t>
      </w:r>
      <w:r>
        <w:rPr>
          <w:vertAlign w:val="baseline"/>
        </w:rPr>
        <w:t>employed</w:t>
      </w:r>
      <w:r>
        <w:rPr>
          <w:spacing w:val="26"/>
          <w:vertAlign w:val="baseline"/>
        </w:rPr>
        <w:t> </w:t>
      </w:r>
      <w:r>
        <w:rPr>
          <w:vertAlign w:val="baseline"/>
        </w:rPr>
        <w:t>by</w:t>
      </w:r>
      <w:r>
        <w:rPr>
          <w:spacing w:val="24"/>
          <w:vertAlign w:val="baseline"/>
        </w:rPr>
        <w:t> </w:t>
      </w:r>
      <w:r>
        <w:rPr>
          <w:vertAlign w:val="baseline"/>
        </w:rPr>
        <w:t>the</w:t>
      </w:r>
      <w:r>
        <w:rPr>
          <w:spacing w:val="23"/>
          <w:vertAlign w:val="baseline"/>
        </w:rPr>
        <w:t> </w:t>
      </w:r>
      <w:r>
        <w:rPr>
          <w:vertAlign w:val="baseline"/>
        </w:rPr>
        <w:t>injured</w:t>
      </w:r>
      <w:r>
        <w:rPr>
          <w:spacing w:val="26"/>
          <w:vertAlign w:val="baseline"/>
        </w:rPr>
        <w:t> </w:t>
      </w:r>
      <w:r>
        <w:rPr>
          <w:vertAlign w:val="baseline"/>
        </w:rPr>
        <w:t>employee</w:t>
      </w:r>
      <w:r>
        <w:rPr>
          <w:spacing w:val="27"/>
          <w:vertAlign w:val="baseline"/>
        </w:rPr>
        <w:t> </w:t>
      </w:r>
      <w:r>
        <w:rPr>
          <w:vertAlign w:val="baseline"/>
        </w:rPr>
        <w:t>but</w:t>
      </w:r>
      <w:r>
        <w:rPr>
          <w:spacing w:val="24"/>
          <w:vertAlign w:val="baseline"/>
        </w:rPr>
        <w:t> </w:t>
      </w:r>
      <w:r>
        <w:rPr>
          <w:vertAlign w:val="baseline"/>
        </w:rPr>
        <w:t>this</w:t>
      </w:r>
      <w:r>
        <w:rPr>
          <w:spacing w:val="27"/>
          <w:vertAlign w:val="baseline"/>
        </w:rPr>
        <w:t> </w:t>
      </w:r>
      <w:r>
        <w:rPr>
          <w:vertAlign w:val="baseline"/>
        </w:rPr>
        <w:t>does</w:t>
      </w:r>
      <w:r>
        <w:rPr>
          <w:spacing w:val="22"/>
          <w:vertAlign w:val="baseline"/>
        </w:rPr>
        <w:t> </w:t>
      </w:r>
      <w:r>
        <w:rPr>
          <w:vertAlign w:val="baseline"/>
        </w:rPr>
        <w:t>not</w:t>
      </w:r>
      <w:r>
        <w:rPr>
          <w:spacing w:val="24"/>
          <w:vertAlign w:val="baseline"/>
        </w:rPr>
        <w:t> </w:t>
      </w:r>
      <w:r>
        <w:rPr>
          <w:vertAlign w:val="baseline"/>
        </w:rPr>
        <w:t>affect</w:t>
      </w:r>
      <w:r>
        <w:rPr>
          <w:spacing w:val="24"/>
          <w:vertAlign w:val="baseline"/>
        </w:rPr>
        <w:t> </w:t>
      </w:r>
      <w:r>
        <w:rPr>
          <w:vertAlign w:val="baseline"/>
        </w:rPr>
        <w:t>the</w:t>
      </w:r>
      <w:r>
        <w:rPr>
          <w:spacing w:val="23"/>
          <w:vertAlign w:val="baseline"/>
        </w:rPr>
        <w:t> </w:t>
      </w:r>
      <w:r>
        <w:rPr>
          <w:vertAlign w:val="baseline"/>
        </w:rPr>
        <w:t>powers of the Board to supervise and provide health care in a way where it considers expedient.</w:t>
      </w:r>
      <w:r>
        <w:rPr>
          <w:vertAlign w:val="superscript"/>
        </w:rPr>
        <w:t>303</w:t>
      </w:r>
    </w:p>
    <w:p>
      <w:pPr>
        <w:pStyle w:val="BodyText"/>
        <w:spacing w:before="10"/>
      </w:pPr>
    </w:p>
    <w:p>
      <w:pPr>
        <w:pStyle w:val="BodyText"/>
        <w:spacing w:line="489" w:lineRule="auto"/>
        <w:ind w:left="864" w:right="560"/>
        <w:jc w:val="both"/>
      </w:pPr>
      <w:r>
        <w:rPr/>
        <w:t>Every medical practitioner or accredited medical practitioner attending or consulted in a case of injury or alleged case of injury in a work place shall provide report to the Board within 7 days after the first date of his first attendance on the employee and this should state whether the injured employee is able to resume work, and if treatment is to be continued upon resumption</w:t>
      </w:r>
      <w:r>
        <w:rPr>
          <w:spacing w:val="24"/>
        </w:rPr>
        <w:t> </w:t>
      </w:r>
      <w:r>
        <w:rPr/>
        <w:t>to work, other</w:t>
      </w:r>
      <w:r>
        <w:rPr>
          <w:spacing w:val="22"/>
        </w:rPr>
        <w:t> </w:t>
      </w:r>
      <w:r>
        <w:rPr/>
        <w:t>adequate</w:t>
      </w:r>
      <w:r>
        <w:rPr>
          <w:spacing w:val="27"/>
        </w:rPr>
        <w:t> </w:t>
      </w:r>
      <w:r>
        <w:rPr/>
        <w:t>reports</w:t>
      </w:r>
      <w:r>
        <w:rPr>
          <w:spacing w:val="27"/>
        </w:rPr>
        <w:t> </w:t>
      </w:r>
      <w:r>
        <w:rPr/>
        <w:t>should be furnished.</w:t>
      </w:r>
      <w:r>
        <w:rPr>
          <w:vertAlign w:val="superscript"/>
        </w:rPr>
        <w:t>304</w:t>
      </w:r>
      <w:r>
        <w:rPr>
          <w:vertAlign w:val="baseline"/>
        </w:rPr>
        <w:t> Where a</w:t>
      </w:r>
      <w:r>
        <w:rPr>
          <w:spacing w:val="40"/>
          <w:vertAlign w:val="baseline"/>
        </w:rPr>
        <w:t> </w:t>
      </w:r>
      <w:r>
        <w:rPr>
          <w:vertAlign w:val="baseline"/>
        </w:rPr>
        <w:t>specialist</w:t>
      </w:r>
      <w:r>
        <w:rPr>
          <w:spacing w:val="40"/>
          <w:vertAlign w:val="baseline"/>
        </w:rPr>
        <w:t> </w:t>
      </w:r>
      <w:r>
        <w:rPr>
          <w:vertAlign w:val="baseline"/>
        </w:rPr>
        <w:t>whose</w:t>
      </w:r>
      <w:r>
        <w:rPr>
          <w:spacing w:val="40"/>
          <w:vertAlign w:val="baseline"/>
        </w:rPr>
        <w:t> </w:t>
      </w:r>
      <w:r>
        <w:rPr>
          <w:vertAlign w:val="baseline"/>
        </w:rPr>
        <w:t>opinion</w:t>
      </w:r>
      <w:r>
        <w:rPr>
          <w:spacing w:val="40"/>
          <w:vertAlign w:val="baseline"/>
        </w:rPr>
        <w:t> </w:t>
      </w:r>
      <w:r>
        <w:rPr>
          <w:vertAlign w:val="baseline"/>
        </w:rPr>
        <w:t>is</w:t>
      </w:r>
      <w:r>
        <w:rPr>
          <w:spacing w:val="40"/>
          <w:vertAlign w:val="baseline"/>
        </w:rPr>
        <w:t> </w:t>
      </w:r>
      <w:r>
        <w:rPr>
          <w:vertAlign w:val="baseline"/>
        </w:rPr>
        <w:t>requested</w:t>
      </w:r>
      <w:r>
        <w:rPr>
          <w:spacing w:val="40"/>
          <w:vertAlign w:val="baseline"/>
        </w:rPr>
        <w:t> </w:t>
      </w:r>
      <w:r>
        <w:rPr>
          <w:vertAlign w:val="baseline"/>
        </w:rPr>
        <w:t>is</w:t>
      </w:r>
      <w:r>
        <w:rPr>
          <w:spacing w:val="40"/>
          <w:vertAlign w:val="baseline"/>
        </w:rPr>
        <w:t> </w:t>
      </w:r>
      <w:r>
        <w:rPr>
          <w:vertAlign w:val="baseline"/>
        </w:rPr>
        <w:t>engaged,</w:t>
      </w:r>
      <w:r>
        <w:rPr>
          <w:spacing w:val="40"/>
          <w:vertAlign w:val="baseline"/>
        </w:rPr>
        <w:t> </w:t>
      </w:r>
      <w:r>
        <w:rPr>
          <w:vertAlign w:val="baseline"/>
        </w:rPr>
        <w:t>he</w:t>
      </w:r>
      <w:r>
        <w:rPr>
          <w:spacing w:val="40"/>
          <w:vertAlign w:val="baseline"/>
        </w:rPr>
        <w:t> </w:t>
      </w:r>
      <w:r>
        <w:rPr>
          <w:vertAlign w:val="baseline"/>
        </w:rPr>
        <w:t>shall</w:t>
      </w:r>
      <w:r>
        <w:rPr>
          <w:spacing w:val="40"/>
          <w:vertAlign w:val="baseline"/>
        </w:rPr>
        <w:t> </w:t>
      </w:r>
      <w:r>
        <w:rPr>
          <w:vertAlign w:val="baseline"/>
        </w:rPr>
        <w:t>provide</w:t>
      </w:r>
      <w:r>
        <w:rPr>
          <w:spacing w:val="40"/>
          <w:vertAlign w:val="baseline"/>
        </w:rPr>
        <w:t> </w:t>
      </w:r>
      <w:r>
        <w:rPr>
          <w:vertAlign w:val="baseline"/>
        </w:rPr>
        <w:t>his first report to the Board upon completion.</w:t>
      </w:r>
      <w:r>
        <w:rPr>
          <w:vertAlign w:val="superscript"/>
        </w:rPr>
        <w:t>305</w:t>
      </w:r>
      <w:r>
        <w:rPr>
          <w:vertAlign w:val="baseline"/>
        </w:rPr>
        <w:t>Failure to submit report is an offence</w:t>
      </w:r>
      <w:r>
        <w:rPr>
          <w:spacing w:val="40"/>
          <w:vertAlign w:val="baseline"/>
        </w:rPr>
        <w:t> </w:t>
      </w:r>
      <w:r>
        <w:rPr>
          <w:vertAlign w:val="baseline"/>
        </w:rPr>
        <w:t>and</w:t>
      </w:r>
      <w:r>
        <w:rPr>
          <w:spacing w:val="40"/>
          <w:vertAlign w:val="baseline"/>
        </w:rPr>
        <w:t> </w:t>
      </w:r>
      <w:r>
        <w:rPr>
          <w:vertAlign w:val="baseline"/>
        </w:rPr>
        <w:t>attracts</w:t>
      </w:r>
      <w:r>
        <w:rPr>
          <w:spacing w:val="40"/>
          <w:vertAlign w:val="baseline"/>
        </w:rPr>
        <w:t> </w:t>
      </w:r>
      <w:r>
        <w:rPr>
          <w:vertAlign w:val="baseline"/>
        </w:rPr>
        <w:t>penalties</w:t>
      </w:r>
      <w:r>
        <w:rPr>
          <w:vertAlign w:val="superscript"/>
        </w:rPr>
        <w:t>306</w:t>
      </w:r>
      <w:r>
        <w:rPr>
          <w:spacing w:val="40"/>
          <w:vertAlign w:val="baseline"/>
        </w:rPr>
        <w:t> </w:t>
      </w:r>
      <w:r>
        <w:rPr>
          <w:vertAlign w:val="baseline"/>
        </w:rPr>
        <w:t>An</w:t>
      </w:r>
      <w:r>
        <w:rPr>
          <w:spacing w:val="40"/>
          <w:vertAlign w:val="baseline"/>
        </w:rPr>
        <w:t> </w:t>
      </w:r>
      <w:r>
        <w:rPr>
          <w:vertAlign w:val="baseline"/>
        </w:rPr>
        <w:t>accredited</w:t>
      </w:r>
      <w:r>
        <w:rPr>
          <w:spacing w:val="40"/>
          <w:vertAlign w:val="baseline"/>
        </w:rPr>
        <w:t> </w:t>
      </w:r>
      <w:r>
        <w:rPr>
          <w:vertAlign w:val="baseline"/>
        </w:rPr>
        <w:t>medical</w:t>
      </w:r>
      <w:r>
        <w:rPr>
          <w:spacing w:val="40"/>
          <w:vertAlign w:val="baseline"/>
        </w:rPr>
        <w:t> </w:t>
      </w:r>
      <w:r>
        <w:rPr>
          <w:vertAlign w:val="baseline"/>
        </w:rPr>
        <w:t>practitioner</w:t>
      </w:r>
      <w:r>
        <w:rPr>
          <w:spacing w:val="40"/>
          <w:vertAlign w:val="baseline"/>
        </w:rPr>
        <w:t> </w:t>
      </w:r>
      <w:r>
        <w:rPr>
          <w:vertAlign w:val="baseline"/>
        </w:rPr>
        <w:t>or other</w:t>
      </w:r>
      <w:r>
        <w:rPr>
          <w:spacing w:val="34"/>
          <w:vertAlign w:val="baseline"/>
        </w:rPr>
        <w:t> </w:t>
      </w:r>
      <w:r>
        <w:rPr>
          <w:vertAlign w:val="baseline"/>
        </w:rPr>
        <w:t>person authorized to render</w:t>
      </w:r>
      <w:r>
        <w:rPr>
          <w:spacing w:val="34"/>
          <w:vertAlign w:val="baseline"/>
        </w:rPr>
        <w:t> </w:t>
      </w:r>
      <w:r>
        <w:rPr>
          <w:vertAlign w:val="baseline"/>
        </w:rPr>
        <w:t>health</w:t>
      </w:r>
      <w:r>
        <w:rPr>
          <w:spacing w:val="34"/>
          <w:vertAlign w:val="baseline"/>
        </w:rPr>
        <w:t> </w:t>
      </w:r>
      <w:r>
        <w:rPr>
          <w:vertAlign w:val="baseline"/>
        </w:rPr>
        <w:t>care under</w:t>
      </w:r>
      <w:r>
        <w:rPr>
          <w:spacing w:val="34"/>
          <w:vertAlign w:val="baseline"/>
        </w:rPr>
        <w:t> </w:t>
      </w:r>
      <w:r>
        <w:rPr>
          <w:vertAlign w:val="baseline"/>
        </w:rPr>
        <w:t>the Act shall confine his or her treatment to injuries to the parts of the body he or she is authorized</w:t>
      </w:r>
      <w:r>
        <w:rPr>
          <w:spacing w:val="40"/>
          <w:vertAlign w:val="baseline"/>
        </w:rPr>
        <w:t> </w:t>
      </w:r>
      <w:r>
        <w:rPr>
          <w:vertAlign w:val="baseline"/>
        </w:rPr>
        <w:t>to</w:t>
      </w:r>
      <w:r>
        <w:rPr>
          <w:spacing w:val="40"/>
          <w:vertAlign w:val="baseline"/>
        </w:rPr>
        <w:t> </w:t>
      </w:r>
      <w:r>
        <w:rPr>
          <w:vertAlign w:val="baseline"/>
        </w:rPr>
        <w:t>treat under</w:t>
      </w:r>
      <w:r>
        <w:rPr>
          <w:spacing w:val="40"/>
          <w:vertAlign w:val="baseline"/>
        </w:rPr>
        <w:t> </w:t>
      </w:r>
      <w:r>
        <w:rPr>
          <w:vertAlign w:val="baseline"/>
        </w:rPr>
        <w:t>the</w:t>
      </w:r>
      <w:r>
        <w:rPr>
          <w:spacing w:val="40"/>
          <w:vertAlign w:val="baseline"/>
        </w:rPr>
        <w:t> </w:t>
      </w:r>
      <w:r>
        <w:rPr>
          <w:vertAlign w:val="baseline"/>
        </w:rPr>
        <w:t>Medical</w:t>
      </w:r>
      <w:r>
        <w:rPr>
          <w:spacing w:val="40"/>
          <w:vertAlign w:val="baseline"/>
        </w:rPr>
        <w:t> </w:t>
      </w:r>
      <w:r>
        <w:rPr>
          <w:vertAlign w:val="baseline"/>
        </w:rPr>
        <w:t>and</w:t>
      </w:r>
      <w:r>
        <w:rPr>
          <w:spacing w:val="40"/>
          <w:vertAlign w:val="baseline"/>
        </w:rPr>
        <w:t> </w:t>
      </w:r>
      <w:r>
        <w:rPr>
          <w:vertAlign w:val="baseline"/>
        </w:rPr>
        <w:t>Dental</w:t>
      </w:r>
      <w:r>
        <w:rPr>
          <w:spacing w:val="40"/>
          <w:vertAlign w:val="baseline"/>
        </w:rPr>
        <w:t> </w:t>
      </w:r>
      <w:r>
        <w:rPr>
          <w:vertAlign w:val="baseline"/>
        </w:rPr>
        <w:t>Practitioners</w:t>
      </w:r>
      <w:r>
        <w:rPr>
          <w:spacing w:val="40"/>
          <w:vertAlign w:val="baseline"/>
        </w:rPr>
        <w:t> </w:t>
      </w:r>
      <w:r>
        <w:rPr>
          <w:vertAlign w:val="baseline"/>
        </w:rPr>
        <w:t>Act</w:t>
      </w:r>
      <w:r>
        <w:rPr>
          <w:spacing w:val="40"/>
          <w:vertAlign w:val="baseline"/>
        </w:rPr>
        <w:t> </w:t>
      </w:r>
      <w:r>
        <w:rPr>
          <w:vertAlign w:val="baseline"/>
        </w:rPr>
        <w:t>which the medical practitioner is permitted to practice and any unauthorized treatment shall not be paid by the Board.</w:t>
      </w:r>
      <w:r>
        <w:rPr>
          <w:vertAlign w:val="superscript"/>
        </w:rPr>
        <w:t>307</w:t>
      </w:r>
    </w:p>
    <w:p>
      <w:pPr>
        <w:pStyle w:val="BodyText"/>
        <w:spacing w:before="4"/>
        <w:rPr>
          <w:sz w:val="16"/>
        </w:rPr>
      </w:pPr>
      <w:r>
        <w:rPr/>
        <mc:AlternateContent>
          <mc:Choice Requires="wps">
            <w:drawing>
              <wp:anchor distT="0" distB="0" distL="0" distR="0" allowOverlap="1" layoutInCell="1" locked="0" behindDoc="1" simplePos="0" relativeHeight="487641088">
                <wp:simplePos x="0" y="0"/>
                <wp:positionH relativeFrom="page">
                  <wp:posOffset>1185672</wp:posOffset>
                </wp:positionH>
                <wp:positionV relativeFrom="paragraph">
                  <wp:posOffset>140932</wp:posOffset>
                </wp:positionV>
                <wp:extent cx="1719580" cy="6350"/>
                <wp:effectExtent l="0" t="0" r="0" b="0"/>
                <wp:wrapTopAndBottom/>
                <wp:docPr id="119" name="Graphic 119"/>
                <wp:cNvGraphicFramePr>
                  <a:graphicFrameLocks/>
                </wp:cNvGraphicFramePr>
                <a:graphic>
                  <a:graphicData uri="http://schemas.microsoft.com/office/word/2010/wordprocessingShape">
                    <wps:wsp>
                      <wps:cNvPr id="119" name="Graphic 119"/>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097032pt;width:135.360pt;height:.48pt;mso-position-horizontal-relative:page;mso-position-vertical-relative:paragraph;z-index:-15675392;mso-wrap-distance-left:0;mso-wrap-distance-right:0" id="docshape119"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302</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26(6)</w:t>
      </w:r>
      <w:r>
        <w:rPr>
          <w:rFonts w:ascii="Times New Roman"/>
          <w:spacing w:val="-7"/>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303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26(7)</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304</w:t>
      </w:r>
      <w:r>
        <w:rPr>
          <w:rFonts w:ascii="Times New Roman"/>
          <w:spacing w:val="-7"/>
          <w:sz w:val="19"/>
          <w:vertAlign w:val="baseline"/>
        </w:rPr>
        <w:t> </w:t>
      </w:r>
      <w:r>
        <w:rPr>
          <w:rFonts w:ascii="Times New Roman"/>
          <w:sz w:val="19"/>
          <w:vertAlign w:val="baseline"/>
        </w:rPr>
        <w:t>Section</w:t>
      </w:r>
      <w:r>
        <w:rPr>
          <w:rFonts w:ascii="Times New Roman"/>
          <w:spacing w:val="-8"/>
          <w:sz w:val="19"/>
          <w:vertAlign w:val="baseline"/>
        </w:rPr>
        <w:t> </w:t>
      </w:r>
      <w:r>
        <w:rPr>
          <w:rFonts w:ascii="Times New Roman"/>
          <w:sz w:val="19"/>
          <w:vertAlign w:val="baseline"/>
        </w:rPr>
        <w:t>27(1)(a)(b)</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305</w:t>
      </w:r>
      <w:r>
        <w:rPr>
          <w:rFonts w:ascii="Times New Roman"/>
          <w:spacing w:val="-4"/>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27</w:t>
      </w:r>
      <w:r>
        <w:rPr>
          <w:rFonts w:ascii="Times New Roman"/>
          <w:spacing w:val="-3"/>
          <w:sz w:val="19"/>
          <w:vertAlign w:val="baseline"/>
        </w:rPr>
        <w:t> </w:t>
      </w:r>
      <w:r>
        <w:rPr>
          <w:rFonts w:ascii="Times New Roman"/>
          <w:sz w:val="19"/>
          <w:vertAlign w:val="baseline"/>
        </w:rPr>
        <w:t>(1)(C)</w:t>
      </w:r>
      <w:r>
        <w:rPr>
          <w:rFonts w:ascii="Times New Roman"/>
          <w:spacing w:val="-9"/>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306</w:t>
      </w:r>
      <w:r>
        <w:rPr>
          <w:rFonts w:ascii="Times New Roman"/>
          <w:spacing w:val="-1"/>
          <w:sz w:val="19"/>
          <w:vertAlign w:val="baseline"/>
        </w:rPr>
        <w:t> </w:t>
      </w:r>
      <w:r>
        <w:rPr>
          <w:rFonts w:ascii="Times New Roman"/>
          <w:sz w:val="19"/>
          <w:vertAlign w:val="baseline"/>
        </w:rPr>
        <w:t>See</w:t>
      </w:r>
      <w:r>
        <w:rPr>
          <w:rFonts w:ascii="Times New Roman"/>
          <w:spacing w:val="-3"/>
          <w:sz w:val="19"/>
          <w:vertAlign w:val="baseline"/>
        </w:rPr>
        <w:t> </w:t>
      </w:r>
      <w:r>
        <w:rPr>
          <w:rFonts w:ascii="Times New Roman"/>
          <w:sz w:val="19"/>
          <w:vertAlign w:val="baseline"/>
        </w:rPr>
        <w:t>Section 27</w:t>
      </w:r>
      <w:r>
        <w:rPr>
          <w:rFonts w:ascii="Times New Roman"/>
          <w:spacing w:val="-9"/>
          <w:sz w:val="19"/>
          <w:vertAlign w:val="baseline"/>
        </w:rPr>
        <w:t> </w:t>
      </w:r>
      <w:r>
        <w:rPr>
          <w:rFonts w:ascii="Times New Roman"/>
          <w:sz w:val="19"/>
          <w:vertAlign w:val="baseline"/>
        </w:rPr>
        <w:t>(5)</w:t>
      </w:r>
      <w:r>
        <w:rPr>
          <w:rFonts w:ascii="Times New Roman"/>
          <w:spacing w:val="-6"/>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307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27(4)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hAnsi="Times New Roman"/>
          <w:sz w:val="19"/>
        </w:rPr>
      </w:pPr>
      <w:r>
        <w:rPr>
          <w:rFonts w:ascii="Times New Roman" w:hAnsi="Times New Roman"/>
          <w:sz w:val="19"/>
          <w:vertAlign w:val="superscript"/>
        </w:rPr>
        <w:t>308</w:t>
      </w:r>
      <w:r>
        <w:rPr>
          <w:rFonts w:ascii="Times New Roman" w:hAnsi="Times New Roman"/>
          <w:spacing w:val="-2"/>
          <w:sz w:val="19"/>
          <w:vertAlign w:val="baseline"/>
        </w:rPr>
        <w:t> </w:t>
      </w:r>
      <w:r>
        <w:rPr>
          <w:rFonts w:ascii="Times New Roman" w:hAnsi="Times New Roman"/>
          <w:sz w:val="19"/>
          <w:vertAlign w:val="baseline"/>
        </w:rPr>
        <w:t>Sections</w:t>
      </w:r>
      <w:r>
        <w:rPr>
          <w:rFonts w:ascii="Times New Roman" w:hAnsi="Times New Roman"/>
          <w:spacing w:val="-5"/>
          <w:sz w:val="19"/>
          <w:vertAlign w:val="baseline"/>
        </w:rPr>
        <w:t> </w:t>
      </w:r>
      <w:r>
        <w:rPr>
          <w:rFonts w:ascii="Times New Roman" w:hAnsi="Times New Roman"/>
          <w:sz w:val="19"/>
          <w:vertAlign w:val="baseline"/>
        </w:rPr>
        <w:t>16</w:t>
      </w:r>
      <w:r>
        <w:rPr>
          <w:rFonts w:ascii="Times New Roman" w:hAnsi="Times New Roman"/>
          <w:spacing w:val="-5"/>
          <w:sz w:val="19"/>
          <w:vertAlign w:val="baseline"/>
        </w:rPr>
        <w:t> </w:t>
      </w:r>
      <w:r>
        <w:rPr>
          <w:rFonts w:ascii="Times New Roman" w:hAnsi="Times New Roman"/>
          <w:sz w:val="19"/>
          <w:vertAlign w:val="baseline"/>
        </w:rPr>
        <w:t>and</w:t>
      </w:r>
      <w:r>
        <w:rPr>
          <w:rFonts w:ascii="Times New Roman" w:hAnsi="Times New Roman"/>
          <w:spacing w:val="35"/>
          <w:sz w:val="19"/>
          <w:vertAlign w:val="baseline"/>
        </w:rPr>
        <w:t> </w:t>
      </w:r>
      <w:r>
        <w:rPr>
          <w:rFonts w:ascii="Times New Roman" w:hAnsi="Times New Roman"/>
          <w:sz w:val="19"/>
          <w:vertAlign w:val="baseline"/>
        </w:rPr>
        <w:t>26</w:t>
      </w:r>
      <w:r>
        <w:rPr>
          <w:rFonts w:ascii="Times New Roman" w:hAnsi="Times New Roman"/>
          <w:spacing w:val="30"/>
          <w:sz w:val="19"/>
          <w:vertAlign w:val="baseline"/>
        </w:rPr>
        <w:t> </w:t>
      </w:r>
      <w:r>
        <w:rPr>
          <w:rFonts w:ascii="Times New Roman" w:hAnsi="Times New Roman"/>
          <w:i/>
          <w:sz w:val="19"/>
          <w:vertAlign w:val="baseline"/>
        </w:rPr>
        <w:t>ibid</w:t>
      </w:r>
      <w:r>
        <w:rPr>
          <w:rFonts w:ascii="Times New Roman" w:hAnsi="Times New Roman"/>
          <w:i/>
          <w:spacing w:val="-5"/>
          <w:sz w:val="19"/>
          <w:vertAlign w:val="baseline"/>
        </w:rPr>
        <w:t> </w:t>
      </w:r>
      <w:r>
        <w:rPr>
          <w:rFonts w:ascii="Times New Roman" w:hAnsi="Times New Roman"/>
          <w:sz w:val="19"/>
          <w:vertAlign w:val="baseline"/>
        </w:rPr>
        <w:t>which</w:t>
      </w:r>
      <w:r>
        <w:rPr>
          <w:rFonts w:ascii="Times New Roman" w:hAnsi="Times New Roman"/>
          <w:spacing w:val="-10"/>
          <w:sz w:val="19"/>
          <w:vertAlign w:val="baseline"/>
        </w:rPr>
        <w:t> </w:t>
      </w:r>
      <w:r>
        <w:rPr>
          <w:rFonts w:ascii="Times New Roman" w:hAnsi="Times New Roman"/>
          <w:sz w:val="19"/>
          <w:vertAlign w:val="baseline"/>
        </w:rPr>
        <w:t>make</w:t>
      </w:r>
      <w:r>
        <w:rPr>
          <w:rFonts w:ascii="Times New Roman" w:hAnsi="Times New Roman"/>
          <w:spacing w:val="-9"/>
          <w:sz w:val="19"/>
          <w:vertAlign w:val="baseline"/>
        </w:rPr>
        <w:t> </w:t>
      </w:r>
      <w:r>
        <w:rPr>
          <w:rFonts w:ascii="Times New Roman" w:hAnsi="Times New Roman"/>
          <w:sz w:val="19"/>
          <w:vertAlign w:val="baseline"/>
        </w:rPr>
        <w:t>health</w:t>
      </w:r>
      <w:r>
        <w:rPr>
          <w:rFonts w:ascii="Times New Roman" w:hAnsi="Times New Roman"/>
          <w:spacing w:val="-6"/>
          <w:sz w:val="19"/>
          <w:vertAlign w:val="baseline"/>
        </w:rPr>
        <w:t> </w:t>
      </w:r>
      <w:r>
        <w:rPr>
          <w:rFonts w:ascii="Times New Roman" w:hAnsi="Times New Roman"/>
          <w:sz w:val="19"/>
          <w:vertAlign w:val="baseline"/>
        </w:rPr>
        <w:t>care</w:t>
      </w:r>
      <w:r>
        <w:rPr>
          <w:rFonts w:ascii="Times New Roman" w:hAnsi="Times New Roman"/>
          <w:spacing w:val="-9"/>
          <w:sz w:val="19"/>
          <w:vertAlign w:val="baseline"/>
        </w:rPr>
        <w:t> </w:t>
      </w:r>
      <w:r>
        <w:rPr>
          <w:rFonts w:ascii="Times New Roman" w:hAnsi="Times New Roman"/>
          <w:sz w:val="19"/>
          <w:vertAlign w:val="baseline"/>
        </w:rPr>
        <w:t>services</w:t>
      </w:r>
      <w:r>
        <w:rPr>
          <w:rFonts w:ascii="Times New Roman" w:hAnsi="Times New Roman"/>
          <w:spacing w:val="-5"/>
          <w:sz w:val="19"/>
          <w:vertAlign w:val="baseline"/>
        </w:rPr>
        <w:t> </w:t>
      </w:r>
      <w:r>
        <w:rPr>
          <w:rFonts w:ascii="Times New Roman" w:hAnsi="Times New Roman"/>
          <w:sz w:val="19"/>
          <w:vertAlign w:val="baseline"/>
        </w:rPr>
        <w:t>discretionary</w:t>
      </w:r>
      <w:r>
        <w:rPr>
          <w:rFonts w:ascii="Times New Roman" w:hAnsi="Times New Roman"/>
          <w:i/>
          <w:sz w:val="19"/>
          <w:vertAlign w:val="baseline"/>
        </w:rPr>
        <w:t>.</w:t>
      </w:r>
      <w:r>
        <w:rPr>
          <w:rFonts w:ascii="Times New Roman" w:hAnsi="Times New Roman"/>
          <w:i/>
          <w:spacing w:val="-6"/>
          <w:sz w:val="19"/>
          <w:vertAlign w:val="baseline"/>
        </w:rPr>
        <w:t> </w:t>
      </w:r>
      <w:r>
        <w:rPr>
          <w:rFonts w:ascii="Times New Roman" w:hAnsi="Times New Roman"/>
          <w:sz w:val="19"/>
          <w:vertAlign w:val="baseline"/>
        </w:rPr>
        <w:t>See</w:t>
      </w:r>
      <w:r>
        <w:rPr>
          <w:rFonts w:ascii="Times New Roman" w:hAnsi="Times New Roman"/>
          <w:spacing w:val="-9"/>
          <w:sz w:val="19"/>
          <w:vertAlign w:val="baseline"/>
        </w:rPr>
        <w:t> </w:t>
      </w:r>
      <w:r>
        <w:rPr>
          <w:rFonts w:ascii="Times New Roman" w:hAnsi="Times New Roman"/>
          <w:sz w:val="19"/>
          <w:vertAlign w:val="baseline"/>
        </w:rPr>
        <w:t>however section</w:t>
      </w:r>
      <w:r>
        <w:rPr>
          <w:rFonts w:ascii="Times New Roman" w:hAnsi="Times New Roman"/>
          <w:spacing w:val="-2"/>
          <w:sz w:val="19"/>
          <w:vertAlign w:val="baseline"/>
        </w:rPr>
        <w:t> </w:t>
      </w:r>
      <w:r>
        <w:rPr>
          <w:rFonts w:ascii="Times New Roman" w:hAnsi="Times New Roman"/>
          <w:sz w:val="19"/>
          <w:vertAlign w:val="baseline"/>
        </w:rPr>
        <w:t>9</w:t>
      </w:r>
      <w:r>
        <w:rPr>
          <w:rFonts w:ascii="Times New Roman" w:hAnsi="Times New Roman"/>
          <w:spacing w:val="-10"/>
          <w:sz w:val="19"/>
          <w:vertAlign w:val="baseline"/>
        </w:rPr>
        <w:t> </w:t>
      </w:r>
      <w:r>
        <w:rPr>
          <w:rFonts w:ascii="Times New Roman" w:hAnsi="Times New Roman"/>
          <w:i/>
          <w:sz w:val="19"/>
          <w:vertAlign w:val="baseline"/>
        </w:rPr>
        <w:t>ibid</w:t>
      </w:r>
      <w:r>
        <w:rPr>
          <w:rFonts w:ascii="Times New Roman" w:hAnsi="Times New Roman"/>
          <w:i/>
          <w:spacing w:val="-10"/>
          <w:sz w:val="19"/>
          <w:vertAlign w:val="baseline"/>
        </w:rPr>
        <w:t> </w:t>
      </w:r>
      <w:r>
        <w:rPr>
          <w:rFonts w:ascii="Times New Roman" w:hAnsi="Times New Roman"/>
          <w:sz w:val="19"/>
          <w:vertAlign w:val="baseline"/>
        </w:rPr>
        <w:t>which says health care benefits ‘shall be paid’ in respect of occupational diseases</w:t>
      </w:r>
    </w:p>
    <w:p>
      <w:pPr>
        <w:spacing w:after="0" w:line="237" w:lineRule="auto"/>
        <w:jc w:val="left"/>
        <w:rPr>
          <w:rFonts w:ascii="Times New Roman" w:hAnsi="Times New Roman"/>
          <w:sz w:val="19"/>
        </w:rPr>
        <w:sectPr>
          <w:pgSz w:w="12240" w:h="15840"/>
          <w:pgMar w:header="0" w:footer="1009" w:top="1240" w:bottom="1200" w:left="1680" w:right="1320"/>
        </w:sectPr>
      </w:pPr>
    </w:p>
    <w:p>
      <w:pPr>
        <w:pStyle w:val="BodyText"/>
        <w:spacing w:line="489" w:lineRule="auto" w:before="94"/>
        <w:ind w:left="864" w:right="568" w:firstLine="72"/>
        <w:jc w:val="both"/>
      </w:pPr>
      <w:r>
        <w:rPr/>
        <w:t>Health</w:t>
      </w:r>
      <w:r>
        <w:rPr>
          <w:spacing w:val="40"/>
        </w:rPr>
        <w:t> </w:t>
      </w:r>
      <w:r>
        <w:rPr/>
        <w:t>care</w:t>
      </w:r>
      <w:r>
        <w:rPr>
          <w:spacing w:val="40"/>
        </w:rPr>
        <w:t> </w:t>
      </w:r>
      <w:r>
        <w:rPr/>
        <w:t>services</w:t>
      </w:r>
      <w:r>
        <w:rPr>
          <w:spacing w:val="40"/>
        </w:rPr>
        <w:t> </w:t>
      </w:r>
      <w:r>
        <w:rPr/>
        <w:t>are</w:t>
      </w:r>
      <w:r>
        <w:rPr>
          <w:spacing w:val="40"/>
        </w:rPr>
        <w:t> </w:t>
      </w:r>
      <w:r>
        <w:rPr/>
        <w:t>not compulsory</w:t>
      </w:r>
      <w:r>
        <w:rPr>
          <w:spacing w:val="40"/>
        </w:rPr>
        <w:t> </w:t>
      </w:r>
      <w:r>
        <w:rPr/>
        <w:t>but at</w:t>
      </w:r>
      <w:r>
        <w:rPr>
          <w:spacing w:val="40"/>
        </w:rPr>
        <w:t> </w:t>
      </w:r>
      <w:r>
        <w:rPr/>
        <w:t>the</w:t>
      </w:r>
      <w:r>
        <w:rPr>
          <w:spacing w:val="40"/>
        </w:rPr>
        <w:t> </w:t>
      </w:r>
      <w:r>
        <w:rPr/>
        <w:t>discretions</w:t>
      </w:r>
      <w:r>
        <w:rPr>
          <w:spacing w:val="40"/>
        </w:rPr>
        <w:t> </w:t>
      </w:r>
      <w:r>
        <w:rPr/>
        <w:t>of</w:t>
      </w:r>
      <w:r>
        <w:rPr>
          <w:spacing w:val="40"/>
        </w:rPr>
        <w:t> </w:t>
      </w:r>
      <w:r>
        <w:rPr/>
        <w:t>the Board. It only in cases of occupational diseases, that, health benefits are compulsory.</w:t>
      </w:r>
      <w:r>
        <w:rPr>
          <w:vertAlign w:val="superscript"/>
        </w:rPr>
        <w:t>308</w:t>
      </w:r>
      <w:r>
        <w:rPr>
          <w:spacing w:val="18"/>
          <w:vertAlign w:val="baseline"/>
        </w:rPr>
        <w:t> </w:t>
      </w:r>
      <w:r>
        <w:rPr>
          <w:vertAlign w:val="baseline"/>
        </w:rPr>
        <w:t>This</w:t>
      </w:r>
      <w:r>
        <w:rPr>
          <w:spacing w:val="14"/>
          <w:vertAlign w:val="baseline"/>
        </w:rPr>
        <w:t> </w:t>
      </w:r>
      <w:r>
        <w:rPr>
          <w:vertAlign w:val="baseline"/>
        </w:rPr>
        <w:t>is</w:t>
      </w:r>
      <w:r>
        <w:rPr>
          <w:spacing w:val="19"/>
          <w:vertAlign w:val="baseline"/>
        </w:rPr>
        <w:t> </w:t>
      </w:r>
      <w:r>
        <w:rPr>
          <w:vertAlign w:val="baseline"/>
        </w:rPr>
        <w:t>one</w:t>
      </w:r>
      <w:r>
        <w:rPr>
          <w:spacing w:val="20"/>
          <w:vertAlign w:val="baseline"/>
        </w:rPr>
        <w:t> </w:t>
      </w:r>
      <w:r>
        <w:rPr>
          <w:vertAlign w:val="baseline"/>
        </w:rPr>
        <w:t>striking</w:t>
      </w:r>
      <w:r>
        <w:rPr>
          <w:spacing w:val="23"/>
          <w:vertAlign w:val="baseline"/>
        </w:rPr>
        <w:t> </w:t>
      </w:r>
      <w:r>
        <w:rPr>
          <w:vertAlign w:val="baseline"/>
        </w:rPr>
        <w:t>difference</w:t>
      </w:r>
      <w:r>
        <w:rPr>
          <w:spacing w:val="19"/>
          <w:vertAlign w:val="baseline"/>
        </w:rPr>
        <w:t> </w:t>
      </w:r>
      <w:r>
        <w:rPr>
          <w:vertAlign w:val="baseline"/>
        </w:rPr>
        <w:t>between</w:t>
      </w:r>
      <w:r>
        <w:rPr>
          <w:spacing w:val="17"/>
          <w:vertAlign w:val="baseline"/>
        </w:rPr>
        <w:t> </w:t>
      </w:r>
      <w:r>
        <w:rPr>
          <w:vertAlign w:val="baseline"/>
        </w:rPr>
        <w:t>health</w:t>
      </w:r>
      <w:r>
        <w:rPr>
          <w:spacing w:val="17"/>
          <w:vertAlign w:val="baseline"/>
        </w:rPr>
        <w:t> </w:t>
      </w:r>
      <w:r>
        <w:rPr>
          <w:vertAlign w:val="baseline"/>
        </w:rPr>
        <w:t>care</w:t>
      </w:r>
      <w:r>
        <w:rPr>
          <w:spacing w:val="15"/>
          <w:vertAlign w:val="baseline"/>
        </w:rPr>
        <w:t> </w:t>
      </w:r>
      <w:r>
        <w:rPr>
          <w:spacing w:val="-2"/>
          <w:vertAlign w:val="baseline"/>
        </w:rPr>
        <w:t>services</w:t>
      </w:r>
    </w:p>
    <w:p>
      <w:pPr>
        <w:pStyle w:val="BodyText"/>
        <w:ind w:left="864"/>
        <w:jc w:val="both"/>
      </w:pPr>
      <w:r>
        <w:rPr/>
        <w:t>and</w:t>
      </w:r>
      <w:r>
        <w:rPr>
          <w:spacing w:val="20"/>
        </w:rPr>
        <w:t> </w:t>
      </w:r>
      <w:r>
        <w:rPr/>
        <w:t>other</w:t>
      </w:r>
      <w:r>
        <w:rPr>
          <w:spacing w:val="18"/>
        </w:rPr>
        <w:t> </w:t>
      </w:r>
      <w:r>
        <w:rPr/>
        <w:t>monetary</w:t>
      </w:r>
      <w:r>
        <w:rPr>
          <w:spacing w:val="19"/>
        </w:rPr>
        <w:t> </w:t>
      </w:r>
      <w:r>
        <w:rPr/>
        <w:t>compensations.</w:t>
      </w:r>
      <w:r>
        <w:rPr>
          <w:spacing w:val="22"/>
        </w:rPr>
        <w:t> </w:t>
      </w:r>
      <w:r>
        <w:rPr/>
        <w:t>Where</w:t>
      </w:r>
      <w:r>
        <w:rPr>
          <w:spacing w:val="22"/>
        </w:rPr>
        <w:t> </w:t>
      </w:r>
      <w:r>
        <w:rPr/>
        <w:t>however,</w:t>
      </w:r>
      <w:r>
        <w:rPr>
          <w:spacing w:val="22"/>
        </w:rPr>
        <w:t> </w:t>
      </w:r>
      <w:r>
        <w:rPr/>
        <w:t>medical</w:t>
      </w:r>
      <w:r>
        <w:rPr>
          <w:spacing w:val="19"/>
        </w:rPr>
        <w:t> </w:t>
      </w:r>
      <w:r>
        <w:rPr/>
        <w:t>treatment</w:t>
      </w:r>
      <w:r>
        <w:rPr>
          <w:spacing w:val="15"/>
        </w:rPr>
        <w:t> </w:t>
      </w:r>
      <w:r>
        <w:rPr>
          <w:spacing w:val="-5"/>
        </w:rPr>
        <w:t>is</w:t>
      </w:r>
    </w:p>
    <w:p>
      <w:pPr>
        <w:pStyle w:val="BodyText"/>
        <w:spacing w:before="11"/>
        <w:rPr>
          <w:sz w:val="15"/>
        </w:rPr>
      </w:pPr>
      <w:r>
        <w:rPr/>
        <mc:AlternateContent>
          <mc:Choice Requires="wps">
            <w:drawing>
              <wp:anchor distT="0" distB="0" distL="0" distR="0" allowOverlap="1" layoutInCell="1" locked="0" behindDoc="1" simplePos="0" relativeHeight="487641600">
                <wp:simplePos x="0" y="0"/>
                <wp:positionH relativeFrom="page">
                  <wp:posOffset>1185672</wp:posOffset>
                </wp:positionH>
                <wp:positionV relativeFrom="paragraph">
                  <wp:posOffset>137519</wp:posOffset>
                </wp:positionV>
                <wp:extent cx="5389245" cy="6350"/>
                <wp:effectExtent l="0" t="0" r="0" b="0"/>
                <wp:wrapTopAndBottom/>
                <wp:docPr id="120" name="Graphic 120"/>
                <wp:cNvGraphicFramePr>
                  <a:graphicFrameLocks/>
                </wp:cNvGraphicFramePr>
                <a:graphic>
                  <a:graphicData uri="http://schemas.microsoft.com/office/word/2010/wordprocessingShape">
                    <wps:wsp>
                      <wps:cNvPr id="120" name="Graphic 120"/>
                      <wps:cNvSpPr/>
                      <wps:spPr>
                        <a:xfrm>
                          <a:off x="0" y="0"/>
                          <a:ext cx="5389245" cy="6350"/>
                        </a:xfrm>
                        <a:custGeom>
                          <a:avLst/>
                          <a:gdLst/>
                          <a:ahLst/>
                          <a:cxnLst/>
                          <a:rect l="l" t="t" r="r" b="b"/>
                          <a:pathLst>
                            <a:path w="5389245" h="6350">
                              <a:moveTo>
                                <a:pt x="5388863" y="0"/>
                              </a:moveTo>
                              <a:lnTo>
                                <a:pt x="0" y="0"/>
                              </a:lnTo>
                              <a:lnTo>
                                <a:pt x="0" y="6096"/>
                              </a:lnTo>
                              <a:lnTo>
                                <a:pt x="5388863" y="6096"/>
                              </a:lnTo>
                              <a:lnTo>
                                <a:pt x="538886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0.828281pt;width:424.32pt;height:.48pt;mso-position-horizontal-relative:page;mso-position-vertical-relative:paragraph;z-index:-15674880;mso-wrap-distance-left:0;mso-wrap-distance-right:0" id="docshape120"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309</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26</w:t>
      </w:r>
      <w:r>
        <w:rPr>
          <w:rFonts w:ascii="Times New Roman"/>
          <w:spacing w:val="-2"/>
          <w:sz w:val="19"/>
          <w:vertAlign w:val="baseline"/>
        </w:rPr>
        <w:t> </w:t>
      </w:r>
      <w:r>
        <w:rPr>
          <w:rFonts w:ascii="Times New Roman"/>
          <w:sz w:val="19"/>
          <w:vertAlign w:val="baseline"/>
        </w:rPr>
        <w:t>(4)</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16</w:t>
      </w:r>
      <w:r>
        <w:rPr>
          <w:rFonts w:ascii="Times New Roman"/>
          <w:spacing w:val="-5"/>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311</w:t>
      </w:r>
      <w:r>
        <w:rPr>
          <w:rFonts w:ascii="Times New Roman"/>
          <w:spacing w:val="-8"/>
          <w:sz w:val="19"/>
          <w:vertAlign w:val="baseline"/>
        </w:rPr>
        <w:t> </w:t>
      </w:r>
      <w:r>
        <w:rPr>
          <w:rFonts w:ascii="Times New Roman"/>
          <w:sz w:val="19"/>
          <w:vertAlign w:val="baseline"/>
        </w:rPr>
        <w:t>See</w:t>
      </w:r>
      <w:r>
        <w:rPr>
          <w:rFonts w:ascii="Times New Roman"/>
          <w:spacing w:val="-7"/>
          <w:sz w:val="19"/>
          <w:vertAlign w:val="baseline"/>
        </w:rPr>
        <w:t> </w:t>
      </w:r>
      <w:r>
        <w:rPr>
          <w:rFonts w:ascii="Times New Roman"/>
          <w:i/>
          <w:sz w:val="19"/>
          <w:vertAlign w:val="baseline"/>
        </w:rPr>
        <w:t>Madukolu</w:t>
      </w:r>
      <w:r>
        <w:rPr>
          <w:rFonts w:ascii="Times New Roman"/>
          <w:i/>
          <w:spacing w:val="-10"/>
          <w:sz w:val="19"/>
          <w:vertAlign w:val="baseline"/>
        </w:rPr>
        <w:t> </w:t>
      </w:r>
      <w:r>
        <w:rPr>
          <w:rFonts w:ascii="Times New Roman"/>
          <w:i/>
          <w:sz w:val="19"/>
          <w:vertAlign w:val="baseline"/>
        </w:rPr>
        <w:t>v.</w:t>
      </w:r>
      <w:r>
        <w:rPr>
          <w:rFonts w:ascii="Times New Roman"/>
          <w:i/>
          <w:spacing w:val="-8"/>
          <w:sz w:val="19"/>
          <w:vertAlign w:val="baseline"/>
        </w:rPr>
        <w:t> </w:t>
      </w:r>
      <w:r>
        <w:rPr>
          <w:rFonts w:ascii="Times New Roman"/>
          <w:i/>
          <w:sz w:val="19"/>
          <w:vertAlign w:val="baseline"/>
        </w:rPr>
        <w:t>Nkemdilim</w:t>
      </w:r>
      <w:r>
        <w:rPr>
          <w:rFonts w:ascii="Times New Roman"/>
          <w:i/>
          <w:spacing w:val="-10"/>
          <w:sz w:val="19"/>
          <w:vertAlign w:val="baseline"/>
        </w:rPr>
        <w:t> </w:t>
      </w:r>
      <w:r>
        <w:rPr>
          <w:rFonts w:ascii="Times New Roman"/>
          <w:sz w:val="19"/>
          <w:vertAlign w:val="baseline"/>
        </w:rPr>
        <w:t>(1962)</w:t>
      </w:r>
      <w:r>
        <w:rPr>
          <w:rFonts w:ascii="Times New Roman"/>
          <w:spacing w:val="-9"/>
          <w:sz w:val="19"/>
          <w:vertAlign w:val="baseline"/>
        </w:rPr>
        <w:t> </w:t>
      </w:r>
      <w:r>
        <w:rPr>
          <w:rFonts w:ascii="Times New Roman"/>
          <w:sz w:val="19"/>
          <w:vertAlign w:val="baseline"/>
        </w:rPr>
        <w:t>SCNLR</w:t>
      </w:r>
      <w:r>
        <w:rPr>
          <w:rFonts w:ascii="Times New Roman"/>
          <w:spacing w:val="-9"/>
          <w:sz w:val="19"/>
          <w:vertAlign w:val="baseline"/>
        </w:rPr>
        <w:t> </w:t>
      </w:r>
      <w:r>
        <w:rPr>
          <w:rFonts w:ascii="Times New Roman"/>
          <w:sz w:val="19"/>
          <w:vertAlign w:val="baseline"/>
        </w:rPr>
        <w:t>341</w:t>
      </w:r>
      <w:r>
        <w:rPr>
          <w:rFonts w:ascii="Times New Roman"/>
          <w:spacing w:val="-11"/>
          <w:sz w:val="19"/>
          <w:vertAlign w:val="baseline"/>
        </w:rPr>
        <w:t> </w:t>
      </w:r>
      <w:r>
        <w:rPr>
          <w:rFonts w:ascii="Times New Roman"/>
          <w:i/>
          <w:sz w:val="19"/>
          <w:vertAlign w:val="baseline"/>
        </w:rPr>
        <w:t>Amadi</w:t>
      </w:r>
      <w:r>
        <w:rPr>
          <w:rFonts w:ascii="Times New Roman"/>
          <w:i/>
          <w:spacing w:val="-8"/>
          <w:sz w:val="19"/>
          <w:vertAlign w:val="baseline"/>
        </w:rPr>
        <w:t> </w:t>
      </w:r>
      <w:r>
        <w:rPr>
          <w:rFonts w:ascii="Times New Roman"/>
          <w:i/>
          <w:sz w:val="19"/>
          <w:vertAlign w:val="baseline"/>
        </w:rPr>
        <w:t>v</w:t>
      </w:r>
      <w:r>
        <w:rPr>
          <w:rFonts w:ascii="Times New Roman"/>
          <w:i/>
          <w:spacing w:val="-10"/>
          <w:sz w:val="19"/>
          <w:vertAlign w:val="baseline"/>
        </w:rPr>
        <w:t> </w:t>
      </w:r>
      <w:r>
        <w:rPr>
          <w:rFonts w:ascii="Times New Roman"/>
          <w:i/>
          <w:sz w:val="19"/>
          <w:vertAlign w:val="baseline"/>
        </w:rPr>
        <w:t>NNPC</w:t>
      </w:r>
      <w:r>
        <w:rPr>
          <w:rFonts w:ascii="Times New Roman"/>
          <w:i/>
          <w:spacing w:val="-5"/>
          <w:sz w:val="19"/>
          <w:vertAlign w:val="baseline"/>
        </w:rPr>
        <w:t> </w:t>
      </w:r>
      <w:r>
        <w:rPr>
          <w:rFonts w:ascii="Times New Roman"/>
          <w:sz w:val="19"/>
          <w:vertAlign w:val="baseline"/>
        </w:rPr>
        <w:t>(2000)</w:t>
      </w:r>
      <w:r>
        <w:rPr>
          <w:rFonts w:ascii="Times New Roman"/>
          <w:spacing w:val="-12"/>
          <w:sz w:val="19"/>
          <w:vertAlign w:val="baseline"/>
        </w:rPr>
        <w:t> </w:t>
      </w:r>
      <w:r>
        <w:rPr>
          <w:rFonts w:ascii="Times New Roman"/>
          <w:sz w:val="19"/>
          <w:vertAlign w:val="baseline"/>
        </w:rPr>
        <w:t>10</w:t>
      </w:r>
      <w:r>
        <w:rPr>
          <w:rFonts w:ascii="Times New Roman"/>
          <w:spacing w:val="-11"/>
          <w:sz w:val="19"/>
          <w:vertAlign w:val="baseline"/>
        </w:rPr>
        <w:t> </w:t>
      </w:r>
      <w:r>
        <w:rPr>
          <w:rFonts w:ascii="Times New Roman"/>
          <w:sz w:val="19"/>
          <w:vertAlign w:val="baseline"/>
        </w:rPr>
        <w:t>NWLR</w:t>
      </w:r>
      <w:r>
        <w:rPr>
          <w:rFonts w:ascii="Times New Roman"/>
          <w:spacing w:val="-12"/>
          <w:sz w:val="19"/>
          <w:vertAlign w:val="baseline"/>
        </w:rPr>
        <w:t> </w:t>
      </w:r>
      <w:r>
        <w:rPr>
          <w:rFonts w:ascii="Times New Roman"/>
          <w:sz w:val="19"/>
          <w:vertAlign w:val="baseline"/>
        </w:rPr>
        <w:t>(pt</w:t>
      </w:r>
      <w:r>
        <w:rPr>
          <w:rFonts w:ascii="Times New Roman"/>
          <w:spacing w:val="-4"/>
          <w:sz w:val="19"/>
          <w:vertAlign w:val="baseline"/>
        </w:rPr>
        <w:t> </w:t>
      </w:r>
      <w:r>
        <w:rPr>
          <w:rFonts w:ascii="Times New Roman"/>
          <w:sz w:val="19"/>
          <w:vertAlign w:val="baseline"/>
        </w:rPr>
        <w:t>674)</w:t>
      </w:r>
      <w:r>
        <w:rPr>
          <w:rFonts w:ascii="Times New Roman"/>
          <w:spacing w:val="-9"/>
          <w:sz w:val="19"/>
          <w:vertAlign w:val="baseline"/>
        </w:rPr>
        <w:t> </w:t>
      </w:r>
      <w:r>
        <w:rPr>
          <w:rFonts w:ascii="Times New Roman"/>
          <w:sz w:val="19"/>
          <w:vertAlign w:val="baseline"/>
        </w:rPr>
        <w:t>76</w:t>
      </w:r>
      <w:r>
        <w:rPr>
          <w:rFonts w:ascii="Times New Roman"/>
          <w:spacing w:val="-3"/>
          <w:sz w:val="19"/>
          <w:vertAlign w:val="baseline"/>
        </w:rPr>
        <w:t> </w:t>
      </w:r>
      <w:r>
        <w:rPr>
          <w:rFonts w:ascii="Times New Roman"/>
          <w:i/>
          <w:sz w:val="19"/>
          <w:vertAlign w:val="baseline"/>
        </w:rPr>
        <w:t>Umokoro</w:t>
      </w:r>
      <w:r>
        <w:rPr>
          <w:rFonts w:ascii="Times New Roman"/>
          <w:i/>
          <w:spacing w:val="-7"/>
          <w:sz w:val="19"/>
          <w:vertAlign w:val="baseline"/>
        </w:rPr>
        <w:t> </w:t>
      </w:r>
      <w:r>
        <w:rPr>
          <w:rFonts w:ascii="Times New Roman"/>
          <w:i/>
          <w:sz w:val="19"/>
          <w:vertAlign w:val="baseline"/>
        </w:rPr>
        <w:t>&amp;</w:t>
      </w:r>
      <w:r>
        <w:rPr>
          <w:rFonts w:ascii="Times New Roman"/>
          <w:i/>
          <w:spacing w:val="-11"/>
          <w:sz w:val="19"/>
          <w:vertAlign w:val="baseline"/>
        </w:rPr>
        <w:t> </w:t>
      </w:r>
      <w:r>
        <w:rPr>
          <w:rFonts w:ascii="Times New Roman"/>
          <w:i/>
          <w:spacing w:val="-10"/>
          <w:sz w:val="19"/>
          <w:vertAlign w:val="baseline"/>
        </w:rPr>
        <w:t>8</w:t>
      </w:r>
    </w:p>
    <w:p>
      <w:pPr>
        <w:spacing w:line="217" w:lineRule="exact" w:before="2"/>
        <w:ind w:left="187" w:right="0" w:firstLine="0"/>
        <w:jc w:val="left"/>
        <w:rPr>
          <w:rFonts w:ascii="Times New Roman"/>
          <w:sz w:val="19"/>
        </w:rPr>
      </w:pPr>
      <w:r>
        <w:rPr>
          <w:rFonts w:ascii="Times New Roman"/>
          <w:i/>
          <w:sz w:val="19"/>
        </w:rPr>
        <w:t>Others</w:t>
      </w:r>
      <w:r>
        <w:rPr>
          <w:rFonts w:ascii="Times New Roman"/>
          <w:i/>
          <w:spacing w:val="-12"/>
          <w:sz w:val="19"/>
        </w:rPr>
        <w:t> </w:t>
      </w:r>
      <w:r>
        <w:rPr>
          <w:rFonts w:ascii="Times New Roman"/>
          <w:i/>
          <w:sz w:val="19"/>
        </w:rPr>
        <w:t>v</w:t>
      </w:r>
      <w:r>
        <w:rPr>
          <w:rFonts w:ascii="Times New Roman"/>
          <w:i/>
          <w:spacing w:val="-6"/>
          <w:sz w:val="19"/>
        </w:rPr>
        <w:t> </w:t>
      </w:r>
      <w:r>
        <w:rPr>
          <w:rFonts w:ascii="Times New Roman"/>
          <w:i/>
          <w:sz w:val="19"/>
        </w:rPr>
        <w:t>Nigeria</w:t>
      </w:r>
      <w:r>
        <w:rPr>
          <w:rFonts w:ascii="Times New Roman"/>
          <w:i/>
          <w:spacing w:val="-7"/>
          <w:sz w:val="19"/>
        </w:rPr>
        <w:t> </w:t>
      </w:r>
      <w:r>
        <w:rPr>
          <w:rFonts w:ascii="Times New Roman"/>
          <w:i/>
          <w:sz w:val="19"/>
        </w:rPr>
        <w:t>Ports</w:t>
      </w:r>
      <w:r>
        <w:rPr>
          <w:rFonts w:ascii="Times New Roman"/>
          <w:i/>
          <w:spacing w:val="-6"/>
          <w:sz w:val="19"/>
        </w:rPr>
        <w:t> </w:t>
      </w:r>
      <w:r>
        <w:rPr>
          <w:rFonts w:ascii="Times New Roman"/>
          <w:i/>
          <w:sz w:val="19"/>
        </w:rPr>
        <w:t>Authority</w:t>
      </w:r>
      <w:r>
        <w:rPr>
          <w:rFonts w:ascii="Times New Roman"/>
          <w:i/>
          <w:spacing w:val="-6"/>
          <w:sz w:val="19"/>
        </w:rPr>
        <w:t> </w:t>
      </w:r>
      <w:r>
        <w:rPr>
          <w:rFonts w:ascii="Times New Roman"/>
          <w:i/>
          <w:sz w:val="19"/>
        </w:rPr>
        <w:t>&amp;</w:t>
      </w:r>
      <w:r>
        <w:rPr>
          <w:rFonts w:ascii="Times New Roman"/>
          <w:i/>
          <w:spacing w:val="-11"/>
          <w:sz w:val="19"/>
        </w:rPr>
        <w:t> </w:t>
      </w:r>
      <w:r>
        <w:rPr>
          <w:rFonts w:ascii="Times New Roman"/>
          <w:i/>
          <w:sz w:val="19"/>
        </w:rPr>
        <w:t>Anor</w:t>
      </w:r>
      <w:r>
        <w:rPr>
          <w:rFonts w:ascii="Times New Roman"/>
          <w:i/>
          <w:spacing w:val="-12"/>
          <w:sz w:val="19"/>
        </w:rPr>
        <w:t> </w:t>
      </w:r>
      <w:r>
        <w:rPr>
          <w:rFonts w:ascii="Times New Roman"/>
          <w:sz w:val="19"/>
        </w:rPr>
        <w:t>(1997)</w:t>
      </w:r>
      <w:r>
        <w:rPr>
          <w:rFonts w:ascii="Times New Roman"/>
          <w:spacing w:val="-10"/>
          <w:sz w:val="19"/>
        </w:rPr>
        <w:t> </w:t>
      </w:r>
      <w:r>
        <w:rPr>
          <w:rFonts w:ascii="Times New Roman"/>
          <w:sz w:val="19"/>
        </w:rPr>
        <w:t>4</w:t>
      </w:r>
      <w:r>
        <w:rPr>
          <w:rFonts w:ascii="Times New Roman"/>
          <w:spacing w:val="-10"/>
          <w:sz w:val="19"/>
        </w:rPr>
        <w:t> </w:t>
      </w:r>
      <w:r>
        <w:rPr>
          <w:rFonts w:ascii="Times New Roman"/>
          <w:sz w:val="19"/>
        </w:rPr>
        <w:t>NWLR</w:t>
      </w:r>
      <w:r>
        <w:rPr>
          <w:rFonts w:ascii="Times New Roman"/>
          <w:spacing w:val="-10"/>
          <w:sz w:val="19"/>
        </w:rPr>
        <w:t> </w:t>
      </w:r>
      <w:r>
        <w:rPr>
          <w:rFonts w:ascii="Times New Roman"/>
          <w:sz w:val="19"/>
        </w:rPr>
        <w:t>(Pt</w:t>
      </w:r>
      <w:r>
        <w:rPr>
          <w:rFonts w:ascii="Times New Roman"/>
          <w:spacing w:val="-4"/>
          <w:sz w:val="19"/>
        </w:rPr>
        <w:t> </w:t>
      </w:r>
      <w:r>
        <w:rPr>
          <w:rFonts w:ascii="Times New Roman"/>
          <w:sz w:val="19"/>
        </w:rPr>
        <w:t>502)</w:t>
      </w:r>
      <w:r>
        <w:rPr>
          <w:rFonts w:ascii="Times New Roman"/>
          <w:spacing w:val="-9"/>
          <w:sz w:val="19"/>
        </w:rPr>
        <w:t> </w:t>
      </w:r>
      <w:r>
        <w:rPr>
          <w:rFonts w:ascii="Times New Roman"/>
          <w:spacing w:val="-5"/>
          <w:sz w:val="19"/>
        </w:rPr>
        <w:t>656</w:t>
      </w:r>
    </w:p>
    <w:p>
      <w:pPr>
        <w:spacing w:line="237" w:lineRule="auto" w:before="1"/>
        <w:ind w:left="187" w:right="123" w:firstLine="0"/>
        <w:jc w:val="left"/>
        <w:rPr>
          <w:rFonts w:ascii="Times New Roman" w:hAnsi="Times New Roman"/>
          <w:sz w:val="19"/>
        </w:rPr>
      </w:pPr>
      <w:r>
        <w:rPr>
          <w:rFonts w:ascii="Times New Roman" w:hAnsi="Times New Roman"/>
          <w:sz w:val="19"/>
          <w:vertAlign w:val="superscript"/>
        </w:rPr>
        <w:t>312</w:t>
      </w:r>
      <w:r>
        <w:rPr>
          <w:rFonts w:ascii="Times New Roman" w:hAnsi="Times New Roman"/>
          <w:spacing w:val="-1"/>
          <w:sz w:val="19"/>
          <w:vertAlign w:val="baseline"/>
        </w:rPr>
        <w:t> </w:t>
      </w:r>
      <w:r>
        <w:rPr>
          <w:rFonts w:ascii="Times New Roman" w:hAnsi="Times New Roman"/>
          <w:i/>
          <w:sz w:val="19"/>
          <w:vertAlign w:val="baseline"/>
        </w:rPr>
        <w:t>Shitta</w:t>
      </w:r>
      <w:r>
        <w:rPr>
          <w:rFonts w:ascii="Times New Roman" w:hAnsi="Times New Roman"/>
          <w:i/>
          <w:spacing w:val="-8"/>
          <w:sz w:val="19"/>
          <w:vertAlign w:val="baseline"/>
        </w:rPr>
        <w:t> </w:t>
      </w:r>
      <w:r>
        <w:rPr>
          <w:rFonts w:ascii="Times New Roman" w:hAnsi="Times New Roman"/>
          <w:i/>
          <w:sz w:val="19"/>
          <w:vertAlign w:val="baseline"/>
        </w:rPr>
        <w:t>–</w:t>
      </w:r>
      <w:r>
        <w:rPr>
          <w:rFonts w:ascii="Times New Roman" w:hAnsi="Times New Roman"/>
          <w:i/>
          <w:spacing w:val="-5"/>
          <w:sz w:val="19"/>
          <w:vertAlign w:val="baseline"/>
        </w:rPr>
        <w:t> </w:t>
      </w:r>
      <w:r>
        <w:rPr>
          <w:rFonts w:ascii="Times New Roman" w:hAnsi="Times New Roman"/>
          <w:i/>
          <w:sz w:val="19"/>
          <w:vertAlign w:val="baseline"/>
        </w:rPr>
        <w:t>Bey</w:t>
      </w:r>
      <w:r>
        <w:rPr>
          <w:rFonts w:ascii="Times New Roman" w:hAnsi="Times New Roman"/>
          <w:i/>
          <w:spacing w:val="-7"/>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5"/>
          <w:sz w:val="19"/>
          <w:vertAlign w:val="baseline"/>
        </w:rPr>
        <w:t> </w:t>
      </w:r>
      <w:r>
        <w:rPr>
          <w:rFonts w:ascii="Times New Roman" w:hAnsi="Times New Roman"/>
          <w:i/>
          <w:sz w:val="19"/>
          <w:vertAlign w:val="baseline"/>
        </w:rPr>
        <w:t>Federation</w:t>
      </w:r>
      <w:r>
        <w:rPr>
          <w:rFonts w:ascii="Times New Roman" w:hAnsi="Times New Roman"/>
          <w:i/>
          <w:spacing w:val="-4"/>
          <w:sz w:val="19"/>
          <w:vertAlign w:val="baseline"/>
        </w:rPr>
        <w:t> </w:t>
      </w:r>
      <w:r>
        <w:rPr>
          <w:rFonts w:ascii="Times New Roman" w:hAnsi="Times New Roman"/>
          <w:i/>
          <w:sz w:val="19"/>
          <w:vertAlign w:val="baseline"/>
        </w:rPr>
        <w:t>&amp;</w:t>
      </w:r>
      <w:r>
        <w:rPr>
          <w:rFonts w:ascii="Times New Roman" w:hAnsi="Times New Roman"/>
          <w:i/>
          <w:spacing w:val="-12"/>
          <w:sz w:val="19"/>
          <w:vertAlign w:val="baseline"/>
        </w:rPr>
        <w:t> </w:t>
      </w:r>
      <w:r>
        <w:rPr>
          <w:rFonts w:ascii="Times New Roman" w:hAnsi="Times New Roman"/>
          <w:i/>
          <w:sz w:val="19"/>
          <w:vertAlign w:val="baseline"/>
        </w:rPr>
        <w:t>Anor</w:t>
      </w:r>
      <w:r>
        <w:rPr>
          <w:rFonts w:ascii="Times New Roman" w:hAnsi="Times New Roman"/>
          <w:i/>
          <w:spacing w:val="-7"/>
          <w:sz w:val="19"/>
          <w:vertAlign w:val="baseline"/>
        </w:rPr>
        <w:t> </w:t>
      </w:r>
      <w:r>
        <w:rPr>
          <w:rFonts w:ascii="Times New Roman" w:hAnsi="Times New Roman"/>
          <w:sz w:val="19"/>
          <w:vertAlign w:val="baseline"/>
        </w:rPr>
        <w:t>(1998)7</w:t>
      </w:r>
      <w:r>
        <w:rPr>
          <w:rFonts w:ascii="Times New Roman" w:hAnsi="Times New Roman"/>
          <w:spacing w:val="-5"/>
          <w:sz w:val="19"/>
          <w:vertAlign w:val="baseline"/>
        </w:rPr>
        <w:t> </w:t>
      </w:r>
      <w:r>
        <w:rPr>
          <w:rFonts w:ascii="Times New Roman" w:hAnsi="Times New Roman"/>
          <w:sz w:val="19"/>
          <w:vertAlign w:val="baseline"/>
        </w:rPr>
        <w:t>SCNJ</w:t>
      </w:r>
      <w:r>
        <w:rPr>
          <w:rFonts w:ascii="Times New Roman" w:hAnsi="Times New Roman"/>
          <w:spacing w:val="-6"/>
          <w:sz w:val="19"/>
          <w:vertAlign w:val="baseline"/>
        </w:rPr>
        <w:t> </w:t>
      </w:r>
      <w:r>
        <w:rPr>
          <w:rFonts w:ascii="Times New Roman" w:hAnsi="Times New Roman"/>
          <w:sz w:val="19"/>
          <w:vertAlign w:val="baseline"/>
        </w:rPr>
        <w:t>264</w:t>
      </w:r>
      <w:r>
        <w:rPr>
          <w:rFonts w:ascii="Times New Roman" w:hAnsi="Times New Roman"/>
          <w:spacing w:val="-8"/>
          <w:sz w:val="19"/>
          <w:vertAlign w:val="baseline"/>
        </w:rPr>
        <w:t> </w:t>
      </w:r>
      <w:r>
        <w:rPr>
          <w:rFonts w:ascii="Times New Roman" w:hAnsi="Times New Roman"/>
          <w:sz w:val="19"/>
          <w:vertAlign w:val="baseline"/>
        </w:rPr>
        <w:t>at</w:t>
      </w:r>
      <w:r>
        <w:rPr>
          <w:rFonts w:ascii="Times New Roman" w:hAnsi="Times New Roman"/>
          <w:spacing w:val="-1"/>
          <w:sz w:val="19"/>
          <w:vertAlign w:val="baseline"/>
        </w:rPr>
        <w:t> </w:t>
      </w:r>
      <w:r>
        <w:rPr>
          <w:rFonts w:ascii="Times New Roman" w:hAnsi="Times New Roman"/>
          <w:sz w:val="19"/>
          <w:vertAlign w:val="baseline"/>
        </w:rPr>
        <w:t>266,</w:t>
      </w:r>
      <w:r>
        <w:rPr>
          <w:rFonts w:ascii="Times New Roman" w:hAnsi="Times New Roman"/>
          <w:spacing w:val="-5"/>
          <w:sz w:val="19"/>
          <w:vertAlign w:val="baseline"/>
        </w:rPr>
        <w:t> </w:t>
      </w:r>
      <w:r>
        <w:rPr>
          <w:rFonts w:ascii="Times New Roman" w:hAnsi="Times New Roman"/>
          <w:i/>
          <w:sz w:val="19"/>
          <w:vertAlign w:val="baseline"/>
        </w:rPr>
        <w:t>Adeyemi</w:t>
      </w:r>
      <w:r>
        <w:rPr>
          <w:rFonts w:ascii="Times New Roman" w:hAnsi="Times New Roman"/>
          <w:i/>
          <w:spacing w:val="-6"/>
          <w:sz w:val="19"/>
          <w:vertAlign w:val="baseline"/>
        </w:rPr>
        <w:t> </w:t>
      </w:r>
      <w:r>
        <w:rPr>
          <w:rFonts w:ascii="Times New Roman" w:hAnsi="Times New Roman"/>
          <w:i/>
          <w:sz w:val="19"/>
          <w:vertAlign w:val="baseline"/>
        </w:rPr>
        <w:t>Saliu</w:t>
      </w:r>
      <w:r>
        <w:rPr>
          <w:rFonts w:ascii="Times New Roman" w:hAnsi="Times New Roman"/>
          <w:i/>
          <w:spacing w:val="-8"/>
          <w:sz w:val="19"/>
          <w:vertAlign w:val="baseline"/>
        </w:rPr>
        <w:t> </w:t>
      </w:r>
      <w:r>
        <w:rPr>
          <w:rFonts w:ascii="Times New Roman" w:hAnsi="Times New Roman"/>
          <w:i/>
          <w:sz w:val="19"/>
          <w:vertAlign w:val="baseline"/>
        </w:rPr>
        <w:t>Olaotan</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7"/>
          <w:sz w:val="19"/>
          <w:vertAlign w:val="baseline"/>
        </w:rPr>
        <w:t> </w:t>
      </w:r>
      <w:r>
        <w:rPr>
          <w:rFonts w:ascii="Times New Roman" w:hAnsi="Times New Roman"/>
          <w:i/>
          <w:sz w:val="19"/>
          <w:vertAlign w:val="baseline"/>
        </w:rPr>
        <w:t>Lagos</w:t>
      </w:r>
      <w:r>
        <w:rPr>
          <w:rFonts w:ascii="Times New Roman" w:hAnsi="Times New Roman"/>
          <w:i/>
          <w:spacing w:val="-6"/>
          <w:sz w:val="19"/>
          <w:vertAlign w:val="baseline"/>
        </w:rPr>
        <w:t> </w:t>
      </w:r>
      <w:r>
        <w:rPr>
          <w:rFonts w:ascii="Times New Roman" w:hAnsi="Times New Roman"/>
          <w:i/>
          <w:sz w:val="19"/>
          <w:vertAlign w:val="baseline"/>
        </w:rPr>
        <w:t>State Government &amp; Ors </w:t>
      </w:r>
      <w:r>
        <w:rPr>
          <w:rFonts w:ascii="Times New Roman" w:hAnsi="Times New Roman"/>
          <w:sz w:val="19"/>
          <w:vertAlign w:val="baseline"/>
        </w:rPr>
        <w:t>(Unreported) Suit No. NIC/LA/41/2010</w:t>
      </w:r>
    </w:p>
    <w:p>
      <w:pPr>
        <w:spacing w:line="215" w:lineRule="exact" w:before="0"/>
        <w:ind w:left="187" w:right="0" w:firstLine="0"/>
        <w:jc w:val="left"/>
        <w:rPr>
          <w:rFonts w:ascii="Times New Roman" w:hAnsi="Times New Roman"/>
          <w:sz w:val="19"/>
        </w:rPr>
      </w:pPr>
      <w:r>
        <w:rPr>
          <w:rFonts w:ascii="Times New Roman" w:hAnsi="Times New Roman"/>
          <w:sz w:val="19"/>
          <w:vertAlign w:val="superscript"/>
        </w:rPr>
        <w:t>313</w:t>
      </w:r>
      <w:r>
        <w:rPr>
          <w:rFonts w:ascii="Times New Roman" w:hAnsi="Times New Roman"/>
          <w:spacing w:val="-11"/>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4(1)</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No.</w:t>
      </w:r>
      <w:r>
        <w:rPr>
          <w:rFonts w:ascii="Times New Roman" w:hAnsi="Times New Roman"/>
          <w:spacing w:val="-7"/>
          <w:sz w:val="19"/>
          <w:vertAlign w:val="baseline"/>
        </w:rPr>
        <w:t> </w:t>
      </w:r>
      <w:r>
        <w:rPr>
          <w:rFonts w:ascii="Times New Roman" w:hAnsi="Times New Roman"/>
          <w:sz w:val="19"/>
          <w:vertAlign w:val="baseline"/>
        </w:rPr>
        <w:t>13,</w:t>
      </w:r>
      <w:r>
        <w:rPr>
          <w:rFonts w:ascii="Times New Roman" w:hAnsi="Times New Roman"/>
          <w:spacing w:val="-12"/>
          <w:sz w:val="19"/>
          <w:vertAlign w:val="baseline"/>
        </w:rPr>
        <w:t> </w:t>
      </w:r>
      <w:r>
        <w:rPr>
          <w:rFonts w:ascii="Times New Roman" w:hAnsi="Times New Roman"/>
          <w:spacing w:val="-4"/>
          <w:sz w:val="19"/>
          <w:vertAlign w:val="baseline"/>
        </w:rPr>
        <w:t>2010</w:t>
      </w:r>
    </w:p>
    <w:p>
      <w:pPr>
        <w:spacing w:line="216" w:lineRule="exact" w:before="0"/>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6" w:lineRule="exact" w:before="0"/>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7"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5" w:lineRule="auto" w:before="3"/>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37" w:lineRule="auto" w:before="0"/>
        <w:ind w:left="187" w:right="563" w:firstLine="0"/>
        <w:jc w:val="left"/>
        <w:rPr>
          <w:rFonts w:ascii="Times New Roman" w:hAnsi="Times New Roman"/>
          <w:sz w:val="19"/>
        </w:rPr>
      </w:pPr>
      <w:r>
        <w:rPr>
          <w:rFonts w:ascii="Times New Roman" w:hAnsi="Times New Roman"/>
          <w:sz w:val="19"/>
          <w:vertAlign w:val="superscript"/>
        </w:rPr>
        <w:t>308</w:t>
      </w:r>
      <w:r>
        <w:rPr>
          <w:rFonts w:ascii="Times New Roman" w:hAnsi="Times New Roman"/>
          <w:spacing w:val="-2"/>
          <w:sz w:val="19"/>
          <w:vertAlign w:val="baseline"/>
        </w:rPr>
        <w:t> </w:t>
      </w:r>
      <w:r>
        <w:rPr>
          <w:rFonts w:ascii="Times New Roman" w:hAnsi="Times New Roman"/>
          <w:sz w:val="19"/>
          <w:vertAlign w:val="baseline"/>
        </w:rPr>
        <w:t>Sections</w:t>
      </w:r>
      <w:r>
        <w:rPr>
          <w:rFonts w:ascii="Times New Roman" w:hAnsi="Times New Roman"/>
          <w:spacing w:val="-5"/>
          <w:sz w:val="19"/>
          <w:vertAlign w:val="baseline"/>
        </w:rPr>
        <w:t> </w:t>
      </w:r>
      <w:r>
        <w:rPr>
          <w:rFonts w:ascii="Times New Roman" w:hAnsi="Times New Roman"/>
          <w:sz w:val="19"/>
          <w:vertAlign w:val="baseline"/>
        </w:rPr>
        <w:t>16</w:t>
      </w:r>
      <w:r>
        <w:rPr>
          <w:rFonts w:ascii="Times New Roman" w:hAnsi="Times New Roman"/>
          <w:spacing w:val="-5"/>
          <w:sz w:val="19"/>
          <w:vertAlign w:val="baseline"/>
        </w:rPr>
        <w:t> </w:t>
      </w:r>
      <w:r>
        <w:rPr>
          <w:rFonts w:ascii="Times New Roman" w:hAnsi="Times New Roman"/>
          <w:sz w:val="19"/>
          <w:vertAlign w:val="baseline"/>
        </w:rPr>
        <w:t>and</w:t>
      </w:r>
      <w:r>
        <w:rPr>
          <w:rFonts w:ascii="Times New Roman" w:hAnsi="Times New Roman"/>
          <w:spacing w:val="35"/>
          <w:sz w:val="19"/>
          <w:vertAlign w:val="baseline"/>
        </w:rPr>
        <w:t> </w:t>
      </w:r>
      <w:r>
        <w:rPr>
          <w:rFonts w:ascii="Times New Roman" w:hAnsi="Times New Roman"/>
          <w:sz w:val="19"/>
          <w:vertAlign w:val="baseline"/>
        </w:rPr>
        <w:t>26</w:t>
      </w:r>
      <w:r>
        <w:rPr>
          <w:rFonts w:ascii="Times New Roman" w:hAnsi="Times New Roman"/>
          <w:spacing w:val="30"/>
          <w:sz w:val="19"/>
          <w:vertAlign w:val="baseline"/>
        </w:rPr>
        <w:t> </w:t>
      </w:r>
      <w:r>
        <w:rPr>
          <w:rFonts w:ascii="Times New Roman" w:hAnsi="Times New Roman"/>
          <w:i/>
          <w:sz w:val="19"/>
          <w:vertAlign w:val="baseline"/>
        </w:rPr>
        <w:t>ibid</w:t>
      </w:r>
      <w:r>
        <w:rPr>
          <w:rFonts w:ascii="Times New Roman" w:hAnsi="Times New Roman"/>
          <w:i/>
          <w:spacing w:val="-5"/>
          <w:sz w:val="19"/>
          <w:vertAlign w:val="baseline"/>
        </w:rPr>
        <w:t> </w:t>
      </w:r>
      <w:r>
        <w:rPr>
          <w:rFonts w:ascii="Times New Roman" w:hAnsi="Times New Roman"/>
          <w:sz w:val="19"/>
          <w:vertAlign w:val="baseline"/>
        </w:rPr>
        <w:t>which</w:t>
      </w:r>
      <w:r>
        <w:rPr>
          <w:rFonts w:ascii="Times New Roman" w:hAnsi="Times New Roman"/>
          <w:spacing w:val="-10"/>
          <w:sz w:val="19"/>
          <w:vertAlign w:val="baseline"/>
        </w:rPr>
        <w:t> </w:t>
      </w:r>
      <w:r>
        <w:rPr>
          <w:rFonts w:ascii="Times New Roman" w:hAnsi="Times New Roman"/>
          <w:sz w:val="19"/>
          <w:vertAlign w:val="baseline"/>
        </w:rPr>
        <w:t>make</w:t>
      </w:r>
      <w:r>
        <w:rPr>
          <w:rFonts w:ascii="Times New Roman" w:hAnsi="Times New Roman"/>
          <w:spacing w:val="-9"/>
          <w:sz w:val="19"/>
          <w:vertAlign w:val="baseline"/>
        </w:rPr>
        <w:t> </w:t>
      </w:r>
      <w:r>
        <w:rPr>
          <w:rFonts w:ascii="Times New Roman" w:hAnsi="Times New Roman"/>
          <w:sz w:val="19"/>
          <w:vertAlign w:val="baseline"/>
        </w:rPr>
        <w:t>health</w:t>
      </w:r>
      <w:r>
        <w:rPr>
          <w:rFonts w:ascii="Times New Roman" w:hAnsi="Times New Roman"/>
          <w:spacing w:val="-6"/>
          <w:sz w:val="19"/>
          <w:vertAlign w:val="baseline"/>
        </w:rPr>
        <w:t> </w:t>
      </w:r>
      <w:r>
        <w:rPr>
          <w:rFonts w:ascii="Times New Roman" w:hAnsi="Times New Roman"/>
          <w:sz w:val="19"/>
          <w:vertAlign w:val="baseline"/>
        </w:rPr>
        <w:t>care</w:t>
      </w:r>
      <w:r>
        <w:rPr>
          <w:rFonts w:ascii="Times New Roman" w:hAnsi="Times New Roman"/>
          <w:spacing w:val="-9"/>
          <w:sz w:val="19"/>
          <w:vertAlign w:val="baseline"/>
        </w:rPr>
        <w:t> </w:t>
      </w:r>
      <w:r>
        <w:rPr>
          <w:rFonts w:ascii="Times New Roman" w:hAnsi="Times New Roman"/>
          <w:sz w:val="19"/>
          <w:vertAlign w:val="baseline"/>
        </w:rPr>
        <w:t>services</w:t>
      </w:r>
      <w:r>
        <w:rPr>
          <w:rFonts w:ascii="Times New Roman" w:hAnsi="Times New Roman"/>
          <w:spacing w:val="-5"/>
          <w:sz w:val="19"/>
          <w:vertAlign w:val="baseline"/>
        </w:rPr>
        <w:t> </w:t>
      </w:r>
      <w:r>
        <w:rPr>
          <w:rFonts w:ascii="Times New Roman" w:hAnsi="Times New Roman"/>
          <w:sz w:val="19"/>
          <w:vertAlign w:val="baseline"/>
        </w:rPr>
        <w:t>discretionary</w:t>
      </w:r>
      <w:r>
        <w:rPr>
          <w:rFonts w:ascii="Times New Roman" w:hAnsi="Times New Roman"/>
          <w:i/>
          <w:sz w:val="19"/>
          <w:vertAlign w:val="baseline"/>
        </w:rPr>
        <w:t>.</w:t>
      </w:r>
      <w:r>
        <w:rPr>
          <w:rFonts w:ascii="Times New Roman" w:hAnsi="Times New Roman"/>
          <w:i/>
          <w:spacing w:val="-6"/>
          <w:sz w:val="19"/>
          <w:vertAlign w:val="baseline"/>
        </w:rPr>
        <w:t> </w:t>
      </w:r>
      <w:r>
        <w:rPr>
          <w:rFonts w:ascii="Times New Roman" w:hAnsi="Times New Roman"/>
          <w:sz w:val="19"/>
          <w:vertAlign w:val="baseline"/>
        </w:rPr>
        <w:t>See</w:t>
      </w:r>
      <w:r>
        <w:rPr>
          <w:rFonts w:ascii="Times New Roman" w:hAnsi="Times New Roman"/>
          <w:spacing w:val="-9"/>
          <w:sz w:val="19"/>
          <w:vertAlign w:val="baseline"/>
        </w:rPr>
        <w:t> </w:t>
      </w:r>
      <w:r>
        <w:rPr>
          <w:rFonts w:ascii="Times New Roman" w:hAnsi="Times New Roman"/>
          <w:sz w:val="19"/>
          <w:vertAlign w:val="baseline"/>
        </w:rPr>
        <w:t>however section</w:t>
      </w:r>
      <w:r>
        <w:rPr>
          <w:rFonts w:ascii="Times New Roman" w:hAnsi="Times New Roman"/>
          <w:spacing w:val="-2"/>
          <w:sz w:val="19"/>
          <w:vertAlign w:val="baseline"/>
        </w:rPr>
        <w:t> </w:t>
      </w:r>
      <w:r>
        <w:rPr>
          <w:rFonts w:ascii="Times New Roman" w:hAnsi="Times New Roman"/>
          <w:sz w:val="19"/>
          <w:vertAlign w:val="baseline"/>
        </w:rPr>
        <w:t>9</w:t>
      </w:r>
      <w:r>
        <w:rPr>
          <w:rFonts w:ascii="Times New Roman" w:hAnsi="Times New Roman"/>
          <w:spacing w:val="-10"/>
          <w:sz w:val="19"/>
          <w:vertAlign w:val="baseline"/>
        </w:rPr>
        <w:t> </w:t>
      </w:r>
      <w:r>
        <w:rPr>
          <w:rFonts w:ascii="Times New Roman" w:hAnsi="Times New Roman"/>
          <w:i/>
          <w:sz w:val="19"/>
          <w:vertAlign w:val="baseline"/>
        </w:rPr>
        <w:t>ibid</w:t>
      </w:r>
      <w:r>
        <w:rPr>
          <w:rFonts w:ascii="Times New Roman" w:hAnsi="Times New Roman"/>
          <w:i/>
          <w:spacing w:val="-10"/>
          <w:sz w:val="19"/>
          <w:vertAlign w:val="baseline"/>
        </w:rPr>
        <w:t> </w:t>
      </w:r>
      <w:r>
        <w:rPr>
          <w:rFonts w:ascii="Times New Roman" w:hAnsi="Times New Roman"/>
          <w:sz w:val="19"/>
          <w:vertAlign w:val="baseline"/>
        </w:rPr>
        <w:t>which says health care benefits ‘shall be paid’ in respect of occupational diseases</w:t>
      </w:r>
    </w:p>
    <w:p>
      <w:pPr>
        <w:spacing w:line="216" w:lineRule="exact" w:before="0"/>
        <w:ind w:left="187" w:right="0" w:firstLine="0"/>
        <w:jc w:val="left"/>
        <w:rPr>
          <w:rFonts w:ascii="Times New Roman"/>
          <w:i/>
          <w:sz w:val="19"/>
        </w:rPr>
      </w:pPr>
      <w:r>
        <w:rPr>
          <w:rFonts w:ascii="Times New Roman"/>
          <w:sz w:val="19"/>
          <w:vertAlign w:val="superscript"/>
        </w:rPr>
        <w:t>309</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26</w:t>
      </w:r>
      <w:r>
        <w:rPr>
          <w:rFonts w:ascii="Times New Roman"/>
          <w:spacing w:val="-2"/>
          <w:sz w:val="19"/>
          <w:vertAlign w:val="baseline"/>
        </w:rPr>
        <w:t> </w:t>
      </w:r>
      <w:r>
        <w:rPr>
          <w:rFonts w:ascii="Times New Roman"/>
          <w:sz w:val="19"/>
          <w:vertAlign w:val="baseline"/>
        </w:rPr>
        <w:t>(4)</w:t>
      </w:r>
      <w:r>
        <w:rPr>
          <w:rFonts w:ascii="Times New Roman"/>
          <w:spacing w:val="-12"/>
          <w:sz w:val="19"/>
          <w:vertAlign w:val="baseline"/>
        </w:rPr>
        <w:t> </w:t>
      </w:r>
      <w:r>
        <w:rPr>
          <w:rFonts w:ascii="Times New Roman"/>
          <w:i/>
          <w:spacing w:val="-4"/>
          <w:sz w:val="19"/>
          <w:vertAlign w:val="baseline"/>
        </w:rPr>
        <w:t>ibid</w:t>
      </w:r>
    </w:p>
    <w:p>
      <w:pPr>
        <w:spacing w:line="217" w:lineRule="exact" w:before="1"/>
        <w:ind w:left="187" w:right="0" w:firstLine="0"/>
        <w:jc w:val="left"/>
        <w:rPr>
          <w:rFonts w:ascii="Times New Roman"/>
          <w:i/>
          <w:sz w:val="19"/>
        </w:rPr>
      </w:pPr>
      <w:r>
        <w:rPr>
          <w:rFonts w:ascii="Times New Roman"/>
          <w:sz w:val="19"/>
          <w:vertAlign w:val="superscript"/>
        </w:rPr>
        <w:t>310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16</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311</w:t>
      </w:r>
      <w:r>
        <w:rPr>
          <w:rFonts w:ascii="Times New Roman"/>
          <w:spacing w:val="-8"/>
          <w:sz w:val="19"/>
          <w:vertAlign w:val="baseline"/>
        </w:rPr>
        <w:t> </w:t>
      </w:r>
      <w:r>
        <w:rPr>
          <w:rFonts w:ascii="Times New Roman"/>
          <w:sz w:val="19"/>
          <w:vertAlign w:val="baseline"/>
        </w:rPr>
        <w:t>See</w:t>
      </w:r>
      <w:r>
        <w:rPr>
          <w:rFonts w:ascii="Times New Roman"/>
          <w:spacing w:val="-7"/>
          <w:sz w:val="19"/>
          <w:vertAlign w:val="baseline"/>
        </w:rPr>
        <w:t> </w:t>
      </w:r>
      <w:r>
        <w:rPr>
          <w:rFonts w:ascii="Times New Roman"/>
          <w:i/>
          <w:sz w:val="19"/>
          <w:vertAlign w:val="baseline"/>
        </w:rPr>
        <w:t>Madukolu</w:t>
      </w:r>
      <w:r>
        <w:rPr>
          <w:rFonts w:ascii="Times New Roman"/>
          <w:i/>
          <w:spacing w:val="-10"/>
          <w:sz w:val="19"/>
          <w:vertAlign w:val="baseline"/>
        </w:rPr>
        <w:t> </w:t>
      </w:r>
      <w:r>
        <w:rPr>
          <w:rFonts w:ascii="Times New Roman"/>
          <w:i/>
          <w:sz w:val="19"/>
          <w:vertAlign w:val="baseline"/>
        </w:rPr>
        <w:t>v.</w:t>
      </w:r>
      <w:r>
        <w:rPr>
          <w:rFonts w:ascii="Times New Roman"/>
          <w:i/>
          <w:spacing w:val="-8"/>
          <w:sz w:val="19"/>
          <w:vertAlign w:val="baseline"/>
        </w:rPr>
        <w:t> </w:t>
      </w:r>
      <w:r>
        <w:rPr>
          <w:rFonts w:ascii="Times New Roman"/>
          <w:i/>
          <w:sz w:val="19"/>
          <w:vertAlign w:val="baseline"/>
        </w:rPr>
        <w:t>Nkemdilim</w:t>
      </w:r>
      <w:r>
        <w:rPr>
          <w:rFonts w:ascii="Times New Roman"/>
          <w:i/>
          <w:spacing w:val="-10"/>
          <w:sz w:val="19"/>
          <w:vertAlign w:val="baseline"/>
        </w:rPr>
        <w:t> </w:t>
      </w:r>
      <w:r>
        <w:rPr>
          <w:rFonts w:ascii="Times New Roman"/>
          <w:sz w:val="19"/>
          <w:vertAlign w:val="baseline"/>
        </w:rPr>
        <w:t>(1962)</w:t>
      </w:r>
      <w:r>
        <w:rPr>
          <w:rFonts w:ascii="Times New Roman"/>
          <w:spacing w:val="-9"/>
          <w:sz w:val="19"/>
          <w:vertAlign w:val="baseline"/>
        </w:rPr>
        <w:t> </w:t>
      </w:r>
      <w:r>
        <w:rPr>
          <w:rFonts w:ascii="Times New Roman"/>
          <w:sz w:val="19"/>
          <w:vertAlign w:val="baseline"/>
        </w:rPr>
        <w:t>SCNLR</w:t>
      </w:r>
      <w:r>
        <w:rPr>
          <w:rFonts w:ascii="Times New Roman"/>
          <w:spacing w:val="-9"/>
          <w:sz w:val="19"/>
          <w:vertAlign w:val="baseline"/>
        </w:rPr>
        <w:t> </w:t>
      </w:r>
      <w:r>
        <w:rPr>
          <w:rFonts w:ascii="Times New Roman"/>
          <w:sz w:val="19"/>
          <w:vertAlign w:val="baseline"/>
        </w:rPr>
        <w:t>341</w:t>
      </w:r>
      <w:r>
        <w:rPr>
          <w:rFonts w:ascii="Times New Roman"/>
          <w:spacing w:val="-11"/>
          <w:sz w:val="19"/>
          <w:vertAlign w:val="baseline"/>
        </w:rPr>
        <w:t> </w:t>
      </w:r>
      <w:r>
        <w:rPr>
          <w:rFonts w:ascii="Times New Roman"/>
          <w:i/>
          <w:sz w:val="19"/>
          <w:vertAlign w:val="baseline"/>
        </w:rPr>
        <w:t>Amadi</w:t>
      </w:r>
      <w:r>
        <w:rPr>
          <w:rFonts w:ascii="Times New Roman"/>
          <w:i/>
          <w:spacing w:val="-8"/>
          <w:sz w:val="19"/>
          <w:vertAlign w:val="baseline"/>
        </w:rPr>
        <w:t> </w:t>
      </w:r>
      <w:r>
        <w:rPr>
          <w:rFonts w:ascii="Times New Roman"/>
          <w:i/>
          <w:sz w:val="19"/>
          <w:vertAlign w:val="baseline"/>
        </w:rPr>
        <w:t>v</w:t>
      </w:r>
      <w:r>
        <w:rPr>
          <w:rFonts w:ascii="Times New Roman"/>
          <w:i/>
          <w:spacing w:val="-10"/>
          <w:sz w:val="19"/>
          <w:vertAlign w:val="baseline"/>
        </w:rPr>
        <w:t> </w:t>
      </w:r>
      <w:r>
        <w:rPr>
          <w:rFonts w:ascii="Times New Roman"/>
          <w:i/>
          <w:sz w:val="19"/>
          <w:vertAlign w:val="baseline"/>
        </w:rPr>
        <w:t>NNPC</w:t>
      </w:r>
      <w:r>
        <w:rPr>
          <w:rFonts w:ascii="Times New Roman"/>
          <w:i/>
          <w:spacing w:val="-5"/>
          <w:sz w:val="19"/>
          <w:vertAlign w:val="baseline"/>
        </w:rPr>
        <w:t> </w:t>
      </w:r>
      <w:r>
        <w:rPr>
          <w:rFonts w:ascii="Times New Roman"/>
          <w:sz w:val="19"/>
          <w:vertAlign w:val="baseline"/>
        </w:rPr>
        <w:t>(2000)</w:t>
      </w:r>
      <w:r>
        <w:rPr>
          <w:rFonts w:ascii="Times New Roman"/>
          <w:spacing w:val="-12"/>
          <w:sz w:val="19"/>
          <w:vertAlign w:val="baseline"/>
        </w:rPr>
        <w:t> </w:t>
      </w:r>
      <w:r>
        <w:rPr>
          <w:rFonts w:ascii="Times New Roman"/>
          <w:sz w:val="19"/>
          <w:vertAlign w:val="baseline"/>
        </w:rPr>
        <w:t>10</w:t>
      </w:r>
      <w:r>
        <w:rPr>
          <w:rFonts w:ascii="Times New Roman"/>
          <w:spacing w:val="-11"/>
          <w:sz w:val="19"/>
          <w:vertAlign w:val="baseline"/>
        </w:rPr>
        <w:t> </w:t>
      </w:r>
      <w:r>
        <w:rPr>
          <w:rFonts w:ascii="Times New Roman"/>
          <w:sz w:val="19"/>
          <w:vertAlign w:val="baseline"/>
        </w:rPr>
        <w:t>NWLR</w:t>
      </w:r>
      <w:r>
        <w:rPr>
          <w:rFonts w:ascii="Times New Roman"/>
          <w:spacing w:val="-12"/>
          <w:sz w:val="19"/>
          <w:vertAlign w:val="baseline"/>
        </w:rPr>
        <w:t> </w:t>
      </w:r>
      <w:r>
        <w:rPr>
          <w:rFonts w:ascii="Times New Roman"/>
          <w:sz w:val="19"/>
          <w:vertAlign w:val="baseline"/>
        </w:rPr>
        <w:t>(pt</w:t>
      </w:r>
      <w:r>
        <w:rPr>
          <w:rFonts w:ascii="Times New Roman"/>
          <w:spacing w:val="-4"/>
          <w:sz w:val="19"/>
          <w:vertAlign w:val="baseline"/>
        </w:rPr>
        <w:t> </w:t>
      </w:r>
      <w:r>
        <w:rPr>
          <w:rFonts w:ascii="Times New Roman"/>
          <w:sz w:val="19"/>
          <w:vertAlign w:val="baseline"/>
        </w:rPr>
        <w:t>674)</w:t>
      </w:r>
      <w:r>
        <w:rPr>
          <w:rFonts w:ascii="Times New Roman"/>
          <w:spacing w:val="-9"/>
          <w:sz w:val="19"/>
          <w:vertAlign w:val="baseline"/>
        </w:rPr>
        <w:t> </w:t>
      </w:r>
      <w:r>
        <w:rPr>
          <w:rFonts w:ascii="Times New Roman"/>
          <w:sz w:val="19"/>
          <w:vertAlign w:val="baseline"/>
        </w:rPr>
        <w:t>76</w:t>
      </w:r>
      <w:r>
        <w:rPr>
          <w:rFonts w:ascii="Times New Roman"/>
          <w:spacing w:val="-3"/>
          <w:sz w:val="19"/>
          <w:vertAlign w:val="baseline"/>
        </w:rPr>
        <w:t> </w:t>
      </w:r>
      <w:r>
        <w:rPr>
          <w:rFonts w:ascii="Times New Roman"/>
          <w:i/>
          <w:sz w:val="19"/>
          <w:vertAlign w:val="baseline"/>
        </w:rPr>
        <w:t>Umokoro</w:t>
      </w:r>
      <w:r>
        <w:rPr>
          <w:rFonts w:ascii="Times New Roman"/>
          <w:i/>
          <w:spacing w:val="-7"/>
          <w:sz w:val="19"/>
          <w:vertAlign w:val="baseline"/>
        </w:rPr>
        <w:t> </w:t>
      </w:r>
      <w:r>
        <w:rPr>
          <w:rFonts w:ascii="Times New Roman"/>
          <w:i/>
          <w:sz w:val="19"/>
          <w:vertAlign w:val="baseline"/>
        </w:rPr>
        <w:t>&amp;</w:t>
      </w:r>
      <w:r>
        <w:rPr>
          <w:rFonts w:ascii="Times New Roman"/>
          <w:i/>
          <w:spacing w:val="-11"/>
          <w:sz w:val="19"/>
          <w:vertAlign w:val="baseline"/>
        </w:rPr>
        <w:t> </w:t>
      </w:r>
      <w:r>
        <w:rPr>
          <w:rFonts w:ascii="Times New Roman"/>
          <w:i/>
          <w:spacing w:val="-10"/>
          <w:sz w:val="19"/>
          <w:vertAlign w:val="baseline"/>
        </w:rPr>
        <w:t>8</w:t>
      </w:r>
    </w:p>
    <w:p>
      <w:pPr>
        <w:spacing w:line="216" w:lineRule="exact" w:before="0"/>
        <w:ind w:left="187" w:right="0" w:firstLine="0"/>
        <w:jc w:val="left"/>
        <w:rPr>
          <w:rFonts w:ascii="Times New Roman"/>
          <w:sz w:val="19"/>
        </w:rPr>
      </w:pPr>
      <w:r>
        <w:rPr>
          <w:rFonts w:ascii="Times New Roman"/>
          <w:i/>
          <w:sz w:val="19"/>
        </w:rPr>
        <w:t>Others</w:t>
      </w:r>
      <w:r>
        <w:rPr>
          <w:rFonts w:ascii="Times New Roman"/>
          <w:i/>
          <w:spacing w:val="-12"/>
          <w:sz w:val="19"/>
        </w:rPr>
        <w:t> </w:t>
      </w:r>
      <w:r>
        <w:rPr>
          <w:rFonts w:ascii="Times New Roman"/>
          <w:i/>
          <w:sz w:val="19"/>
        </w:rPr>
        <w:t>v</w:t>
      </w:r>
      <w:r>
        <w:rPr>
          <w:rFonts w:ascii="Times New Roman"/>
          <w:i/>
          <w:spacing w:val="-6"/>
          <w:sz w:val="19"/>
        </w:rPr>
        <w:t> </w:t>
      </w:r>
      <w:r>
        <w:rPr>
          <w:rFonts w:ascii="Times New Roman"/>
          <w:i/>
          <w:sz w:val="19"/>
        </w:rPr>
        <w:t>Nigeria</w:t>
      </w:r>
      <w:r>
        <w:rPr>
          <w:rFonts w:ascii="Times New Roman"/>
          <w:i/>
          <w:spacing w:val="-7"/>
          <w:sz w:val="19"/>
        </w:rPr>
        <w:t> </w:t>
      </w:r>
      <w:r>
        <w:rPr>
          <w:rFonts w:ascii="Times New Roman"/>
          <w:i/>
          <w:sz w:val="19"/>
        </w:rPr>
        <w:t>Ports</w:t>
      </w:r>
      <w:r>
        <w:rPr>
          <w:rFonts w:ascii="Times New Roman"/>
          <w:i/>
          <w:spacing w:val="-6"/>
          <w:sz w:val="19"/>
        </w:rPr>
        <w:t> </w:t>
      </w:r>
      <w:r>
        <w:rPr>
          <w:rFonts w:ascii="Times New Roman"/>
          <w:i/>
          <w:sz w:val="19"/>
        </w:rPr>
        <w:t>Authority</w:t>
      </w:r>
      <w:r>
        <w:rPr>
          <w:rFonts w:ascii="Times New Roman"/>
          <w:i/>
          <w:spacing w:val="-6"/>
          <w:sz w:val="19"/>
        </w:rPr>
        <w:t> </w:t>
      </w:r>
      <w:r>
        <w:rPr>
          <w:rFonts w:ascii="Times New Roman"/>
          <w:i/>
          <w:sz w:val="19"/>
        </w:rPr>
        <w:t>&amp;</w:t>
      </w:r>
      <w:r>
        <w:rPr>
          <w:rFonts w:ascii="Times New Roman"/>
          <w:i/>
          <w:spacing w:val="-11"/>
          <w:sz w:val="19"/>
        </w:rPr>
        <w:t> </w:t>
      </w:r>
      <w:r>
        <w:rPr>
          <w:rFonts w:ascii="Times New Roman"/>
          <w:i/>
          <w:sz w:val="19"/>
        </w:rPr>
        <w:t>Anor</w:t>
      </w:r>
      <w:r>
        <w:rPr>
          <w:rFonts w:ascii="Times New Roman"/>
          <w:i/>
          <w:spacing w:val="-12"/>
          <w:sz w:val="19"/>
        </w:rPr>
        <w:t> </w:t>
      </w:r>
      <w:r>
        <w:rPr>
          <w:rFonts w:ascii="Times New Roman"/>
          <w:sz w:val="19"/>
        </w:rPr>
        <w:t>(1997)</w:t>
      </w:r>
      <w:r>
        <w:rPr>
          <w:rFonts w:ascii="Times New Roman"/>
          <w:spacing w:val="-10"/>
          <w:sz w:val="19"/>
        </w:rPr>
        <w:t> </w:t>
      </w:r>
      <w:r>
        <w:rPr>
          <w:rFonts w:ascii="Times New Roman"/>
          <w:sz w:val="19"/>
        </w:rPr>
        <w:t>4</w:t>
      </w:r>
      <w:r>
        <w:rPr>
          <w:rFonts w:ascii="Times New Roman"/>
          <w:spacing w:val="-10"/>
          <w:sz w:val="19"/>
        </w:rPr>
        <w:t> </w:t>
      </w:r>
      <w:r>
        <w:rPr>
          <w:rFonts w:ascii="Times New Roman"/>
          <w:sz w:val="19"/>
        </w:rPr>
        <w:t>NWLR</w:t>
      </w:r>
      <w:r>
        <w:rPr>
          <w:rFonts w:ascii="Times New Roman"/>
          <w:spacing w:val="-10"/>
          <w:sz w:val="19"/>
        </w:rPr>
        <w:t> </w:t>
      </w:r>
      <w:r>
        <w:rPr>
          <w:rFonts w:ascii="Times New Roman"/>
          <w:sz w:val="19"/>
        </w:rPr>
        <w:t>(Pt</w:t>
      </w:r>
      <w:r>
        <w:rPr>
          <w:rFonts w:ascii="Times New Roman"/>
          <w:spacing w:val="-4"/>
          <w:sz w:val="19"/>
        </w:rPr>
        <w:t> </w:t>
      </w:r>
      <w:r>
        <w:rPr>
          <w:rFonts w:ascii="Times New Roman"/>
          <w:sz w:val="19"/>
        </w:rPr>
        <w:t>502)</w:t>
      </w:r>
      <w:r>
        <w:rPr>
          <w:rFonts w:ascii="Times New Roman"/>
          <w:spacing w:val="-9"/>
          <w:sz w:val="19"/>
        </w:rPr>
        <w:t> </w:t>
      </w:r>
      <w:r>
        <w:rPr>
          <w:rFonts w:ascii="Times New Roman"/>
          <w:spacing w:val="-5"/>
          <w:sz w:val="19"/>
        </w:rPr>
        <w:t>656</w:t>
      </w:r>
    </w:p>
    <w:p>
      <w:pPr>
        <w:spacing w:line="237" w:lineRule="auto" w:before="1"/>
        <w:ind w:left="187" w:right="123" w:firstLine="0"/>
        <w:jc w:val="left"/>
        <w:rPr>
          <w:rFonts w:ascii="Times New Roman" w:hAnsi="Times New Roman"/>
          <w:sz w:val="19"/>
        </w:rPr>
      </w:pPr>
      <w:r>
        <w:rPr>
          <w:rFonts w:ascii="Times New Roman" w:hAnsi="Times New Roman"/>
          <w:sz w:val="19"/>
          <w:vertAlign w:val="superscript"/>
        </w:rPr>
        <w:t>312</w:t>
      </w:r>
      <w:r>
        <w:rPr>
          <w:rFonts w:ascii="Times New Roman" w:hAnsi="Times New Roman"/>
          <w:spacing w:val="-1"/>
          <w:sz w:val="19"/>
          <w:vertAlign w:val="baseline"/>
        </w:rPr>
        <w:t> </w:t>
      </w:r>
      <w:r>
        <w:rPr>
          <w:rFonts w:ascii="Times New Roman" w:hAnsi="Times New Roman"/>
          <w:i/>
          <w:sz w:val="19"/>
          <w:vertAlign w:val="baseline"/>
        </w:rPr>
        <w:t>Shitta</w:t>
      </w:r>
      <w:r>
        <w:rPr>
          <w:rFonts w:ascii="Times New Roman" w:hAnsi="Times New Roman"/>
          <w:i/>
          <w:spacing w:val="-8"/>
          <w:sz w:val="19"/>
          <w:vertAlign w:val="baseline"/>
        </w:rPr>
        <w:t> </w:t>
      </w:r>
      <w:r>
        <w:rPr>
          <w:rFonts w:ascii="Times New Roman" w:hAnsi="Times New Roman"/>
          <w:i/>
          <w:sz w:val="19"/>
          <w:vertAlign w:val="baseline"/>
        </w:rPr>
        <w:t>–</w:t>
      </w:r>
      <w:r>
        <w:rPr>
          <w:rFonts w:ascii="Times New Roman" w:hAnsi="Times New Roman"/>
          <w:i/>
          <w:spacing w:val="-5"/>
          <w:sz w:val="19"/>
          <w:vertAlign w:val="baseline"/>
        </w:rPr>
        <w:t> </w:t>
      </w:r>
      <w:r>
        <w:rPr>
          <w:rFonts w:ascii="Times New Roman" w:hAnsi="Times New Roman"/>
          <w:i/>
          <w:sz w:val="19"/>
          <w:vertAlign w:val="baseline"/>
        </w:rPr>
        <w:t>Bey</w:t>
      </w:r>
      <w:r>
        <w:rPr>
          <w:rFonts w:ascii="Times New Roman" w:hAnsi="Times New Roman"/>
          <w:i/>
          <w:spacing w:val="-7"/>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5"/>
          <w:sz w:val="19"/>
          <w:vertAlign w:val="baseline"/>
        </w:rPr>
        <w:t> </w:t>
      </w:r>
      <w:r>
        <w:rPr>
          <w:rFonts w:ascii="Times New Roman" w:hAnsi="Times New Roman"/>
          <w:i/>
          <w:sz w:val="19"/>
          <w:vertAlign w:val="baseline"/>
        </w:rPr>
        <w:t>Federation</w:t>
      </w:r>
      <w:r>
        <w:rPr>
          <w:rFonts w:ascii="Times New Roman" w:hAnsi="Times New Roman"/>
          <w:i/>
          <w:spacing w:val="-4"/>
          <w:sz w:val="19"/>
          <w:vertAlign w:val="baseline"/>
        </w:rPr>
        <w:t> </w:t>
      </w:r>
      <w:r>
        <w:rPr>
          <w:rFonts w:ascii="Times New Roman" w:hAnsi="Times New Roman"/>
          <w:i/>
          <w:sz w:val="19"/>
          <w:vertAlign w:val="baseline"/>
        </w:rPr>
        <w:t>&amp;</w:t>
      </w:r>
      <w:r>
        <w:rPr>
          <w:rFonts w:ascii="Times New Roman" w:hAnsi="Times New Roman"/>
          <w:i/>
          <w:spacing w:val="-12"/>
          <w:sz w:val="19"/>
          <w:vertAlign w:val="baseline"/>
        </w:rPr>
        <w:t> </w:t>
      </w:r>
      <w:r>
        <w:rPr>
          <w:rFonts w:ascii="Times New Roman" w:hAnsi="Times New Roman"/>
          <w:i/>
          <w:sz w:val="19"/>
          <w:vertAlign w:val="baseline"/>
        </w:rPr>
        <w:t>Anor</w:t>
      </w:r>
      <w:r>
        <w:rPr>
          <w:rFonts w:ascii="Times New Roman" w:hAnsi="Times New Roman"/>
          <w:i/>
          <w:spacing w:val="-7"/>
          <w:sz w:val="19"/>
          <w:vertAlign w:val="baseline"/>
        </w:rPr>
        <w:t> </w:t>
      </w:r>
      <w:r>
        <w:rPr>
          <w:rFonts w:ascii="Times New Roman" w:hAnsi="Times New Roman"/>
          <w:sz w:val="19"/>
          <w:vertAlign w:val="baseline"/>
        </w:rPr>
        <w:t>(1998)7</w:t>
      </w:r>
      <w:r>
        <w:rPr>
          <w:rFonts w:ascii="Times New Roman" w:hAnsi="Times New Roman"/>
          <w:spacing w:val="-5"/>
          <w:sz w:val="19"/>
          <w:vertAlign w:val="baseline"/>
        </w:rPr>
        <w:t> </w:t>
      </w:r>
      <w:r>
        <w:rPr>
          <w:rFonts w:ascii="Times New Roman" w:hAnsi="Times New Roman"/>
          <w:sz w:val="19"/>
          <w:vertAlign w:val="baseline"/>
        </w:rPr>
        <w:t>SCNJ</w:t>
      </w:r>
      <w:r>
        <w:rPr>
          <w:rFonts w:ascii="Times New Roman" w:hAnsi="Times New Roman"/>
          <w:spacing w:val="-6"/>
          <w:sz w:val="19"/>
          <w:vertAlign w:val="baseline"/>
        </w:rPr>
        <w:t> </w:t>
      </w:r>
      <w:r>
        <w:rPr>
          <w:rFonts w:ascii="Times New Roman" w:hAnsi="Times New Roman"/>
          <w:sz w:val="19"/>
          <w:vertAlign w:val="baseline"/>
        </w:rPr>
        <w:t>264</w:t>
      </w:r>
      <w:r>
        <w:rPr>
          <w:rFonts w:ascii="Times New Roman" w:hAnsi="Times New Roman"/>
          <w:spacing w:val="-8"/>
          <w:sz w:val="19"/>
          <w:vertAlign w:val="baseline"/>
        </w:rPr>
        <w:t> </w:t>
      </w:r>
      <w:r>
        <w:rPr>
          <w:rFonts w:ascii="Times New Roman" w:hAnsi="Times New Roman"/>
          <w:sz w:val="19"/>
          <w:vertAlign w:val="baseline"/>
        </w:rPr>
        <w:t>at</w:t>
      </w:r>
      <w:r>
        <w:rPr>
          <w:rFonts w:ascii="Times New Roman" w:hAnsi="Times New Roman"/>
          <w:spacing w:val="-1"/>
          <w:sz w:val="19"/>
          <w:vertAlign w:val="baseline"/>
        </w:rPr>
        <w:t> </w:t>
      </w:r>
      <w:r>
        <w:rPr>
          <w:rFonts w:ascii="Times New Roman" w:hAnsi="Times New Roman"/>
          <w:sz w:val="19"/>
          <w:vertAlign w:val="baseline"/>
        </w:rPr>
        <w:t>266,</w:t>
      </w:r>
      <w:r>
        <w:rPr>
          <w:rFonts w:ascii="Times New Roman" w:hAnsi="Times New Roman"/>
          <w:spacing w:val="-5"/>
          <w:sz w:val="19"/>
          <w:vertAlign w:val="baseline"/>
        </w:rPr>
        <w:t> </w:t>
      </w:r>
      <w:r>
        <w:rPr>
          <w:rFonts w:ascii="Times New Roman" w:hAnsi="Times New Roman"/>
          <w:i/>
          <w:sz w:val="19"/>
          <w:vertAlign w:val="baseline"/>
        </w:rPr>
        <w:t>Adeyemi</w:t>
      </w:r>
      <w:r>
        <w:rPr>
          <w:rFonts w:ascii="Times New Roman" w:hAnsi="Times New Roman"/>
          <w:i/>
          <w:spacing w:val="-6"/>
          <w:sz w:val="19"/>
          <w:vertAlign w:val="baseline"/>
        </w:rPr>
        <w:t> </w:t>
      </w:r>
      <w:r>
        <w:rPr>
          <w:rFonts w:ascii="Times New Roman" w:hAnsi="Times New Roman"/>
          <w:i/>
          <w:sz w:val="19"/>
          <w:vertAlign w:val="baseline"/>
        </w:rPr>
        <w:t>Saliu</w:t>
      </w:r>
      <w:r>
        <w:rPr>
          <w:rFonts w:ascii="Times New Roman" w:hAnsi="Times New Roman"/>
          <w:i/>
          <w:spacing w:val="-8"/>
          <w:sz w:val="19"/>
          <w:vertAlign w:val="baseline"/>
        </w:rPr>
        <w:t> </w:t>
      </w:r>
      <w:r>
        <w:rPr>
          <w:rFonts w:ascii="Times New Roman" w:hAnsi="Times New Roman"/>
          <w:i/>
          <w:sz w:val="19"/>
          <w:vertAlign w:val="baseline"/>
        </w:rPr>
        <w:t>Olaotan</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7"/>
          <w:sz w:val="19"/>
          <w:vertAlign w:val="baseline"/>
        </w:rPr>
        <w:t> </w:t>
      </w:r>
      <w:r>
        <w:rPr>
          <w:rFonts w:ascii="Times New Roman" w:hAnsi="Times New Roman"/>
          <w:i/>
          <w:sz w:val="19"/>
          <w:vertAlign w:val="baseline"/>
        </w:rPr>
        <w:t>Lagos</w:t>
      </w:r>
      <w:r>
        <w:rPr>
          <w:rFonts w:ascii="Times New Roman" w:hAnsi="Times New Roman"/>
          <w:i/>
          <w:spacing w:val="-6"/>
          <w:sz w:val="19"/>
          <w:vertAlign w:val="baseline"/>
        </w:rPr>
        <w:t> </w:t>
      </w:r>
      <w:r>
        <w:rPr>
          <w:rFonts w:ascii="Times New Roman" w:hAnsi="Times New Roman"/>
          <w:i/>
          <w:sz w:val="19"/>
          <w:vertAlign w:val="baseline"/>
        </w:rPr>
        <w:t>State Government &amp; Ors </w:t>
      </w:r>
      <w:r>
        <w:rPr>
          <w:rFonts w:ascii="Times New Roman" w:hAnsi="Times New Roman"/>
          <w:sz w:val="19"/>
          <w:vertAlign w:val="baseline"/>
        </w:rPr>
        <w:t>(Unreported) Suit No. NIC/LA/41/2010</w:t>
      </w:r>
    </w:p>
    <w:p>
      <w:pPr>
        <w:spacing w:line="215" w:lineRule="exact" w:before="0"/>
        <w:ind w:left="187" w:right="0" w:firstLine="0"/>
        <w:jc w:val="left"/>
        <w:rPr>
          <w:rFonts w:ascii="Times New Roman" w:hAnsi="Times New Roman"/>
          <w:sz w:val="19"/>
        </w:rPr>
      </w:pPr>
      <w:r>
        <w:rPr>
          <w:rFonts w:ascii="Times New Roman" w:hAnsi="Times New Roman"/>
          <w:sz w:val="19"/>
          <w:vertAlign w:val="superscript"/>
        </w:rPr>
        <w:t>313</w:t>
      </w:r>
      <w:r>
        <w:rPr>
          <w:rFonts w:ascii="Times New Roman" w:hAnsi="Times New Roman"/>
          <w:spacing w:val="-11"/>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4(1)</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No.</w:t>
      </w:r>
      <w:r>
        <w:rPr>
          <w:rFonts w:ascii="Times New Roman" w:hAnsi="Times New Roman"/>
          <w:spacing w:val="-7"/>
          <w:sz w:val="19"/>
          <w:vertAlign w:val="baseline"/>
        </w:rPr>
        <w:t> </w:t>
      </w:r>
      <w:r>
        <w:rPr>
          <w:rFonts w:ascii="Times New Roman" w:hAnsi="Times New Roman"/>
          <w:sz w:val="19"/>
          <w:vertAlign w:val="baseline"/>
        </w:rPr>
        <w:t>13,</w:t>
      </w:r>
      <w:r>
        <w:rPr>
          <w:rFonts w:ascii="Times New Roman" w:hAnsi="Times New Roman"/>
          <w:spacing w:val="-12"/>
          <w:sz w:val="19"/>
          <w:vertAlign w:val="baseline"/>
        </w:rPr>
        <w:t> </w:t>
      </w:r>
      <w:r>
        <w:rPr>
          <w:rFonts w:ascii="Times New Roman" w:hAnsi="Times New Roman"/>
          <w:spacing w:val="-4"/>
          <w:sz w:val="19"/>
          <w:vertAlign w:val="baseline"/>
        </w:rPr>
        <w:t>2010</w:t>
      </w:r>
    </w:p>
    <w:p>
      <w:pPr>
        <w:spacing w:line="214" w:lineRule="exact" w:before="0"/>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line="215" w:lineRule="exact" w:before="0"/>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7" w:lineRule="exact" w:before="2"/>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after="0" w:line="237" w:lineRule="auto"/>
        <w:jc w:val="left"/>
        <w:rPr>
          <w:rFonts w:ascii="Times New Roman"/>
          <w:sz w:val="19"/>
        </w:rPr>
        <w:sectPr>
          <w:pgSz w:w="12240" w:h="15840"/>
          <w:pgMar w:header="0" w:footer="1009" w:top="1260" w:bottom="1200" w:left="1680" w:right="1320"/>
        </w:sectPr>
      </w:pPr>
    </w:p>
    <w:p>
      <w:pPr>
        <w:pStyle w:val="BodyText"/>
        <w:spacing w:line="489" w:lineRule="auto" w:before="94"/>
        <w:ind w:left="864"/>
      </w:pPr>
      <w:r>
        <w:rPr/>
        <w:t>authorized</w:t>
      </w:r>
      <w:r>
        <w:rPr>
          <w:spacing w:val="30"/>
        </w:rPr>
        <w:t> </w:t>
      </w:r>
      <w:r>
        <w:rPr/>
        <w:t>by</w:t>
      </w:r>
      <w:r>
        <w:rPr>
          <w:spacing w:val="29"/>
        </w:rPr>
        <w:t> </w:t>
      </w:r>
      <w:r>
        <w:rPr/>
        <w:t>the</w:t>
      </w:r>
      <w:r>
        <w:rPr>
          <w:spacing w:val="27"/>
        </w:rPr>
        <w:t> </w:t>
      </w:r>
      <w:r>
        <w:rPr/>
        <w:t>Board,</w:t>
      </w:r>
      <w:r>
        <w:rPr>
          <w:spacing w:val="31"/>
        </w:rPr>
        <w:t> </w:t>
      </w:r>
      <w:r>
        <w:rPr/>
        <w:t>then</w:t>
      </w:r>
      <w:r>
        <w:rPr>
          <w:spacing w:val="29"/>
        </w:rPr>
        <w:t> </w:t>
      </w:r>
      <w:r>
        <w:rPr/>
        <w:t>payment</w:t>
      </w:r>
      <w:r>
        <w:rPr>
          <w:spacing w:val="29"/>
        </w:rPr>
        <w:t> </w:t>
      </w:r>
      <w:r>
        <w:rPr/>
        <w:t>of</w:t>
      </w:r>
      <w:r>
        <w:rPr>
          <w:spacing w:val="28"/>
        </w:rPr>
        <w:t> </w:t>
      </w:r>
      <w:r>
        <w:rPr/>
        <w:t>the</w:t>
      </w:r>
      <w:r>
        <w:rPr>
          <w:spacing w:val="32"/>
        </w:rPr>
        <w:t> </w:t>
      </w:r>
      <w:r>
        <w:rPr/>
        <w:t>bill</w:t>
      </w:r>
      <w:r>
        <w:rPr>
          <w:spacing w:val="30"/>
        </w:rPr>
        <w:t> </w:t>
      </w:r>
      <w:r>
        <w:rPr/>
        <w:t>will</w:t>
      </w:r>
      <w:r>
        <w:rPr>
          <w:spacing w:val="30"/>
        </w:rPr>
        <w:t> </w:t>
      </w:r>
      <w:r>
        <w:rPr/>
        <w:t>not</w:t>
      </w:r>
      <w:r>
        <w:rPr>
          <w:spacing w:val="29"/>
        </w:rPr>
        <w:t> </w:t>
      </w:r>
      <w:r>
        <w:rPr/>
        <w:t>be</w:t>
      </w:r>
      <w:r>
        <w:rPr>
          <w:spacing w:val="27"/>
        </w:rPr>
        <w:t> </w:t>
      </w:r>
      <w:r>
        <w:rPr/>
        <w:t>a</w:t>
      </w:r>
      <w:r>
        <w:rPr>
          <w:spacing w:val="27"/>
        </w:rPr>
        <w:t> </w:t>
      </w:r>
      <w:r>
        <w:rPr/>
        <w:t>discretion except where the amount of treatment is disputed.</w:t>
      </w:r>
      <w:r>
        <w:rPr>
          <w:vertAlign w:val="superscript"/>
        </w:rPr>
        <w:t>309</w:t>
      </w:r>
    </w:p>
    <w:p>
      <w:pPr>
        <w:pStyle w:val="BodyText"/>
        <w:spacing w:before="5"/>
      </w:pPr>
    </w:p>
    <w:p>
      <w:pPr>
        <w:pStyle w:val="BodyText"/>
        <w:spacing w:line="494" w:lineRule="auto"/>
        <w:ind w:left="864"/>
      </w:pPr>
      <w:r>
        <w:rPr/>
        <w:t>For</w:t>
      </w:r>
      <w:r>
        <w:rPr>
          <w:spacing w:val="80"/>
        </w:rPr>
        <w:t> </w:t>
      </w:r>
      <w:r>
        <w:rPr/>
        <w:t>dependants</w:t>
      </w:r>
      <w:r>
        <w:rPr>
          <w:spacing w:val="80"/>
        </w:rPr>
        <w:t> </w:t>
      </w:r>
      <w:r>
        <w:rPr/>
        <w:t>of</w:t>
      </w:r>
      <w:r>
        <w:rPr>
          <w:spacing w:val="80"/>
          <w:w w:val="150"/>
        </w:rPr>
        <w:t> </w:t>
      </w:r>
      <w:r>
        <w:rPr/>
        <w:t>the</w:t>
      </w:r>
      <w:r>
        <w:rPr>
          <w:spacing w:val="80"/>
        </w:rPr>
        <w:t> </w:t>
      </w:r>
      <w:r>
        <w:rPr/>
        <w:t>deceased</w:t>
      </w:r>
      <w:r>
        <w:rPr>
          <w:spacing w:val="80"/>
          <w:w w:val="150"/>
        </w:rPr>
        <w:t> </w:t>
      </w:r>
      <w:r>
        <w:rPr/>
        <w:t>employee,</w:t>
      </w:r>
      <w:r>
        <w:rPr>
          <w:spacing w:val="80"/>
        </w:rPr>
        <w:t> </w:t>
      </w:r>
      <w:r>
        <w:rPr/>
        <w:t>the</w:t>
      </w:r>
      <w:r>
        <w:rPr>
          <w:spacing w:val="80"/>
        </w:rPr>
        <w:t> </w:t>
      </w:r>
      <w:r>
        <w:rPr/>
        <w:t>Board</w:t>
      </w:r>
      <w:r>
        <w:rPr>
          <w:spacing w:val="80"/>
        </w:rPr>
        <w:t> </w:t>
      </w:r>
      <w:r>
        <w:rPr/>
        <w:t>may</w:t>
      </w:r>
      <w:r>
        <w:rPr>
          <w:spacing w:val="79"/>
          <w:w w:val="150"/>
        </w:rPr>
        <w:t> </w:t>
      </w:r>
      <w:r>
        <w:rPr/>
        <w:t>provide counselling</w:t>
      </w:r>
      <w:r>
        <w:rPr>
          <w:spacing w:val="70"/>
        </w:rPr>
        <w:t> </w:t>
      </w:r>
      <w:r>
        <w:rPr/>
        <w:t>services.</w:t>
      </w:r>
      <w:r>
        <w:rPr>
          <w:vertAlign w:val="superscript"/>
        </w:rPr>
        <w:t>310</w:t>
      </w:r>
      <w:r>
        <w:rPr>
          <w:spacing w:val="70"/>
          <w:vertAlign w:val="baseline"/>
        </w:rPr>
        <w:t> </w:t>
      </w:r>
      <w:r>
        <w:rPr>
          <w:vertAlign w:val="baseline"/>
        </w:rPr>
        <w:t>It</w:t>
      </w:r>
      <w:r>
        <w:rPr>
          <w:spacing w:val="69"/>
          <w:vertAlign w:val="baseline"/>
        </w:rPr>
        <w:t> </w:t>
      </w:r>
      <w:r>
        <w:rPr>
          <w:vertAlign w:val="baseline"/>
        </w:rPr>
        <w:t>is</w:t>
      </w:r>
      <w:r>
        <w:rPr>
          <w:spacing w:val="71"/>
          <w:vertAlign w:val="baseline"/>
        </w:rPr>
        <w:t> </w:t>
      </w:r>
      <w:r>
        <w:rPr>
          <w:vertAlign w:val="baseline"/>
        </w:rPr>
        <w:t>not</w:t>
      </w:r>
      <w:r>
        <w:rPr>
          <w:spacing w:val="69"/>
          <w:vertAlign w:val="baseline"/>
        </w:rPr>
        <w:t> </w:t>
      </w:r>
      <w:r>
        <w:rPr>
          <w:vertAlign w:val="baseline"/>
        </w:rPr>
        <w:t>clear</w:t>
      </w:r>
      <w:r>
        <w:rPr>
          <w:spacing w:val="72"/>
          <w:vertAlign w:val="baseline"/>
        </w:rPr>
        <w:t> </w:t>
      </w:r>
      <w:r>
        <w:rPr>
          <w:vertAlign w:val="baseline"/>
        </w:rPr>
        <w:t>what</w:t>
      </w:r>
      <w:r>
        <w:rPr>
          <w:spacing w:val="79"/>
          <w:vertAlign w:val="baseline"/>
        </w:rPr>
        <w:t> </w:t>
      </w:r>
      <w:r>
        <w:rPr>
          <w:vertAlign w:val="baseline"/>
        </w:rPr>
        <w:t>the</w:t>
      </w:r>
      <w:r>
        <w:rPr>
          <w:spacing w:val="68"/>
          <w:vertAlign w:val="baseline"/>
        </w:rPr>
        <w:t> </w:t>
      </w:r>
      <w:r>
        <w:rPr>
          <w:vertAlign w:val="baseline"/>
        </w:rPr>
        <w:t>counselling</w:t>
      </w:r>
      <w:r>
        <w:rPr>
          <w:spacing w:val="70"/>
          <w:vertAlign w:val="baseline"/>
        </w:rPr>
        <w:t> </w:t>
      </w:r>
      <w:r>
        <w:rPr>
          <w:vertAlign w:val="baseline"/>
        </w:rPr>
        <w:t>services</w:t>
      </w:r>
      <w:r>
        <w:rPr>
          <w:spacing w:val="66"/>
          <w:vertAlign w:val="baseline"/>
        </w:rPr>
        <w:t> </w:t>
      </w:r>
      <w:r>
        <w:rPr>
          <w:spacing w:val="-5"/>
          <w:vertAlign w:val="baseline"/>
        </w:rPr>
        <w:t>is</w:t>
      </w:r>
    </w:p>
    <w:p>
      <w:pPr>
        <w:pStyle w:val="BodyText"/>
        <w:spacing w:before="16"/>
        <w:rPr>
          <w:sz w:val="20"/>
        </w:rPr>
      </w:pPr>
      <w:r>
        <w:rPr/>
        <mc:AlternateContent>
          <mc:Choice Requires="wps">
            <w:drawing>
              <wp:anchor distT="0" distB="0" distL="0" distR="0" allowOverlap="1" layoutInCell="1" locked="0" behindDoc="1" simplePos="0" relativeHeight="487642112">
                <wp:simplePos x="0" y="0"/>
                <wp:positionH relativeFrom="page">
                  <wp:posOffset>1185672</wp:posOffset>
                </wp:positionH>
                <wp:positionV relativeFrom="paragraph">
                  <wp:posOffset>179147</wp:posOffset>
                </wp:positionV>
                <wp:extent cx="1719580" cy="6350"/>
                <wp:effectExtent l="0" t="0" r="0" b="0"/>
                <wp:wrapTopAndBottom/>
                <wp:docPr id="122" name="Graphic 122"/>
                <wp:cNvGraphicFramePr>
                  <a:graphicFrameLocks/>
                </wp:cNvGraphicFramePr>
                <a:graphic>
                  <a:graphicData uri="http://schemas.microsoft.com/office/word/2010/wordprocessingShape">
                    <wps:wsp>
                      <wps:cNvPr id="122" name="Graphic 122"/>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106093pt;width:135.360pt;height:.48pt;mso-position-horizontal-relative:page;mso-position-vertical-relative:paragraph;z-index:-15674368;mso-wrap-distance-left:0;mso-wrap-distance-right:0" id="docshape122"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309</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26</w:t>
      </w:r>
      <w:r>
        <w:rPr>
          <w:rFonts w:ascii="Times New Roman"/>
          <w:spacing w:val="-2"/>
          <w:sz w:val="19"/>
          <w:vertAlign w:val="baseline"/>
        </w:rPr>
        <w:t> </w:t>
      </w:r>
      <w:r>
        <w:rPr>
          <w:rFonts w:ascii="Times New Roman"/>
          <w:sz w:val="19"/>
          <w:vertAlign w:val="baseline"/>
        </w:rPr>
        <w:t>(4)</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16</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311</w:t>
      </w:r>
      <w:r>
        <w:rPr>
          <w:rFonts w:ascii="Times New Roman"/>
          <w:spacing w:val="-8"/>
          <w:sz w:val="19"/>
          <w:vertAlign w:val="baseline"/>
        </w:rPr>
        <w:t> </w:t>
      </w:r>
      <w:r>
        <w:rPr>
          <w:rFonts w:ascii="Times New Roman"/>
          <w:sz w:val="19"/>
          <w:vertAlign w:val="baseline"/>
        </w:rPr>
        <w:t>See</w:t>
      </w:r>
      <w:r>
        <w:rPr>
          <w:rFonts w:ascii="Times New Roman"/>
          <w:spacing w:val="-7"/>
          <w:sz w:val="19"/>
          <w:vertAlign w:val="baseline"/>
        </w:rPr>
        <w:t> </w:t>
      </w:r>
      <w:r>
        <w:rPr>
          <w:rFonts w:ascii="Times New Roman"/>
          <w:i/>
          <w:sz w:val="19"/>
          <w:vertAlign w:val="baseline"/>
        </w:rPr>
        <w:t>Madukolu</w:t>
      </w:r>
      <w:r>
        <w:rPr>
          <w:rFonts w:ascii="Times New Roman"/>
          <w:i/>
          <w:spacing w:val="-10"/>
          <w:sz w:val="19"/>
          <w:vertAlign w:val="baseline"/>
        </w:rPr>
        <w:t> </w:t>
      </w:r>
      <w:r>
        <w:rPr>
          <w:rFonts w:ascii="Times New Roman"/>
          <w:i/>
          <w:sz w:val="19"/>
          <w:vertAlign w:val="baseline"/>
        </w:rPr>
        <w:t>v.</w:t>
      </w:r>
      <w:r>
        <w:rPr>
          <w:rFonts w:ascii="Times New Roman"/>
          <w:i/>
          <w:spacing w:val="-8"/>
          <w:sz w:val="19"/>
          <w:vertAlign w:val="baseline"/>
        </w:rPr>
        <w:t> </w:t>
      </w:r>
      <w:r>
        <w:rPr>
          <w:rFonts w:ascii="Times New Roman"/>
          <w:i/>
          <w:sz w:val="19"/>
          <w:vertAlign w:val="baseline"/>
        </w:rPr>
        <w:t>Nkemdilim</w:t>
      </w:r>
      <w:r>
        <w:rPr>
          <w:rFonts w:ascii="Times New Roman"/>
          <w:i/>
          <w:spacing w:val="-10"/>
          <w:sz w:val="19"/>
          <w:vertAlign w:val="baseline"/>
        </w:rPr>
        <w:t> </w:t>
      </w:r>
      <w:r>
        <w:rPr>
          <w:rFonts w:ascii="Times New Roman"/>
          <w:sz w:val="19"/>
          <w:vertAlign w:val="baseline"/>
        </w:rPr>
        <w:t>(1962)</w:t>
      </w:r>
      <w:r>
        <w:rPr>
          <w:rFonts w:ascii="Times New Roman"/>
          <w:spacing w:val="-9"/>
          <w:sz w:val="19"/>
          <w:vertAlign w:val="baseline"/>
        </w:rPr>
        <w:t> </w:t>
      </w:r>
      <w:r>
        <w:rPr>
          <w:rFonts w:ascii="Times New Roman"/>
          <w:sz w:val="19"/>
          <w:vertAlign w:val="baseline"/>
        </w:rPr>
        <w:t>SCNLR</w:t>
      </w:r>
      <w:r>
        <w:rPr>
          <w:rFonts w:ascii="Times New Roman"/>
          <w:spacing w:val="-9"/>
          <w:sz w:val="19"/>
          <w:vertAlign w:val="baseline"/>
        </w:rPr>
        <w:t> </w:t>
      </w:r>
      <w:r>
        <w:rPr>
          <w:rFonts w:ascii="Times New Roman"/>
          <w:sz w:val="19"/>
          <w:vertAlign w:val="baseline"/>
        </w:rPr>
        <w:t>341</w:t>
      </w:r>
      <w:r>
        <w:rPr>
          <w:rFonts w:ascii="Times New Roman"/>
          <w:spacing w:val="-11"/>
          <w:sz w:val="19"/>
          <w:vertAlign w:val="baseline"/>
        </w:rPr>
        <w:t> </w:t>
      </w:r>
      <w:r>
        <w:rPr>
          <w:rFonts w:ascii="Times New Roman"/>
          <w:i/>
          <w:sz w:val="19"/>
          <w:vertAlign w:val="baseline"/>
        </w:rPr>
        <w:t>Amadi</w:t>
      </w:r>
      <w:r>
        <w:rPr>
          <w:rFonts w:ascii="Times New Roman"/>
          <w:i/>
          <w:spacing w:val="-8"/>
          <w:sz w:val="19"/>
          <w:vertAlign w:val="baseline"/>
        </w:rPr>
        <w:t> </w:t>
      </w:r>
      <w:r>
        <w:rPr>
          <w:rFonts w:ascii="Times New Roman"/>
          <w:i/>
          <w:sz w:val="19"/>
          <w:vertAlign w:val="baseline"/>
        </w:rPr>
        <w:t>v</w:t>
      </w:r>
      <w:r>
        <w:rPr>
          <w:rFonts w:ascii="Times New Roman"/>
          <w:i/>
          <w:spacing w:val="-10"/>
          <w:sz w:val="19"/>
          <w:vertAlign w:val="baseline"/>
        </w:rPr>
        <w:t> </w:t>
      </w:r>
      <w:r>
        <w:rPr>
          <w:rFonts w:ascii="Times New Roman"/>
          <w:i/>
          <w:sz w:val="19"/>
          <w:vertAlign w:val="baseline"/>
        </w:rPr>
        <w:t>NNPC</w:t>
      </w:r>
      <w:r>
        <w:rPr>
          <w:rFonts w:ascii="Times New Roman"/>
          <w:i/>
          <w:spacing w:val="-5"/>
          <w:sz w:val="19"/>
          <w:vertAlign w:val="baseline"/>
        </w:rPr>
        <w:t> </w:t>
      </w:r>
      <w:r>
        <w:rPr>
          <w:rFonts w:ascii="Times New Roman"/>
          <w:sz w:val="19"/>
          <w:vertAlign w:val="baseline"/>
        </w:rPr>
        <w:t>(2000)</w:t>
      </w:r>
      <w:r>
        <w:rPr>
          <w:rFonts w:ascii="Times New Roman"/>
          <w:spacing w:val="-12"/>
          <w:sz w:val="19"/>
          <w:vertAlign w:val="baseline"/>
        </w:rPr>
        <w:t> </w:t>
      </w:r>
      <w:r>
        <w:rPr>
          <w:rFonts w:ascii="Times New Roman"/>
          <w:sz w:val="19"/>
          <w:vertAlign w:val="baseline"/>
        </w:rPr>
        <w:t>10</w:t>
      </w:r>
      <w:r>
        <w:rPr>
          <w:rFonts w:ascii="Times New Roman"/>
          <w:spacing w:val="-11"/>
          <w:sz w:val="19"/>
          <w:vertAlign w:val="baseline"/>
        </w:rPr>
        <w:t> </w:t>
      </w:r>
      <w:r>
        <w:rPr>
          <w:rFonts w:ascii="Times New Roman"/>
          <w:sz w:val="19"/>
          <w:vertAlign w:val="baseline"/>
        </w:rPr>
        <w:t>NWLR</w:t>
      </w:r>
      <w:r>
        <w:rPr>
          <w:rFonts w:ascii="Times New Roman"/>
          <w:spacing w:val="-12"/>
          <w:sz w:val="19"/>
          <w:vertAlign w:val="baseline"/>
        </w:rPr>
        <w:t> </w:t>
      </w:r>
      <w:r>
        <w:rPr>
          <w:rFonts w:ascii="Times New Roman"/>
          <w:sz w:val="19"/>
          <w:vertAlign w:val="baseline"/>
        </w:rPr>
        <w:t>(pt</w:t>
      </w:r>
      <w:r>
        <w:rPr>
          <w:rFonts w:ascii="Times New Roman"/>
          <w:spacing w:val="-4"/>
          <w:sz w:val="19"/>
          <w:vertAlign w:val="baseline"/>
        </w:rPr>
        <w:t> </w:t>
      </w:r>
      <w:r>
        <w:rPr>
          <w:rFonts w:ascii="Times New Roman"/>
          <w:sz w:val="19"/>
          <w:vertAlign w:val="baseline"/>
        </w:rPr>
        <w:t>674)</w:t>
      </w:r>
      <w:r>
        <w:rPr>
          <w:rFonts w:ascii="Times New Roman"/>
          <w:spacing w:val="-9"/>
          <w:sz w:val="19"/>
          <w:vertAlign w:val="baseline"/>
        </w:rPr>
        <w:t> </w:t>
      </w:r>
      <w:r>
        <w:rPr>
          <w:rFonts w:ascii="Times New Roman"/>
          <w:sz w:val="19"/>
          <w:vertAlign w:val="baseline"/>
        </w:rPr>
        <w:t>76</w:t>
      </w:r>
      <w:r>
        <w:rPr>
          <w:rFonts w:ascii="Times New Roman"/>
          <w:spacing w:val="-3"/>
          <w:sz w:val="19"/>
          <w:vertAlign w:val="baseline"/>
        </w:rPr>
        <w:t> </w:t>
      </w:r>
      <w:r>
        <w:rPr>
          <w:rFonts w:ascii="Times New Roman"/>
          <w:i/>
          <w:sz w:val="19"/>
          <w:vertAlign w:val="baseline"/>
        </w:rPr>
        <w:t>Umokoro</w:t>
      </w:r>
      <w:r>
        <w:rPr>
          <w:rFonts w:ascii="Times New Roman"/>
          <w:i/>
          <w:spacing w:val="-7"/>
          <w:sz w:val="19"/>
          <w:vertAlign w:val="baseline"/>
        </w:rPr>
        <w:t> </w:t>
      </w:r>
      <w:r>
        <w:rPr>
          <w:rFonts w:ascii="Times New Roman"/>
          <w:i/>
          <w:sz w:val="19"/>
          <w:vertAlign w:val="baseline"/>
        </w:rPr>
        <w:t>&amp;</w:t>
      </w:r>
      <w:r>
        <w:rPr>
          <w:rFonts w:ascii="Times New Roman"/>
          <w:i/>
          <w:spacing w:val="-11"/>
          <w:sz w:val="19"/>
          <w:vertAlign w:val="baseline"/>
        </w:rPr>
        <w:t> </w:t>
      </w:r>
      <w:r>
        <w:rPr>
          <w:rFonts w:ascii="Times New Roman"/>
          <w:i/>
          <w:spacing w:val="-10"/>
          <w:sz w:val="19"/>
          <w:vertAlign w:val="baseline"/>
        </w:rPr>
        <w:t>8</w:t>
      </w:r>
    </w:p>
    <w:p>
      <w:pPr>
        <w:spacing w:line="216" w:lineRule="exact" w:before="0"/>
        <w:ind w:left="187" w:right="0" w:firstLine="0"/>
        <w:jc w:val="left"/>
        <w:rPr>
          <w:rFonts w:ascii="Times New Roman"/>
          <w:sz w:val="19"/>
        </w:rPr>
      </w:pPr>
      <w:r>
        <w:rPr>
          <w:rFonts w:ascii="Times New Roman"/>
          <w:i/>
          <w:sz w:val="19"/>
        </w:rPr>
        <w:t>Others</w:t>
      </w:r>
      <w:r>
        <w:rPr>
          <w:rFonts w:ascii="Times New Roman"/>
          <w:i/>
          <w:spacing w:val="-12"/>
          <w:sz w:val="19"/>
        </w:rPr>
        <w:t> </w:t>
      </w:r>
      <w:r>
        <w:rPr>
          <w:rFonts w:ascii="Times New Roman"/>
          <w:i/>
          <w:sz w:val="19"/>
        </w:rPr>
        <w:t>v</w:t>
      </w:r>
      <w:r>
        <w:rPr>
          <w:rFonts w:ascii="Times New Roman"/>
          <w:i/>
          <w:spacing w:val="-6"/>
          <w:sz w:val="19"/>
        </w:rPr>
        <w:t> </w:t>
      </w:r>
      <w:r>
        <w:rPr>
          <w:rFonts w:ascii="Times New Roman"/>
          <w:i/>
          <w:sz w:val="19"/>
        </w:rPr>
        <w:t>Nigeria</w:t>
      </w:r>
      <w:r>
        <w:rPr>
          <w:rFonts w:ascii="Times New Roman"/>
          <w:i/>
          <w:spacing w:val="-7"/>
          <w:sz w:val="19"/>
        </w:rPr>
        <w:t> </w:t>
      </w:r>
      <w:r>
        <w:rPr>
          <w:rFonts w:ascii="Times New Roman"/>
          <w:i/>
          <w:sz w:val="19"/>
        </w:rPr>
        <w:t>Ports</w:t>
      </w:r>
      <w:r>
        <w:rPr>
          <w:rFonts w:ascii="Times New Roman"/>
          <w:i/>
          <w:spacing w:val="-6"/>
          <w:sz w:val="19"/>
        </w:rPr>
        <w:t> </w:t>
      </w:r>
      <w:r>
        <w:rPr>
          <w:rFonts w:ascii="Times New Roman"/>
          <w:i/>
          <w:sz w:val="19"/>
        </w:rPr>
        <w:t>Authority</w:t>
      </w:r>
      <w:r>
        <w:rPr>
          <w:rFonts w:ascii="Times New Roman"/>
          <w:i/>
          <w:spacing w:val="-6"/>
          <w:sz w:val="19"/>
        </w:rPr>
        <w:t> </w:t>
      </w:r>
      <w:r>
        <w:rPr>
          <w:rFonts w:ascii="Times New Roman"/>
          <w:i/>
          <w:sz w:val="19"/>
        </w:rPr>
        <w:t>&amp;</w:t>
      </w:r>
      <w:r>
        <w:rPr>
          <w:rFonts w:ascii="Times New Roman"/>
          <w:i/>
          <w:spacing w:val="-11"/>
          <w:sz w:val="19"/>
        </w:rPr>
        <w:t> </w:t>
      </w:r>
      <w:r>
        <w:rPr>
          <w:rFonts w:ascii="Times New Roman"/>
          <w:i/>
          <w:sz w:val="19"/>
        </w:rPr>
        <w:t>Anor</w:t>
      </w:r>
      <w:r>
        <w:rPr>
          <w:rFonts w:ascii="Times New Roman"/>
          <w:i/>
          <w:spacing w:val="-12"/>
          <w:sz w:val="19"/>
        </w:rPr>
        <w:t> </w:t>
      </w:r>
      <w:r>
        <w:rPr>
          <w:rFonts w:ascii="Times New Roman"/>
          <w:sz w:val="19"/>
        </w:rPr>
        <w:t>(1997)</w:t>
      </w:r>
      <w:r>
        <w:rPr>
          <w:rFonts w:ascii="Times New Roman"/>
          <w:spacing w:val="-10"/>
          <w:sz w:val="19"/>
        </w:rPr>
        <w:t> </w:t>
      </w:r>
      <w:r>
        <w:rPr>
          <w:rFonts w:ascii="Times New Roman"/>
          <w:sz w:val="19"/>
        </w:rPr>
        <w:t>4</w:t>
      </w:r>
      <w:r>
        <w:rPr>
          <w:rFonts w:ascii="Times New Roman"/>
          <w:spacing w:val="-10"/>
          <w:sz w:val="19"/>
        </w:rPr>
        <w:t> </w:t>
      </w:r>
      <w:r>
        <w:rPr>
          <w:rFonts w:ascii="Times New Roman"/>
          <w:sz w:val="19"/>
        </w:rPr>
        <w:t>NWLR</w:t>
      </w:r>
      <w:r>
        <w:rPr>
          <w:rFonts w:ascii="Times New Roman"/>
          <w:spacing w:val="-10"/>
          <w:sz w:val="19"/>
        </w:rPr>
        <w:t> </w:t>
      </w:r>
      <w:r>
        <w:rPr>
          <w:rFonts w:ascii="Times New Roman"/>
          <w:sz w:val="19"/>
        </w:rPr>
        <w:t>(Pt</w:t>
      </w:r>
      <w:r>
        <w:rPr>
          <w:rFonts w:ascii="Times New Roman"/>
          <w:spacing w:val="-4"/>
          <w:sz w:val="19"/>
        </w:rPr>
        <w:t> </w:t>
      </w:r>
      <w:r>
        <w:rPr>
          <w:rFonts w:ascii="Times New Roman"/>
          <w:sz w:val="19"/>
        </w:rPr>
        <w:t>502)</w:t>
      </w:r>
      <w:r>
        <w:rPr>
          <w:rFonts w:ascii="Times New Roman"/>
          <w:spacing w:val="-9"/>
          <w:sz w:val="19"/>
        </w:rPr>
        <w:t> </w:t>
      </w:r>
      <w:r>
        <w:rPr>
          <w:rFonts w:ascii="Times New Roman"/>
          <w:spacing w:val="-5"/>
          <w:sz w:val="19"/>
        </w:rPr>
        <w:t>656</w:t>
      </w:r>
    </w:p>
    <w:p>
      <w:pPr>
        <w:spacing w:line="237" w:lineRule="auto" w:before="0"/>
        <w:ind w:left="187" w:right="123" w:firstLine="0"/>
        <w:jc w:val="left"/>
        <w:rPr>
          <w:rFonts w:ascii="Times New Roman" w:hAnsi="Times New Roman"/>
          <w:sz w:val="19"/>
        </w:rPr>
      </w:pPr>
      <w:r>
        <w:rPr>
          <w:rFonts w:ascii="Times New Roman" w:hAnsi="Times New Roman"/>
          <w:sz w:val="19"/>
          <w:vertAlign w:val="superscript"/>
        </w:rPr>
        <w:t>312</w:t>
      </w:r>
      <w:r>
        <w:rPr>
          <w:rFonts w:ascii="Times New Roman" w:hAnsi="Times New Roman"/>
          <w:spacing w:val="-1"/>
          <w:sz w:val="19"/>
          <w:vertAlign w:val="baseline"/>
        </w:rPr>
        <w:t> </w:t>
      </w:r>
      <w:r>
        <w:rPr>
          <w:rFonts w:ascii="Times New Roman" w:hAnsi="Times New Roman"/>
          <w:i/>
          <w:sz w:val="19"/>
          <w:vertAlign w:val="baseline"/>
        </w:rPr>
        <w:t>Shitta</w:t>
      </w:r>
      <w:r>
        <w:rPr>
          <w:rFonts w:ascii="Times New Roman" w:hAnsi="Times New Roman"/>
          <w:i/>
          <w:spacing w:val="-8"/>
          <w:sz w:val="19"/>
          <w:vertAlign w:val="baseline"/>
        </w:rPr>
        <w:t> </w:t>
      </w:r>
      <w:r>
        <w:rPr>
          <w:rFonts w:ascii="Times New Roman" w:hAnsi="Times New Roman"/>
          <w:i/>
          <w:sz w:val="19"/>
          <w:vertAlign w:val="baseline"/>
        </w:rPr>
        <w:t>–</w:t>
      </w:r>
      <w:r>
        <w:rPr>
          <w:rFonts w:ascii="Times New Roman" w:hAnsi="Times New Roman"/>
          <w:i/>
          <w:spacing w:val="-5"/>
          <w:sz w:val="19"/>
          <w:vertAlign w:val="baseline"/>
        </w:rPr>
        <w:t> </w:t>
      </w:r>
      <w:r>
        <w:rPr>
          <w:rFonts w:ascii="Times New Roman" w:hAnsi="Times New Roman"/>
          <w:i/>
          <w:sz w:val="19"/>
          <w:vertAlign w:val="baseline"/>
        </w:rPr>
        <w:t>Bey</w:t>
      </w:r>
      <w:r>
        <w:rPr>
          <w:rFonts w:ascii="Times New Roman" w:hAnsi="Times New Roman"/>
          <w:i/>
          <w:spacing w:val="-7"/>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5"/>
          <w:sz w:val="19"/>
          <w:vertAlign w:val="baseline"/>
        </w:rPr>
        <w:t> </w:t>
      </w:r>
      <w:r>
        <w:rPr>
          <w:rFonts w:ascii="Times New Roman" w:hAnsi="Times New Roman"/>
          <w:i/>
          <w:sz w:val="19"/>
          <w:vertAlign w:val="baseline"/>
        </w:rPr>
        <w:t>Federation</w:t>
      </w:r>
      <w:r>
        <w:rPr>
          <w:rFonts w:ascii="Times New Roman" w:hAnsi="Times New Roman"/>
          <w:i/>
          <w:spacing w:val="-4"/>
          <w:sz w:val="19"/>
          <w:vertAlign w:val="baseline"/>
        </w:rPr>
        <w:t> </w:t>
      </w:r>
      <w:r>
        <w:rPr>
          <w:rFonts w:ascii="Times New Roman" w:hAnsi="Times New Roman"/>
          <w:i/>
          <w:sz w:val="19"/>
          <w:vertAlign w:val="baseline"/>
        </w:rPr>
        <w:t>&amp;</w:t>
      </w:r>
      <w:r>
        <w:rPr>
          <w:rFonts w:ascii="Times New Roman" w:hAnsi="Times New Roman"/>
          <w:i/>
          <w:spacing w:val="-12"/>
          <w:sz w:val="19"/>
          <w:vertAlign w:val="baseline"/>
        </w:rPr>
        <w:t> </w:t>
      </w:r>
      <w:r>
        <w:rPr>
          <w:rFonts w:ascii="Times New Roman" w:hAnsi="Times New Roman"/>
          <w:i/>
          <w:sz w:val="19"/>
          <w:vertAlign w:val="baseline"/>
        </w:rPr>
        <w:t>Anor</w:t>
      </w:r>
      <w:r>
        <w:rPr>
          <w:rFonts w:ascii="Times New Roman" w:hAnsi="Times New Roman"/>
          <w:i/>
          <w:spacing w:val="-7"/>
          <w:sz w:val="19"/>
          <w:vertAlign w:val="baseline"/>
        </w:rPr>
        <w:t> </w:t>
      </w:r>
      <w:r>
        <w:rPr>
          <w:rFonts w:ascii="Times New Roman" w:hAnsi="Times New Roman"/>
          <w:sz w:val="19"/>
          <w:vertAlign w:val="baseline"/>
        </w:rPr>
        <w:t>(1998)7</w:t>
      </w:r>
      <w:r>
        <w:rPr>
          <w:rFonts w:ascii="Times New Roman" w:hAnsi="Times New Roman"/>
          <w:spacing w:val="-5"/>
          <w:sz w:val="19"/>
          <w:vertAlign w:val="baseline"/>
        </w:rPr>
        <w:t> </w:t>
      </w:r>
      <w:r>
        <w:rPr>
          <w:rFonts w:ascii="Times New Roman" w:hAnsi="Times New Roman"/>
          <w:sz w:val="19"/>
          <w:vertAlign w:val="baseline"/>
        </w:rPr>
        <w:t>SCNJ</w:t>
      </w:r>
      <w:r>
        <w:rPr>
          <w:rFonts w:ascii="Times New Roman" w:hAnsi="Times New Roman"/>
          <w:spacing w:val="-6"/>
          <w:sz w:val="19"/>
          <w:vertAlign w:val="baseline"/>
        </w:rPr>
        <w:t> </w:t>
      </w:r>
      <w:r>
        <w:rPr>
          <w:rFonts w:ascii="Times New Roman" w:hAnsi="Times New Roman"/>
          <w:sz w:val="19"/>
          <w:vertAlign w:val="baseline"/>
        </w:rPr>
        <w:t>264</w:t>
      </w:r>
      <w:r>
        <w:rPr>
          <w:rFonts w:ascii="Times New Roman" w:hAnsi="Times New Roman"/>
          <w:spacing w:val="-8"/>
          <w:sz w:val="19"/>
          <w:vertAlign w:val="baseline"/>
        </w:rPr>
        <w:t> </w:t>
      </w:r>
      <w:r>
        <w:rPr>
          <w:rFonts w:ascii="Times New Roman" w:hAnsi="Times New Roman"/>
          <w:sz w:val="19"/>
          <w:vertAlign w:val="baseline"/>
        </w:rPr>
        <w:t>at</w:t>
      </w:r>
      <w:r>
        <w:rPr>
          <w:rFonts w:ascii="Times New Roman" w:hAnsi="Times New Roman"/>
          <w:spacing w:val="-1"/>
          <w:sz w:val="19"/>
          <w:vertAlign w:val="baseline"/>
        </w:rPr>
        <w:t> </w:t>
      </w:r>
      <w:r>
        <w:rPr>
          <w:rFonts w:ascii="Times New Roman" w:hAnsi="Times New Roman"/>
          <w:sz w:val="19"/>
          <w:vertAlign w:val="baseline"/>
        </w:rPr>
        <w:t>266,</w:t>
      </w:r>
      <w:r>
        <w:rPr>
          <w:rFonts w:ascii="Times New Roman" w:hAnsi="Times New Roman"/>
          <w:spacing w:val="-5"/>
          <w:sz w:val="19"/>
          <w:vertAlign w:val="baseline"/>
        </w:rPr>
        <w:t> </w:t>
      </w:r>
      <w:r>
        <w:rPr>
          <w:rFonts w:ascii="Times New Roman" w:hAnsi="Times New Roman"/>
          <w:i/>
          <w:sz w:val="19"/>
          <w:vertAlign w:val="baseline"/>
        </w:rPr>
        <w:t>Adeyemi</w:t>
      </w:r>
      <w:r>
        <w:rPr>
          <w:rFonts w:ascii="Times New Roman" w:hAnsi="Times New Roman"/>
          <w:i/>
          <w:spacing w:val="-6"/>
          <w:sz w:val="19"/>
          <w:vertAlign w:val="baseline"/>
        </w:rPr>
        <w:t> </w:t>
      </w:r>
      <w:r>
        <w:rPr>
          <w:rFonts w:ascii="Times New Roman" w:hAnsi="Times New Roman"/>
          <w:i/>
          <w:sz w:val="19"/>
          <w:vertAlign w:val="baseline"/>
        </w:rPr>
        <w:t>Saliu</w:t>
      </w:r>
      <w:r>
        <w:rPr>
          <w:rFonts w:ascii="Times New Roman" w:hAnsi="Times New Roman"/>
          <w:i/>
          <w:spacing w:val="-8"/>
          <w:sz w:val="19"/>
          <w:vertAlign w:val="baseline"/>
        </w:rPr>
        <w:t> </w:t>
      </w:r>
      <w:r>
        <w:rPr>
          <w:rFonts w:ascii="Times New Roman" w:hAnsi="Times New Roman"/>
          <w:i/>
          <w:sz w:val="19"/>
          <w:vertAlign w:val="baseline"/>
        </w:rPr>
        <w:t>Olaotan</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7"/>
          <w:sz w:val="19"/>
          <w:vertAlign w:val="baseline"/>
        </w:rPr>
        <w:t> </w:t>
      </w:r>
      <w:r>
        <w:rPr>
          <w:rFonts w:ascii="Times New Roman" w:hAnsi="Times New Roman"/>
          <w:i/>
          <w:sz w:val="19"/>
          <w:vertAlign w:val="baseline"/>
        </w:rPr>
        <w:t>Lagos</w:t>
      </w:r>
      <w:r>
        <w:rPr>
          <w:rFonts w:ascii="Times New Roman" w:hAnsi="Times New Roman"/>
          <w:i/>
          <w:spacing w:val="-6"/>
          <w:sz w:val="19"/>
          <w:vertAlign w:val="baseline"/>
        </w:rPr>
        <w:t> </w:t>
      </w:r>
      <w:r>
        <w:rPr>
          <w:rFonts w:ascii="Times New Roman" w:hAnsi="Times New Roman"/>
          <w:i/>
          <w:sz w:val="19"/>
          <w:vertAlign w:val="baseline"/>
        </w:rPr>
        <w:t>State Government &amp; Ors </w:t>
      </w:r>
      <w:r>
        <w:rPr>
          <w:rFonts w:ascii="Times New Roman" w:hAnsi="Times New Roman"/>
          <w:sz w:val="19"/>
          <w:vertAlign w:val="baseline"/>
        </w:rPr>
        <w:t>(Unreported) Suit No. NIC/LA/41/2010</w:t>
      </w:r>
    </w:p>
    <w:p>
      <w:pPr>
        <w:spacing w:line="215" w:lineRule="exact" w:before="0"/>
        <w:ind w:left="187" w:right="0" w:firstLine="0"/>
        <w:jc w:val="left"/>
        <w:rPr>
          <w:rFonts w:ascii="Times New Roman" w:hAnsi="Times New Roman"/>
          <w:sz w:val="19"/>
        </w:rPr>
      </w:pPr>
      <w:r>
        <w:rPr>
          <w:rFonts w:ascii="Times New Roman" w:hAnsi="Times New Roman"/>
          <w:sz w:val="19"/>
          <w:vertAlign w:val="superscript"/>
        </w:rPr>
        <w:t>313</w:t>
      </w:r>
      <w:r>
        <w:rPr>
          <w:rFonts w:ascii="Times New Roman" w:hAnsi="Times New Roman"/>
          <w:spacing w:val="-11"/>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4(1)</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No.</w:t>
      </w:r>
      <w:r>
        <w:rPr>
          <w:rFonts w:ascii="Times New Roman" w:hAnsi="Times New Roman"/>
          <w:spacing w:val="-7"/>
          <w:sz w:val="19"/>
          <w:vertAlign w:val="baseline"/>
        </w:rPr>
        <w:t> </w:t>
      </w:r>
      <w:r>
        <w:rPr>
          <w:rFonts w:ascii="Times New Roman" w:hAnsi="Times New Roman"/>
          <w:sz w:val="19"/>
          <w:vertAlign w:val="baseline"/>
        </w:rPr>
        <w:t>13,</w:t>
      </w:r>
      <w:r>
        <w:rPr>
          <w:rFonts w:ascii="Times New Roman" w:hAnsi="Times New Roman"/>
          <w:spacing w:val="-12"/>
          <w:sz w:val="19"/>
          <w:vertAlign w:val="baseline"/>
        </w:rPr>
        <w:t> </w:t>
      </w:r>
      <w:r>
        <w:rPr>
          <w:rFonts w:ascii="Times New Roman" w:hAnsi="Times New Roman"/>
          <w:spacing w:val="-4"/>
          <w:sz w:val="19"/>
          <w:vertAlign w:val="baseline"/>
        </w:rPr>
        <w:t>2010</w:t>
      </w:r>
    </w:p>
    <w:p>
      <w:pPr>
        <w:spacing w:line="216" w:lineRule="exact" w:before="0"/>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6" w:lineRule="exact" w:before="0"/>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3"/>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0"/>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7" w:lineRule="exact" w:before="2"/>
        <w:ind w:left="187" w:right="0" w:firstLine="0"/>
        <w:jc w:val="left"/>
        <w:rPr>
          <w:rFonts w:ascii="Times New Roman"/>
          <w:i/>
          <w:sz w:val="19"/>
        </w:rPr>
      </w:pPr>
      <w:r>
        <w:rPr>
          <w:rFonts w:ascii="Times New Roman"/>
          <w:sz w:val="19"/>
          <w:vertAlign w:val="superscript"/>
        </w:rPr>
        <w:t>310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16</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311</w:t>
      </w:r>
      <w:r>
        <w:rPr>
          <w:rFonts w:ascii="Times New Roman"/>
          <w:spacing w:val="-8"/>
          <w:sz w:val="19"/>
          <w:vertAlign w:val="baseline"/>
        </w:rPr>
        <w:t> </w:t>
      </w:r>
      <w:r>
        <w:rPr>
          <w:rFonts w:ascii="Times New Roman"/>
          <w:sz w:val="19"/>
          <w:vertAlign w:val="baseline"/>
        </w:rPr>
        <w:t>See</w:t>
      </w:r>
      <w:r>
        <w:rPr>
          <w:rFonts w:ascii="Times New Roman"/>
          <w:spacing w:val="-7"/>
          <w:sz w:val="19"/>
          <w:vertAlign w:val="baseline"/>
        </w:rPr>
        <w:t> </w:t>
      </w:r>
      <w:r>
        <w:rPr>
          <w:rFonts w:ascii="Times New Roman"/>
          <w:i/>
          <w:sz w:val="19"/>
          <w:vertAlign w:val="baseline"/>
        </w:rPr>
        <w:t>Madukolu</w:t>
      </w:r>
      <w:r>
        <w:rPr>
          <w:rFonts w:ascii="Times New Roman"/>
          <w:i/>
          <w:spacing w:val="-10"/>
          <w:sz w:val="19"/>
          <w:vertAlign w:val="baseline"/>
        </w:rPr>
        <w:t> </w:t>
      </w:r>
      <w:r>
        <w:rPr>
          <w:rFonts w:ascii="Times New Roman"/>
          <w:i/>
          <w:sz w:val="19"/>
          <w:vertAlign w:val="baseline"/>
        </w:rPr>
        <w:t>v.</w:t>
      </w:r>
      <w:r>
        <w:rPr>
          <w:rFonts w:ascii="Times New Roman"/>
          <w:i/>
          <w:spacing w:val="-8"/>
          <w:sz w:val="19"/>
          <w:vertAlign w:val="baseline"/>
        </w:rPr>
        <w:t> </w:t>
      </w:r>
      <w:r>
        <w:rPr>
          <w:rFonts w:ascii="Times New Roman"/>
          <w:i/>
          <w:sz w:val="19"/>
          <w:vertAlign w:val="baseline"/>
        </w:rPr>
        <w:t>Nkemdilim</w:t>
      </w:r>
      <w:r>
        <w:rPr>
          <w:rFonts w:ascii="Times New Roman"/>
          <w:i/>
          <w:spacing w:val="-10"/>
          <w:sz w:val="19"/>
          <w:vertAlign w:val="baseline"/>
        </w:rPr>
        <w:t> </w:t>
      </w:r>
      <w:r>
        <w:rPr>
          <w:rFonts w:ascii="Times New Roman"/>
          <w:sz w:val="19"/>
          <w:vertAlign w:val="baseline"/>
        </w:rPr>
        <w:t>(1962)</w:t>
      </w:r>
      <w:r>
        <w:rPr>
          <w:rFonts w:ascii="Times New Roman"/>
          <w:spacing w:val="-9"/>
          <w:sz w:val="19"/>
          <w:vertAlign w:val="baseline"/>
        </w:rPr>
        <w:t> </w:t>
      </w:r>
      <w:r>
        <w:rPr>
          <w:rFonts w:ascii="Times New Roman"/>
          <w:sz w:val="19"/>
          <w:vertAlign w:val="baseline"/>
        </w:rPr>
        <w:t>SCNLR</w:t>
      </w:r>
      <w:r>
        <w:rPr>
          <w:rFonts w:ascii="Times New Roman"/>
          <w:spacing w:val="-9"/>
          <w:sz w:val="19"/>
          <w:vertAlign w:val="baseline"/>
        </w:rPr>
        <w:t> </w:t>
      </w:r>
      <w:r>
        <w:rPr>
          <w:rFonts w:ascii="Times New Roman"/>
          <w:sz w:val="19"/>
          <w:vertAlign w:val="baseline"/>
        </w:rPr>
        <w:t>341</w:t>
      </w:r>
      <w:r>
        <w:rPr>
          <w:rFonts w:ascii="Times New Roman"/>
          <w:spacing w:val="-11"/>
          <w:sz w:val="19"/>
          <w:vertAlign w:val="baseline"/>
        </w:rPr>
        <w:t> </w:t>
      </w:r>
      <w:r>
        <w:rPr>
          <w:rFonts w:ascii="Times New Roman"/>
          <w:i/>
          <w:sz w:val="19"/>
          <w:vertAlign w:val="baseline"/>
        </w:rPr>
        <w:t>Amadi</w:t>
      </w:r>
      <w:r>
        <w:rPr>
          <w:rFonts w:ascii="Times New Roman"/>
          <w:i/>
          <w:spacing w:val="-8"/>
          <w:sz w:val="19"/>
          <w:vertAlign w:val="baseline"/>
        </w:rPr>
        <w:t> </w:t>
      </w:r>
      <w:r>
        <w:rPr>
          <w:rFonts w:ascii="Times New Roman"/>
          <w:i/>
          <w:sz w:val="19"/>
          <w:vertAlign w:val="baseline"/>
        </w:rPr>
        <w:t>v</w:t>
      </w:r>
      <w:r>
        <w:rPr>
          <w:rFonts w:ascii="Times New Roman"/>
          <w:i/>
          <w:spacing w:val="-10"/>
          <w:sz w:val="19"/>
          <w:vertAlign w:val="baseline"/>
        </w:rPr>
        <w:t> </w:t>
      </w:r>
      <w:r>
        <w:rPr>
          <w:rFonts w:ascii="Times New Roman"/>
          <w:i/>
          <w:sz w:val="19"/>
          <w:vertAlign w:val="baseline"/>
        </w:rPr>
        <w:t>NNPC</w:t>
      </w:r>
      <w:r>
        <w:rPr>
          <w:rFonts w:ascii="Times New Roman"/>
          <w:i/>
          <w:spacing w:val="-5"/>
          <w:sz w:val="19"/>
          <w:vertAlign w:val="baseline"/>
        </w:rPr>
        <w:t> </w:t>
      </w:r>
      <w:r>
        <w:rPr>
          <w:rFonts w:ascii="Times New Roman"/>
          <w:sz w:val="19"/>
          <w:vertAlign w:val="baseline"/>
        </w:rPr>
        <w:t>(2000)</w:t>
      </w:r>
      <w:r>
        <w:rPr>
          <w:rFonts w:ascii="Times New Roman"/>
          <w:spacing w:val="-12"/>
          <w:sz w:val="19"/>
          <w:vertAlign w:val="baseline"/>
        </w:rPr>
        <w:t> </w:t>
      </w:r>
      <w:r>
        <w:rPr>
          <w:rFonts w:ascii="Times New Roman"/>
          <w:sz w:val="19"/>
          <w:vertAlign w:val="baseline"/>
        </w:rPr>
        <w:t>10</w:t>
      </w:r>
      <w:r>
        <w:rPr>
          <w:rFonts w:ascii="Times New Roman"/>
          <w:spacing w:val="-11"/>
          <w:sz w:val="19"/>
          <w:vertAlign w:val="baseline"/>
        </w:rPr>
        <w:t> </w:t>
      </w:r>
      <w:r>
        <w:rPr>
          <w:rFonts w:ascii="Times New Roman"/>
          <w:sz w:val="19"/>
          <w:vertAlign w:val="baseline"/>
        </w:rPr>
        <w:t>NWLR</w:t>
      </w:r>
      <w:r>
        <w:rPr>
          <w:rFonts w:ascii="Times New Roman"/>
          <w:spacing w:val="-12"/>
          <w:sz w:val="19"/>
          <w:vertAlign w:val="baseline"/>
        </w:rPr>
        <w:t> </w:t>
      </w:r>
      <w:r>
        <w:rPr>
          <w:rFonts w:ascii="Times New Roman"/>
          <w:sz w:val="19"/>
          <w:vertAlign w:val="baseline"/>
        </w:rPr>
        <w:t>(pt</w:t>
      </w:r>
      <w:r>
        <w:rPr>
          <w:rFonts w:ascii="Times New Roman"/>
          <w:spacing w:val="-4"/>
          <w:sz w:val="19"/>
          <w:vertAlign w:val="baseline"/>
        </w:rPr>
        <w:t> </w:t>
      </w:r>
      <w:r>
        <w:rPr>
          <w:rFonts w:ascii="Times New Roman"/>
          <w:sz w:val="19"/>
          <w:vertAlign w:val="baseline"/>
        </w:rPr>
        <w:t>674)</w:t>
      </w:r>
      <w:r>
        <w:rPr>
          <w:rFonts w:ascii="Times New Roman"/>
          <w:spacing w:val="-9"/>
          <w:sz w:val="19"/>
          <w:vertAlign w:val="baseline"/>
        </w:rPr>
        <w:t> </w:t>
      </w:r>
      <w:r>
        <w:rPr>
          <w:rFonts w:ascii="Times New Roman"/>
          <w:sz w:val="19"/>
          <w:vertAlign w:val="baseline"/>
        </w:rPr>
        <w:t>76</w:t>
      </w:r>
      <w:r>
        <w:rPr>
          <w:rFonts w:ascii="Times New Roman"/>
          <w:spacing w:val="-3"/>
          <w:sz w:val="19"/>
          <w:vertAlign w:val="baseline"/>
        </w:rPr>
        <w:t> </w:t>
      </w:r>
      <w:r>
        <w:rPr>
          <w:rFonts w:ascii="Times New Roman"/>
          <w:i/>
          <w:sz w:val="19"/>
          <w:vertAlign w:val="baseline"/>
        </w:rPr>
        <w:t>Umokoro</w:t>
      </w:r>
      <w:r>
        <w:rPr>
          <w:rFonts w:ascii="Times New Roman"/>
          <w:i/>
          <w:spacing w:val="-7"/>
          <w:sz w:val="19"/>
          <w:vertAlign w:val="baseline"/>
        </w:rPr>
        <w:t> </w:t>
      </w:r>
      <w:r>
        <w:rPr>
          <w:rFonts w:ascii="Times New Roman"/>
          <w:i/>
          <w:sz w:val="19"/>
          <w:vertAlign w:val="baseline"/>
        </w:rPr>
        <w:t>&amp;</w:t>
      </w:r>
      <w:r>
        <w:rPr>
          <w:rFonts w:ascii="Times New Roman"/>
          <w:i/>
          <w:spacing w:val="-11"/>
          <w:sz w:val="19"/>
          <w:vertAlign w:val="baseline"/>
        </w:rPr>
        <w:t> </w:t>
      </w:r>
      <w:r>
        <w:rPr>
          <w:rFonts w:ascii="Times New Roman"/>
          <w:i/>
          <w:spacing w:val="-10"/>
          <w:sz w:val="19"/>
          <w:vertAlign w:val="baseline"/>
        </w:rPr>
        <w:t>8</w:t>
      </w:r>
    </w:p>
    <w:p>
      <w:pPr>
        <w:spacing w:line="216" w:lineRule="exact" w:before="0"/>
        <w:ind w:left="187" w:right="0" w:firstLine="0"/>
        <w:jc w:val="left"/>
        <w:rPr>
          <w:rFonts w:ascii="Times New Roman"/>
          <w:sz w:val="19"/>
        </w:rPr>
      </w:pPr>
      <w:r>
        <w:rPr>
          <w:rFonts w:ascii="Times New Roman"/>
          <w:i/>
          <w:sz w:val="19"/>
        </w:rPr>
        <w:t>Others</w:t>
      </w:r>
      <w:r>
        <w:rPr>
          <w:rFonts w:ascii="Times New Roman"/>
          <w:i/>
          <w:spacing w:val="-12"/>
          <w:sz w:val="19"/>
        </w:rPr>
        <w:t> </w:t>
      </w:r>
      <w:r>
        <w:rPr>
          <w:rFonts w:ascii="Times New Roman"/>
          <w:i/>
          <w:sz w:val="19"/>
        </w:rPr>
        <w:t>v</w:t>
      </w:r>
      <w:r>
        <w:rPr>
          <w:rFonts w:ascii="Times New Roman"/>
          <w:i/>
          <w:spacing w:val="-6"/>
          <w:sz w:val="19"/>
        </w:rPr>
        <w:t> </w:t>
      </w:r>
      <w:r>
        <w:rPr>
          <w:rFonts w:ascii="Times New Roman"/>
          <w:i/>
          <w:sz w:val="19"/>
        </w:rPr>
        <w:t>Nigeria</w:t>
      </w:r>
      <w:r>
        <w:rPr>
          <w:rFonts w:ascii="Times New Roman"/>
          <w:i/>
          <w:spacing w:val="-7"/>
          <w:sz w:val="19"/>
        </w:rPr>
        <w:t> </w:t>
      </w:r>
      <w:r>
        <w:rPr>
          <w:rFonts w:ascii="Times New Roman"/>
          <w:i/>
          <w:sz w:val="19"/>
        </w:rPr>
        <w:t>Ports</w:t>
      </w:r>
      <w:r>
        <w:rPr>
          <w:rFonts w:ascii="Times New Roman"/>
          <w:i/>
          <w:spacing w:val="-6"/>
          <w:sz w:val="19"/>
        </w:rPr>
        <w:t> </w:t>
      </w:r>
      <w:r>
        <w:rPr>
          <w:rFonts w:ascii="Times New Roman"/>
          <w:i/>
          <w:sz w:val="19"/>
        </w:rPr>
        <w:t>Authority</w:t>
      </w:r>
      <w:r>
        <w:rPr>
          <w:rFonts w:ascii="Times New Roman"/>
          <w:i/>
          <w:spacing w:val="-6"/>
          <w:sz w:val="19"/>
        </w:rPr>
        <w:t> </w:t>
      </w:r>
      <w:r>
        <w:rPr>
          <w:rFonts w:ascii="Times New Roman"/>
          <w:i/>
          <w:sz w:val="19"/>
        </w:rPr>
        <w:t>&amp;</w:t>
      </w:r>
      <w:r>
        <w:rPr>
          <w:rFonts w:ascii="Times New Roman"/>
          <w:i/>
          <w:spacing w:val="-11"/>
          <w:sz w:val="19"/>
        </w:rPr>
        <w:t> </w:t>
      </w:r>
      <w:r>
        <w:rPr>
          <w:rFonts w:ascii="Times New Roman"/>
          <w:i/>
          <w:sz w:val="19"/>
        </w:rPr>
        <w:t>Anor</w:t>
      </w:r>
      <w:r>
        <w:rPr>
          <w:rFonts w:ascii="Times New Roman"/>
          <w:i/>
          <w:spacing w:val="-12"/>
          <w:sz w:val="19"/>
        </w:rPr>
        <w:t> </w:t>
      </w:r>
      <w:r>
        <w:rPr>
          <w:rFonts w:ascii="Times New Roman"/>
          <w:sz w:val="19"/>
        </w:rPr>
        <w:t>(1997)</w:t>
      </w:r>
      <w:r>
        <w:rPr>
          <w:rFonts w:ascii="Times New Roman"/>
          <w:spacing w:val="-10"/>
          <w:sz w:val="19"/>
        </w:rPr>
        <w:t> </w:t>
      </w:r>
      <w:r>
        <w:rPr>
          <w:rFonts w:ascii="Times New Roman"/>
          <w:sz w:val="19"/>
        </w:rPr>
        <w:t>4</w:t>
      </w:r>
      <w:r>
        <w:rPr>
          <w:rFonts w:ascii="Times New Roman"/>
          <w:spacing w:val="-10"/>
          <w:sz w:val="19"/>
        </w:rPr>
        <w:t> </w:t>
      </w:r>
      <w:r>
        <w:rPr>
          <w:rFonts w:ascii="Times New Roman"/>
          <w:sz w:val="19"/>
        </w:rPr>
        <w:t>NWLR</w:t>
      </w:r>
      <w:r>
        <w:rPr>
          <w:rFonts w:ascii="Times New Roman"/>
          <w:spacing w:val="-10"/>
          <w:sz w:val="19"/>
        </w:rPr>
        <w:t> </w:t>
      </w:r>
      <w:r>
        <w:rPr>
          <w:rFonts w:ascii="Times New Roman"/>
          <w:sz w:val="19"/>
        </w:rPr>
        <w:t>(Pt</w:t>
      </w:r>
      <w:r>
        <w:rPr>
          <w:rFonts w:ascii="Times New Roman"/>
          <w:spacing w:val="-4"/>
          <w:sz w:val="19"/>
        </w:rPr>
        <w:t> </w:t>
      </w:r>
      <w:r>
        <w:rPr>
          <w:rFonts w:ascii="Times New Roman"/>
          <w:sz w:val="19"/>
        </w:rPr>
        <w:t>502)</w:t>
      </w:r>
      <w:r>
        <w:rPr>
          <w:rFonts w:ascii="Times New Roman"/>
          <w:spacing w:val="-9"/>
          <w:sz w:val="19"/>
        </w:rPr>
        <w:t> </w:t>
      </w:r>
      <w:r>
        <w:rPr>
          <w:rFonts w:ascii="Times New Roman"/>
          <w:spacing w:val="-5"/>
          <w:sz w:val="19"/>
        </w:rPr>
        <w:t>656</w:t>
      </w:r>
    </w:p>
    <w:p>
      <w:pPr>
        <w:spacing w:line="237" w:lineRule="auto" w:before="1"/>
        <w:ind w:left="187" w:right="123" w:firstLine="0"/>
        <w:jc w:val="left"/>
        <w:rPr>
          <w:rFonts w:ascii="Times New Roman" w:hAnsi="Times New Roman"/>
          <w:sz w:val="19"/>
        </w:rPr>
      </w:pPr>
      <w:r>
        <w:rPr>
          <w:rFonts w:ascii="Times New Roman" w:hAnsi="Times New Roman"/>
          <w:sz w:val="19"/>
          <w:vertAlign w:val="superscript"/>
        </w:rPr>
        <w:t>312</w:t>
      </w:r>
      <w:r>
        <w:rPr>
          <w:rFonts w:ascii="Times New Roman" w:hAnsi="Times New Roman"/>
          <w:spacing w:val="-1"/>
          <w:sz w:val="19"/>
          <w:vertAlign w:val="baseline"/>
        </w:rPr>
        <w:t> </w:t>
      </w:r>
      <w:r>
        <w:rPr>
          <w:rFonts w:ascii="Times New Roman" w:hAnsi="Times New Roman"/>
          <w:i/>
          <w:sz w:val="19"/>
          <w:vertAlign w:val="baseline"/>
        </w:rPr>
        <w:t>Shitta</w:t>
      </w:r>
      <w:r>
        <w:rPr>
          <w:rFonts w:ascii="Times New Roman" w:hAnsi="Times New Roman"/>
          <w:i/>
          <w:spacing w:val="-8"/>
          <w:sz w:val="19"/>
          <w:vertAlign w:val="baseline"/>
        </w:rPr>
        <w:t> </w:t>
      </w:r>
      <w:r>
        <w:rPr>
          <w:rFonts w:ascii="Times New Roman" w:hAnsi="Times New Roman"/>
          <w:i/>
          <w:sz w:val="19"/>
          <w:vertAlign w:val="baseline"/>
        </w:rPr>
        <w:t>–</w:t>
      </w:r>
      <w:r>
        <w:rPr>
          <w:rFonts w:ascii="Times New Roman" w:hAnsi="Times New Roman"/>
          <w:i/>
          <w:spacing w:val="-5"/>
          <w:sz w:val="19"/>
          <w:vertAlign w:val="baseline"/>
        </w:rPr>
        <w:t> </w:t>
      </w:r>
      <w:r>
        <w:rPr>
          <w:rFonts w:ascii="Times New Roman" w:hAnsi="Times New Roman"/>
          <w:i/>
          <w:sz w:val="19"/>
          <w:vertAlign w:val="baseline"/>
        </w:rPr>
        <w:t>Bey</w:t>
      </w:r>
      <w:r>
        <w:rPr>
          <w:rFonts w:ascii="Times New Roman" w:hAnsi="Times New Roman"/>
          <w:i/>
          <w:spacing w:val="-7"/>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5"/>
          <w:sz w:val="19"/>
          <w:vertAlign w:val="baseline"/>
        </w:rPr>
        <w:t> </w:t>
      </w:r>
      <w:r>
        <w:rPr>
          <w:rFonts w:ascii="Times New Roman" w:hAnsi="Times New Roman"/>
          <w:i/>
          <w:sz w:val="19"/>
          <w:vertAlign w:val="baseline"/>
        </w:rPr>
        <w:t>Federation</w:t>
      </w:r>
      <w:r>
        <w:rPr>
          <w:rFonts w:ascii="Times New Roman" w:hAnsi="Times New Roman"/>
          <w:i/>
          <w:spacing w:val="-4"/>
          <w:sz w:val="19"/>
          <w:vertAlign w:val="baseline"/>
        </w:rPr>
        <w:t> </w:t>
      </w:r>
      <w:r>
        <w:rPr>
          <w:rFonts w:ascii="Times New Roman" w:hAnsi="Times New Roman"/>
          <w:i/>
          <w:sz w:val="19"/>
          <w:vertAlign w:val="baseline"/>
        </w:rPr>
        <w:t>&amp;</w:t>
      </w:r>
      <w:r>
        <w:rPr>
          <w:rFonts w:ascii="Times New Roman" w:hAnsi="Times New Roman"/>
          <w:i/>
          <w:spacing w:val="-12"/>
          <w:sz w:val="19"/>
          <w:vertAlign w:val="baseline"/>
        </w:rPr>
        <w:t> </w:t>
      </w:r>
      <w:r>
        <w:rPr>
          <w:rFonts w:ascii="Times New Roman" w:hAnsi="Times New Roman"/>
          <w:i/>
          <w:sz w:val="19"/>
          <w:vertAlign w:val="baseline"/>
        </w:rPr>
        <w:t>Anor</w:t>
      </w:r>
      <w:r>
        <w:rPr>
          <w:rFonts w:ascii="Times New Roman" w:hAnsi="Times New Roman"/>
          <w:i/>
          <w:spacing w:val="-7"/>
          <w:sz w:val="19"/>
          <w:vertAlign w:val="baseline"/>
        </w:rPr>
        <w:t> </w:t>
      </w:r>
      <w:r>
        <w:rPr>
          <w:rFonts w:ascii="Times New Roman" w:hAnsi="Times New Roman"/>
          <w:sz w:val="19"/>
          <w:vertAlign w:val="baseline"/>
        </w:rPr>
        <w:t>(1998)7</w:t>
      </w:r>
      <w:r>
        <w:rPr>
          <w:rFonts w:ascii="Times New Roman" w:hAnsi="Times New Roman"/>
          <w:spacing w:val="-5"/>
          <w:sz w:val="19"/>
          <w:vertAlign w:val="baseline"/>
        </w:rPr>
        <w:t> </w:t>
      </w:r>
      <w:r>
        <w:rPr>
          <w:rFonts w:ascii="Times New Roman" w:hAnsi="Times New Roman"/>
          <w:sz w:val="19"/>
          <w:vertAlign w:val="baseline"/>
        </w:rPr>
        <w:t>SCNJ</w:t>
      </w:r>
      <w:r>
        <w:rPr>
          <w:rFonts w:ascii="Times New Roman" w:hAnsi="Times New Roman"/>
          <w:spacing w:val="-6"/>
          <w:sz w:val="19"/>
          <w:vertAlign w:val="baseline"/>
        </w:rPr>
        <w:t> </w:t>
      </w:r>
      <w:r>
        <w:rPr>
          <w:rFonts w:ascii="Times New Roman" w:hAnsi="Times New Roman"/>
          <w:sz w:val="19"/>
          <w:vertAlign w:val="baseline"/>
        </w:rPr>
        <w:t>264</w:t>
      </w:r>
      <w:r>
        <w:rPr>
          <w:rFonts w:ascii="Times New Roman" w:hAnsi="Times New Roman"/>
          <w:spacing w:val="-8"/>
          <w:sz w:val="19"/>
          <w:vertAlign w:val="baseline"/>
        </w:rPr>
        <w:t> </w:t>
      </w:r>
      <w:r>
        <w:rPr>
          <w:rFonts w:ascii="Times New Roman" w:hAnsi="Times New Roman"/>
          <w:sz w:val="19"/>
          <w:vertAlign w:val="baseline"/>
        </w:rPr>
        <w:t>at</w:t>
      </w:r>
      <w:r>
        <w:rPr>
          <w:rFonts w:ascii="Times New Roman" w:hAnsi="Times New Roman"/>
          <w:spacing w:val="-1"/>
          <w:sz w:val="19"/>
          <w:vertAlign w:val="baseline"/>
        </w:rPr>
        <w:t> </w:t>
      </w:r>
      <w:r>
        <w:rPr>
          <w:rFonts w:ascii="Times New Roman" w:hAnsi="Times New Roman"/>
          <w:sz w:val="19"/>
          <w:vertAlign w:val="baseline"/>
        </w:rPr>
        <w:t>266,</w:t>
      </w:r>
      <w:r>
        <w:rPr>
          <w:rFonts w:ascii="Times New Roman" w:hAnsi="Times New Roman"/>
          <w:spacing w:val="-5"/>
          <w:sz w:val="19"/>
          <w:vertAlign w:val="baseline"/>
        </w:rPr>
        <w:t> </w:t>
      </w:r>
      <w:r>
        <w:rPr>
          <w:rFonts w:ascii="Times New Roman" w:hAnsi="Times New Roman"/>
          <w:i/>
          <w:sz w:val="19"/>
          <w:vertAlign w:val="baseline"/>
        </w:rPr>
        <w:t>Adeyemi</w:t>
      </w:r>
      <w:r>
        <w:rPr>
          <w:rFonts w:ascii="Times New Roman" w:hAnsi="Times New Roman"/>
          <w:i/>
          <w:spacing w:val="-6"/>
          <w:sz w:val="19"/>
          <w:vertAlign w:val="baseline"/>
        </w:rPr>
        <w:t> </w:t>
      </w:r>
      <w:r>
        <w:rPr>
          <w:rFonts w:ascii="Times New Roman" w:hAnsi="Times New Roman"/>
          <w:i/>
          <w:sz w:val="19"/>
          <w:vertAlign w:val="baseline"/>
        </w:rPr>
        <w:t>Saliu</w:t>
      </w:r>
      <w:r>
        <w:rPr>
          <w:rFonts w:ascii="Times New Roman" w:hAnsi="Times New Roman"/>
          <w:i/>
          <w:spacing w:val="-8"/>
          <w:sz w:val="19"/>
          <w:vertAlign w:val="baseline"/>
        </w:rPr>
        <w:t> </w:t>
      </w:r>
      <w:r>
        <w:rPr>
          <w:rFonts w:ascii="Times New Roman" w:hAnsi="Times New Roman"/>
          <w:i/>
          <w:sz w:val="19"/>
          <w:vertAlign w:val="baseline"/>
        </w:rPr>
        <w:t>Olaotan</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7"/>
          <w:sz w:val="19"/>
          <w:vertAlign w:val="baseline"/>
        </w:rPr>
        <w:t> </w:t>
      </w:r>
      <w:r>
        <w:rPr>
          <w:rFonts w:ascii="Times New Roman" w:hAnsi="Times New Roman"/>
          <w:i/>
          <w:sz w:val="19"/>
          <w:vertAlign w:val="baseline"/>
        </w:rPr>
        <w:t>Lagos</w:t>
      </w:r>
      <w:r>
        <w:rPr>
          <w:rFonts w:ascii="Times New Roman" w:hAnsi="Times New Roman"/>
          <w:i/>
          <w:spacing w:val="-6"/>
          <w:sz w:val="19"/>
          <w:vertAlign w:val="baseline"/>
        </w:rPr>
        <w:t> </w:t>
      </w:r>
      <w:r>
        <w:rPr>
          <w:rFonts w:ascii="Times New Roman" w:hAnsi="Times New Roman"/>
          <w:i/>
          <w:sz w:val="19"/>
          <w:vertAlign w:val="baseline"/>
        </w:rPr>
        <w:t>State Government &amp; Ors </w:t>
      </w:r>
      <w:r>
        <w:rPr>
          <w:rFonts w:ascii="Times New Roman" w:hAnsi="Times New Roman"/>
          <w:sz w:val="19"/>
          <w:vertAlign w:val="baseline"/>
        </w:rPr>
        <w:t>(Unreported) Suit No. NIC/LA/41/2010</w:t>
      </w:r>
    </w:p>
    <w:p>
      <w:pPr>
        <w:spacing w:line="215" w:lineRule="exact" w:before="0"/>
        <w:ind w:left="187" w:right="0" w:firstLine="0"/>
        <w:jc w:val="left"/>
        <w:rPr>
          <w:rFonts w:ascii="Times New Roman" w:hAnsi="Times New Roman"/>
          <w:sz w:val="19"/>
        </w:rPr>
      </w:pPr>
      <w:r>
        <w:rPr>
          <w:rFonts w:ascii="Times New Roman" w:hAnsi="Times New Roman"/>
          <w:sz w:val="19"/>
          <w:vertAlign w:val="superscript"/>
        </w:rPr>
        <w:t>313</w:t>
      </w:r>
      <w:r>
        <w:rPr>
          <w:rFonts w:ascii="Times New Roman" w:hAnsi="Times New Roman"/>
          <w:spacing w:val="-11"/>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4(1)</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No.</w:t>
      </w:r>
      <w:r>
        <w:rPr>
          <w:rFonts w:ascii="Times New Roman" w:hAnsi="Times New Roman"/>
          <w:spacing w:val="-7"/>
          <w:sz w:val="19"/>
          <w:vertAlign w:val="baseline"/>
        </w:rPr>
        <w:t> </w:t>
      </w:r>
      <w:r>
        <w:rPr>
          <w:rFonts w:ascii="Times New Roman" w:hAnsi="Times New Roman"/>
          <w:sz w:val="19"/>
          <w:vertAlign w:val="baseline"/>
        </w:rPr>
        <w:t>13,</w:t>
      </w:r>
      <w:r>
        <w:rPr>
          <w:rFonts w:ascii="Times New Roman" w:hAnsi="Times New Roman"/>
          <w:spacing w:val="-12"/>
          <w:sz w:val="19"/>
          <w:vertAlign w:val="baseline"/>
        </w:rPr>
        <w:t> </w:t>
      </w:r>
      <w:r>
        <w:rPr>
          <w:rFonts w:ascii="Times New Roman" w:hAnsi="Times New Roman"/>
          <w:spacing w:val="-4"/>
          <w:sz w:val="19"/>
          <w:vertAlign w:val="baseline"/>
        </w:rPr>
        <w:t>2010</w:t>
      </w:r>
    </w:p>
    <w:p>
      <w:pPr>
        <w:spacing w:line="214" w:lineRule="exact" w:before="0"/>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line="215" w:lineRule="exact" w:before="0"/>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7" w:lineRule="exact" w:before="2"/>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3"/>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0"/>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after="0" w:line="237" w:lineRule="auto"/>
        <w:jc w:val="left"/>
        <w:rPr>
          <w:rFonts w:ascii="Times New Roman"/>
          <w:sz w:val="19"/>
        </w:rPr>
        <w:sectPr>
          <w:footerReference w:type="default" r:id="rId22"/>
          <w:pgSz w:w="12240" w:h="15840"/>
          <w:pgMar w:header="0" w:footer="1009" w:top="1260" w:bottom="1200" w:left="1680" w:right="1320"/>
        </w:sectPr>
      </w:pPr>
    </w:p>
    <w:p>
      <w:pPr>
        <w:pStyle w:val="BodyText"/>
        <w:spacing w:line="489" w:lineRule="auto" w:before="94"/>
        <w:ind w:left="864" w:right="565"/>
        <w:jc w:val="both"/>
      </w:pPr>
      <w:r>
        <w:rPr/>
        <w:t>aimed at but it is reasonable to think that the counselling services aim at allaying the psychological effect of losing a dear one as a result of work- related injury.</w:t>
      </w:r>
    </w:p>
    <w:p>
      <w:pPr>
        <w:pStyle w:val="BodyText"/>
        <w:spacing w:before="10"/>
      </w:pPr>
    </w:p>
    <w:p>
      <w:pPr>
        <w:pStyle w:val="BodyText"/>
        <w:spacing w:line="489" w:lineRule="auto"/>
        <w:ind w:left="864" w:right="568"/>
        <w:jc w:val="both"/>
      </w:pPr>
      <w:r>
        <w:rPr/>
        <w:t>It</w:t>
      </w:r>
      <w:r>
        <w:rPr>
          <w:spacing w:val="40"/>
        </w:rPr>
        <w:t> </w:t>
      </w:r>
      <w:r>
        <w:rPr/>
        <w:t>is</w:t>
      </w:r>
      <w:r>
        <w:rPr>
          <w:spacing w:val="40"/>
        </w:rPr>
        <w:t> </w:t>
      </w:r>
      <w:r>
        <w:rPr/>
        <w:t>very</w:t>
      </w:r>
      <w:r>
        <w:rPr>
          <w:spacing w:val="40"/>
        </w:rPr>
        <w:t> </w:t>
      </w:r>
      <w:r>
        <w:rPr/>
        <w:t>important</w:t>
      </w:r>
      <w:r>
        <w:rPr>
          <w:spacing w:val="40"/>
        </w:rPr>
        <w:t> </w:t>
      </w:r>
      <w:r>
        <w:rPr/>
        <w:t>that</w:t>
      </w:r>
      <w:r>
        <w:rPr>
          <w:spacing w:val="40"/>
        </w:rPr>
        <w:t> </w:t>
      </w:r>
      <w:r>
        <w:rPr/>
        <w:t>the</w:t>
      </w:r>
      <w:r>
        <w:rPr>
          <w:spacing w:val="40"/>
        </w:rPr>
        <w:t> </w:t>
      </w:r>
      <w:r>
        <w:rPr/>
        <w:t>Act</w:t>
      </w:r>
      <w:r>
        <w:rPr>
          <w:spacing w:val="40"/>
        </w:rPr>
        <w:t> </w:t>
      </w:r>
      <w:r>
        <w:rPr/>
        <w:t>should</w:t>
      </w:r>
      <w:r>
        <w:rPr>
          <w:spacing w:val="40"/>
        </w:rPr>
        <w:t> </w:t>
      </w:r>
      <w:r>
        <w:rPr/>
        <w:t>remove</w:t>
      </w:r>
      <w:r>
        <w:rPr>
          <w:spacing w:val="40"/>
        </w:rPr>
        <w:t> </w:t>
      </w:r>
      <w:r>
        <w:rPr/>
        <w:t>every</w:t>
      </w:r>
      <w:r>
        <w:rPr>
          <w:spacing w:val="40"/>
        </w:rPr>
        <w:t> </w:t>
      </w:r>
      <w:r>
        <w:rPr/>
        <w:t>discretion</w:t>
      </w:r>
      <w:r>
        <w:rPr>
          <w:spacing w:val="40"/>
        </w:rPr>
        <w:t> </w:t>
      </w:r>
      <w:r>
        <w:rPr/>
        <w:t>on</w:t>
      </w:r>
      <w:r>
        <w:rPr>
          <w:spacing w:val="40"/>
        </w:rPr>
        <w:t> </w:t>
      </w:r>
      <w:r>
        <w:rPr/>
        <w:t>the part</w:t>
      </w:r>
      <w:r>
        <w:rPr>
          <w:spacing w:val="40"/>
        </w:rPr>
        <w:t> </w:t>
      </w:r>
      <w:r>
        <w:rPr/>
        <w:t>of</w:t>
      </w:r>
      <w:r>
        <w:rPr>
          <w:spacing w:val="40"/>
        </w:rPr>
        <w:t> </w:t>
      </w:r>
      <w:r>
        <w:rPr/>
        <w:t>the</w:t>
      </w:r>
      <w:r>
        <w:rPr>
          <w:spacing w:val="40"/>
        </w:rPr>
        <w:t> </w:t>
      </w:r>
      <w:r>
        <w:rPr/>
        <w:t>Board</w:t>
      </w:r>
      <w:r>
        <w:rPr>
          <w:spacing w:val="40"/>
        </w:rPr>
        <w:t> </w:t>
      </w:r>
      <w:r>
        <w:rPr/>
        <w:t>as</w:t>
      </w:r>
      <w:r>
        <w:rPr>
          <w:spacing w:val="40"/>
        </w:rPr>
        <w:t> </w:t>
      </w:r>
      <w:r>
        <w:rPr/>
        <w:t>to</w:t>
      </w:r>
      <w:r>
        <w:rPr>
          <w:spacing w:val="40"/>
        </w:rPr>
        <w:t> </w:t>
      </w:r>
      <w:r>
        <w:rPr/>
        <w:t>whether</w:t>
      </w:r>
      <w:r>
        <w:rPr>
          <w:spacing w:val="40"/>
        </w:rPr>
        <w:t> </w:t>
      </w:r>
      <w:r>
        <w:rPr/>
        <w:t>or</w:t>
      </w:r>
      <w:r>
        <w:rPr>
          <w:spacing w:val="40"/>
        </w:rPr>
        <w:t> </w:t>
      </w:r>
      <w:r>
        <w:rPr/>
        <w:t>not</w:t>
      </w:r>
      <w:r>
        <w:rPr>
          <w:spacing w:val="40"/>
        </w:rPr>
        <w:t> </w:t>
      </w:r>
      <w:r>
        <w:rPr/>
        <w:t>to</w:t>
      </w:r>
      <w:r>
        <w:rPr>
          <w:spacing w:val="40"/>
        </w:rPr>
        <w:t> </w:t>
      </w:r>
      <w:r>
        <w:rPr/>
        <w:t>pay</w:t>
      </w:r>
      <w:r>
        <w:rPr>
          <w:spacing w:val="40"/>
        </w:rPr>
        <w:t> </w:t>
      </w:r>
      <w:r>
        <w:rPr/>
        <w:t>compensation</w:t>
      </w:r>
      <w:r>
        <w:rPr>
          <w:spacing w:val="40"/>
        </w:rPr>
        <w:t> </w:t>
      </w:r>
      <w:r>
        <w:rPr/>
        <w:t>in</w:t>
      </w:r>
      <w:r>
        <w:rPr>
          <w:spacing w:val="40"/>
        </w:rPr>
        <w:t> </w:t>
      </w:r>
      <w:r>
        <w:rPr/>
        <w:t>certain cases</w:t>
      </w:r>
      <w:r>
        <w:rPr>
          <w:spacing w:val="40"/>
        </w:rPr>
        <w:t> </w:t>
      </w:r>
      <w:r>
        <w:rPr/>
        <w:t>as</w:t>
      </w:r>
      <w:r>
        <w:rPr>
          <w:spacing w:val="40"/>
        </w:rPr>
        <w:t> </w:t>
      </w:r>
      <w:r>
        <w:rPr/>
        <w:t>discussed</w:t>
      </w:r>
      <w:r>
        <w:rPr>
          <w:spacing w:val="40"/>
        </w:rPr>
        <w:t> </w:t>
      </w:r>
      <w:r>
        <w:rPr/>
        <w:t>above,</w:t>
      </w:r>
      <w:r>
        <w:rPr>
          <w:spacing w:val="40"/>
        </w:rPr>
        <w:t> </w:t>
      </w:r>
      <w:r>
        <w:rPr/>
        <w:t>if</w:t>
      </w:r>
      <w:r>
        <w:rPr>
          <w:spacing w:val="40"/>
        </w:rPr>
        <w:t> </w:t>
      </w:r>
      <w:r>
        <w:rPr/>
        <w:t>a</w:t>
      </w:r>
      <w:r>
        <w:rPr>
          <w:spacing w:val="40"/>
        </w:rPr>
        <w:t> </w:t>
      </w:r>
      <w:r>
        <w:rPr/>
        <w:t>valid</w:t>
      </w:r>
      <w:r>
        <w:rPr>
          <w:spacing w:val="40"/>
        </w:rPr>
        <w:t> </w:t>
      </w:r>
      <w:r>
        <w:rPr/>
        <w:t>ground</w:t>
      </w:r>
      <w:r>
        <w:rPr>
          <w:spacing w:val="40"/>
        </w:rPr>
        <w:t> </w:t>
      </w:r>
      <w:r>
        <w:rPr/>
        <w:t>for</w:t>
      </w:r>
      <w:r>
        <w:rPr>
          <w:spacing w:val="40"/>
        </w:rPr>
        <w:t> </w:t>
      </w:r>
      <w:r>
        <w:rPr/>
        <w:t>compensation</w:t>
      </w:r>
      <w:r>
        <w:rPr>
          <w:spacing w:val="40"/>
        </w:rPr>
        <w:t> </w:t>
      </w:r>
      <w:r>
        <w:rPr/>
        <w:t>is established. Also, it is necessary that the Act should specifically provide for definite scales of compensation in all cases covered by the Act. It is only then that affected employees can be sure of their remedies in the event of any disadvantage or injury suffered out of or in the course of employment.</w:t>
      </w:r>
    </w:p>
    <w:p>
      <w:pPr>
        <w:pStyle w:val="BodyText"/>
      </w:pPr>
    </w:p>
    <w:p>
      <w:pPr>
        <w:pStyle w:val="BodyText"/>
      </w:pPr>
    </w:p>
    <w:p>
      <w:pPr>
        <w:pStyle w:val="BodyText"/>
      </w:pPr>
    </w:p>
    <w:p>
      <w:pPr>
        <w:pStyle w:val="BodyText"/>
      </w:pPr>
    </w:p>
    <w:p>
      <w:pPr>
        <w:pStyle w:val="BodyText"/>
        <w:spacing w:before="38"/>
      </w:pPr>
    </w:p>
    <w:p>
      <w:pPr>
        <w:pStyle w:val="Heading3"/>
        <w:numPr>
          <w:ilvl w:val="1"/>
          <w:numId w:val="13"/>
        </w:numPr>
        <w:tabs>
          <w:tab w:pos="621" w:val="left" w:leader="none"/>
        </w:tabs>
        <w:spacing w:line="240" w:lineRule="auto" w:before="0" w:after="0"/>
        <w:ind w:left="621" w:right="0" w:hanging="434"/>
        <w:jc w:val="left"/>
      </w:pPr>
      <w:bookmarkStart w:name="_TOC_250008" w:id="22"/>
      <w:r>
        <w:rPr/>
        <w:t>Procedures</w:t>
      </w:r>
      <w:r>
        <w:rPr>
          <w:spacing w:val="9"/>
        </w:rPr>
        <w:t> </w:t>
      </w:r>
      <w:r>
        <w:rPr/>
        <w:t>for</w:t>
      </w:r>
      <w:r>
        <w:rPr>
          <w:spacing w:val="6"/>
        </w:rPr>
        <w:t> </w:t>
      </w:r>
      <w:r>
        <w:rPr/>
        <w:t>Claim</w:t>
      </w:r>
      <w:r>
        <w:rPr>
          <w:spacing w:val="13"/>
        </w:rPr>
        <w:t> </w:t>
      </w:r>
      <w:r>
        <w:rPr/>
        <w:t>of</w:t>
      </w:r>
      <w:r>
        <w:rPr>
          <w:spacing w:val="2"/>
        </w:rPr>
        <w:t> </w:t>
      </w:r>
      <w:bookmarkEnd w:id="22"/>
      <w:r>
        <w:rPr>
          <w:spacing w:val="-2"/>
        </w:rPr>
        <w:t>Compensation</w:t>
      </w:r>
    </w:p>
    <w:p>
      <w:pPr>
        <w:pStyle w:val="BodyText"/>
        <w:spacing w:before="6"/>
        <w:rPr>
          <w:b/>
        </w:rPr>
      </w:pPr>
    </w:p>
    <w:p>
      <w:pPr>
        <w:pStyle w:val="BodyText"/>
        <w:spacing w:line="491" w:lineRule="auto"/>
        <w:ind w:left="187" w:right="566"/>
        <w:jc w:val="both"/>
      </w:pPr>
      <w:r>
        <w:rPr/>
        <w:t>Anybody who wishes to lay any claim for compensation in respect of any job- related risk must adhere to these statutory steps, because, these steps have jurisdictional implications. A court is said to have jurisdiction where the case is instituted after fulfilment of conditions precedent, the case is instituted by due process</w:t>
      </w:r>
      <w:r>
        <w:rPr>
          <w:spacing w:val="40"/>
        </w:rPr>
        <w:t> </w:t>
      </w:r>
      <w:r>
        <w:rPr/>
        <w:t>of</w:t>
      </w:r>
      <w:r>
        <w:rPr>
          <w:spacing w:val="40"/>
        </w:rPr>
        <w:t> </w:t>
      </w:r>
      <w:r>
        <w:rPr/>
        <w:t>law,</w:t>
      </w:r>
      <w:r>
        <w:rPr>
          <w:spacing w:val="40"/>
        </w:rPr>
        <w:t> </w:t>
      </w:r>
      <w:r>
        <w:rPr/>
        <w:t>the</w:t>
      </w:r>
      <w:r>
        <w:rPr>
          <w:spacing w:val="40"/>
        </w:rPr>
        <w:t> </w:t>
      </w:r>
      <w:r>
        <w:rPr/>
        <w:t>subject</w:t>
      </w:r>
      <w:r>
        <w:rPr>
          <w:spacing w:val="40"/>
        </w:rPr>
        <w:t> </w:t>
      </w:r>
      <w:r>
        <w:rPr/>
        <w:t>matter</w:t>
      </w:r>
      <w:r>
        <w:rPr>
          <w:spacing w:val="40"/>
        </w:rPr>
        <w:t> </w:t>
      </w:r>
      <w:r>
        <w:rPr/>
        <w:t>is</w:t>
      </w:r>
      <w:r>
        <w:rPr>
          <w:spacing w:val="40"/>
        </w:rPr>
        <w:t> </w:t>
      </w:r>
      <w:r>
        <w:rPr/>
        <w:t>within</w:t>
      </w:r>
      <w:r>
        <w:rPr>
          <w:spacing w:val="40"/>
        </w:rPr>
        <w:t> </w:t>
      </w:r>
      <w:r>
        <w:rPr/>
        <w:t>its</w:t>
      </w:r>
      <w:r>
        <w:rPr>
          <w:spacing w:val="40"/>
        </w:rPr>
        <w:t> </w:t>
      </w:r>
      <w:r>
        <w:rPr/>
        <w:t>power</w:t>
      </w:r>
      <w:r>
        <w:rPr>
          <w:spacing w:val="40"/>
        </w:rPr>
        <w:t> </w:t>
      </w:r>
      <w:r>
        <w:rPr/>
        <w:t>to</w:t>
      </w:r>
      <w:r>
        <w:rPr>
          <w:spacing w:val="40"/>
        </w:rPr>
        <w:t> </w:t>
      </w:r>
      <w:r>
        <w:rPr/>
        <w:t>preside</w:t>
      </w:r>
      <w:r>
        <w:rPr>
          <w:spacing w:val="40"/>
        </w:rPr>
        <w:t> </w:t>
      </w:r>
      <w:r>
        <w:rPr/>
        <w:t>over</w:t>
      </w:r>
      <w:r>
        <w:rPr>
          <w:spacing w:val="40"/>
        </w:rPr>
        <w:t> </w:t>
      </w:r>
      <w:r>
        <w:rPr/>
        <w:t>and</w:t>
      </w:r>
      <w:r>
        <w:rPr>
          <w:spacing w:val="40"/>
        </w:rPr>
        <w:t> </w:t>
      </w:r>
      <w:r>
        <w:rPr/>
        <w:t>the court</w:t>
      </w:r>
      <w:r>
        <w:rPr>
          <w:spacing w:val="59"/>
        </w:rPr>
        <w:t> </w:t>
      </w:r>
      <w:r>
        <w:rPr/>
        <w:t>is</w:t>
      </w:r>
      <w:r>
        <w:rPr>
          <w:spacing w:val="57"/>
        </w:rPr>
        <w:t> </w:t>
      </w:r>
      <w:r>
        <w:rPr/>
        <w:t>properly</w:t>
      </w:r>
      <w:r>
        <w:rPr>
          <w:spacing w:val="59"/>
        </w:rPr>
        <w:t> </w:t>
      </w:r>
      <w:r>
        <w:rPr/>
        <w:t>constituted.</w:t>
      </w:r>
      <w:r>
        <w:rPr>
          <w:vertAlign w:val="superscript"/>
        </w:rPr>
        <w:t>311</w:t>
      </w:r>
      <w:r>
        <w:rPr>
          <w:spacing w:val="62"/>
          <w:vertAlign w:val="baseline"/>
        </w:rPr>
        <w:t> </w:t>
      </w:r>
      <w:r>
        <w:rPr>
          <w:vertAlign w:val="baseline"/>
        </w:rPr>
        <w:t>Jurisdiction</w:t>
      </w:r>
      <w:r>
        <w:rPr>
          <w:spacing w:val="59"/>
          <w:vertAlign w:val="baseline"/>
        </w:rPr>
        <w:t> </w:t>
      </w:r>
      <w:r>
        <w:rPr>
          <w:vertAlign w:val="baseline"/>
        </w:rPr>
        <w:t>is</w:t>
      </w:r>
      <w:r>
        <w:rPr>
          <w:spacing w:val="61"/>
          <w:vertAlign w:val="baseline"/>
        </w:rPr>
        <w:t> </w:t>
      </w:r>
      <w:r>
        <w:rPr>
          <w:vertAlign w:val="baseline"/>
        </w:rPr>
        <w:t>the</w:t>
      </w:r>
      <w:r>
        <w:rPr>
          <w:spacing w:val="57"/>
          <w:vertAlign w:val="baseline"/>
        </w:rPr>
        <w:t> </w:t>
      </w:r>
      <w:r>
        <w:rPr>
          <w:vertAlign w:val="baseline"/>
        </w:rPr>
        <w:t>blood</w:t>
      </w:r>
      <w:r>
        <w:rPr>
          <w:spacing w:val="66"/>
          <w:vertAlign w:val="baseline"/>
        </w:rPr>
        <w:t> </w:t>
      </w:r>
      <w:r>
        <w:rPr>
          <w:vertAlign w:val="baseline"/>
        </w:rPr>
        <w:t>that</w:t>
      </w:r>
      <w:r>
        <w:rPr>
          <w:spacing w:val="63"/>
          <w:vertAlign w:val="baseline"/>
        </w:rPr>
        <w:t> </w:t>
      </w:r>
      <w:r>
        <w:rPr>
          <w:vertAlign w:val="baseline"/>
        </w:rPr>
        <w:t>gives</w:t>
      </w:r>
      <w:r>
        <w:rPr>
          <w:spacing w:val="62"/>
          <w:vertAlign w:val="baseline"/>
        </w:rPr>
        <w:t> </w:t>
      </w:r>
      <w:r>
        <w:rPr>
          <w:vertAlign w:val="baseline"/>
        </w:rPr>
        <w:t>life</w:t>
      </w:r>
      <w:r>
        <w:rPr>
          <w:spacing w:val="62"/>
          <w:vertAlign w:val="baseline"/>
        </w:rPr>
        <w:t> </w:t>
      </w:r>
      <w:r>
        <w:rPr>
          <w:vertAlign w:val="baseline"/>
        </w:rPr>
        <w:t>to</w:t>
      </w:r>
      <w:r>
        <w:rPr>
          <w:spacing w:val="63"/>
          <w:vertAlign w:val="baseline"/>
        </w:rPr>
        <w:t> </w:t>
      </w:r>
      <w:r>
        <w:rPr>
          <w:spacing w:val="-5"/>
          <w:vertAlign w:val="baseline"/>
        </w:rPr>
        <w:t>an</w:t>
      </w:r>
    </w:p>
    <w:p>
      <w:pPr>
        <w:pStyle w:val="BodyText"/>
        <w:spacing w:before="83"/>
        <w:rPr>
          <w:sz w:val="20"/>
        </w:rPr>
      </w:pPr>
      <w:r>
        <w:rPr/>
        <mc:AlternateContent>
          <mc:Choice Requires="wps">
            <w:drawing>
              <wp:anchor distT="0" distB="0" distL="0" distR="0" allowOverlap="1" layoutInCell="1" locked="0" behindDoc="1" simplePos="0" relativeHeight="487642624">
                <wp:simplePos x="0" y="0"/>
                <wp:positionH relativeFrom="page">
                  <wp:posOffset>1185672</wp:posOffset>
                </wp:positionH>
                <wp:positionV relativeFrom="paragraph">
                  <wp:posOffset>221602</wp:posOffset>
                </wp:positionV>
                <wp:extent cx="1719580" cy="6350"/>
                <wp:effectExtent l="0" t="0" r="0" b="0"/>
                <wp:wrapTopAndBottom/>
                <wp:docPr id="123" name="Graphic 123"/>
                <wp:cNvGraphicFramePr>
                  <a:graphicFrameLocks/>
                </wp:cNvGraphicFramePr>
                <a:graphic>
                  <a:graphicData uri="http://schemas.microsoft.com/office/word/2010/wordprocessingShape">
                    <wps:wsp>
                      <wps:cNvPr id="123" name="Graphic 123"/>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7.449024pt;width:135.360pt;height:.48pt;mso-position-horizontal-relative:page;mso-position-vertical-relative:paragraph;z-index:-15673856;mso-wrap-distance-left:0;mso-wrap-distance-right:0" id="docshape123" filled="true" fillcolor="#000000" stroked="false">
                <v:fill type="solid"/>
                <w10:wrap type="topAndBottom"/>
              </v:rect>
            </w:pict>
          </mc:Fallback>
        </mc:AlternateContent>
      </w:r>
    </w:p>
    <w:p>
      <w:pPr>
        <w:spacing w:line="217" w:lineRule="exact" w:before="101"/>
        <w:ind w:left="187" w:right="0" w:firstLine="0"/>
        <w:jc w:val="left"/>
        <w:rPr>
          <w:rFonts w:ascii="Times New Roman"/>
          <w:i/>
          <w:sz w:val="19"/>
        </w:rPr>
      </w:pPr>
      <w:r>
        <w:rPr>
          <w:rFonts w:ascii="Times New Roman"/>
          <w:sz w:val="19"/>
          <w:vertAlign w:val="superscript"/>
        </w:rPr>
        <w:t>311</w:t>
      </w:r>
      <w:r>
        <w:rPr>
          <w:rFonts w:ascii="Times New Roman"/>
          <w:spacing w:val="-8"/>
          <w:sz w:val="19"/>
          <w:vertAlign w:val="baseline"/>
        </w:rPr>
        <w:t> </w:t>
      </w:r>
      <w:r>
        <w:rPr>
          <w:rFonts w:ascii="Times New Roman"/>
          <w:sz w:val="19"/>
          <w:vertAlign w:val="baseline"/>
        </w:rPr>
        <w:t>See</w:t>
      </w:r>
      <w:r>
        <w:rPr>
          <w:rFonts w:ascii="Times New Roman"/>
          <w:spacing w:val="-7"/>
          <w:sz w:val="19"/>
          <w:vertAlign w:val="baseline"/>
        </w:rPr>
        <w:t> </w:t>
      </w:r>
      <w:r>
        <w:rPr>
          <w:rFonts w:ascii="Times New Roman"/>
          <w:i/>
          <w:sz w:val="19"/>
          <w:vertAlign w:val="baseline"/>
        </w:rPr>
        <w:t>Madukolu</w:t>
      </w:r>
      <w:r>
        <w:rPr>
          <w:rFonts w:ascii="Times New Roman"/>
          <w:i/>
          <w:spacing w:val="-10"/>
          <w:sz w:val="19"/>
          <w:vertAlign w:val="baseline"/>
        </w:rPr>
        <w:t> </w:t>
      </w:r>
      <w:r>
        <w:rPr>
          <w:rFonts w:ascii="Times New Roman"/>
          <w:i/>
          <w:sz w:val="19"/>
          <w:vertAlign w:val="baseline"/>
        </w:rPr>
        <w:t>v.</w:t>
      </w:r>
      <w:r>
        <w:rPr>
          <w:rFonts w:ascii="Times New Roman"/>
          <w:i/>
          <w:spacing w:val="-8"/>
          <w:sz w:val="19"/>
          <w:vertAlign w:val="baseline"/>
        </w:rPr>
        <w:t> </w:t>
      </w:r>
      <w:r>
        <w:rPr>
          <w:rFonts w:ascii="Times New Roman"/>
          <w:i/>
          <w:sz w:val="19"/>
          <w:vertAlign w:val="baseline"/>
        </w:rPr>
        <w:t>Nkemdilim</w:t>
      </w:r>
      <w:r>
        <w:rPr>
          <w:rFonts w:ascii="Times New Roman"/>
          <w:i/>
          <w:spacing w:val="-10"/>
          <w:sz w:val="19"/>
          <w:vertAlign w:val="baseline"/>
        </w:rPr>
        <w:t> </w:t>
      </w:r>
      <w:r>
        <w:rPr>
          <w:rFonts w:ascii="Times New Roman"/>
          <w:sz w:val="19"/>
          <w:vertAlign w:val="baseline"/>
        </w:rPr>
        <w:t>(1962)</w:t>
      </w:r>
      <w:r>
        <w:rPr>
          <w:rFonts w:ascii="Times New Roman"/>
          <w:spacing w:val="-9"/>
          <w:sz w:val="19"/>
          <w:vertAlign w:val="baseline"/>
        </w:rPr>
        <w:t> </w:t>
      </w:r>
      <w:r>
        <w:rPr>
          <w:rFonts w:ascii="Times New Roman"/>
          <w:sz w:val="19"/>
          <w:vertAlign w:val="baseline"/>
        </w:rPr>
        <w:t>SCNLR</w:t>
      </w:r>
      <w:r>
        <w:rPr>
          <w:rFonts w:ascii="Times New Roman"/>
          <w:spacing w:val="-9"/>
          <w:sz w:val="19"/>
          <w:vertAlign w:val="baseline"/>
        </w:rPr>
        <w:t> </w:t>
      </w:r>
      <w:r>
        <w:rPr>
          <w:rFonts w:ascii="Times New Roman"/>
          <w:sz w:val="19"/>
          <w:vertAlign w:val="baseline"/>
        </w:rPr>
        <w:t>341</w:t>
      </w:r>
      <w:r>
        <w:rPr>
          <w:rFonts w:ascii="Times New Roman"/>
          <w:spacing w:val="-11"/>
          <w:sz w:val="19"/>
          <w:vertAlign w:val="baseline"/>
        </w:rPr>
        <w:t> </w:t>
      </w:r>
      <w:r>
        <w:rPr>
          <w:rFonts w:ascii="Times New Roman"/>
          <w:i/>
          <w:sz w:val="19"/>
          <w:vertAlign w:val="baseline"/>
        </w:rPr>
        <w:t>Amadi</w:t>
      </w:r>
      <w:r>
        <w:rPr>
          <w:rFonts w:ascii="Times New Roman"/>
          <w:i/>
          <w:spacing w:val="-8"/>
          <w:sz w:val="19"/>
          <w:vertAlign w:val="baseline"/>
        </w:rPr>
        <w:t> </w:t>
      </w:r>
      <w:r>
        <w:rPr>
          <w:rFonts w:ascii="Times New Roman"/>
          <w:i/>
          <w:sz w:val="19"/>
          <w:vertAlign w:val="baseline"/>
        </w:rPr>
        <w:t>v</w:t>
      </w:r>
      <w:r>
        <w:rPr>
          <w:rFonts w:ascii="Times New Roman"/>
          <w:i/>
          <w:spacing w:val="-10"/>
          <w:sz w:val="19"/>
          <w:vertAlign w:val="baseline"/>
        </w:rPr>
        <w:t> </w:t>
      </w:r>
      <w:r>
        <w:rPr>
          <w:rFonts w:ascii="Times New Roman"/>
          <w:i/>
          <w:sz w:val="19"/>
          <w:vertAlign w:val="baseline"/>
        </w:rPr>
        <w:t>NNPC</w:t>
      </w:r>
      <w:r>
        <w:rPr>
          <w:rFonts w:ascii="Times New Roman"/>
          <w:i/>
          <w:spacing w:val="-5"/>
          <w:sz w:val="19"/>
          <w:vertAlign w:val="baseline"/>
        </w:rPr>
        <w:t> </w:t>
      </w:r>
      <w:r>
        <w:rPr>
          <w:rFonts w:ascii="Times New Roman"/>
          <w:sz w:val="19"/>
          <w:vertAlign w:val="baseline"/>
        </w:rPr>
        <w:t>(2000)</w:t>
      </w:r>
      <w:r>
        <w:rPr>
          <w:rFonts w:ascii="Times New Roman"/>
          <w:spacing w:val="-12"/>
          <w:sz w:val="19"/>
          <w:vertAlign w:val="baseline"/>
        </w:rPr>
        <w:t> </w:t>
      </w:r>
      <w:r>
        <w:rPr>
          <w:rFonts w:ascii="Times New Roman"/>
          <w:sz w:val="19"/>
          <w:vertAlign w:val="baseline"/>
        </w:rPr>
        <w:t>10</w:t>
      </w:r>
      <w:r>
        <w:rPr>
          <w:rFonts w:ascii="Times New Roman"/>
          <w:spacing w:val="-11"/>
          <w:sz w:val="19"/>
          <w:vertAlign w:val="baseline"/>
        </w:rPr>
        <w:t> </w:t>
      </w:r>
      <w:r>
        <w:rPr>
          <w:rFonts w:ascii="Times New Roman"/>
          <w:sz w:val="19"/>
          <w:vertAlign w:val="baseline"/>
        </w:rPr>
        <w:t>NWLR</w:t>
      </w:r>
      <w:r>
        <w:rPr>
          <w:rFonts w:ascii="Times New Roman"/>
          <w:spacing w:val="-12"/>
          <w:sz w:val="19"/>
          <w:vertAlign w:val="baseline"/>
        </w:rPr>
        <w:t> </w:t>
      </w:r>
      <w:r>
        <w:rPr>
          <w:rFonts w:ascii="Times New Roman"/>
          <w:sz w:val="19"/>
          <w:vertAlign w:val="baseline"/>
        </w:rPr>
        <w:t>(pt</w:t>
      </w:r>
      <w:r>
        <w:rPr>
          <w:rFonts w:ascii="Times New Roman"/>
          <w:spacing w:val="-4"/>
          <w:sz w:val="19"/>
          <w:vertAlign w:val="baseline"/>
        </w:rPr>
        <w:t> </w:t>
      </w:r>
      <w:r>
        <w:rPr>
          <w:rFonts w:ascii="Times New Roman"/>
          <w:sz w:val="19"/>
          <w:vertAlign w:val="baseline"/>
        </w:rPr>
        <w:t>674)</w:t>
      </w:r>
      <w:r>
        <w:rPr>
          <w:rFonts w:ascii="Times New Roman"/>
          <w:spacing w:val="-9"/>
          <w:sz w:val="19"/>
          <w:vertAlign w:val="baseline"/>
        </w:rPr>
        <w:t> </w:t>
      </w:r>
      <w:r>
        <w:rPr>
          <w:rFonts w:ascii="Times New Roman"/>
          <w:sz w:val="19"/>
          <w:vertAlign w:val="baseline"/>
        </w:rPr>
        <w:t>76</w:t>
      </w:r>
      <w:r>
        <w:rPr>
          <w:rFonts w:ascii="Times New Roman"/>
          <w:spacing w:val="-3"/>
          <w:sz w:val="19"/>
          <w:vertAlign w:val="baseline"/>
        </w:rPr>
        <w:t> </w:t>
      </w:r>
      <w:r>
        <w:rPr>
          <w:rFonts w:ascii="Times New Roman"/>
          <w:i/>
          <w:sz w:val="19"/>
          <w:vertAlign w:val="baseline"/>
        </w:rPr>
        <w:t>Umokoro</w:t>
      </w:r>
      <w:r>
        <w:rPr>
          <w:rFonts w:ascii="Times New Roman"/>
          <w:i/>
          <w:spacing w:val="-7"/>
          <w:sz w:val="19"/>
          <w:vertAlign w:val="baseline"/>
        </w:rPr>
        <w:t> </w:t>
      </w:r>
      <w:r>
        <w:rPr>
          <w:rFonts w:ascii="Times New Roman"/>
          <w:i/>
          <w:sz w:val="19"/>
          <w:vertAlign w:val="baseline"/>
        </w:rPr>
        <w:t>&amp;</w:t>
      </w:r>
      <w:r>
        <w:rPr>
          <w:rFonts w:ascii="Times New Roman"/>
          <w:i/>
          <w:spacing w:val="-11"/>
          <w:sz w:val="19"/>
          <w:vertAlign w:val="baseline"/>
        </w:rPr>
        <w:t> </w:t>
      </w:r>
      <w:r>
        <w:rPr>
          <w:rFonts w:ascii="Times New Roman"/>
          <w:i/>
          <w:spacing w:val="-10"/>
          <w:sz w:val="19"/>
          <w:vertAlign w:val="baseline"/>
        </w:rPr>
        <w:t>8</w:t>
      </w:r>
    </w:p>
    <w:p>
      <w:pPr>
        <w:spacing w:line="214" w:lineRule="exact" w:before="0"/>
        <w:ind w:left="187" w:right="0" w:firstLine="0"/>
        <w:jc w:val="left"/>
        <w:rPr>
          <w:rFonts w:ascii="Times New Roman"/>
          <w:sz w:val="19"/>
        </w:rPr>
      </w:pPr>
      <w:r>
        <w:rPr>
          <w:rFonts w:ascii="Times New Roman"/>
          <w:i/>
          <w:sz w:val="19"/>
        </w:rPr>
        <w:t>Others</w:t>
      </w:r>
      <w:r>
        <w:rPr>
          <w:rFonts w:ascii="Times New Roman"/>
          <w:i/>
          <w:spacing w:val="-12"/>
          <w:sz w:val="19"/>
        </w:rPr>
        <w:t> </w:t>
      </w:r>
      <w:r>
        <w:rPr>
          <w:rFonts w:ascii="Times New Roman"/>
          <w:i/>
          <w:sz w:val="19"/>
        </w:rPr>
        <w:t>v</w:t>
      </w:r>
      <w:r>
        <w:rPr>
          <w:rFonts w:ascii="Times New Roman"/>
          <w:i/>
          <w:spacing w:val="-6"/>
          <w:sz w:val="19"/>
        </w:rPr>
        <w:t> </w:t>
      </w:r>
      <w:r>
        <w:rPr>
          <w:rFonts w:ascii="Times New Roman"/>
          <w:i/>
          <w:sz w:val="19"/>
        </w:rPr>
        <w:t>Nigeria</w:t>
      </w:r>
      <w:r>
        <w:rPr>
          <w:rFonts w:ascii="Times New Roman"/>
          <w:i/>
          <w:spacing w:val="-7"/>
          <w:sz w:val="19"/>
        </w:rPr>
        <w:t> </w:t>
      </w:r>
      <w:r>
        <w:rPr>
          <w:rFonts w:ascii="Times New Roman"/>
          <w:i/>
          <w:sz w:val="19"/>
        </w:rPr>
        <w:t>Ports</w:t>
      </w:r>
      <w:r>
        <w:rPr>
          <w:rFonts w:ascii="Times New Roman"/>
          <w:i/>
          <w:spacing w:val="-6"/>
          <w:sz w:val="19"/>
        </w:rPr>
        <w:t> </w:t>
      </w:r>
      <w:r>
        <w:rPr>
          <w:rFonts w:ascii="Times New Roman"/>
          <w:i/>
          <w:sz w:val="19"/>
        </w:rPr>
        <w:t>Authority</w:t>
      </w:r>
      <w:r>
        <w:rPr>
          <w:rFonts w:ascii="Times New Roman"/>
          <w:i/>
          <w:spacing w:val="-6"/>
          <w:sz w:val="19"/>
        </w:rPr>
        <w:t> </w:t>
      </w:r>
      <w:r>
        <w:rPr>
          <w:rFonts w:ascii="Times New Roman"/>
          <w:i/>
          <w:sz w:val="19"/>
        </w:rPr>
        <w:t>&amp;</w:t>
      </w:r>
      <w:r>
        <w:rPr>
          <w:rFonts w:ascii="Times New Roman"/>
          <w:i/>
          <w:spacing w:val="-11"/>
          <w:sz w:val="19"/>
        </w:rPr>
        <w:t> </w:t>
      </w:r>
      <w:r>
        <w:rPr>
          <w:rFonts w:ascii="Times New Roman"/>
          <w:i/>
          <w:sz w:val="19"/>
        </w:rPr>
        <w:t>Anor</w:t>
      </w:r>
      <w:r>
        <w:rPr>
          <w:rFonts w:ascii="Times New Roman"/>
          <w:i/>
          <w:spacing w:val="-12"/>
          <w:sz w:val="19"/>
        </w:rPr>
        <w:t> </w:t>
      </w:r>
      <w:r>
        <w:rPr>
          <w:rFonts w:ascii="Times New Roman"/>
          <w:sz w:val="19"/>
        </w:rPr>
        <w:t>(1997)</w:t>
      </w:r>
      <w:r>
        <w:rPr>
          <w:rFonts w:ascii="Times New Roman"/>
          <w:spacing w:val="-10"/>
          <w:sz w:val="19"/>
        </w:rPr>
        <w:t> </w:t>
      </w:r>
      <w:r>
        <w:rPr>
          <w:rFonts w:ascii="Times New Roman"/>
          <w:sz w:val="19"/>
        </w:rPr>
        <w:t>4</w:t>
      </w:r>
      <w:r>
        <w:rPr>
          <w:rFonts w:ascii="Times New Roman"/>
          <w:spacing w:val="-10"/>
          <w:sz w:val="19"/>
        </w:rPr>
        <w:t> </w:t>
      </w:r>
      <w:r>
        <w:rPr>
          <w:rFonts w:ascii="Times New Roman"/>
          <w:sz w:val="19"/>
        </w:rPr>
        <w:t>NWLR</w:t>
      </w:r>
      <w:r>
        <w:rPr>
          <w:rFonts w:ascii="Times New Roman"/>
          <w:spacing w:val="-10"/>
          <w:sz w:val="19"/>
        </w:rPr>
        <w:t> </w:t>
      </w:r>
      <w:r>
        <w:rPr>
          <w:rFonts w:ascii="Times New Roman"/>
          <w:sz w:val="19"/>
        </w:rPr>
        <w:t>(Pt</w:t>
      </w:r>
      <w:r>
        <w:rPr>
          <w:rFonts w:ascii="Times New Roman"/>
          <w:spacing w:val="-4"/>
          <w:sz w:val="19"/>
        </w:rPr>
        <w:t> </w:t>
      </w:r>
      <w:r>
        <w:rPr>
          <w:rFonts w:ascii="Times New Roman"/>
          <w:sz w:val="19"/>
        </w:rPr>
        <w:t>502)</w:t>
      </w:r>
      <w:r>
        <w:rPr>
          <w:rFonts w:ascii="Times New Roman"/>
          <w:spacing w:val="-9"/>
          <w:sz w:val="19"/>
        </w:rPr>
        <w:t> </w:t>
      </w:r>
      <w:r>
        <w:rPr>
          <w:rFonts w:ascii="Times New Roman"/>
          <w:spacing w:val="-5"/>
          <w:sz w:val="19"/>
        </w:rPr>
        <w:t>656</w:t>
      </w:r>
    </w:p>
    <w:p>
      <w:pPr>
        <w:spacing w:line="237" w:lineRule="auto" w:before="0"/>
        <w:ind w:left="187" w:right="123" w:firstLine="0"/>
        <w:jc w:val="left"/>
        <w:rPr>
          <w:rFonts w:ascii="Times New Roman" w:hAnsi="Times New Roman"/>
          <w:sz w:val="19"/>
        </w:rPr>
      </w:pPr>
      <w:r>
        <w:rPr>
          <w:rFonts w:ascii="Times New Roman" w:hAnsi="Times New Roman"/>
          <w:sz w:val="19"/>
          <w:vertAlign w:val="superscript"/>
        </w:rPr>
        <w:t>312</w:t>
      </w:r>
      <w:r>
        <w:rPr>
          <w:rFonts w:ascii="Times New Roman" w:hAnsi="Times New Roman"/>
          <w:spacing w:val="-1"/>
          <w:sz w:val="19"/>
          <w:vertAlign w:val="baseline"/>
        </w:rPr>
        <w:t> </w:t>
      </w:r>
      <w:r>
        <w:rPr>
          <w:rFonts w:ascii="Times New Roman" w:hAnsi="Times New Roman"/>
          <w:i/>
          <w:sz w:val="19"/>
          <w:vertAlign w:val="baseline"/>
        </w:rPr>
        <w:t>Shitta</w:t>
      </w:r>
      <w:r>
        <w:rPr>
          <w:rFonts w:ascii="Times New Roman" w:hAnsi="Times New Roman"/>
          <w:i/>
          <w:spacing w:val="-8"/>
          <w:sz w:val="19"/>
          <w:vertAlign w:val="baseline"/>
        </w:rPr>
        <w:t> </w:t>
      </w:r>
      <w:r>
        <w:rPr>
          <w:rFonts w:ascii="Times New Roman" w:hAnsi="Times New Roman"/>
          <w:i/>
          <w:sz w:val="19"/>
          <w:vertAlign w:val="baseline"/>
        </w:rPr>
        <w:t>–</w:t>
      </w:r>
      <w:r>
        <w:rPr>
          <w:rFonts w:ascii="Times New Roman" w:hAnsi="Times New Roman"/>
          <w:i/>
          <w:spacing w:val="-5"/>
          <w:sz w:val="19"/>
          <w:vertAlign w:val="baseline"/>
        </w:rPr>
        <w:t> </w:t>
      </w:r>
      <w:r>
        <w:rPr>
          <w:rFonts w:ascii="Times New Roman" w:hAnsi="Times New Roman"/>
          <w:i/>
          <w:sz w:val="19"/>
          <w:vertAlign w:val="baseline"/>
        </w:rPr>
        <w:t>Bey</w:t>
      </w:r>
      <w:r>
        <w:rPr>
          <w:rFonts w:ascii="Times New Roman" w:hAnsi="Times New Roman"/>
          <w:i/>
          <w:spacing w:val="-7"/>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5"/>
          <w:sz w:val="19"/>
          <w:vertAlign w:val="baseline"/>
        </w:rPr>
        <w:t> </w:t>
      </w:r>
      <w:r>
        <w:rPr>
          <w:rFonts w:ascii="Times New Roman" w:hAnsi="Times New Roman"/>
          <w:i/>
          <w:sz w:val="19"/>
          <w:vertAlign w:val="baseline"/>
        </w:rPr>
        <w:t>Federation</w:t>
      </w:r>
      <w:r>
        <w:rPr>
          <w:rFonts w:ascii="Times New Roman" w:hAnsi="Times New Roman"/>
          <w:i/>
          <w:spacing w:val="-4"/>
          <w:sz w:val="19"/>
          <w:vertAlign w:val="baseline"/>
        </w:rPr>
        <w:t> </w:t>
      </w:r>
      <w:r>
        <w:rPr>
          <w:rFonts w:ascii="Times New Roman" w:hAnsi="Times New Roman"/>
          <w:i/>
          <w:sz w:val="19"/>
          <w:vertAlign w:val="baseline"/>
        </w:rPr>
        <w:t>&amp;</w:t>
      </w:r>
      <w:r>
        <w:rPr>
          <w:rFonts w:ascii="Times New Roman" w:hAnsi="Times New Roman"/>
          <w:i/>
          <w:spacing w:val="-12"/>
          <w:sz w:val="19"/>
          <w:vertAlign w:val="baseline"/>
        </w:rPr>
        <w:t> </w:t>
      </w:r>
      <w:r>
        <w:rPr>
          <w:rFonts w:ascii="Times New Roman" w:hAnsi="Times New Roman"/>
          <w:i/>
          <w:sz w:val="19"/>
          <w:vertAlign w:val="baseline"/>
        </w:rPr>
        <w:t>Anor</w:t>
      </w:r>
      <w:r>
        <w:rPr>
          <w:rFonts w:ascii="Times New Roman" w:hAnsi="Times New Roman"/>
          <w:i/>
          <w:spacing w:val="-7"/>
          <w:sz w:val="19"/>
          <w:vertAlign w:val="baseline"/>
        </w:rPr>
        <w:t> </w:t>
      </w:r>
      <w:r>
        <w:rPr>
          <w:rFonts w:ascii="Times New Roman" w:hAnsi="Times New Roman"/>
          <w:sz w:val="19"/>
          <w:vertAlign w:val="baseline"/>
        </w:rPr>
        <w:t>(1998)7</w:t>
      </w:r>
      <w:r>
        <w:rPr>
          <w:rFonts w:ascii="Times New Roman" w:hAnsi="Times New Roman"/>
          <w:spacing w:val="-5"/>
          <w:sz w:val="19"/>
          <w:vertAlign w:val="baseline"/>
        </w:rPr>
        <w:t> </w:t>
      </w:r>
      <w:r>
        <w:rPr>
          <w:rFonts w:ascii="Times New Roman" w:hAnsi="Times New Roman"/>
          <w:sz w:val="19"/>
          <w:vertAlign w:val="baseline"/>
        </w:rPr>
        <w:t>SCNJ</w:t>
      </w:r>
      <w:r>
        <w:rPr>
          <w:rFonts w:ascii="Times New Roman" w:hAnsi="Times New Roman"/>
          <w:spacing w:val="-6"/>
          <w:sz w:val="19"/>
          <w:vertAlign w:val="baseline"/>
        </w:rPr>
        <w:t> </w:t>
      </w:r>
      <w:r>
        <w:rPr>
          <w:rFonts w:ascii="Times New Roman" w:hAnsi="Times New Roman"/>
          <w:sz w:val="19"/>
          <w:vertAlign w:val="baseline"/>
        </w:rPr>
        <w:t>264</w:t>
      </w:r>
      <w:r>
        <w:rPr>
          <w:rFonts w:ascii="Times New Roman" w:hAnsi="Times New Roman"/>
          <w:spacing w:val="-8"/>
          <w:sz w:val="19"/>
          <w:vertAlign w:val="baseline"/>
        </w:rPr>
        <w:t> </w:t>
      </w:r>
      <w:r>
        <w:rPr>
          <w:rFonts w:ascii="Times New Roman" w:hAnsi="Times New Roman"/>
          <w:sz w:val="19"/>
          <w:vertAlign w:val="baseline"/>
        </w:rPr>
        <w:t>at</w:t>
      </w:r>
      <w:r>
        <w:rPr>
          <w:rFonts w:ascii="Times New Roman" w:hAnsi="Times New Roman"/>
          <w:spacing w:val="-1"/>
          <w:sz w:val="19"/>
          <w:vertAlign w:val="baseline"/>
        </w:rPr>
        <w:t> </w:t>
      </w:r>
      <w:r>
        <w:rPr>
          <w:rFonts w:ascii="Times New Roman" w:hAnsi="Times New Roman"/>
          <w:sz w:val="19"/>
          <w:vertAlign w:val="baseline"/>
        </w:rPr>
        <w:t>266,</w:t>
      </w:r>
      <w:r>
        <w:rPr>
          <w:rFonts w:ascii="Times New Roman" w:hAnsi="Times New Roman"/>
          <w:spacing w:val="-5"/>
          <w:sz w:val="19"/>
          <w:vertAlign w:val="baseline"/>
        </w:rPr>
        <w:t> </w:t>
      </w:r>
      <w:r>
        <w:rPr>
          <w:rFonts w:ascii="Times New Roman" w:hAnsi="Times New Roman"/>
          <w:i/>
          <w:sz w:val="19"/>
          <w:vertAlign w:val="baseline"/>
        </w:rPr>
        <w:t>Adeyemi</w:t>
      </w:r>
      <w:r>
        <w:rPr>
          <w:rFonts w:ascii="Times New Roman" w:hAnsi="Times New Roman"/>
          <w:i/>
          <w:spacing w:val="-6"/>
          <w:sz w:val="19"/>
          <w:vertAlign w:val="baseline"/>
        </w:rPr>
        <w:t> </w:t>
      </w:r>
      <w:r>
        <w:rPr>
          <w:rFonts w:ascii="Times New Roman" w:hAnsi="Times New Roman"/>
          <w:i/>
          <w:sz w:val="19"/>
          <w:vertAlign w:val="baseline"/>
        </w:rPr>
        <w:t>Saliu</w:t>
      </w:r>
      <w:r>
        <w:rPr>
          <w:rFonts w:ascii="Times New Roman" w:hAnsi="Times New Roman"/>
          <w:i/>
          <w:spacing w:val="-8"/>
          <w:sz w:val="19"/>
          <w:vertAlign w:val="baseline"/>
        </w:rPr>
        <w:t> </w:t>
      </w:r>
      <w:r>
        <w:rPr>
          <w:rFonts w:ascii="Times New Roman" w:hAnsi="Times New Roman"/>
          <w:i/>
          <w:sz w:val="19"/>
          <w:vertAlign w:val="baseline"/>
        </w:rPr>
        <w:t>Olaotan</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7"/>
          <w:sz w:val="19"/>
          <w:vertAlign w:val="baseline"/>
        </w:rPr>
        <w:t> </w:t>
      </w:r>
      <w:r>
        <w:rPr>
          <w:rFonts w:ascii="Times New Roman" w:hAnsi="Times New Roman"/>
          <w:i/>
          <w:sz w:val="19"/>
          <w:vertAlign w:val="baseline"/>
        </w:rPr>
        <w:t>Lagos</w:t>
      </w:r>
      <w:r>
        <w:rPr>
          <w:rFonts w:ascii="Times New Roman" w:hAnsi="Times New Roman"/>
          <w:i/>
          <w:spacing w:val="-6"/>
          <w:sz w:val="19"/>
          <w:vertAlign w:val="baseline"/>
        </w:rPr>
        <w:t> </w:t>
      </w:r>
      <w:r>
        <w:rPr>
          <w:rFonts w:ascii="Times New Roman" w:hAnsi="Times New Roman"/>
          <w:i/>
          <w:sz w:val="19"/>
          <w:vertAlign w:val="baseline"/>
        </w:rPr>
        <w:t>State Government &amp; Ors </w:t>
      </w:r>
      <w:r>
        <w:rPr>
          <w:rFonts w:ascii="Times New Roman" w:hAnsi="Times New Roman"/>
          <w:sz w:val="19"/>
          <w:vertAlign w:val="baseline"/>
        </w:rPr>
        <w:t>(Unreported) Suit No. NIC/LA/41/2010</w:t>
      </w:r>
    </w:p>
    <w:p>
      <w:pPr>
        <w:spacing w:line="215" w:lineRule="exact" w:before="0"/>
        <w:ind w:left="187" w:right="0" w:firstLine="0"/>
        <w:jc w:val="left"/>
        <w:rPr>
          <w:rFonts w:ascii="Times New Roman" w:hAnsi="Times New Roman"/>
          <w:sz w:val="19"/>
        </w:rPr>
      </w:pPr>
      <w:r>
        <w:rPr>
          <w:rFonts w:ascii="Times New Roman" w:hAnsi="Times New Roman"/>
          <w:sz w:val="19"/>
          <w:vertAlign w:val="superscript"/>
        </w:rPr>
        <w:t>313</w:t>
      </w:r>
      <w:r>
        <w:rPr>
          <w:rFonts w:ascii="Times New Roman" w:hAnsi="Times New Roman"/>
          <w:spacing w:val="-11"/>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4(1)</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No.</w:t>
      </w:r>
      <w:r>
        <w:rPr>
          <w:rFonts w:ascii="Times New Roman" w:hAnsi="Times New Roman"/>
          <w:spacing w:val="-7"/>
          <w:sz w:val="19"/>
          <w:vertAlign w:val="baseline"/>
        </w:rPr>
        <w:t> </w:t>
      </w:r>
      <w:r>
        <w:rPr>
          <w:rFonts w:ascii="Times New Roman" w:hAnsi="Times New Roman"/>
          <w:sz w:val="19"/>
          <w:vertAlign w:val="baseline"/>
        </w:rPr>
        <w:t>13,</w:t>
      </w:r>
      <w:r>
        <w:rPr>
          <w:rFonts w:ascii="Times New Roman" w:hAnsi="Times New Roman"/>
          <w:spacing w:val="-12"/>
          <w:sz w:val="19"/>
          <w:vertAlign w:val="baseline"/>
        </w:rPr>
        <w:t> </w:t>
      </w:r>
      <w:r>
        <w:rPr>
          <w:rFonts w:ascii="Times New Roman" w:hAnsi="Times New Roman"/>
          <w:spacing w:val="-4"/>
          <w:sz w:val="19"/>
          <w:vertAlign w:val="baseline"/>
        </w:rPr>
        <w:t>2010</w:t>
      </w:r>
    </w:p>
    <w:p>
      <w:pPr>
        <w:spacing w:line="217" w:lineRule="exact" w:before="0"/>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187" w:right="563"/>
        <w:jc w:val="both"/>
      </w:pPr>
      <w:r>
        <w:rPr/>
        <w:t>action</w:t>
      </w:r>
      <w:r>
        <w:rPr>
          <w:spacing w:val="40"/>
        </w:rPr>
        <w:t> </w:t>
      </w:r>
      <w:r>
        <w:rPr/>
        <w:t>in</w:t>
      </w:r>
      <w:r>
        <w:rPr>
          <w:spacing w:val="40"/>
        </w:rPr>
        <w:t> </w:t>
      </w:r>
      <w:r>
        <w:rPr/>
        <w:t>court</w:t>
      </w:r>
      <w:r>
        <w:rPr>
          <w:spacing w:val="40"/>
        </w:rPr>
        <w:t> </w:t>
      </w:r>
      <w:r>
        <w:rPr/>
        <w:t>and</w:t>
      </w:r>
      <w:r>
        <w:rPr>
          <w:spacing w:val="40"/>
        </w:rPr>
        <w:t> </w:t>
      </w:r>
      <w:r>
        <w:rPr/>
        <w:t>without</w:t>
      </w:r>
      <w:r>
        <w:rPr>
          <w:spacing w:val="40"/>
        </w:rPr>
        <w:t> </w:t>
      </w:r>
      <w:r>
        <w:rPr/>
        <w:t>jurisdiction,</w:t>
      </w:r>
      <w:r>
        <w:rPr>
          <w:spacing w:val="40"/>
        </w:rPr>
        <w:t> </w:t>
      </w:r>
      <w:r>
        <w:rPr/>
        <w:t>any</w:t>
      </w:r>
      <w:r>
        <w:rPr>
          <w:spacing w:val="40"/>
        </w:rPr>
        <w:t> </w:t>
      </w:r>
      <w:r>
        <w:rPr/>
        <w:t>decision</w:t>
      </w:r>
      <w:r>
        <w:rPr>
          <w:spacing w:val="40"/>
        </w:rPr>
        <w:t> </w:t>
      </w:r>
      <w:r>
        <w:rPr/>
        <w:t>arrived</w:t>
      </w:r>
      <w:r>
        <w:rPr>
          <w:spacing w:val="40"/>
        </w:rPr>
        <w:t> </w:t>
      </w:r>
      <w:r>
        <w:rPr/>
        <w:t>by</w:t>
      </w:r>
      <w:r>
        <w:rPr>
          <w:spacing w:val="40"/>
        </w:rPr>
        <w:t> </w:t>
      </w:r>
      <w:r>
        <w:rPr/>
        <w:t>the</w:t>
      </w:r>
      <w:r>
        <w:rPr>
          <w:spacing w:val="40"/>
        </w:rPr>
        <w:t> </w:t>
      </w:r>
      <w:r>
        <w:rPr/>
        <w:t>court amounts to</w:t>
      </w:r>
      <w:r>
        <w:rPr>
          <w:spacing w:val="40"/>
        </w:rPr>
        <w:t> </w:t>
      </w:r>
      <w:r>
        <w:rPr/>
        <w:t>a nullity,</w:t>
      </w:r>
      <w:r>
        <w:rPr>
          <w:spacing w:val="40"/>
        </w:rPr>
        <w:t> </w:t>
      </w:r>
      <w:r>
        <w:rPr/>
        <w:t>hence the</w:t>
      </w:r>
      <w:r>
        <w:rPr>
          <w:spacing w:val="40"/>
        </w:rPr>
        <w:t> </w:t>
      </w:r>
      <w:r>
        <w:rPr/>
        <w:t>court will</w:t>
      </w:r>
      <w:r>
        <w:rPr>
          <w:spacing w:val="40"/>
        </w:rPr>
        <w:t> </w:t>
      </w:r>
      <w:r>
        <w:rPr/>
        <w:t>not sit over</w:t>
      </w:r>
      <w:r>
        <w:rPr>
          <w:spacing w:val="40"/>
        </w:rPr>
        <w:t> </w:t>
      </w:r>
      <w:r>
        <w:rPr/>
        <w:t>a matter</w:t>
      </w:r>
      <w:r>
        <w:rPr>
          <w:spacing w:val="40"/>
        </w:rPr>
        <w:t> </w:t>
      </w:r>
      <w:r>
        <w:rPr/>
        <w:t>when</w:t>
      </w:r>
      <w:r>
        <w:rPr>
          <w:spacing w:val="40"/>
        </w:rPr>
        <w:t> </w:t>
      </w:r>
      <w:r>
        <w:rPr/>
        <w:t>it is convinced that it lacks jurisdiction to entertain same.</w:t>
      </w:r>
      <w:r>
        <w:rPr>
          <w:vertAlign w:val="superscript"/>
        </w:rPr>
        <w:t>312</w:t>
      </w:r>
      <w:r>
        <w:rPr>
          <w:vertAlign w:val="baseline"/>
        </w:rPr>
        <w:t> The thresholds of this chapter are the procedures to be followed in order to be entitled to compensation and which court to proceed to when there is any dissatisfaction with the award of compensation</w:t>
      </w:r>
      <w:r>
        <w:rPr>
          <w:spacing w:val="40"/>
          <w:vertAlign w:val="baseline"/>
        </w:rPr>
        <w:t> </w:t>
      </w:r>
      <w:r>
        <w:rPr>
          <w:vertAlign w:val="baseline"/>
        </w:rPr>
        <w:t>by</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The</w:t>
      </w:r>
      <w:r>
        <w:rPr>
          <w:spacing w:val="40"/>
          <w:vertAlign w:val="baseline"/>
        </w:rPr>
        <w:t> </w:t>
      </w:r>
      <w:r>
        <w:rPr>
          <w:vertAlign w:val="baseline"/>
        </w:rPr>
        <w:t>items</w:t>
      </w:r>
      <w:r>
        <w:rPr>
          <w:spacing w:val="40"/>
          <w:vertAlign w:val="baseline"/>
        </w:rPr>
        <w:t> </w:t>
      </w:r>
      <w:r>
        <w:rPr>
          <w:vertAlign w:val="baseline"/>
        </w:rPr>
        <w:t>considered</w:t>
      </w:r>
      <w:r>
        <w:rPr>
          <w:spacing w:val="40"/>
          <w:vertAlign w:val="baseline"/>
        </w:rPr>
        <w:t> </w:t>
      </w:r>
      <w:r>
        <w:rPr>
          <w:vertAlign w:val="baseline"/>
        </w:rPr>
        <w:t>here</w:t>
      </w:r>
      <w:r>
        <w:rPr>
          <w:spacing w:val="40"/>
          <w:vertAlign w:val="baseline"/>
        </w:rPr>
        <w:t> </w:t>
      </w:r>
      <w:r>
        <w:rPr>
          <w:vertAlign w:val="baseline"/>
        </w:rPr>
        <w:t>are</w:t>
      </w:r>
      <w:r>
        <w:rPr>
          <w:spacing w:val="40"/>
          <w:vertAlign w:val="baseline"/>
        </w:rPr>
        <w:t> </w:t>
      </w:r>
      <w:r>
        <w:rPr>
          <w:vertAlign w:val="baseline"/>
        </w:rPr>
        <w:t>employees’ notification</w:t>
      </w:r>
      <w:r>
        <w:rPr>
          <w:spacing w:val="40"/>
          <w:vertAlign w:val="baseline"/>
        </w:rPr>
        <w:t> </w:t>
      </w:r>
      <w:r>
        <w:rPr>
          <w:vertAlign w:val="baseline"/>
        </w:rPr>
        <w:t>of</w:t>
      </w:r>
      <w:r>
        <w:rPr>
          <w:spacing w:val="40"/>
          <w:vertAlign w:val="baseline"/>
        </w:rPr>
        <w:t> </w:t>
      </w:r>
      <w:r>
        <w:rPr>
          <w:vertAlign w:val="baseline"/>
        </w:rPr>
        <w:t>injury,</w:t>
      </w:r>
      <w:r>
        <w:rPr>
          <w:spacing w:val="40"/>
          <w:vertAlign w:val="baseline"/>
        </w:rPr>
        <w:t> </w:t>
      </w:r>
      <w:r>
        <w:rPr>
          <w:vertAlign w:val="baseline"/>
        </w:rPr>
        <w:t>application</w:t>
      </w:r>
      <w:r>
        <w:rPr>
          <w:spacing w:val="40"/>
          <w:vertAlign w:val="baseline"/>
        </w:rPr>
        <w:t> </w:t>
      </w:r>
      <w:r>
        <w:rPr>
          <w:vertAlign w:val="baseline"/>
        </w:rPr>
        <w:t>for</w:t>
      </w:r>
      <w:r>
        <w:rPr>
          <w:spacing w:val="40"/>
          <w:vertAlign w:val="baseline"/>
        </w:rPr>
        <w:t> </w:t>
      </w:r>
      <w:r>
        <w:rPr>
          <w:vertAlign w:val="baseline"/>
        </w:rPr>
        <w:t>compensation,</w:t>
      </w:r>
      <w:r>
        <w:rPr>
          <w:spacing w:val="40"/>
          <w:vertAlign w:val="baseline"/>
        </w:rPr>
        <w:t> </w:t>
      </w:r>
      <w:r>
        <w:rPr>
          <w:vertAlign w:val="baseline"/>
        </w:rPr>
        <w:t>limitation</w:t>
      </w:r>
      <w:r>
        <w:rPr>
          <w:spacing w:val="40"/>
          <w:vertAlign w:val="baseline"/>
        </w:rPr>
        <w:t> </w:t>
      </w:r>
      <w:r>
        <w:rPr>
          <w:vertAlign w:val="baseline"/>
        </w:rPr>
        <w:t>of</w:t>
      </w:r>
      <w:r>
        <w:rPr>
          <w:spacing w:val="40"/>
          <w:vertAlign w:val="baseline"/>
        </w:rPr>
        <w:t> </w:t>
      </w:r>
      <w:r>
        <w:rPr>
          <w:vertAlign w:val="baseline"/>
        </w:rPr>
        <w:t>action, indemnity, subrogation and right of appeal.</w:t>
      </w:r>
    </w:p>
    <w:p>
      <w:pPr>
        <w:pStyle w:val="BodyText"/>
        <w:rPr>
          <w:sz w:val="20"/>
        </w:rPr>
      </w:pPr>
    </w:p>
    <w:p>
      <w:pPr>
        <w:pStyle w:val="BodyText"/>
        <w:spacing w:before="184"/>
        <w:rPr>
          <w:sz w:val="20"/>
        </w:rPr>
      </w:pPr>
      <w:r>
        <w:rPr/>
        <mc:AlternateContent>
          <mc:Choice Requires="wps">
            <w:drawing>
              <wp:anchor distT="0" distB="0" distL="0" distR="0" allowOverlap="1" layoutInCell="1" locked="0" behindDoc="1" simplePos="0" relativeHeight="487643136">
                <wp:simplePos x="0" y="0"/>
                <wp:positionH relativeFrom="page">
                  <wp:posOffset>1185672</wp:posOffset>
                </wp:positionH>
                <wp:positionV relativeFrom="paragraph">
                  <wp:posOffset>285674</wp:posOffset>
                </wp:positionV>
                <wp:extent cx="5389245" cy="3175"/>
                <wp:effectExtent l="0" t="0" r="0" b="0"/>
                <wp:wrapTopAndBottom/>
                <wp:docPr id="124" name="Graphic 124"/>
                <wp:cNvGraphicFramePr>
                  <a:graphicFrameLocks/>
                </wp:cNvGraphicFramePr>
                <a:graphic>
                  <a:graphicData uri="http://schemas.microsoft.com/office/word/2010/wordprocessingShape">
                    <wps:wsp>
                      <wps:cNvPr id="124" name="Graphic 124"/>
                      <wps:cNvSpPr/>
                      <wps:spPr>
                        <a:xfrm>
                          <a:off x="0" y="0"/>
                          <a:ext cx="5389245" cy="3175"/>
                        </a:xfrm>
                        <a:custGeom>
                          <a:avLst/>
                          <a:gdLst/>
                          <a:ahLst/>
                          <a:cxnLst/>
                          <a:rect l="l" t="t" r="r" b="b"/>
                          <a:pathLst>
                            <a:path w="5389245" h="3175">
                              <a:moveTo>
                                <a:pt x="5388863" y="0"/>
                              </a:moveTo>
                              <a:lnTo>
                                <a:pt x="0" y="0"/>
                              </a:lnTo>
                              <a:lnTo>
                                <a:pt x="0" y="3048"/>
                              </a:lnTo>
                              <a:lnTo>
                                <a:pt x="5388863" y="3048"/>
                              </a:lnTo>
                              <a:lnTo>
                                <a:pt x="538886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2.494062pt;width:424.32pt;height:.24pt;mso-position-horizontal-relative:page;mso-position-vertical-relative:paragraph;z-index:-15673344;mso-wrap-distance-left:0;mso-wrap-distance-right:0" id="docshape124"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6" w:lineRule="exact" w:before="0"/>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6"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4"/>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37" w:lineRule="auto" w:before="0"/>
        <w:ind w:left="187" w:right="123" w:firstLine="0"/>
        <w:jc w:val="left"/>
        <w:rPr>
          <w:rFonts w:ascii="Times New Roman" w:hAnsi="Times New Roman"/>
          <w:sz w:val="19"/>
        </w:rPr>
      </w:pPr>
      <w:r>
        <w:rPr>
          <w:rFonts w:ascii="Times New Roman" w:hAnsi="Times New Roman"/>
          <w:sz w:val="19"/>
          <w:vertAlign w:val="superscript"/>
        </w:rPr>
        <w:t>312</w:t>
      </w:r>
      <w:r>
        <w:rPr>
          <w:rFonts w:ascii="Times New Roman" w:hAnsi="Times New Roman"/>
          <w:spacing w:val="-1"/>
          <w:sz w:val="19"/>
          <w:vertAlign w:val="baseline"/>
        </w:rPr>
        <w:t> </w:t>
      </w:r>
      <w:r>
        <w:rPr>
          <w:rFonts w:ascii="Times New Roman" w:hAnsi="Times New Roman"/>
          <w:i/>
          <w:sz w:val="19"/>
          <w:vertAlign w:val="baseline"/>
        </w:rPr>
        <w:t>Shitta</w:t>
      </w:r>
      <w:r>
        <w:rPr>
          <w:rFonts w:ascii="Times New Roman" w:hAnsi="Times New Roman"/>
          <w:i/>
          <w:spacing w:val="-8"/>
          <w:sz w:val="19"/>
          <w:vertAlign w:val="baseline"/>
        </w:rPr>
        <w:t> </w:t>
      </w:r>
      <w:r>
        <w:rPr>
          <w:rFonts w:ascii="Times New Roman" w:hAnsi="Times New Roman"/>
          <w:i/>
          <w:sz w:val="19"/>
          <w:vertAlign w:val="baseline"/>
        </w:rPr>
        <w:t>–</w:t>
      </w:r>
      <w:r>
        <w:rPr>
          <w:rFonts w:ascii="Times New Roman" w:hAnsi="Times New Roman"/>
          <w:i/>
          <w:spacing w:val="-5"/>
          <w:sz w:val="19"/>
          <w:vertAlign w:val="baseline"/>
        </w:rPr>
        <w:t> </w:t>
      </w:r>
      <w:r>
        <w:rPr>
          <w:rFonts w:ascii="Times New Roman" w:hAnsi="Times New Roman"/>
          <w:i/>
          <w:sz w:val="19"/>
          <w:vertAlign w:val="baseline"/>
        </w:rPr>
        <w:t>Bey</w:t>
      </w:r>
      <w:r>
        <w:rPr>
          <w:rFonts w:ascii="Times New Roman" w:hAnsi="Times New Roman"/>
          <w:i/>
          <w:spacing w:val="-7"/>
          <w:sz w:val="19"/>
          <w:vertAlign w:val="baseline"/>
        </w:rPr>
        <w:t> </w:t>
      </w:r>
      <w:r>
        <w:rPr>
          <w:rFonts w:ascii="Times New Roman" w:hAnsi="Times New Roman"/>
          <w:i/>
          <w:sz w:val="19"/>
          <w:vertAlign w:val="baseline"/>
        </w:rPr>
        <w:t>v.</w:t>
      </w:r>
      <w:r>
        <w:rPr>
          <w:rFonts w:ascii="Times New Roman" w:hAnsi="Times New Roman"/>
          <w:i/>
          <w:spacing w:val="-5"/>
          <w:sz w:val="19"/>
          <w:vertAlign w:val="baseline"/>
        </w:rPr>
        <w:t> </w:t>
      </w:r>
      <w:r>
        <w:rPr>
          <w:rFonts w:ascii="Times New Roman" w:hAnsi="Times New Roman"/>
          <w:i/>
          <w:sz w:val="19"/>
          <w:vertAlign w:val="baseline"/>
        </w:rPr>
        <w:t>A.G.</w:t>
      </w:r>
      <w:r>
        <w:rPr>
          <w:rFonts w:ascii="Times New Roman" w:hAnsi="Times New Roman"/>
          <w:i/>
          <w:spacing w:val="-5"/>
          <w:sz w:val="19"/>
          <w:vertAlign w:val="baseline"/>
        </w:rPr>
        <w:t> </w:t>
      </w:r>
      <w:r>
        <w:rPr>
          <w:rFonts w:ascii="Times New Roman" w:hAnsi="Times New Roman"/>
          <w:i/>
          <w:sz w:val="19"/>
          <w:vertAlign w:val="baseline"/>
        </w:rPr>
        <w:t>Federation</w:t>
      </w:r>
      <w:r>
        <w:rPr>
          <w:rFonts w:ascii="Times New Roman" w:hAnsi="Times New Roman"/>
          <w:i/>
          <w:spacing w:val="-4"/>
          <w:sz w:val="19"/>
          <w:vertAlign w:val="baseline"/>
        </w:rPr>
        <w:t> </w:t>
      </w:r>
      <w:r>
        <w:rPr>
          <w:rFonts w:ascii="Times New Roman" w:hAnsi="Times New Roman"/>
          <w:i/>
          <w:sz w:val="19"/>
          <w:vertAlign w:val="baseline"/>
        </w:rPr>
        <w:t>&amp;</w:t>
      </w:r>
      <w:r>
        <w:rPr>
          <w:rFonts w:ascii="Times New Roman" w:hAnsi="Times New Roman"/>
          <w:i/>
          <w:spacing w:val="-12"/>
          <w:sz w:val="19"/>
          <w:vertAlign w:val="baseline"/>
        </w:rPr>
        <w:t> </w:t>
      </w:r>
      <w:r>
        <w:rPr>
          <w:rFonts w:ascii="Times New Roman" w:hAnsi="Times New Roman"/>
          <w:i/>
          <w:sz w:val="19"/>
          <w:vertAlign w:val="baseline"/>
        </w:rPr>
        <w:t>Anor</w:t>
      </w:r>
      <w:r>
        <w:rPr>
          <w:rFonts w:ascii="Times New Roman" w:hAnsi="Times New Roman"/>
          <w:i/>
          <w:spacing w:val="-7"/>
          <w:sz w:val="19"/>
          <w:vertAlign w:val="baseline"/>
        </w:rPr>
        <w:t> </w:t>
      </w:r>
      <w:r>
        <w:rPr>
          <w:rFonts w:ascii="Times New Roman" w:hAnsi="Times New Roman"/>
          <w:sz w:val="19"/>
          <w:vertAlign w:val="baseline"/>
        </w:rPr>
        <w:t>(1998)7</w:t>
      </w:r>
      <w:r>
        <w:rPr>
          <w:rFonts w:ascii="Times New Roman" w:hAnsi="Times New Roman"/>
          <w:spacing w:val="-5"/>
          <w:sz w:val="19"/>
          <w:vertAlign w:val="baseline"/>
        </w:rPr>
        <w:t> </w:t>
      </w:r>
      <w:r>
        <w:rPr>
          <w:rFonts w:ascii="Times New Roman" w:hAnsi="Times New Roman"/>
          <w:sz w:val="19"/>
          <w:vertAlign w:val="baseline"/>
        </w:rPr>
        <w:t>SCNJ</w:t>
      </w:r>
      <w:r>
        <w:rPr>
          <w:rFonts w:ascii="Times New Roman" w:hAnsi="Times New Roman"/>
          <w:spacing w:val="-6"/>
          <w:sz w:val="19"/>
          <w:vertAlign w:val="baseline"/>
        </w:rPr>
        <w:t> </w:t>
      </w:r>
      <w:r>
        <w:rPr>
          <w:rFonts w:ascii="Times New Roman" w:hAnsi="Times New Roman"/>
          <w:sz w:val="19"/>
          <w:vertAlign w:val="baseline"/>
        </w:rPr>
        <w:t>264</w:t>
      </w:r>
      <w:r>
        <w:rPr>
          <w:rFonts w:ascii="Times New Roman" w:hAnsi="Times New Roman"/>
          <w:spacing w:val="-8"/>
          <w:sz w:val="19"/>
          <w:vertAlign w:val="baseline"/>
        </w:rPr>
        <w:t> </w:t>
      </w:r>
      <w:r>
        <w:rPr>
          <w:rFonts w:ascii="Times New Roman" w:hAnsi="Times New Roman"/>
          <w:sz w:val="19"/>
          <w:vertAlign w:val="baseline"/>
        </w:rPr>
        <w:t>at</w:t>
      </w:r>
      <w:r>
        <w:rPr>
          <w:rFonts w:ascii="Times New Roman" w:hAnsi="Times New Roman"/>
          <w:spacing w:val="-1"/>
          <w:sz w:val="19"/>
          <w:vertAlign w:val="baseline"/>
        </w:rPr>
        <w:t> </w:t>
      </w:r>
      <w:r>
        <w:rPr>
          <w:rFonts w:ascii="Times New Roman" w:hAnsi="Times New Roman"/>
          <w:sz w:val="19"/>
          <w:vertAlign w:val="baseline"/>
        </w:rPr>
        <w:t>266,</w:t>
      </w:r>
      <w:r>
        <w:rPr>
          <w:rFonts w:ascii="Times New Roman" w:hAnsi="Times New Roman"/>
          <w:spacing w:val="-5"/>
          <w:sz w:val="19"/>
          <w:vertAlign w:val="baseline"/>
        </w:rPr>
        <w:t> </w:t>
      </w:r>
      <w:r>
        <w:rPr>
          <w:rFonts w:ascii="Times New Roman" w:hAnsi="Times New Roman"/>
          <w:i/>
          <w:sz w:val="19"/>
          <w:vertAlign w:val="baseline"/>
        </w:rPr>
        <w:t>Adeyemi</w:t>
      </w:r>
      <w:r>
        <w:rPr>
          <w:rFonts w:ascii="Times New Roman" w:hAnsi="Times New Roman"/>
          <w:i/>
          <w:spacing w:val="-6"/>
          <w:sz w:val="19"/>
          <w:vertAlign w:val="baseline"/>
        </w:rPr>
        <w:t> </w:t>
      </w:r>
      <w:r>
        <w:rPr>
          <w:rFonts w:ascii="Times New Roman" w:hAnsi="Times New Roman"/>
          <w:i/>
          <w:sz w:val="19"/>
          <w:vertAlign w:val="baseline"/>
        </w:rPr>
        <w:t>Saliu</w:t>
      </w:r>
      <w:r>
        <w:rPr>
          <w:rFonts w:ascii="Times New Roman" w:hAnsi="Times New Roman"/>
          <w:i/>
          <w:spacing w:val="-8"/>
          <w:sz w:val="19"/>
          <w:vertAlign w:val="baseline"/>
        </w:rPr>
        <w:t> </w:t>
      </w:r>
      <w:r>
        <w:rPr>
          <w:rFonts w:ascii="Times New Roman" w:hAnsi="Times New Roman"/>
          <w:i/>
          <w:sz w:val="19"/>
          <w:vertAlign w:val="baseline"/>
        </w:rPr>
        <w:t>Olaotan</w:t>
      </w:r>
      <w:r>
        <w:rPr>
          <w:rFonts w:ascii="Times New Roman" w:hAnsi="Times New Roman"/>
          <w:i/>
          <w:spacing w:val="-8"/>
          <w:sz w:val="19"/>
          <w:vertAlign w:val="baseline"/>
        </w:rPr>
        <w:t> </w:t>
      </w:r>
      <w:r>
        <w:rPr>
          <w:rFonts w:ascii="Times New Roman" w:hAnsi="Times New Roman"/>
          <w:i/>
          <w:sz w:val="19"/>
          <w:vertAlign w:val="baseline"/>
        </w:rPr>
        <w:t>v</w:t>
      </w:r>
      <w:r>
        <w:rPr>
          <w:rFonts w:ascii="Times New Roman" w:hAnsi="Times New Roman"/>
          <w:i/>
          <w:spacing w:val="-7"/>
          <w:sz w:val="19"/>
          <w:vertAlign w:val="baseline"/>
        </w:rPr>
        <w:t> </w:t>
      </w:r>
      <w:r>
        <w:rPr>
          <w:rFonts w:ascii="Times New Roman" w:hAnsi="Times New Roman"/>
          <w:i/>
          <w:sz w:val="19"/>
          <w:vertAlign w:val="baseline"/>
        </w:rPr>
        <w:t>Lagos</w:t>
      </w:r>
      <w:r>
        <w:rPr>
          <w:rFonts w:ascii="Times New Roman" w:hAnsi="Times New Roman"/>
          <w:i/>
          <w:spacing w:val="-6"/>
          <w:sz w:val="19"/>
          <w:vertAlign w:val="baseline"/>
        </w:rPr>
        <w:t> </w:t>
      </w:r>
      <w:r>
        <w:rPr>
          <w:rFonts w:ascii="Times New Roman" w:hAnsi="Times New Roman"/>
          <w:i/>
          <w:sz w:val="19"/>
          <w:vertAlign w:val="baseline"/>
        </w:rPr>
        <w:t>State Government &amp; Ors </w:t>
      </w:r>
      <w:r>
        <w:rPr>
          <w:rFonts w:ascii="Times New Roman" w:hAnsi="Times New Roman"/>
          <w:sz w:val="19"/>
          <w:vertAlign w:val="baseline"/>
        </w:rPr>
        <w:t>(Unreported) Suit No. NIC/LA/41/2010</w:t>
      </w:r>
    </w:p>
    <w:p>
      <w:pPr>
        <w:spacing w:line="215" w:lineRule="exact" w:before="0"/>
        <w:ind w:left="187" w:right="0" w:firstLine="0"/>
        <w:jc w:val="left"/>
        <w:rPr>
          <w:rFonts w:ascii="Times New Roman" w:hAnsi="Times New Roman"/>
          <w:sz w:val="19"/>
        </w:rPr>
      </w:pPr>
      <w:r>
        <w:rPr>
          <w:rFonts w:ascii="Times New Roman" w:hAnsi="Times New Roman"/>
          <w:sz w:val="19"/>
          <w:vertAlign w:val="superscript"/>
        </w:rPr>
        <w:t>313</w:t>
      </w:r>
      <w:r>
        <w:rPr>
          <w:rFonts w:ascii="Times New Roman" w:hAnsi="Times New Roman"/>
          <w:spacing w:val="-11"/>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4(1)</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No.</w:t>
      </w:r>
      <w:r>
        <w:rPr>
          <w:rFonts w:ascii="Times New Roman" w:hAnsi="Times New Roman"/>
          <w:spacing w:val="-7"/>
          <w:sz w:val="19"/>
          <w:vertAlign w:val="baseline"/>
        </w:rPr>
        <w:t> </w:t>
      </w:r>
      <w:r>
        <w:rPr>
          <w:rFonts w:ascii="Times New Roman" w:hAnsi="Times New Roman"/>
          <w:sz w:val="19"/>
          <w:vertAlign w:val="baseline"/>
        </w:rPr>
        <w:t>13,</w:t>
      </w:r>
      <w:r>
        <w:rPr>
          <w:rFonts w:ascii="Times New Roman" w:hAnsi="Times New Roman"/>
          <w:spacing w:val="-12"/>
          <w:sz w:val="19"/>
          <w:vertAlign w:val="baseline"/>
        </w:rPr>
        <w:t> </w:t>
      </w:r>
      <w:r>
        <w:rPr>
          <w:rFonts w:ascii="Times New Roman" w:hAnsi="Times New Roman"/>
          <w:spacing w:val="-4"/>
          <w:sz w:val="19"/>
          <w:vertAlign w:val="baseline"/>
        </w:rPr>
        <w:t>2010</w:t>
      </w:r>
    </w:p>
    <w:p>
      <w:pPr>
        <w:spacing w:line="214" w:lineRule="exact" w:before="0"/>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line="215" w:lineRule="exact" w:before="0"/>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7" w:lineRule="exact" w:before="2"/>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after="0" w:line="237" w:lineRule="auto"/>
        <w:jc w:val="left"/>
        <w:rPr>
          <w:rFonts w:ascii="Times New Roman"/>
          <w:sz w:val="19"/>
        </w:rPr>
        <w:sectPr>
          <w:pgSz w:w="12240" w:h="15840"/>
          <w:pgMar w:header="0" w:footer="1009" w:top="1260" w:bottom="1200" w:left="1680" w:right="1320"/>
        </w:sectPr>
      </w:pPr>
    </w:p>
    <w:p>
      <w:pPr>
        <w:pStyle w:val="Heading3"/>
        <w:numPr>
          <w:ilvl w:val="2"/>
          <w:numId w:val="13"/>
        </w:numPr>
        <w:tabs>
          <w:tab w:pos="860" w:val="left" w:leader="none"/>
        </w:tabs>
        <w:spacing w:line="240" w:lineRule="auto" w:before="94" w:after="0"/>
        <w:ind w:left="860" w:right="0" w:hanging="673"/>
        <w:jc w:val="left"/>
      </w:pPr>
      <w:bookmarkStart w:name="_TOC_250007" w:id="23"/>
      <w:r>
        <w:rPr/>
        <w:t>Employee’s</w:t>
      </w:r>
      <w:r>
        <w:rPr>
          <w:spacing w:val="10"/>
        </w:rPr>
        <w:t> </w:t>
      </w:r>
      <w:r>
        <w:rPr/>
        <w:t>Notification</w:t>
      </w:r>
      <w:r>
        <w:rPr>
          <w:spacing w:val="9"/>
        </w:rPr>
        <w:t> </w:t>
      </w:r>
      <w:r>
        <w:rPr/>
        <w:t>of</w:t>
      </w:r>
      <w:r>
        <w:rPr>
          <w:spacing w:val="13"/>
        </w:rPr>
        <w:t> </w:t>
      </w:r>
      <w:bookmarkEnd w:id="23"/>
      <w:r>
        <w:rPr>
          <w:spacing w:val="-2"/>
        </w:rPr>
        <w:t>Injury</w:t>
      </w:r>
    </w:p>
    <w:p>
      <w:pPr>
        <w:pStyle w:val="BodyText"/>
        <w:spacing w:before="11"/>
        <w:rPr>
          <w:b/>
        </w:rPr>
      </w:pPr>
    </w:p>
    <w:p>
      <w:pPr>
        <w:pStyle w:val="BodyText"/>
        <w:spacing w:line="489" w:lineRule="auto"/>
        <w:ind w:left="864" w:right="564"/>
        <w:jc w:val="both"/>
      </w:pPr>
      <w:r>
        <w:rPr/>
        <w:t>Injured or disabled employee is expected to report any such case within 14 days of its occurrence, to the employer, by giving notice to either the employer</w:t>
      </w:r>
      <w:r>
        <w:rPr>
          <w:spacing w:val="40"/>
        </w:rPr>
        <w:t> </w:t>
      </w:r>
      <w:r>
        <w:rPr/>
        <w:t>or</w:t>
      </w:r>
      <w:r>
        <w:rPr>
          <w:spacing w:val="40"/>
        </w:rPr>
        <w:t> </w:t>
      </w:r>
      <w:r>
        <w:rPr/>
        <w:t>the</w:t>
      </w:r>
      <w:r>
        <w:rPr>
          <w:spacing w:val="40"/>
        </w:rPr>
        <w:t> </w:t>
      </w:r>
      <w:r>
        <w:rPr/>
        <w:t>representatives.</w:t>
      </w:r>
      <w:r>
        <w:rPr>
          <w:vertAlign w:val="superscript"/>
        </w:rPr>
        <w:t>313</w:t>
      </w:r>
      <w:r>
        <w:rPr>
          <w:vertAlign w:val="baseline"/>
        </w:rPr>
        <w:t>When</w:t>
      </w:r>
      <w:r>
        <w:rPr>
          <w:spacing w:val="40"/>
          <w:vertAlign w:val="baseline"/>
        </w:rPr>
        <w:t> </w:t>
      </w:r>
      <w:r>
        <w:rPr>
          <w:vertAlign w:val="baseline"/>
        </w:rPr>
        <w:t>the</w:t>
      </w:r>
      <w:r>
        <w:rPr>
          <w:spacing w:val="40"/>
          <w:vertAlign w:val="baseline"/>
        </w:rPr>
        <w:t> </w:t>
      </w:r>
      <w:r>
        <w:rPr>
          <w:vertAlign w:val="baseline"/>
        </w:rPr>
        <w:t>employee</w:t>
      </w:r>
      <w:r>
        <w:rPr>
          <w:spacing w:val="40"/>
          <w:vertAlign w:val="baseline"/>
        </w:rPr>
        <w:t> </w:t>
      </w:r>
      <w:r>
        <w:rPr>
          <w:vertAlign w:val="baseline"/>
        </w:rPr>
        <w:t>dies</w:t>
      </w:r>
      <w:r>
        <w:rPr>
          <w:spacing w:val="40"/>
          <w:vertAlign w:val="baseline"/>
        </w:rPr>
        <w:t> </w:t>
      </w:r>
      <w:r>
        <w:rPr>
          <w:vertAlign w:val="baseline"/>
        </w:rPr>
        <w:t>as</w:t>
      </w:r>
      <w:r>
        <w:rPr>
          <w:spacing w:val="40"/>
          <w:vertAlign w:val="baseline"/>
        </w:rPr>
        <w:t> </w:t>
      </w:r>
      <w:r>
        <w:rPr>
          <w:vertAlign w:val="baseline"/>
        </w:rPr>
        <w:t>a</w:t>
      </w:r>
      <w:r>
        <w:rPr>
          <w:spacing w:val="40"/>
          <w:vertAlign w:val="baseline"/>
        </w:rPr>
        <w:t> </w:t>
      </w:r>
      <w:r>
        <w:rPr>
          <w:vertAlign w:val="baseline"/>
        </w:rPr>
        <w:t>result, the dependant shall report the fact within 14 days of its occurrence.</w:t>
      </w:r>
      <w:r>
        <w:rPr>
          <w:vertAlign w:val="superscript"/>
        </w:rPr>
        <w:t>314</w:t>
      </w:r>
      <w:r>
        <w:rPr>
          <w:vertAlign w:val="baseline"/>
        </w:rPr>
        <w:t> Manager, supervisor, first aid attendant, agent in charge of the work, will suffice</w:t>
      </w:r>
      <w:r>
        <w:rPr>
          <w:spacing w:val="31"/>
          <w:vertAlign w:val="baseline"/>
        </w:rPr>
        <w:t> </w:t>
      </w:r>
      <w:r>
        <w:rPr>
          <w:vertAlign w:val="baseline"/>
        </w:rPr>
        <w:t>as</w:t>
      </w:r>
      <w:r>
        <w:rPr>
          <w:spacing w:val="36"/>
          <w:vertAlign w:val="baseline"/>
        </w:rPr>
        <w:t> </w:t>
      </w:r>
      <w:r>
        <w:rPr>
          <w:vertAlign w:val="baseline"/>
        </w:rPr>
        <w:t>the</w:t>
      </w:r>
      <w:r>
        <w:rPr>
          <w:spacing w:val="31"/>
          <w:vertAlign w:val="baseline"/>
        </w:rPr>
        <w:t> </w:t>
      </w:r>
      <w:r>
        <w:rPr>
          <w:vertAlign w:val="baseline"/>
        </w:rPr>
        <w:t>representative</w:t>
      </w:r>
      <w:r>
        <w:rPr>
          <w:spacing w:val="31"/>
          <w:vertAlign w:val="baseline"/>
        </w:rPr>
        <w:t> </w:t>
      </w:r>
      <w:r>
        <w:rPr>
          <w:vertAlign w:val="baseline"/>
        </w:rPr>
        <w:t>of</w:t>
      </w:r>
      <w:r>
        <w:rPr>
          <w:spacing w:val="37"/>
          <w:vertAlign w:val="baseline"/>
        </w:rPr>
        <w:t> </w:t>
      </w:r>
      <w:r>
        <w:rPr>
          <w:vertAlign w:val="baseline"/>
        </w:rPr>
        <w:t>the</w:t>
      </w:r>
      <w:r>
        <w:rPr>
          <w:spacing w:val="35"/>
          <w:vertAlign w:val="baseline"/>
        </w:rPr>
        <w:t> </w:t>
      </w:r>
      <w:r>
        <w:rPr>
          <w:vertAlign w:val="baseline"/>
        </w:rPr>
        <w:t>employer.</w:t>
      </w:r>
      <w:r>
        <w:rPr>
          <w:vertAlign w:val="superscript"/>
        </w:rPr>
        <w:t>315</w:t>
      </w:r>
      <w:r>
        <w:rPr>
          <w:spacing w:val="36"/>
          <w:vertAlign w:val="baseline"/>
        </w:rPr>
        <w:t> </w:t>
      </w:r>
      <w:r>
        <w:rPr>
          <w:vertAlign w:val="baseline"/>
        </w:rPr>
        <w:t>The</w:t>
      </w:r>
      <w:r>
        <w:rPr>
          <w:spacing w:val="31"/>
          <w:vertAlign w:val="baseline"/>
        </w:rPr>
        <w:t> </w:t>
      </w:r>
      <w:r>
        <w:rPr>
          <w:vertAlign w:val="baseline"/>
        </w:rPr>
        <w:t>information</w:t>
      </w:r>
      <w:r>
        <w:rPr>
          <w:spacing w:val="35"/>
          <w:vertAlign w:val="baseline"/>
        </w:rPr>
        <w:t> </w:t>
      </w:r>
      <w:r>
        <w:rPr>
          <w:vertAlign w:val="baseline"/>
        </w:rPr>
        <w:t>required</w:t>
      </w:r>
    </w:p>
    <w:p>
      <w:pPr>
        <w:pStyle w:val="BodyText"/>
        <w:spacing w:before="4"/>
        <w:rPr>
          <w:sz w:val="12"/>
        </w:rPr>
      </w:pPr>
      <w:r>
        <w:rPr/>
        <mc:AlternateContent>
          <mc:Choice Requires="wps">
            <w:drawing>
              <wp:anchor distT="0" distB="0" distL="0" distR="0" allowOverlap="1" layoutInCell="1" locked="0" behindDoc="1" simplePos="0" relativeHeight="487643648">
                <wp:simplePos x="0" y="0"/>
                <wp:positionH relativeFrom="page">
                  <wp:posOffset>1185672</wp:posOffset>
                </wp:positionH>
                <wp:positionV relativeFrom="paragraph">
                  <wp:posOffset>109811</wp:posOffset>
                </wp:positionV>
                <wp:extent cx="1719580" cy="6350"/>
                <wp:effectExtent l="0" t="0" r="0" b="0"/>
                <wp:wrapTopAndBottom/>
                <wp:docPr id="127" name="Graphic 127"/>
                <wp:cNvGraphicFramePr>
                  <a:graphicFrameLocks/>
                </wp:cNvGraphicFramePr>
                <a:graphic>
                  <a:graphicData uri="http://schemas.microsoft.com/office/word/2010/wordprocessingShape">
                    <wps:wsp>
                      <wps:cNvPr id="127" name="Graphic 127"/>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8.646563pt;width:135.360pt;height:.48pt;mso-position-horizontal-relative:page;mso-position-vertical-relative:paragraph;z-index:-15672832;mso-wrap-distance-left:0;mso-wrap-distance-right:0" id="docshape127" filled="true" fillcolor="#000000" stroked="false">
                <v:fill type="solid"/>
                <w10:wrap type="topAndBottom"/>
              </v:rect>
            </w:pict>
          </mc:Fallback>
        </mc:AlternateContent>
      </w:r>
    </w:p>
    <w:p>
      <w:pPr>
        <w:spacing w:line="217" w:lineRule="exact" w:before="96"/>
        <w:ind w:left="187" w:right="0" w:firstLine="0"/>
        <w:jc w:val="left"/>
        <w:rPr>
          <w:rFonts w:ascii="Times New Roman" w:hAnsi="Times New Roman"/>
          <w:sz w:val="19"/>
        </w:rPr>
      </w:pPr>
      <w:r>
        <w:rPr>
          <w:rFonts w:ascii="Times New Roman" w:hAnsi="Times New Roman"/>
          <w:sz w:val="19"/>
          <w:vertAlign w:val="superscript"/>
        </w:rPr>
        <w:t>313</w:t>
      </w:r>
      <w:r>
        <w:rPr>
          <w:rFonts w:ascii="Times New Roman" w:hAnsi="Times New Roman"/>
          <w:spacing w:val="-11"/>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4(1)</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1"/>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No.</w:t>
      </w:r>
      <w:r>
        <w:rPr>
          <w:rFonts w:ascii="Times New Roman" w:hAnsi="Times New Roman"/>
          <w:spacing w:val="-7"/>
          <w:sz w:val="19"/>
          <w:vertAlign w:val="baseline"/>
        </w:rPr>
        <w:t> </w:t>
      </w:r>
      <w:r>
        <w:rPr>
          <w:rFonts w:ascii="Times New Roman" w:hAnsi="Times New Roman"/>
          <w:sz w:val="19"/>
          <w:vertAlign w:val="baseline"/>
        </w:rPr>
        <w:t>13,</w:t>
      </w:r>
      <w:r>
        <w:rPr>
          <w:rFonts w:ascii="Times New Roman" w:hAnsi="Times New Roman"/>
          <w:spacing w:val="-12"/>
          <w:sz w:val="19"/>
          <w:vertAlign w:val="baseline"/>
        </w:rPr>
        <w:t> </w:t>
      </w:r>
      <w:r>
        <w:rPr>
          <w:rFonts w:ascii="Times New Roman" w:hAnsi="Times New Roman"/>
          <w:spacing w:val="-4"/>
          <w:sz w:val="19"/>
          <w:vertAlign w:val="baseline"/>
        </w:rPr>
        <w:t>2010</w:t>
      </w:r>
    </w:p>
    <w:p>
      <w:pPr>
        <w:spacing w:line="216" w:lineRule="exact" w:before="0"/>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6" w:lineRule="exact" w:before="0"/>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7" w:lineRule="exact" w:before="2"/>
        <w:ind w:left="187" w:right="0" w:firstLine="0"/>
        <w:jc w:val="left"/>
        <w:rPr>
          <w:rFonts w:ascii="Times New Roman"/>
          <w:i/>
          <w:sz w:val="19"/>
        </w:rPr>
      </w:pPr>
      <w:r>
        <w:rPr>
          <w:rFonts w:ascii="Times New Roman"/>
          <w:sz w:val="19"/>
          <w:vertAlign w:val="superscript"/>
        </w:rPr>
        <w:t>314</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6" w:lineRule="exact" w:before="0"/>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6"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5"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6"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7" w:lineRule="exact" w:before="2"/>
        <w:ind w:left="187" w:right="0" w:firstLine="0"/>
        <w:jc w:val="left"/>
        <w:rPr>
          <w:rFonts w:ascii="Times New Roman"/>
          <w:i/>
          <w:sz w:val="19"/>
        </w:rPr>
      </w:pPr>
      <w:r>
        <w:rPr>
          <w:rFonts w:ascii="Times New Roman"/>
          <w:sz w:val="19"/>
          <w:vertAlign w:val="superscript"/>
        </w:rPr>
        <w:t>315</w:t>
      </w:r>
      <w:r>
        <w:rPr>
          <w:rFonts w:ascii="Times New Roman"/>
          <w:spacing w:val="11"/>
          <w:sz w:val="19"/>
          <w:vertAlign w:val="baseline"/>
        </w:rPr>
        <w:t> </w:t>
      </w:r>
      <w:r>
        <w:rPr>
          <w:rFonts w:ascii="Times New Roman"/>
          <w:spacing w:val="-4"/>
          <w:sz w:val="19"/>
          <w:vertAlign w:val="baseline"/>
        </w:rPr>
        <w:t>Ib</w:t>
      </w:r>
      <w:r>
        <w:rPr>
          <w:rFonts w:ascii="Times New Roman"/>
          <w:i/>
          <w:spacing w:val="-4"/>
          <w:sz w:val="19"/>
          <w:vertAlign w:val="baseline"/>
        </w:rPr>
        <w:t>id</w:t>
      </w:r>
    </w:p>
    <w:p>
      <w:pPr>
        <w:spacing w:line="214" w:lineRule="exact" w:before="0"/>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5"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after="0" w:line="215" w:lineRule="exact"/>
        <w:jc w:val="left"/>
        <w:rPr>
          <w:rFonts w:ascii="Times New Roman"/>
          <w:sz w:val="19"/>
        </w:rPr>
        <w:sectPr>
          <w:footerReference w:type="default" r:id="rId23"/>
          <w:pgSz w:w="12240" w:h="15840"/>
          <w:pgMar w:header="0" w:footer="1748" w:top="1260" w:bottom="1940" w:left="1680" w:right="1320"/>
        </w:sectPr>
      </w:pPr>
    </w:p>
    <w:p>
      <w:pPr>
        <w:pStyle w:val="BodyText"/>
        <w:spacing w:line="489" w:lineRule="auto" w:before="94"/>
        <w:ind w:left="864" w:right="576"/>
        <w:jc w:val="both"/>
      </w:pPr>
      <w:r>
        <w:rPr/>
        <w:t>are, the name of the employees, the nature and cause of the disease or injury, if known, the time and place of the occurrence.</w:t>
      </w:r>
      <w:r>
        <w:rPr>
          <w:vertAlign w:val="superscript"/>
        </w:rPr>
        <w:t>316</w:t>
      </w:r>
    </w:p>
    <w:p>
      <w:pPr>
        <w:pStyle w:val="BodyText"/>
        <w:spacing w:before="5"/>
      </w:pPr>
    </w:p>
    <w:p>
      <w:pPr>
        <w:pStyle w:val="BodyText"/>
        <w:spacing w:line="491" w:lineRule="auto"/>
        <w:ind w:left="864" w:right="565"/>
        <w:jc w:val="both"/>
      </w:pPr>
      <w:r>
        <w:rPr/>
        <w:t>The employees shall provide to the employer, particulars of the injury or occupational disease on</w:t>
      </w:r>
      <w:r>
        <w:rPr>
          <w:spacing w:val="40"/>
        </w:rPr>
        <w:t> </w:t>
      </w:r>
      <w:r>
        <w:rPr/>
        <w:t>a form</w:t>
      </w:r>
      <w:r>
        <w:rPr>
          <w:spacing w:val="40"/>
        </w:rPr>
        <w:t> </w:t>
      </w:r>
      <w:r>
        <w:rPr/>
        <w:t>prescribed</w:t>
      </w:r>
      <w:r>
        <w:rPr>
          <w:spacing w:val="40"/>
        </w:rPr>
        <w:t> </w:t>
      </w:r>
      <w:r>
        <w:rPr/>
        <w:t>by</w:t>
      </w:r>
      <w:r>
        <w:rPr>
          <w:spacing w:val="40"/>
        </w:rPr>
        <w:t> </w:t>
      </w:r>
      <w:r>
        <w:rPr/>
        <w:t>the Board.</w:t>
      </w:r>
      <w:r>
        <w:rPr>
          <w:vertAlign w:val="superscript"/>
        </w:rPr>
        <w:t>317</w:t>
      </w:r>
      <w:r>
        <w:rPr>
          <w:vertAlign w:val="baseline"/>
        </w:rPr>
        <w:t> These particulars</w:t>
      </w:r>
      <w:r>
        <w:rPr>
          <w:spacing w:val="30"/>
          <w:vertAlign w:val="baseline"/>
        </w:rPr>
        <w:t> </w:t>
      </w:r>
      <w:r>
        <w:rPr>
          <w:vertAlign w:val="baseline"/>
        </w:rPr>
        <w:t>are</w:t>
      </w:r>
      <w:r>
        <w:rPr>
          <w:spacing w:val="31"/>
          <w:vertAlign w:val="baseline"/>
        </w:rPr>
        <w:t> </w:t>
      </w:r>
      <w:r>
        <w:rPr>
          <w:vertAlign w:val="baseline"/>
        </w:rPr>
        <w:t>only</w:t>
      </w:r>
      <w:r>
        <w:rPr>
          <w:spacing w:val="34"/>
          <w:vertAlign w:val="baseline"/>
        </w:rPr>
        <w:t> </w:t>
      </w:r>
      <w:r>
        <w:rPr>
          <w:vertAlign w:val="baseline"/>
        </w:rPr>
        <w:t>provided</w:t>
      </w:r>
      <w:r>
        <w:rPr>
          <w:spacing w:val="29"/>
          <w:vertAlign w:val="baseline"/>
        </w:rPr>
        <w:t> </w:t>
      </w:r>
      <w:r>
        <w:rPr>
          <w:vertAlign w:val="baseline"/>
        </w:rPr>
        <w:t>by</w:t>
      </w:r>
      <w:r>
        <w:rPr>
          <w:spacing w:val="34"/>
          <w:vertAlign w:val="baseline"/>
        </w:rPr>
        <w:t> </w:t>
      </w:r>
      <w:r>
        <w:rPr>
          <w:vertAlign w:val="baseline"/>
        </w:rPr>
        <w:t>the</w:t>
      </w:r>
      <w:r>
        <w:rPr>
          <w:spacing w:val="31"/>
          <w:vertAlign w:val="baseline"/>
        </w:rPr>
        <w:t> </w:t>
      </w:r>
      <w:r>
        <w:rPr>
          <w:vertAlign w:val="baseline"/>
        </w:rPr>
        <w:t>employee</w:t>
      </w:r>
      <w:r>
        <w:rPr>
          <w:spacing w:val="37"/>
          <w:vertAlign w:val="baseline"/>
        </w:rPr>
        <w:t> </w:t>
      </w:r>
      <w:r>
        <w:rPr>
          <w:vertAlign w:val="baseline"/>
        </w:rPr>
        <w:t>if</w:t>
      </w:r>
      <w:r>
        <w:rPr>
          <w:spacing w:val="31"/>
          <w:vertAlign w:val="baseline"/>
        </w:rPr>
        <w:t> </w:t>
      </w:r>
      <w:r>
        <w:rPr>
          <w:vertAlign w:val="baseline"/>
        </w:rPr>
        <w:t>he</w:t>
      </w:r>
      <w:r>
        <w:rPr>
          <w:spacing w:val="31"/>
          <w:vertAlign w:val="baseline"/>
        </w:rPr>
        <w:t> </w:t>
      </w:r>
      <w:r>
        <w:rPr>
          <w:vertAlign w:val="baseline"/>
        </w:rPr>
        <w:t>or</w:t>
      </w:r>
      <w:r>
        <w:rPr>
          <w:spacing w:val="37"/>
          <w:vertAlign w:val="baseline"/>
        </w:rPr>
        <w:t> </w:t>
      </w:r>
      <w:r>
        <w:rPr>
          <w:vertAlign w:val="baseline"/>
        </w:rPr>
        <w:t>she</w:t>
      </w:r>
      <w:r>
        <w:rPr>
          <w:spacing w:val="31"/>
          <w:vertAlign w:val="baseline"/>
        </w:rPr>
        <w:t> </w:t>
      </w:r>
      <w:r>
        <w:rPr>
          <w:vertAlign w:val="baseline"/>
        </w:rPr>
        <w:t>is</w:t>
      </w:r>
      <w:r>
        <w:rPr>
          <w:spacing w:val="30"/>
          <w:vertAlign w:val="baseline"/>
        </w:rPr>
        <w:t> </w:t>
      </w:r>
      <w:r>
        <w:rPr>
          <w:vertAlign w:val="baseline"/>
        </w:rPr>
        <w:t>fit</w:t>
      </w:r>
      <w:r>
        <w:rPr>
          <w:spacing w:val="34"/>
          <w:vertAlign w:val="baseline"/>
        </w:rPr>
        <w:t> </w:t>
      </w:r>
      <w:r>
        <w:rPr>
          <w:vertAlign w:val="baseline"/>
        </w:rPr>
        <w:t>to</w:t>
      </w:r>
      <w:r>
        <w:rPr>
          <w:spacing w:val="33"/>
          <w:vertAlign w:val="baseline"/>
        </w:rPr>
        <w:t> </w:t>
      </w:r>
      <w:r>
        <w:rPr>
          <w:vertAlign w:val="baseline"/>
        </w:rPr>
        <w:t>do</w:t>
      </w:r>
      <w:r>
        <w:rPr>
          <w:spacing w:val="38"/>
          <w:vertAlign w:val="baseline"/>
        </w:rPr>
        <w:t> </w:t>
      </w:r>
      <w:r>
        <w:rPr>
          <w:vertAlign w:val="baseline"/>
        </w:rPr>
        <w:t>so and on request of the employer.</w:t>
      </w:r>
      <w:r>
        <w:rPr>
          <w:vertAlign w:val="superscript"/>
        </w:rPr>
        <w:t>318</w:t>
      </w:r>
    </w:p>
    <w:p>
      <w:pPr>
        <w:pStyle w:val="BodyText"/>
        <w:rPr>
          <w:sz w:val="17"/>
        </w:rPr>
      </w:pPr>
      <w:r>
        <w:rPr/>
        <mc:AlternateContent>
          <mc:Choice Requires="wps">
            <w:drawing>
              <wp:anchor distT="0" distB="0" distL="0" distR="0" allowOverlap="1" layoutInCell="1" locked="0" behindDoc="1" simplePos="0" relativeHeight="487644160">
                <wp:simplePos x="0" y="0"/>
                <wp:positionH relativeFrom="page">
                  <wp:posOffset>1185672</wp:posOffset>
                </wp:positionH>
                <wp:positionV relativeFrom="paragraph">
                  <wp:posOffset>145696</wp:posOffset>
                </wp:positionV>
                <wp:extent cx="5389245" cy="6350"/>
                <wp:effectExtent l="0" t="0" r="0" b="0"/>
                <wp:wrapTopAndBottom/>
                <wp:docPr id="128" name="Graphic 128"/>
                <wp:cNvGraphicFramePr>
                  <a:graphicFrameLocks/>
                </wp:cNvGraphicFramePr>
                <a:graphic>
                  <a:graphicData uri="http://schemas.microsoft.com/office/word/2010/wordprocessingShape">
                    <wps:wsp>
                      <wps:cNvPr id="128" name="Graphic 128"/>
                      <wps:cNvSpPr/>
                      <wps:spPr>
                        <a:xfrm>
                          <a:off x="0" y="0"/>
                          <a:ext cx="5389245" cy="6350"/>
                        </a:xfrm>
                        <a:custGeom>
                          <a:avLst/>
                          <a:gdLst/>
                          <a:ahLst/>
                          <a:cxnLst/>
                          <a:rect l="l" t="t" r="r" b="b"/>
                          <a:pathLst>
                            <a:path w="5389245" h="6350">
                              <a:moveTo>
                                <a:pt x="5388863" y="0"/>
                              </a:moveTo>
                              <a:lnTo>
                                <a:pt x="0" y="0"/>
                              </a:lnTo>
                              <a:lnTo>
                                <a:pt x="0" y="6096"/>
                              </a:lnTo>
                              <a:lnTo>
                                <a:pt x="5388863" y="6096"/>
                              </a:lnTo>
                              <a:lnTo>
                                <a:pt x="538886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472187pt;width:424.32pt;height:.48pt;mso-position-horizontal-relative:page;mso-position-vertical-relative:paragraph;z-index:-15672320;mso-wrap-distance-left:0;mso-wrap-distance-right:0" id="docshape128"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6"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0"/>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5" w:lineRule="exact" w:before="0"/>
        <w:ind w:left="187" w:right="0" w:firstLine="0"/>
        <w:jc w:val="left"/>
        <w:rPr>
          <w:rFonts w:ascii="Times New Roman"/>
          <w:i/>
          <w:sz w:val="19"/>
        </w:rPr>
      </w:pPr>
      <w:r>
        <w:rPr>
          <w:rFonts w:ascii="Times New Roman"/>
          <w:sz w:val="19"/>
          <w:vertAlign w:val="superscript"/>
        </w:rPr>
        <w:t>316</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7" w:lineRule="exact" w:before="3"/>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6"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2" w:lineRule="exact" w:before="0"/>
        <w:ind w:left="187" w:right="0" w:firstLine="0"/>
        <w:jc w:val="left"/>
        <w:rPr>
          <w:rFonts w:ascii="Times New Roman"/>
          <w:sz w:val="19"/>
        </w:rPr>
      </w:pPr>
      <w:r>
        <w:rPr>
          <w:rFonts w:ascii="Times New Roman"/>
          <w:sz w:val="19"/>
          <w:vertAlign w:val="superscript"/>
        </w:rPr>
        <w:t>317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4(3)</w:t>
      </w:r>
      <w:r>
        <w:rPr>
          <w:rFonts w:ascii="Times New Roman"/>
          <w:spacing w:val="-8"/>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4"/>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appendix</w:t>
      </w:r>
      <w:r>
        <w:rPr>
          <w:rFonts w:ascii="Times New Roman"/>
          <w:spacing w:val="-6"/>
          <w:sz w:val="19"/>
          <w:vertAlign w:val="baseline"/>
        </w:rPr>
        <w:t> </w:t>
      </w:r>
      <w:r>
        <w:rPr>
          <w:rFonts w:ascii="Times New Roman"/>
          <w:sz w:val="19"/>
          <w:vertAlign w:val="baseline"/>
        </w:rPr>
        <w:t>1,</w:t>
      </w:r>
      <w:r>
        <w:rPr>
          <w:rFonts w:ascii="Times New Roman"/>
          <w:spacing w:val="-3"/>
          <w:sz w:val="19"/>
          <w:vertAlign w:val="baseline"/>
        </w:rPr>
        <w:t> </w:t>
      </w:r>
      <w:r>
        <w:rPr>
          <w:rFonts w:ascii="Times New Roman"/>
          <w:sz w:val="19"/>
          <w:vertAlign w:val="baseline"/>
        </w:rPr>
        <w:t>for</w:t>
      </w:r>
      <w:r>
        <w:rPr>
          <w:rFonts w:ascii="Times New Roman"/>
          <w:spacing w:val="-5"/>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sample</w:t>
      </w:r>
      <w:r>
        <w:rPr>
          <w:rFonts w:ascii="Times New Roman"/>
          <w:spacing w:val="-9"/>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pacing w:val="-4"/>
          <w:sz w:val="19"/>
          <w:vertAlign w:val="baseline"/>
        </w:rPr>
        <w:t>form</w:t>
      </w:r>
    </w:p>
    <w:p>
      <w:pPr>
        <w:spacing w:line="215" w:lineRule="exact" w:before="0"/>
        <w:ind w:left="187"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6"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5" w:lineRule="auto" w:before="6"/>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after="0" w:line="235" w:lineRule="auto"/>
        <w:jc w:val="left"/>
        <w:rPr>
          <w:rFonts w:ascii="Times New Roman"/>
          <w:sz w:val="19"/>
        </w:rPr>
        <w:sectPr>
          <w:pgSz w:w="12240" w:h="15840"/>
          <w:pgMar w:header="0" w:footer="1748" w:top="1260" w:bottom="1940" w:left="1680" w:right="1320"/>
        </w:sectPr>
      </w:pPr>
    </w:p>
    <w:p>
      <w:pPr>
        <w:pStyle w:val="BodyText"/>
        <w:spacing w:line="489" w:lineRule="auto" w:before="77"/>
        <w:ind w:left="864" w:right="567"/>
        <w:jc w:val="both"/>
      </w:pPr>
      <w:r>
        <w:rPr/>
        <w:t>It is a bar to a claim for compensation where the employee or his dependants</w:t>
      </w:r>
      <w:r>
        <w:rPr>
          <w:spacing w:val="31"/>
        </w:rPr>
        <w:t> </w:t>
      </w:r>
      <w:r>
        <w:rPr/>
        <w:t>fail</w:t>
      </w:r>
      <w:r>
        <w:rPr>
          <w:spacing w:val="29"/>
        </w:rPr>
        <w:t> </w:t>
      </w:r>
      <w:r>
        <w:rPr/>
        <w:t>to</w:t>
      </w:r>
      <w:r>
        <w:rPr>
          <w:spacing w:val="27"/>
        </w:rPr>
        <w:t> </w:t>
      </w:r>
      <w:r>
        <w:rPr/>
        <w:t>supply</w:t>
      </w:r>
      <w:r>
        <w:rPr>
          <w:spacing w:val="23"/>
        </w:rPr>
        <w:t> </w:t>
      </w:r>
      <w:r>
        <w:rPr/>
        <w:t>the</w:t>
      </w:r>
      <w:r>
        <w:rPr>
          <w:spacing w:val="26"/>
        </w:rPr>
        <w:t> </w:t>
      </w:r>
      <w:r>
        <w:rPr/>
        <w:t>name</w:t>
      </w:r>
      <w:r>
        <w:rPr>
          <w:spacing w:val="28"/>
        </w:rPr>
        <w:t> </w:t>
      </w:r>
      <w:r>
        <w:rPr/>
        <w:t>of</w:t>
      </w:r>
      <w:r>
        <w:rPr>
          <w:spacing w:val="27"/>
        </w:rPr>
        <w:t> </w:t>
      </w:r>
      <w:r>
        <w:rPr/>
        <w:t>the</w:t>
      </w:r>
      <w:r>
        <w:rPr>
          <w:spacing w:val="31"/>
        </w:rPr>
        <w:t> </w:t>
      </w:r>
      <w:r>
        <w:rPr/>
        <w:t>employees,</w:t>
      </w:r>
      <w:r>
        <w:rPr>
          <w:spacing w:val="30"/>
        </w:rPr>
        <w:t> </w:t>
      </w:r>
      <w:r>
        <w:rPr/>
        <w:t>the</w:t>
      </w:r>
      <w:r>
        <w:rPr>
          <w:spacing w:val="26"/>
        </w:rPr>
        <w:t> </w:t>
      </w:r>
      <w:r>
        <w:rPr/>
        <w:t>time</w:t>
      </w:r>
      <w:r>
        <w:rPr>
          <w:spacing w:val="22"/>
        </w:rPr>
        <w:t> </w:t>
      </w:r>
      <w:r>
        <w:rPr/>
        <w:t>and</w:t>
      </w:r>
      <w:r>
        <w:rPr>
          <w:spacing w:val="29"/>
        </w:rPr>
        <w:t> </w:t>
      </w:r>
      <w:r>
        <w:rPr/>
        <w:t>place of the occurrence of the incident, and the nature and cause of the disease</w:t>
      </w:r>
      <w:r>
        <w:rPr>
          <w:spacing w:val="40"/>
        </w:rPr>
        <w:t> </w:t>
      </w:r>
      <w:r>
        <w:rPr/>
        <w:t>or injury to the employer or his representative.</w:t>
      </w:r>
      <w:r>
        <w:rPr>
          <w:vertAlign w:val="superscript"/>
        </w:rPr>
        <w:t>319</w:t>
      </w:r>
      <w:r>
        <w:rPr>
          <w:vertAlign w:val="baseline"/>
        </w:rPr>
        <w:t> Where however, the employer</w:t>
      </w:r>
      <w:r>
        <w:rPr>
          <w:spacing w:val="40"/>
          <w:vertAlign w:val="baseline"/>
        </w:rPr>
        <w:t> </w:t>
      </w:r>
      <w:r>
        <w:rPr>
          <w:vertAlign w:val="baseline"/>
        </w:rPr>
        <w:t>has</w:t>
      </w:r>
      <w:r>
        <w:rPr>
          <w:spacing w:val="40"/>
          <w:vertAlign w:val="baseline"/>
        </w:rPr>
        <w:t> </w:t>
      </w:r>
      <w:r>
        <w:rPr>
          <w:vertAlign w:val="baseline"/>
        </w:rPr>
        <w:t>not</w:t>
      </w:r>
      <w:r>
        <w:rPr>
          <w:spacing w:val="40"/>
          <w:vertAlign w:val="baseline"/>
        </w:rPr>
        <w:t> </w:t>
      </w:r>
      <w:r>
        <w:rPr>
          <w:vertAlign w:val="baseline"/>
        </w:rPr>
        <w:t>been</w:t>
      </w:r>
      <w:r>
        <w:rPr>
          <w:spacing w:val="40"/>
          <w:vertAlign w:val="baseline"/>
        </w:rPr>
        <w:t> </w:t>
      </w:r>
      <w:r>
        <w:rPr>
          <w:vertAlign w:val="baseline"/>
        </w:rPr>
        <w:t>prejudiced</w:t>
      </w:r>
      <w:r>
        <w:rPr>
          <w:spacing w:val="40"/>
          <w:vertAlign w:val="baseline"/>
        </w:rPr>
        <w:t> </w:t>
      </w:r>
      <w:r>
        <w:rPr>
          <w:vertAlign w:val="baseline"/>
        </w:rPr>
        <w:t>and</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considers</w:t>
      </w:r>
      <w:r>
        <w:rPr>
          <w:spacing w:val="40"/>
          <w:vertAlign w:val="baseline"/>
        </w:rPr>
        <w:t> </w:t>
      </w:r>
      <w:r>
        <w:rPr>
          <w:vertAlign w:val="baseline"/>
        </w:rPr>
        <w:t>it</w:t>
      </w:r>
      <w:r>
        <w:rPr>
          <w:spacing w:val="40"/>
          <w:vertAlign w:val="baseline"/>
        </w:rPr>
        <w:t> </w:t>
      </w:r>
      <w:r>
        <w:rPr>
          <w:vertAlign w:val="baseline"/>
        </w:rPr>
        <w:t>in</w:t>
      </w:r>
      <w:r>
        <w:rPr>
          <w:spacing w:val="40"/>
          <w:vertAlign w:val="baseline"/>
        </w:rPr>
        <w:t> </w:t>
      </w:r>
      <w:r>
        <w:rPr>
          <w:vertAlign w:val="baseline"/>
        </w:rPr>
        <w:t>the interest of justice, compensation can be allowed despite failure to</w:t>
      </w:r>
      <w:r>
        <w:rPr>
          <w:spacing w:val="40"/>
          <w:vertAlign w:val="baseline"/>
        </w:rPr>
        <w:t> </w:t>
      </w:r>
      <w:r>
        <w:rPr>
          <w:vertAlign w:val="baseline"/>
        </w:rPr>
        <w:t>supply</w:t>
      </w:r>
      <w:r>
        <w:rPr>
          <w:spacing w:val="40"/>
          <w:vertAlign w:val="baseline"/>
        </w:rPr>
        <w:t> </w:t>
      </w:r>
      <w:r>
        <w:rPr>
          <w:vertAlign w:val="baseline"/>
        </w:rPr>
        <w:t>the said information.</w:t>
      </w:r>
      <w:r>
        <w:rPr>
          <w:vertAlign w:val="superscript"/>
        </w:rPr>
        <w:t>320</w:t>
      </w:r>
      <w:r>
        <w:rPr>
          <w:vertAlign w:val="baseline"/>
        </w:rPr>
        <w:t> Also, where the employer or the employer’s representative</w:t>
      </w:r>
      <w:r>
        <w:rPr>
          <w:spacing w:val="65"/>
          <w:w w:val="150"/>
          <w:vertAlign w:val="baseline"/>
        </w:rPr>
        <w:t> </w:t>
      </w:r>
      <w:r>
        <w:rPr>
          <w:vertAlign w:val="baseline"/>
        </w:rPr>
        <w:t>had</w:t>
      </w:r>
      <w:r>
        <w:rPr>
          <w:spacing w:val="69"/>
          <w:w w:val="150"/>
          <w:vertAlign w:val="baseline"/>
        </w:rPr>
        <w:t> </w:t>
      </w:r>
      <w:r>
        <w:rPr>
          <w:vertAlign w:val="baseline"/>
        </w:rPr>
        <w:t>knowledge</w:t>
      </w:r>
      <w:r>
        <w:rPr>
          <w:spacing w:val="66"/>
          <w:w w:val="150"/>
          <w:vertAlign w:val="baseline"/>
        </w:rPr>
        <w:t> </w:t>
      </w:r>
      <w:r>
        <w:rPr>
          <w:vertAlign w:val="baseline"/>
        </w:rPr>
        <w:t>of</w:t>
      </w:r>
      <w:r>
        <w:rPr>
          <w:spacing w:val="71"/>
          <w:w w:val="150"/>
          <w:vertAlign w:val="baseline"/>
        </w:rPr>
        <w:t> </w:t>
      </w:r>
      <w:r>
        <w:rPr>
          <w:vertAlign w:val="baseline"/>
        </w:rPr>
        <w:t>the</w:t>
      </w:r>
      <w:r>
        <w:rPr>
          <w:spacing w:val="65"/>
          <w:w w:val="150"/>
          <w:vertAlign w:val="baseline"/>
        </w:rPr>
        <w:t> </w:t>
      </w:r>
      <w:r>
        <w:rPr>
          <w:vertAlign w:val="baseline"/>
        </w:rPr>
        <w:t>incident,</w:t>
      </w:r>
      <w:r>
        <w:rPr>
          <w:spacing w:val="70"/>
          <w:w w:val="150"/>
          <w:vertAlign w:val="baseline"/>
        </w:rPr>
        <w:t> </w:t>
      </w:r>
      <w:r>
        <w:rPr>
          <w:vertAlign w:val="baseline"/>
        </w:rPr>
        <w:t>compensation</w:t>
      </w:r>
      <w:r>
        <w:rPr>
          <w:spacing w:val="69"/>
          <w:w w:val="150"/>
          <w:vertAlign w:val="baseline"/>
        </w:rPr>
        <w:t> </w:t>
      </w:r>
      <w:r>
        <w:rPr>
          <w:vertAlign w:val="baseline"/>
        </w:rPr>
        <w:t>can</w:t>
      </w:r>
      <w:r>
        <w:rPr>
          <w:spacing w:val="69"/>
          <w:w w:val="150"/>
          <w:vertAlign w:val="baseline"/>
        </w:rPr>
        <w:t> </w:t>
      </w:r>
      <w:r>
        <w:rPr>
          <w:spacing w:val="-5"/>
          <w:vertAlign w:val="baseline"/>
        </w:rPr>
        <w:t>be</w:t>
      </w:r>
    </w:p>
    <w:p>
      <w:pPr>
        <w:pStyle w:val="BodyText"/>
        <w:rPr>
          <w:sz w:val="20"/>
        </w:rPr>
      </w:pPr>
    </w:p>
    <w:p>
      <w:pPr>
        <w:pStyle w:val="BodyText"/>
        <w:rPr>
          <w:sz w:val="20"/>
        </w:rPr>
      </w:pP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644672">
                <wp:simplePos x="0" y="0"/>
                <wp:positionH relativeFrom="page">
                  <wp:posOffset>1185672</wp:posOffset>
                </wp:positionH>
                <wp:positionV relativeFrom="paragraph">
                  <wp:posOffset>207815</wp:posOffset>
                </wp:positionV>
                <wp:extent cx="5389245" cy="6350"/>
                <wp:effectExtent l="0" t="0" r="0" b="0"/>
                <wp:wrapTopAndBottom/>
                <wp:docPr id="130" name="Graphic 130"/>
                <wp:cNvGraphicFramePr>
                  <a:graphicFrameLocks/>
                </wp:cNvGraphicFramePr>
                <a:graphic>
                  <a:graphicData uri="http://schemas.microsoft.com/office/word/2010/wordprocessingShape">
                    <wps:wsp>
                      <wps:cNvPr id="130" name="Graphic 130"/>
                      <wps:cNvSpPr/>
                      <wps:spPr>
                        <a:xfrm>
                          <a:off x="0" y="0"/>
                          <a:ext cx="5389245" cy="6350"/>
                        </a:xfrm>
                        <a:custGeom>
                          <a:avLst/>
                          <a:gdLst/>
                          <a:ahLst/>
                          <a:cxnLst/>
                          <a:rect l="l" t="t" r="r" b="b"/>
                          <a:pathLst>
                            <a:path w="5389245" h="6350">
                              <a:moveTo>
                                <a:pt x="5388863" y="0"/>
                              </a:moveTo>
                              <a:lnTo>
                                <a:pt x="0" y="0"/>
                              </a:lnTo>
                              <a:lnTo>
                                <a:pt x="0" y="6096"/>
                              </a:lnTo>
                              <a:lnTo>
                                <a:pt x="5388863" y="6096"/>
                              </a:lnTo>
                              <a:lnTo>
                                <a:pt x="538886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6.363438pt;width:424.32pt;height:.48pt;mso-position-horizontal-relative:page;mso-position-vertical-relative:paragraph;z-index:-15671808;mso-wrap-distance-left:0;mso-wrap-distance-right:0" id="docshape130"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7" w:lineRule="exact" w:before="2"/>
        <w:ind w:left="187"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5"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5" w:lineRule="exact" w:before="0"/>
        <w:ind w:left="187"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footerReference w:type="default" r:id="rId24"/>
          <w:pgSz w:w="12240" w:h="15840"/>
          <w:pgMar w:header="0" w:footer="2828" w:top="1560" w:bottom="3020" w:left="1680" w:right="1320"/>
        </w:sectPr>
      </w:pPr>
    </w:p>
    <w:p>
      <w:pPr>
        <w:pStyle w:val="BodyText"/>
        <w:spacing w:line="489" w:lineRule="auto" w:before="114"/>
        <w:ind w:left="864" w:right="567"/>
        <w:jc w:val="both"/>
      </w:pPr>
      <w:r>
        <w:rPr/>
        <w:t>allowed.</w:t>
      </w:r>
      <w:r>
        <w:rPr>
          <w:vertAlign w:val="superscript"/>
        </w:rPr>
        <w:t>321</w:t>
      </w:r>
      <w:r>
        <w:rPr>
          <w:vertAlign w:val="baseline"/>
        </w:rPr>
        <w:t> Where the information though imperfect in some respects, is sufficient</w:t>
      </w:r>
      <w:r>
        <w:rPr>
          <w:spacing w:val="37"/>
          <w:vertAlign w:val="baseline"/>
        </w:rPr>
        <w:t> </w:t>
      </w:r>
      <w:r>
        <w:rPr>
          <w:vertAlign w:val="baseline"/>
        </w:rPr>
        <w:t>to</w:t>
      </w:r>
      <w:r>
        <w:rPr>
          <w:spacing w:val="40"/>
          <w:vertAlign w:val="baseline"/>
        </w:rPr>
        <w:t> </w:t>
      </w:r>
      <w:r>
        <w:rPr>
          <w:vertAlign w:val="baseline"/>
        </w:rPr>
        <w:t>describe</w:t>
      </w:r>
      <w:r>
        <w:rPr>
          <w:spacing w:val="40"/>
          <w:vertAlign w:val="baseline"/>
        </w:rPr>
        <w:t> </w:t>
      </w:r>
      <w:r>
        <w:rPr>
          <w:vertAlign w:val="baseline"/>
        </w:rPr>
        <w:t>the</w:t>
      </w:r>
      <w:r>
        <w:rPr>
          <w:spacing w:val="40"/>
          <w:vertAlign w:val="baseline"/>
        </w:rPr>
        <w:t> </w:t>
      </w:r>
      <w:r>
        <w:rPr>
          <w:vertAlign w:val="baseline"/>
        </w:rPr>
        <w:t>disease</w:t>
      </w:r>
      <w:r>
        <w:rPr>
          <w:spacing w:val="40"/>
          <w:vertAlign w:val="baseline"/>
        </w:rPr>
        <w:t> </w:t>
      </w:r>
      <w:r>
        <w:rPr>
          <w:vertAlign w:val="baseline"/>
        </w:rPr>
        <w:t>or</w:t>
      </w:r>
      <w:r>
        <w:rPr>
          <w:spacing w:val="40"/>
          <w:vertAlign w:val="baseline"/>
        </w:rPr>
        <w:t> </w:t>
      </w:r>
      <w:r>
        <w:rPr>
          <w:vertAlign w:val="baseline"/>
        </w:rPr>
        <w:t>injury,</w:t>
      </w:r>
      <w:r>
        <w:rPr>
          <w:spacing w:val="40"/>
          <w:vertAlign w:val="baseline"/>
        </w:rPr>
        <w:t> </w:t>
      </w:r>
      <w:r>
        <w:rPr>
          <w:vertAlign w:val="baseline"/>
        </w:rPr>
        <w:t>compensation</w:t>
      </w:r>
      <w:r>
        <w:rPr>
          <w:spacing w:val="40"/>
          <w:vertAlign w:val="baseline"/>
        </w:rPr>
        <w:t> </w:t>
      </w:r>
      <w:r>
        <w:rPr>
          <w:vertAlign w:val="baseline"/>
        </w:rPr>
        <w:t>will</w:t>
      </w:r>
      <w:r>
        <w:rPr>
          <w:spacing w:val="38"/>
          <w:vertAlign w:val="baseline"/>
        </w:rPr>
        <w:t> </w:t>
      </w:r>
      <w:r>
        <w:rPr>
          <w:vertAlign w:val="baseline"/>
        </w:rPr>
        <w:t>be</w:t>
      </w:r>
      <w:r>
        <w:rPr>
          <w:spacing w:val="40"/>
          <w:vertAlign w:val="baseline"/>
        </w:rPr>
        <w:t> </w:t>
      </w:r>
      <w:r>
        <w:rPr>
          <w:vertAlign w:val="baseline"/>
        </w:rPr>
        <w:t>allowed by the Board.</w:t>
      </w:r>
      <w:r>
        <w:rPr>
          <w:vertAlign w:val="superscript"/>
        </w:rPr>
        <w:t>322</w:t>
      </w:r>
    </w:p>
    <w:p>
      <w:pPr>
        <w:pStyle w:val="BodyText"/>
      </w:pPr>
    </w:p>
    <w:p>
      <w:pPr>
        <w:pStyle w:val="BodyText"/>
      </w:pPr>
    </w:p>
    <w:p>
      <w:pPr>
        <w:pStyle w:val="BodyText"/>
      </w:pPr>
    </w:p>
    <w:p>
      <w:pPr>
        <w:pStyle w:val="BodyText"/>
        <w:spacing w:before="27"/>
      </w:pPr>
    </w:p>
    <w:p>
      <w:pPr>
        <w:pStyle w:val="Heading3"/>
        <w:numPr>
          <w:ilvl w:val="2"/>
          <w:numId w:val="13"/>
        </w:numPr>
        <w:tabs>
          <w:tab w:pos="860" w:val="left" w:leader="none"/>
        </w:tabs>
        <w:spacing w:line="240" w:lineRule="auto" w:before="0" w:after="0"/>
        <w:ind w:left="860" w:right="0" w:hanging="673"/>
        <w:jc w:val="left"/>
      </w:pPr>
      <w:bookmarkStart w:name="_TOC_250006" w:id="24"/>
      <w:r>
        <w:rPr/>
        <w:t>Application</w:t>
      </w:r>
      <w:r>
        <w:rPr>
          <w:spacing w:val="7"/>
        </w:rPr>
        <w:t> </w:t>
      </w:r>
      <w:r>
        <w:rPr/>
        <w:t>for</w:t>
      </w:r>
      <w:r>
        <w:rPr>
          <w:spacing w:val="13"/>
        </w:rPr>
        <w:t> </w:t>
      </w:r>
      <w:bookmarkEnd w:id="24"/>
      <w:r>
        <w:rPr>
          <w:spacing w:val="-2"/>
        </w:rPr>
        <w:t>Compensation</w:t>
      </w:r>
    </w:p>
    <w:p>
      <w:pPr>
        <w:pStyle w:val="BodyText"/>
        <w:spacing w:before="11"/>
        <w:rPr>
          <w:b/>
        </w:rPr>
      </w:pPr>
    </w:p>
    <w:p>
      <w:pPr>
        <w:pStyle w:val="BodyText"/>
        <w:spacing w:line="489" w:lineRule="auto"/>
        <w:ind w:left="864" w:right="564"/>
        <w:jc w:val="both"/>
      </w:pPr>
      <w:r>
        <w:rPr/>
        <w:t>Every employer shall report any case of job-related injury or death to the Board</w:t>
      </w:r>
      <w:r>
        <w:rPr>
          <w:spacing w:val="40"/>
        </w:rPr>
        <w:t> </w:t>
      </w:r>
      <w:r>
        <w:rPr/>
        <w:t>and</w:t>
      </w:r>
      <w:r>
        <w:rPr>
          <w:spacing w:val="40"/>
        </w:rPr>
        <w:t> </w:t>
      </w:r>
      <w:r>
        <w:rPr/>
        <w:t>the</w:t>
      </w:r>
      <w:r>
        <w:rPr>
          <w:spacing w:val="40"/>
        </w:rPr>
        <w:t> </w:t>
      </w:r>
      <w:r>
        <w:rPr/>
        <w:t>nearest</w:t>
      </w:r>
      <w:r>
        <w:rPr>
          <w:spacing w:val="40"/>
        </w:rPr>
        <w:t> </w:t>
      </w:r>
      <w:r>
        <w:rPr/>
        <w:t>office</w:t>
      </w:r>
      <w:r>
        <w:rPr>
          <w:spacing w:val="40"/>
        </w:rPr>
        <w:t> </w:t>
      </w:r>
      <w:r>
        <w:rPr/>
        <w:t>of</w:t>
      </w:r>
      <w:r>
        <w:rPr>
          <w:spacing w:val="40"/>
        </w:rPr>
        <w:t> </w:t>
      </w:r>
      <w:r>
        <w:rPr/>
        <w:t>the</w:t>
      </w:r>
      <w:r>
        <w:rPr>
          <w:spacing w:val="40"/>
        </w:rPr>
        <w:t> </w:t>
      </w:r>
      <w:r>
        <w:rPr/>
        <w:t>National</w:t>
      </w:r>
      <w:r>
        <w:rPr>
          <w:spacing w:val="40"/>
        </w:rPr>
        <w:t> </w:t>
      </w:r>
      <w:r>
        <w:rPr/>
        <w:t>Council</w:t>
      </w:r>
      <w:r>
        <w:rPr>
          <w:spacing w:val="40"/>
        </w:rPr>
        <w:t> </w:t>
      </w:r>
      <w:r>
        <w:rPr/>
        <w:t>for</w:t>
      </w:r>
      <w:r>
        <w:rPr>
          <w:spacing w:val="40"/>
        </w:rPr>
        <w:t> </w:t>
      </w:r>
      <w:r>
        <w:rPr/>
        <w:t>Occupational Safety</w:t>
      </w:r>
      <w:r>
        <w:rPr>
          <w:spacing w:val="40"/>
        </w:rPr>
        <w:t> </w:t>
      </w:r>
      <w:r>
        <w:rPr/>
        <w:t>and</w:t>
      </w:r>
      <w:r>
        <w:rPr>
          <w:spacing w:val="40"/>
        </w:rPr>
        <w:t> </w:t>
      </w:r>
      <w:r>
        <w:rPr/>
        <w:t>Health</w:t>
      </w:r>
      <w:r>
        <w:rPr>
          <w:spacing w:val="40"/>
        </w:rPr>
        <w:t> </w:t>
      </w:r>
      <w:r>
        <w:rPr/>
        <w:t>in</w:t>
      </w:r>
      <w:r>
        <w:rPr>
          <w:spacing w:val="40"/>
        </w:rPr>
        <w:t> </w:t>
      </w:r>
      <w:r>
        <w:rPr/>
        <w:t>the</w:t>
      </w:r>
      <w:r>
        <w:rPr>
          <w:spacing w:val="40"/>
        </w:rPr>
        <w:t> </w:t>
      </w:r>
      <w:r>
        <w:rPr/>
        <w:t>state</w:t>
      </w:r>
      <w:r>
        <w:rPr>
          <w:spacing w:val="40"/>
        </w:rPr>
        <w:t> </w:t>
      </w:r>
      <w:r>
        <w:rPr/>
        <w:t>within</w:t>
      </w:r>
      <w:r>
        <w:rPr>
          <w:spacing w:val="40"/>
        </w:rPr>
        <w:t> </w:t>
      </w:r>
      <w:r>
        <w:rPr/>
        <w:t>seven</w:t>
      </w:r>
      <w:r>
        <w:rPr>
          <w:spacing w:val="40"/>
        </w:rPr>
        <w:t> </w:t>
      </w:r>
      <w:r>
        <w:rPr/>
        <w:t>days</w:t>
      </w:r>
      <w:r>
        <w:rPr>
          <w:spacing w:val="40"/>
        </w:rPr>
        <w:t> </w:t>
      </w:r>
      <w:r>
        <w:rPr/>
        <w:t>of</w:t>
      </w:r>
      <w:r>
        <w:rPr>
          <w:spacing w:val="40"/>
        </w:rPr>
        <w:t> </w:t>
      </w:r>
      <w:r>
        <w:rPr/>
        <w:t>its</w:t>
      </w:r>
      <w:r>
        <w:rPr>
          <w:spacing w:val="40"/>
        </w:rPr>
        <w:t> </w:t>
      </w:r>
      <w:r>
        <w:rPr/>
        <w:t>occurrence.</w:t>
      </w:r>
      <w:r>
        <w:rPr>
          <w:vertAlign w:val="superscript"/>
        </w:rPr>
        <w:t>323</w:t>
      </w:r>
      <w:r>
        <w:rPr>
          <w:vertAlign w:val="baseline"/>
        </w:rPr>
        <w:t> Where such information is received by the employer as a result of report from</w:t>
      </w:r>
      <w:r>
        <w:rPr>
          <w:spacing w:val="47"/>
          <w:vertAlign w:val="baseline"/>
        </w:rPr>
        <w:t> </w:t>
      </w:r>
      <w:r>
        <w:rPr>
          <w:vertAlign w:val="baseline"/>
        </w:rPr>
        <w:t>the</w:t>
      </w:r>
      <w:r>
        <w:rPr>
          <w:spacing w:val="44"/>
          <w:vertAlign w:val="baseline"/>
        </w:rPr>
        <w:t> </w:t>
      </w:r>
      <w:r>
        <w:rPr>
          <w:vertAlign w:val="baseline"/>
        </w:rPr>
        <w:t>employee</w:t>
      </w:r>
      <w:r>
        <w:rPr>
          <w:spacing w:val="40"/>
          <w:vertAlign w:val="baseline"/>
        </w:rPr>
        <w:t> </w:t>
      </w:r>
      <w:r>
        <w:rPr>
          <w:vertAlign w:val="baseline"/>
        </w:rPr>
        <w:t>or</w:t>
      </w:r>
      <w:r>
        <w:rPr>
          <w:spacing w:val="45"/>
          <w:vertAlign w:val="baseline"/>
        </w:rPr>
        <w:t> </w:t>
      </w:r>
      <w:r>
        <w:rPr>
          <w:vertAlign w:val="baseline"/>
        </w:rPr>
        <w:t>his</w:t>
      </w:r>
      <w:r>
        <w:rPr>
          <w:spacing w:val="44"/>
          <w:vertAlign w:val="baseline"/>
        </w:rPr>
        <w:t> </w:t>
      </w:r>
      <w:r>
        <w:rPr>
          <w:vertAlign w:val="baseline"/>
        </w:rPr>
        <w:t>dependants,</w:t>
      </w:r>
      <w:r>
        <w:rPr>
          <w:spacing w:val="43"/>
          <w:vertAlign w:val="baseline"/>
        </w:rPr>
        <w:t> </w:t>
      </w:r>
      <w:r>
        <w:rPr>
          <w:vertAlign w:val="baseline"/>
        </w:rPr>
        <w:t>the</w:t>
      </w:r>
      <w:r>
        <w:rPr>
          <w:spacing w:val="44"/>
          <w:vertAlign w:val="baseline"/>
        </w:rPr>
        <w:t> </w:t>
      </w:r>
      <w:r>
        <w:rPr>
          <w:vertAlign w:val="baseline"/>
        </w:rPr>
        <w:t>employer</w:t>
      </w:r>
      <w:r>
        <w:rPr>
          <w:spacing w:val="44"/>
          <w:vertAlign w:val="baseline"/>
        </w:rPr>
        <w:t> </w:t>
      </w:r>
      <w:r>
        <w:rPr>
          <w:vertAlign w:val="baseline"/>
        </w:rPr>
        <w:t>shall</w:t>
      </w:r>
      <w:r>
        <w:rPr>
          <w:spacing w:val="42"/>
          <w:vertAlign w:val="baseline"/>
        </w:rPr>
        <w:t> </w:t>
      </w:r>
      <w:r>
        <w:rPr>
          <w:vertAlign w:val="baseline"/>
        </w:rPr>
        <w:t>further</w:t>
      </w:r>
      <w:r>
        <w:rPr>
          <w:spacing w:val="50"/>
          <w:vertAlign w:val="baseline"/>
        </w:rPr>
        <w:t> </w:t>
      </w:r>
      <w:r>
        <w:rPr>
          <w:spacing w:val="-2"/>
          <w:vertAlign w:val="baseline"/>
        </w:rPr>
        <w:t>report</w:t>
      </w:r>
    </w:p>
    <w:p>
      <w:pPr>
        <w:pStyle w:val="BodyText"/>
        <w:rPr>
          <w:sz w:val="20"/>
        </w:rPr>
      </w:pPr>
    </w:p>
    <w:p>
      <w:pPr>
        <w:pStyle w:val="BodyText"/>
        <w:rPr>
          <w:sz w:val="20"/>
        </w:rPr>
      </w:pPr>
    </w:p>
    <w:p>
      <w:pPr>
        <w:pStyle w:val="BodyText"/>
        <w:spacing w:before="183"/>
        <w:rPr>
          <w:sz w:val="20"/>
        </w:rPr>
      </w:pPr>
      <w:r>
        <w:rPr/>
        <mc:AlternateContent>
          <mc:Choice Requires="wps">
            <w:drawing>
              <wp:anchor distT="0" distB="0" distL="0" distR="0" allowOverlap="1" layoutInCell="1" locked="0" behindDoc="1" simplePos="0" relativeHeight="487645184">
                <wp:simplePos x="0" y="0"/>
                <wp:positionH relativeFrom="page">
                  <wp:posOffset>1185672</wp:posOffset>
                </wp:positionH>
                <wp:positionV relativeFrom="paragraph">
                  <wp:posOffset>284970</wp:posOffset>
                </wp:positionV>
                <wp:extent cx="1719580" cy="6350"/>
                <wp:effectExtent l="0" t="0" r="0" b="0"/>
                <wp:wrapTopAndBottom/>
                <wp:docPr id="131" name="Graphic 131"/>
                <wp:cNvGraphicFramePr>
                  <a:graphicFrameLocks/>
                </wp:cNvGraphicFramePr>
                <a:graphic>
                  <a:graphicData uri="http://schemas.microsoft.com/office/word/2010/wordprocessingShape">
                    <wps:wsp>
                      <wps:cNvPr id="131" name="Graphic 131"/>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2.438593pt;width:135.360pt;height:.48pt;mso-position-horizontal-relative:page;mso-position-vertical-relative:paragraph;z-index:-15671296;mso-wrap-distance-left:0;mso-wrap-distance-right:0" id="docshape131"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321</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6"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2" w:lineRule="exact" w:before="0"/>
        <w:ind w:left="187" w:right="0" w:firstLine="0"/>
        <w:jc w:val="left"/>
        <w:rPr>
          <w:rFonts w:ascii="Times New Roman"/>
          <w:i/>
          <w:sz w:val="19"/>
        </w:rPr>
      </w:pPr>
      <w:r>
        <w:rPr>
          <w:rFonts w:ascii="Times New Roman"/>
          <w:sz w:val="19"/>
          <w:vertAlign w:val="superscript"/>
        </w:rPr>
        <w:t>322</w:t>
      </w:r>
      <w:r>
        <w:rPr>
          <w:rFonts w:ascii="Times New Roman"/>
          <w:spacing w:val="11"/>
          <w:sz w:val="19"/>
          <w:vertAlign w:val="baseline"/>
        </w:rPr>
        <w:t> </w:t>
      </w:r>
      <w:r>
        <w:rPr>
          <w:rFonts w:ascii="Times New Roman"/>
          <w:i/>
          <w:spacing w:val="-4"/>
          <w:sz w:val="19"/>
          <w:vertAlign w:val="baseline"/>
        </w:rPr>
        <w:t>Ibid</w:t>
      </w:r>
    </w:p>
    <w:p>
      <w:pPr>
        <w:spacing w:line="215" w:lineRule="exact" w:before="0"/>
        <w:ind w:left="187"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6"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after="0" w:line="237" w:lineRule="auto"/>
        <w:jc w:val="left"/>
        <w:rPr>
          <w:rFonts w:ascii="Times New Roman"/>
          <w:sz w:val="19"/>
        </w:rPr>
        <w:sectPr>
          <w:pgSz w:w="12240" w:h="15840"/>
          <w:pgMar w:header="0" w:footer="2828" w:top="1240" w:bottom="3020" w:left="1680" w:right="1320"/>
        </w:sectPr>
      </w:pPr>
    </w:p>
    <w:p>
      <w:pPr>
        <w:pStyle w:val="BodyText"/>
        <w:spacing w:line="489" w:lineRule="auto" w:before="114"/>
        <w:ind w:left="864" w:right="565"/>
        <w:jc w:val="both"/>
      </w:pPr>
      <w:r>
        <w:rPr/>
        <w:t>same</w:t>
      </w:r>
      <w:r>
        <w:rPr>
          <w:spacing w:val="28"/>
        </w:rPr>
        <w:t> </w:t>
      </w:r>
      <w:r>
        <w:rPr/>
        <w:t>to</w:t>
      </w:r>
      <w:r>
        <w:rPr>
          <w:spacing w:val="24"/>
        </w:rPr>
        <w:t> </w:t>
      </w:r>
      <w:r>
        <w:rPr/>
        <w:t>the</w:t>
      </w:r>
      <w:r>
        <w:rPr>
          <w:spacing w:val="24"/>
        </w:rPr>
        <w:t> </w:t>
      </w:r>
      <w:r>
        <w:rPr/>
        <w:t>Board</w:t>
      </w:r>
      <w:r>
        <w:rPr>
          <w:spacing w:val="27"/>
        </w:rPr>
        <w:t> </w:t>
      </w:r>
      <w:r>
        <w:rPr/>
        <w:t>within</w:t>
      </w:r>
      <w:r>
        <w:rPr>
          <w:spacing w:val="26"/>
        </w:rPr>
        <w:t> </w:t>
      </w:r>
      <w:r>
        <w:rPr/>
        <w:t>seven</w:t>
      </w:r>
      <w:r>
        <w:rPr>
          <w:spacing w:val="26"/>
        </w:rPr>
        <w:t> </w:t>
      </w:r>
      <w:r>
        <w:rPr/>
        <w:t>days</w:t>
      </w:r>
      <w:r>
        <w:rPr>
          <w:spacing w:val="28"/>
        </w:rPr>
        <w:t> </w:t>
      </w:r>
      <w:r>
        <w:rPr/>
        <w:t>of</w:t>
      </w:r>
      <w:r>
        <w:rPr>
          <w:spacing w:val="29"/>
        </w:rPr>
        <w:t> </w:t>
      </w:r>
      <w:r>
        <w:rPr/>
        <w:t>receiving</w:t>
      </w:r>
      <w:r>
        <w:rPr>
          <w:spacing w:val="27"/>
        </w:rPr>
        <w:t> </w:t>
      </w:r>
      <w:r>
        <w:rPr/>
        <w:t>such</w:t>
      </w:r>
      <w:r>
        <w:rPr>
          <w:spacing w:val="26"/>
        </w:rPr>
        <w:t> </w:t>
      </w:r>
      <w:r>
        <w:rPr/>
        <w:t>information.</w:t>
      </w:r>
      <w:r>
        <w:rPr>
          <w:vertAlign w:val="superscript"/>
        </w:rPr>
        <w:t>324</w:t>
      </w:r>
      <w:r>
        <w:rPr>
          <w:vertAlign w:val="baseline"/>
        </w:rPr>
        <w:t>This is done by filling some prescribed forms.</w:t>
      </w:r>
      <w:r>
        <w:rPr>
          <w:vertAlign w:val="superscript"/>
        </w:rPr>
        <w:t>325</w:t>
      </w:r>
      <w:r>
        <w:rPr>
          <w:vertAlign w:val="baseline"/>
        </w:rPr>
        <w:t> Form ECS.BF01 is to be filled in the first instance for the purpose of notification and probably to process medical bill. Form ECS.BF02 is to enable the Board process compensation</w:t>
      </w:r>
      <w:r>
        <w:rPr>
          <w:spacing w:val="80"/>
          <w:vertAlign w:val="baseline"/>
        </w:rPr>
        <w:t> </w:t>
      </w:r>
      <w:r>
        <w:rPr>
          <w:vertAlign w:val="baseline"/>
        </w:rPr>
        <w:t>for</w:t>
      </w:r>
      <w:r>
        <w:rPr>
          <w:spacing w:val="40"/>
          <w:vertAlign w:val="baseline"/>
        </w:rPr>
        <w:t> </w:t>
      </w:r>
      <w:r>
        <w:rPr>
          <w:vertAlign w:val="baseline"/>
        </w:rPr>
        <w:t>injury</w:t>
      </w:r>
      <w:r>
        <w:rPr>
          <w:spacing w:val="40"/>
          <w:vertAlign w:val="baseline"/>
        </w:rPr>
        <w:t> </w:t>
      </w:r>
      <w:r>
        <w:rPr>
          <w:vertAlign w:val="baseline"/>
        </w:rPr>
        <w:t>which</w:t>
      </w:r>
      <w:r>
        <w:rPr>
          <w:spacing w:val="40"/>
          <w:vertAlign w:val="baseline"/>
        </w:rPr>
        <w:t> </w:t>
      </w:r>
      <w:r>
        <w:rPr>
          <w:vertAlign w:val="baseline"/>
        </w:rPr>
        <w:t>does</w:t>
      </w:r>
      <w:r>
        <w:rPr>
          <w:spacing w:val="40"/>
          <w:vertAlign w:val="baseline"/>
        </w:rPr>
        <w:t> </w:t>
      </w:r>
      <w:r>
        <w:rPr>
          <w:vertAlign w:val="baseline"/>
        </w:rPr>
        <w:t>not</w:t>
      </w:r>
      <w:r>
        <w:rPr>
          <w:spacing w:val="40"/>
          <w:vertAlign w:val="baseline"/>
        </w:rPr>
        <w:t> </w:t>
      </w:r>
      <w:r>
        <w:rPr>
          <w:vertAlign w:val="baseline"/>
        </w:rPr>
        <w:t>involve</w:t>
      </w:r>
      <w:r>
        <w:rPr>
          <w:spacing w:val="40"/>
          <w:vertAlign w:val="baseline"/>
        </w:rPr>
        <w:t> </w:t>
      </w:r>
      <w:r>
        <w:rPr>
          <w:vertAlign w:val="baseline"/>
        </w:rPr>
        <w:t>the</w:t>
      </w:r>
      <w:r>
        <w:rPr>
          <w:spacing w:val="40"/>
          <w:vertAlign w:val="baseline"/>
        </w:rPr>
        <w:t> </w:t>
      </w:r>
      <w:r>
        <w:rPr>
          <w:vertAlign w:val="baseline"/>
        </w:rPr>
        <w:t>death</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injured</w:t>
      </w:r>
      <w:r>
        <w:rPr>
          <w:spacing w:val="40"/>
          <w:vertAlign w:val="baseline"/>
        </w:rPr>
        <w:t> </w:t>
      </w:r>
      <w:r>
        <w:rPr>
          <w:vertAlign w:val="baseline"/>
        </w:rPr>
        <w:t>employee. Where death occurs, the employer is to immediately report the case to the Board.</w:t>
      </w:r>
      <w:r>
        <w:rPr>
          <w:vertAlign w:val="superscript"/>
        </w:rPr>
        <w:t>326</w:t>
      </w:r>
      <w:r>
        <w:rPr>
          <w:vertAlign w:val="baseline"/>
        </w:rPr>
        <w:t> Any report of death or injury required from the employer shall be in</w:t>
      </w:r>
      <w:r>
        <w:rPr>
          <w:spacing w:val="40"/>
          <w:vertAlign w:val="baseline"/>
        </w:rPr>
        <w:t> </w:t>
      </w:r>
      <w:r>
        <w:rPr>
          <w:vertAlign w:val="baseline"/>
        </w:rPr>
        <w:t>a</w:t>
      </w:r>
      <w:r>
        <w:rPr>
          <w:spacing w:val="40"/>
          <w:vertAlign w:val="baseline"/>
        </w:rPr>
        <w:t> </w:t>
      </w:r>
      <w:r>
        <w:rPr>
          <w:vertAlign w:val="baseline"/>
        </w:rPr>
        <w:t>manner</w:t>
      </w:r>
      <w:r>
        <w:rPr>
          <w:spacing w:val="40"/>
          <w:vertAlign w:val="baseline"/>
        </w:rPr>
        <w:t> </w:t>
      </w:r>
      <w:r>
        <w:rPr>
          <w:vertAlign w:val="baseline"/>
        </w:rPr>
        <w:t>prescribed</w:t>
      </w:r>
      <w:r>
        <w:rPr>
          <w:spacing w:val="40"/>
          <w:vertAlign w:val="baseline"/>
        </w:rPr>
        <w:t> </w:t>
      </w:r>
      <w:r>
        <w:rPr>
          <w:vertAlign w:val="baseline"/>
        </w:rPr>
        <w:t>by</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and</w:t>
      </w:r>
      <w:r>
        <w:rPr>
          <w:spacing w:val="40"/>
          <w:vertAlign w:val="baseline"/>
        </w:rPr>
        <w:t> </w:t>
      </w:r>
      <w:r>
        <w:rPr>
          <w:vertAlign w:val="baseline"/>
        </w:rPr>
        <w:t>shall</w:t>
      </w:r>
      <w:r>
        <w:rPr>
          <w:spacing w:val="40"/>
          <w:vertAlign w:val="baseline"/>
        </w:rPr>
        <w:t> </w:t>
      </w:r>
      <w:r>
        <w:rPr>
          <w:vertAlign w:val="baseline"/>
        </w:rPr>
        <w:t>state,</w:t>
      </w:r>
      <w:r>
        <w:rPr>
          <w:spacing w:val="40"/>
          <w:vertAlign w:val="baseline"/>
        </w:rPr>
        <w:t> </w:t>
      </w:r>
      <w:r>
        <w:rPr>
          <w:vertAlign w:val="baseline"/>
        </w:rPr>
        <w:t>the</w:t>
      </w:r>
      <w:r>
        <w:rPr>
          <w:spacing w:val="40"/>
          <w:vertAlign w:val="baseline"/>
        </w:rPr>
        <w:t> </w:t>
      </w:r>
      <w:r>
        <w:rPr>
          <w:vertAlign w:val="baseline"/>
        </w:rPr>
        <w:t>name</w:t>
      </w:r>
      <w:r>
        <w:rPr>
          <w:spacing w:val="40"/>
          <w:vertAlign w:val="baseline"/>
        </w:rPr>
        <w:t> </w:t>
      </w:r>
      <w:r>
        <w:rPr>
          <w:vertAlign w:val="baseline"/>
        </w:rPr>
        <w:t>and address of the employees and any other particulars required by the Board.</w:t>
      </w:r>
      <w:r>
        <w:rPr>
          <w:vertAlign w:val="superscript"/>
        </w:rPr>
        <w:t>327</w:t>
      </w:r>
      <w:r>
        <w:rPr>
          <w:vertAlign w:val="baseline"/>
        </w:rPr>
        <w:t>The</w:t>
      </w:r>
      <w:r>
        <w:rPr>
          <w:spacing w:val="40"/>
          <w:vertAlign w:val="baseline"/>
        </w:rPr>
        <w:t> </w:t>
      </w:r>
      <w:r>
        <w:rPr>
          <w:vertAlign w:val="baseline"/>
        </w:rPr>
        <w:t>report</w:t>
      </w:r>
      <w:r>
        <w:rPr>
          <w:spacing w:val="40"/>
          <w:vertAlign w:val="baseline"/>
        </w:rPr>
        <w:t> </w:t>
      </w:r>
      <w:r>
        <w:rPr>
          <w:vertAlign w:val="baseline"/>
        </w:rPr>
        <w:t>of</w:t>
      </w:r>
      <w:r>
        <w:rPr>
          <w:spacing w:val="40"/>
          <w:vertAlign w:val="baseline"/>
        </w:rPr>
        <w:t> </w:t>
      </w:r>
      <w:r>
        <w:rPr>
          <w:vertAlign w:val="baseline"/>
        </w:rPr>
        <w:t>death</w:t>
      </w:r>
      <w:r>
        <w:rPr>
          <w:spacing w:val="40"/>
          <w:vertAlign w:val="baseline"/>
        </w:rPr>
        <w:t> </w:t>
      </w:r>
      <w:r>
        <w:rPr>
          <w:vertAlign w:val="baseline"/>
        </w:rPr>
        <w:t>is</w:t>
      </w:r>
      <w:r>
        <w:rPr>
          <w:spacing w:val="40"/>
          <w:vertAlign w:val="baseline"/>
        </w:rPr>
        <w:t> </w:t>
      </w:r>
      <w:r>
        <w:rPr>
          <w:vertAlign w:val="baseline"/>
        </w:rPr>
        <w:t>done</w:t>
      </w:r>
      <w:r>
        <w:rPr>
          <w:spacing w:val="40"/>
          <w:vertAlign w:val="baseline"/>
        </w:rPr>
        <w:t> </w:t>
      </w:r>
      <w:r>
        <w:rPr>
          <w:vertAlign w:val="baseline"/>
        </w:rPr>
        <w:t>by</w:t>
      </w:r>
      <w:r>
        <w:rPr>
          <w:spacing w:val="40"/>
          <w:vertAlign w:val="baseline"/>
        </w:rPr>
        <w:t> </w:t>
      </w:r>
      <w:r>
        <w:rPr>
          <w:vertAlign w:val="baseline"/>
        </w:rPr>
        <w:t>filling</w:t>
      </w:r>
      <w:r>
        <w:rPr>
          <w:spacing w:val="40"/>
          <w:vertAlign w:val="baseline"/>
        </w:rPr>
        <w:t> </w:t>
      </w:r>
      <w:r>
        <w:rPr>
          <w:vertAlign w:val="baseline"/>
        </w:rPr>
        <w:t>Form</w:t>
      </w:r>
      <w:r>
        <w:rPr>
          <w:spacing w:val="40"/>
          <w:vertAlign w:val="baseline"/>
        </w:rPr>
        <w:t> </w:t>
      </w:r>
      <w:r>
        <w:rPr>
          <w:vertAlign w:val="baseline"/>
        </w:rPr>
        <w:t>ECS.BF02A.</w:t>
      </w:r>
      <w:r>
        <w:rPr>
          <w:spacing w:val="40"/>
          <w:vertAlign w:val="baseline"/>
        </w:rPr>
        <w:t> </w:t>
      </w:r>
      <w:r>
        <w:rPr>
          <w:vertAlign w:val="baseline"/>
        </w:rPr>
        <w:t>In</w:t>
      </w:r>
      <w:r>
        <w:rPr>
          <w:spacing w:val="40"/>
          <w:vertAlign w:val="baseline"/>
        </w:rPr>
        <w:t> </w:t>
      </w:r>
      <w:r>
        <w:rPr>
          <w:vertAlign w:val="baseline"/>
        </w:rPr>
        <w:t>all cases, the affected employee or dependants will be required to fill and submit a prescribed affidavit form called Form ECS.BF03.These reports are</w:t>
      </w:r>
      <w:r>
        <w:rPr>
          <w:spacing w:val="40"/>
          <w:vertAlign w:val="baseline"/>
        </w:rPr>
        <w:t> </w:t>
      </w:r>
      <w:r>
        <w:rPr>
          <w:vertAlign w:val="baseline"/>
        </w:rPr>
        <w:t>to be addressed to the nearest office ov(the Board.</w:t>
      </w:r>
      <w:r>
        <w:rPr>
          <w:vertAlign w:val="superscript"/>
        </w:rPr>
        <w:t>328</w:t>
      </w:r>
    </w:p>
    <w:p>
      <w:pPr>
        <w:pStyle w:val="BodyText"/>
        <w:spacing w:before="6"/>
        <w:rPr>
          <w:sz w:val="17"/>
        </w:rPr>
      </w:pPr>
      <w:r>
        <w:rPr/>
        <mc:AlternateContent>
          <mc:Choice Requires="wps">
            <w:drawing>
              <wp:anchor distT="0" distB="0" distL="0" distR="0" allowOverlap="1" layoutInCell="1" locked="0" behindDoc="1" simplePos="0" relativeHeight="487645696">
                <wp:simplePos x="0" y="0"/>
                <wp:positionH relativeFrom="page">
                  <wp:posOffset>1185672</wp:posOffset>
                </wp:positionH>
                <wp:positionV relativeFrom="paragraph">
                  <wp:posOffset>149601</wp:posOffset>
                </wp:positionV>
                <wp:extent cx="1719580" cy="6350"/>
                <wp:effectExtent l="0" t="0" r="0" b="0"/>
                <wp:wrapTopAndBottom/>
                <wp:docPr id="133" name="Graphic 133"/>
                <wp:cNvGraphicFramePr>
                  <a:graphicFrameLocks/>
                </wp:cNvGraphicFramePr>
                <a:graphic>
                  <a:graphicData uri="http://schemas.microsoft.com/office/word/2010/wordprocessingShape">
                    <wps:wsp>
                      <wps:cNvPr id="133" name="Graphic 133"/>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77961pt;width:135.360pt;height:.48pt;mso-position-horizontal-relative:page;mso-position-vertical-relative:paragraph;z-index:-15670784;mso-wrap-distance-left:0;mso-wrap-distance-right:0" id="docshape133"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7" w:lineRule="exact" w:before="2"/>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5" w:lineRule="exact" w:before="0"/>
        <w:ind w:left="187"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5"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4"/>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5" w:lineRule="exact" w:before="0"/>
        <w:ind w:left="187"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1"/>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line="216" w:lineRule="exact" w:before="0"/>
        <w:ind w:left="187"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5" w:lineRule="auto" w:before="5"/>
        <w:ind w:left="187" w:right="563"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2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after="0" w:line="235" w:lineRule="auto"/>
        <w:jc w:val="left"/>
        <w:rPr>
          <w:rFonts w:ascii="Times New Roman"/>
          <w:sz w:val="19"/>
        </w:rPr>
        <w:sectPr>
          <w:footerReference w:type="default" r:id="rId25"/>
          <w:pgSz w:w="12240" w:h="15840"/>
          <w:pgMar w:header="0" w:footer="1748" w:top="1240" w:bottom="1940" w:left="1680" w:right="1320"/>
        </w:sectPr>
      </w:pPr>
    </w:p>
    <w:p>
      <w:pPr>
        <w:pStyle w:val="BodyText"/>
        <w:spacing w:line="489" w:lineRule="auto" w:before="77"/>
        <w:ind w:left="864" w:right="563"/>
        <w:jc w:val="both"/>
      </w:pPr>
      <w:r>
        <w:rPr/>
        <w:t>It is an</w:t>
      </w:r>
      <w:r>
        <w:rPr>
          <w:spacing w:val="18"/>
        </w:rPr>
        <w:t> </w:t>
      </w:r>
      <w:r>
        <w:rPr/>
        <w:t>offence</w:t>
      </w:r>
      <w:r>
        <w:rPr>
          <w:spacing w:val="20"/>
        </w:rPr>
        <w:t> </w:t>
      </w:r>
      <w:r>
        <w:rPr/>
        <w:t>for</w:t>
      </w:r>
      <w:r>
        <w:rPr>
          <w:spacing w:val="21"/>
        </w:rPr>
        <w:t> </w:t>
      </w:r>
      <w:r>
        <w:rPr/>
        <w:t>any</w:t>
      </w:r>
      <w:r>
        <w:rPr>
          <w:spacing w:val="22"/>
        </w:rPr>
        <w:t> </w:t>
      </w:r>
      <w:r>
        <w:rPr/>
        <w:t>employer</w:t>
      </w:r>
      <w:r>
        <w:rPr>
          <w:spacing w:val="21"/>
        </w:rPr>
        <w:t> </w:t>
      </w:r>
      <w:r>
        <w:rPr/>
        <w:t>not to report any case</w:t>
      </w:r>
      <w:r>
        <w:rPr>
          <w:spacing w:val="20"/>
        </w:rPr>
        <w:t> </w:t>
      </w:r>
      <w:r>
        <w:rPr/>
        <w:t>of</w:t>
      </w:r>
      <w:r>
        <w:rPr>
          <w:spacing w:val="21"/>
        </w:rPr>
        <w:t> </w:t>
      </w:r>
      <w:r>
        <w:rPr/>
        <w:t>death</w:t>
      </w:r>
      <w:r>
        <w:rPr>
          <w:spacing w:val="18"/>
        </w:rPr>
        <w:t> </w:t>
      </w:r>
      <w:r>
        <w:rPr/>
        <w:t>or</w:t>
      </w:r>
      <w:r>
        <w:rPr>
          <w:spacing w:val="21"/>
        </w:rPr>
        <w:t> </w:t>
      </w:r>
      <w:r>
        <w:rPr/>
        <w:t>injury of the employee to the Board, unless allowed by the Board on the ground that the report for some sufficient reasons could not have been made.</w:t>
      </w:r>
      <w:r>
        <w:rPr>
          <w:vertAlign w:val="superscript"/>
        </w:rPr>
        <w:t>329</w:t>
      </w:r>
      <w:r>
        <w:rPr>
          <w:spacing w:val="40"/>
          <w:vertAlign w:val="baseline"/>
        </w:rPr>
        <w:t> </w:t>
      </w:r>
      <w:r>
        <w:rPr>
          <w:vertAlign w:val="baseline"/>
        </w:rPr>
        <w:t>The non-compliant employer here shall be liable on conviction to a fine of N20,000 for</w:t>
      </w:r>
      <w:r>
        <w:rPr>
          <w:spacing w:val="40"/>
          <w:vertAlign w:val="baseline"/>
        </w:rPr>
        <w:t> </w:t>
      </w:r>
      <w:r>
        <w:rPr>
          <w:vertAlign w:val="baseline"/>
        </w:rPr>
        <w:t>the first</w:t>
      </w:r>
      <w:r>
        <w:rPr>
          <w:spacing w:val="36"/>
          <w:vertAlign w:val="baseline"/>
        </w:rPr>
        <w:t> </w:t>
      </w:r>
      <w:r>
        <w:rPr>
          <w:vertAlign w:val="baseline"/>
        </w:rPr>
        <w:t>case</w:t>
      </w:r>
      <w:r>
        <w:rPr>
          <w:spacing w:val="40"/>
          <w:vertAlign w:val="baseline"/>
        </w:rPr>
        <w:t> </w:t>
      </w:r>
      <w:r>
        <w:rPr>
          <w:vertAlign w:val="baseline"/>
        </w:rPr>
        <w:t>of</w:t>
      </w:r>
      <w:r>
        <w:rPr>
          <w:spacing w:val="40"/>
          <w:vertAlign w:val="baseline"/>
        </w:rPr>
        <w:t> </w:t>
      </w:r>
      <w:r>
        <w:rPr>
          <w:vertAlign w:val="baseline"/>
        </w:rPr>
        <w:t>non-compliance or</w:t>
      </w:r>
      <w:r>
        <w:rPr>
          <w:spacing w:val="40"/>
          <w:vertAlign w:val="baseline"/>
        </w:rPr>
        <w:t> </w:t>
      </w:r>
      <w:r>
        <w:rPr>
          <w:vertAlign w:val="baseline"/>
        </w:rPr>
        <w:t>imprisonment</w:t>
      </w:r>
      <w:r>
        <w:rPr>
          <w:spacing w:val="40"/>
          <w:vertAlign w:val="baseline"/>
        </w:rPr>
        <w:t> </w:t>
      </w:r>
      <w:r>
        <w:rPr>
          <w:vertAlign w:val="baseline"/>
        </w:rPr>
        <w:t>for</w:t>
      </w:r>
      <w:r>
        <w:rPr>
          <w:spacing w:val="40"/>
          <w:vertAlign w:val="baseline"/>
        </w:rPr>
        <w:t> </w:t>
      </w:r>
      <w:r>
        <w:rPr>
          <w:vertAlign w:val="baseline"/>
        </w:rPr>
        <w:t>a</w:t>
      </w:r>
      <w:r>
        <w:rPr>
          <w:spacing w:val="40"/>
          <w:vertAlign w:val="baseline"/>
        </w:rPr>
        <w:t> </w:t>
      </w:r>
      <w:r>
        <w:rPr>
          <w:vertAlign w:val="baseline"/>
        </w:rPr>
        <w:t>term not exceeding one year or N100,000 for every subsequent case of non- compliance or to both such imprisonment and fine.</w:t>
      </w:r>
      <w:r>
        <w:rPr>
          <w:vertAlign w:val="superscript"/>
        </w:rPr>
        <w:t>330</w:t>
      </w:r>
      <w:r>
        <w:rPr>
          <w:vertAlign w:val="baseline"/>
        </w:rPr>
        <w:t> Where the non- compliance is by a corporate body, every director, manager, secretary or other officers of the body corporate or partner or officer of the firm or any person</w:t>
      </w:r>
      <w:r>
        <w:rPr>
          <w:spacing w:val="37"/>
          <w:vertAlign w:val="baseline"/>
        </w:rPr>
        <w:t> </w:t>
      </w:r>
      <w:r>
        <w:rPr>
          <w:vertAlign w:val="baseline"/>
        </w:rPr>
        <w:t>purporting</w:t>
      </w:r>
      <w:r>
        <w:rPr>
          <w:spacing w:val="38"/>
          <w:vertAlign w:val="baseline"/>
        </w:rPr>
        <w:t> </w:t>
      </w:r>
      <w:r>
        <w:rPr>
          <w:vertAlign w:val="baseline"/>
        </w:rPr>
        <w:t>to</w:t>
      </w:r>
      <w:r>
        <w:rPr>
          <w:spacing w:val="36"/>
          <w:vertAlign w:val="baseline"/>
        </w:rPr>
        <w:t> </w:t>
      </w:r>
      <w:r>
        <w:rPr>
          <w:vertAlign w:val="baseline"/>
        </w:rPr>
        <w:t>act</w:t>
      </w:r>
      <w:r>
        <w:rPr>
          <w:spacing w:val="31"/>
          <w:vertAlign w:val="baseline"/>
        </w:rPr>
        <w:t> </w:t>
      </w:r>
      <w:r>
        <w:rPr>
          <w:vertAlign w:val="baseline"/>
        </w:rPr>
        <w:t>in</w:t>
      </w:r>
      <w:r>
        <w:rPr>
          <w:spacing w:val="32"/>
          <w:vertAlign w:val="baseline"/>
        </w:rPr>
        <w:t> </w:t>
      </w:r>
      <w:r>
        <w:rPr>
          <w:vertAlign w:val="baseline"/>
        </w:rPr>
        <w:t>the</w:t>
      </w:r>
      <w:r>
        <w:rPr>
          <w:spacing w:val="35"/>
          <w:vertAlign w:val="baseline"/>
        </w:rPr>
        <w:t> </w:t>
      </w:r>
      <w:r>
        <w:rPr>
          <w:vertAlign w:val="baseline"/>
        </w:rPr>
        <w:t>aforementioned</w:t>
      </w:r>
      <w:r>
        <w:rPr>
          <w:spacing w:val="38"/>
          <w:vertAlign w:val="baseline"/>
        </w:rPr>
        <w:t> </w:t>
      </w:r>
      <w:r>
        <w:rPr>
          <w:vertAlign w:val="baseline"/>
        </w:rPr>
        <w:t>capacity</w:t>
      </w:r>
      <w:r>
        <w:rPr>
          <w:spacing w:val="37"/>
          <w:vertAlign w:val="baseline"/>
        </w:rPr>
        <w:t> </w:t>
      </w:r>
      <w:r>
        <w:rPr>
          <w:vertAlign w:val="baseline"/>
        </w:rPr>
        <w:t>shall</w:t>
      </w:r>
      <w:r>
        <w:rPr>
          <w:spacing w:val="38"/>
          <w:vertAlign w:val="baseline"/>
        </w:rPr>
        <w:t> </w:t>
      </w:r>
      <w:r>
        <w:rPr>
          <w:vertAlign w:val="baseline"/>
        </w:rPr>
        <w:t>be</w:t>
      </w:r>
      <w:r>
        <w:rPr>
          <w:spacing w:val="35"/>
          <w:vertAlign w:val="baseline"/>
        </w:rPr>
        <w:t> </w:t>
      </w:r>
      <w:r>
        <w:rPr>
          <w:vertAlign w:val="baseline"/>
        </w:rPr>
        <w:t>deemed to have committed the offence unless he proves that the act or omission constituting the offence took place without his knowledge, consent, connivance or neglect or he took reasonable steps to prevent the commission of the offence.</w:t>
      </w:r>
      <w:r>
        <w:rPr>
          <w:vertAlign w:val="superscript"/>
        </w:rPr>
        <w:t>331</w:t>
      </w:r>
      <w:r>
        <w:rPr>
          <w:vertAlign w:val="baseline"/>
        </w:rPr>
        <w:t> The National Industrial Court shall have and exercise jurisdiction and powers in criminal causes here and any appeal</w:t>
      </w:r>
      <w:r>
        <w:rPr>
          <w:spacing w:val="80"/>
          <w:vertAlign w:val="baseline"/>
        </w:rPr>
        <w:t> </w:t>
      </w:r>
      <w:r>
        <w:rPr>
          <w:vertAlign w:val="baseline"/>
        </w:rPr>
        <w:t>from the court shall lie to the Court of Appeal as of right.</w:t>
      </w:r>
      <w:r>
        <w:rPr>
          <w:vertAlign w:val="superscript"/>
        </w:rPr>
        <w:t>332</w:t>
      </w:r>
    </w:p>
    <w:p>
      <w:pPr>
        <w:pStyle w:val="BodyText"/>
        <w:spacing w:before="21"/>
      </w:pPr>
    </w:p>
    <w:p>
      <w:pPr>
        <w:pStyle w:val="BodyText"/>
        <w:spacing w:line="489" w:lineRule="auto"/>
        <w:ind w:left="864" w:right="569"/>
        <w:jc w:val="both"/>
      </w:pPr>
      <w:r>
        <w:rPr/>
        <w:t>Where</w:t>
      </w:r>
      <w:r>
        <w:rPr>
          <w:spacing w:val="40"/>
        </w:rPr>
        <w:t> </w:t>
      </w:r>
      <w:r>
        <w:rPr/>
        <w:t>an</w:t>
      </w:r>
      <w:r>
        <w:rPr>
          <w:spacing w:val="40"/>
        </w:rPr>
        <w:t> </w:t>
      </w:r>
      <w:r>
        <w:rPr/>
        <w:t>employee</w:t>
      </w:r>
      <w:r>
        <w:rPr>
          <w:spacing w:val="40"/>
        </w:rPr>
        <w:t> </w:t>
      </w:r>
      <w:r>
        <w:rPr/>
        <w:t>or</w:t>
      </w:r>
      <w:r>
        <w:rPr>
          <w:spacing w:val="40"/>
        </w:rPr>
        <w:t> </w:t>
      </w:r>
      <w:r>
        <w:rPr/>
        <w:t>his or</w:t>
      </w:r>
      <w:r>
        <w:rPr>
          <w:spacing w:val="40"/>
        </w:rPr>
        <w:t> </w:t>
      </w:r>
      <w:r>
        <w:rPr/>
        <w:t>her</w:t>
      </w:r>
      <w:r>
        <w:rPr>
          <w:spacing w:val="40"/>
        </w:rPr>
        <w:t> </w:t>
      </w:r>
      <w:r>
        <w:rPr/>
        <w:t>dependants wish</w:t>
      </w:r>
      <w:r>
        <w:rPr>
          <w:spacing w:val="40"/>
        </w:rPr>
        <w:t> </w:t>
      </w:r>
      <w:r>
        <w:rPr/>
        <w:t>to be compensated, such</w:t>
      </w:r>
      <w:r>
        <w:rPr>
          <w:spacing w:val="16"/>
        </w:rPr>
        <w:t> </w:t>
      </w:r>
      <w:r>
        <w:rPr/>
        <w:t>request</w:t>
      </w:r>
      <w:r>
        <w:rPr>
          <w:spacing w:val="11"/>
        </w:rPr>
        <w:t> </w:t>
      </w:r>
      <w:r>
        <w:rPr/>
        <w:t>must</w:t>
      </w:r>
      <w:r>
        <w:rPr>
          <w:spacing w:val="6"/>
        </w:rPr>
        <w:t> </w:t>
      </w:r>
      <w:r>
        <w:rPr/>
        <w:t>be</w:t>
      </w:r>
      <w:r>
        <w:rPr>
          <w:spacing w:val="9"/>
        </w:rPr>
        <w:t> </w:t>
      </w:r>
      <w:r>
        <w:rPr/>
        <w:t>through</w:t>
      </w:r>
      <w:r>
        <w:rPr>
          <w:spacing w:val="11"/>
        </w:rPr>
        <w:t> </w:t>
      </w:r>
      <w:r>
        <w:rPr/>
        <w:t>the</w:t>
      </w:r>
      <w:r>
        <w:rPr>
          <w:spacing w:val="13"/>
        </w:rPr>
        <w:t> </w:t>
      </w:r>
      <w:r>
        <w:rPr/>
        <w:t>forms</w:t>
      </w:r>
      <w:r>
        <w:rPr>
          <w:spacing w:val="13"/>
        </w:rPr>
        <w:t> </w:t>
      </w:r>
      <w:r>
        <w:rPr/>
        <w:t>prescribed</w:t>
      </w:r>
      <w:r>
        <w:rPr>
          <w:spacing w:val="13"/>
        </w:rPr>
        <w:t> </w:t>
      </w:r>
      <w:r>
        <w:rPr/>
        <w:t>by</w:t>
      </w:r>
      <w:r>
        <w:rPr>
          <w:spacing w:val="11"/>
        </w:rPr>
        <w:t> </w:t>
      </w:r>
      <w:r>
        <w:rPr/>
        <w:t>the</w:t>
      </w:r>
      <w:r>
        <w:rPr>
          <w:spacing w:val="13"/>
        </w:rPr>
        <w:t> </w:t>
      </w:r>
      <w:r>
        <w:rPr/>
        <w:t>Board</w:t>
      </w:r>
      <w:r>
        <w:rPr>
          <w:spacing w:val="12"/>
        </w:rPr>
        <w:t> </w:t>
      </w:r>
      <w:r>
        <w:rPr/>
        <w:t>and</w:t>
      </w:r>
      <w:r>
        <w:rPr>
          <w:spacing w:val="8"/>
        </w:rPr>
        <w:t> </w:t>
      </w:r>
      <w:r>
        <w:rPr>
          <w:spacing w:val="-2"/>
        </w:rPr>
        <w:t>shall</w:t>
      </w:r>
    </w:p>
    <w:p>
      <w:pPr>
        <w:pStyle w:val="BodyText"/>
        <w:rPr>
          <w:sz w:val="20"/>
        </w:rPr>
      </w:pPr>
    </w:p>
    <w:p>
      <w:pPr>
        <w:pStyle w:val="BodyText"/>
        <w:spacing w:before="203"/>
        <w:rPr>
          <w:sz w:val="20"/>
        </w:rPr>
      </w:pPr>
      <w:r>
        <w:rPr/>
        <mc:AlternateContent>
          <mc:Choice Requires="wps">
            <w:drawing>
              <wp:anchor distT="0" distB="0" distL="0" distR="0" allowOverlap="1" layoutInCell="1" locked="0" behindDoc="1" simplePos="0" relativeHeight="487646208">
                <wp:simplePos x="0" y="0"/>
                <wp:positionH relativeFrom="page">
                  <wp:posOffset>1185672</wp:posOffset>
                </wp:positionH>
                <wp:positionV relativeFrom="paragraph">
                  <wp:posOffset>297734</wp:posOffset>
                </wp:positionV>
                <wp:extent cx="5389245" cy="6350"/>
                <wp:effectExtent l="0" t="0" r="0" b="0"/>
                <wp:wrapTopAndBottom/>
                <wp:docPr id="135" name="Graphic 135"/>
                <wp:cNvGraphicFramePr>
                  <a:graphicFrameLocks/>
                </wp:cNvGraphicFramePr>
                <a:graphic>
                  <a:graphicData uri="http://schemas.microsoft.com/office/word/2010/wordprocessingShape">
                    <wps:wsp>
                      <wps:cNvPr id="135" name="Graphic 135"/>
                      <wps:cNvSpPr/>
                      <wps:spPr>
                        <a:xfrm>
                          <a:off x="0" y="0"/>
                          <a:ext cx="5389245" cy="6350"/>
                        </a:xfrm>
                        <a:custGeom>
                          <a:avLst/>
                          <a:gdLst/>
                          <a:ahLst/>
                          <a:cxnLst/>
                          <a:rect l="l" t="t" r="r" b="b"/>
                          <a:pathLst>
                            <a:path w="5389245" h="6350">
                              <a:moveTo>
                                <a:pt x="5388863" y="0"/>
                              </a:moveTo>
                              <a:lnTo>
                                <a:pt x="0" y="0"/>
                              </a:lnTo>
                              <a:lnTo>
                                <a:pt x="0" y="6095"/>
                              </a:lnTo>
                              <a:lnTo>
                                <a:pt x="5388863" y="6095"/>
                              </a:lnTo>
                              <a:lnTo>
                                <a:pt x="538886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3.443672pt;width:424.32pt;height:.48pt;mso-position-horizontal-relative:page;mso-position-vertical-relative:paragraph;z-index:-15670272;mso-wrap-distance-left:0;mso-wrap-distance-right:0" id="docshape135" filled="true" fillcolor="#000000" stroked="false">
                <v:fill type="solid"/>
                <w10:wrap type="topAndBottom"/>
              </v:rect>
            </w:pict>
          </mc:Fallback>
        </mc:AlternateContent>
      </w:r>
    </w:p>
    <w:p>
      <w:pPr>
        <w:spacing w:line="242" w:lineRule="auto" w:before="96"/>
        <w:ind w:left="187" w:right="1056" w:firstLine="0"/>
        <w:jc w:val="left"/>
        <w:rPr>
          <w:rFonts w:ascii="Times New Roman"/>
          <w:sz w:val="19"/>
        </w:rPr>
      </w:pPr>
      <w:r>
        <w:rPr>
          <w:rFonts w:ascii="Times New Roman"/>
          <w:sz w:val="19"/>
        </w:rPr>
        <w:t>reports</w:t>
      </w:r>
      <w:r>
        <w:rPr>
          <w:rFonts w:ascii="Times New Roman"/>
          <w:spacing w:val="-7"/>
          <w:sz w:val="19"/>
        </w:rPr>
        <w:t> </w:t>
      </w:r>
      <w:r>
        <w:rPr>
          <w:rFonts w:ascii="Times New Roman"/>
          <w:sz w:val="19"/>
        </w:rPr>
        <w:t>are</w:t>
      </w:r>
      <w:r>
        <w:rPr>
          <w:rFonts w:ascii="Times New Roman"/>
          <w:spacing w:val="-7"/>
          <w:sz w:val="19"/>
        </w:rPr>
        <w:t> </w:t>
      </w:r>
      <w:r>
        <w:rPr>
          <w:rFonts w:ascii="Times New Roman"/>
          <w:sz w:val="19"/>
        </w:rPr>
        <w:t>to</w:t>
      </w:r>
      <w:r>
        <w:rPr>
          <w:rFonts w:ascii="Times New Roman"/>
          <w:spacing w:val="-8"/>
          <w:sz w:val="19"/>
        </w:rPr>
        <w:t> </w:t>
      </w:r>
      <w:r>
        <w:rPr>
          <w:rFonts w:ascii="Times New Roman"/>
          <w:sz w:val="19"/>
        </w:rPr>
        <w:t>be</w:t>
      </w:r>
      <w:r>
        <w:rPr>
          <w:rFonts w:ascii="Times New Roman"/>
          <w:spacing w:val="-7"/>
          <w:sz w:val="19"/>
        </w:rPr>
        <w:t> </w:t>
      </w:r>
      <w:r>
        <w:rPr>
          <w:rFonts w:ascii="Times New Roman"/>
          <w:sz w:val="19"/>
        </w:rPr>
        <w:t>addressed</w:t>
      </w:r>
      <w:r>
        <w:rPr>
          <w:rFonts w:ascii="Times New Roman"/>
          <w:spacing w:val="-3"/>
          <w:sz w:val="19"/>
        </w:rPr>
        <w:t> </w:t>
      </w:r>
      <w:r>
        <w:rPr>
          <w:rFonts w:ascii="Times New Roman"/>
          <w:sz w:val="19"/>
        </w:rPr>
        <w:t>to</w:t>
      </w:r>
      <w:r>
        <w:rPr>
          <w:rFonts w:ascii="Times New Roman"/>
          <w:spacing w:val="-8"/>
          <w:sz w:val="19"/>
        </w:rPr>
        <w:t> </w:t>
      </w:r>
      <w:r>
        <w:rPr>
          <w:rFonts w:ascii="Times New Roman"/>
          <w:sz w:val="19"/>
        </w:rPr>
        <w:t>the</w:t>
      </w:r>
      <w:r>
        <w:rPr>
          <w:rFonts w:ascii="Times New Roman"/>
          <w:spacing w:val="-11"/>
          <w:sz w:val="19"/>
        </w:rPr>
        <w:t> </w:t>
      </w:r>
      <w:r>
        <w:rPr>
          <w:rFonts w:ascii="Times New Roman"/>
          <w:sz w:val="19"/>
        </w:rPr>
        <w:t>nearest</w:t>
      </w:r>
      <w:r>
        <w:rPr>
          <w:rFonts w:ascii="Times New Roman"/>
          <w:spacing w:val="-5"/>
          <w:sz w:val="19"/>
        </w:rPr>
        <w:t> </w:t>
      </w:r>
      <w:r>
        <w:rPr>
          <w:rFonts w:ascii="Times New Roman"/>
          <w:sz w:val="19"/>
        </w:rPr>
        <w:t>office</w:t>
      </w:r>
      <w:r>
        <w:rPr>
          <w:rFonts w:ascii="Times New Roman"/>
          <w:spacing w:val="-7"/>
          <w:sz w:val="19"/>
        </w:rPr>
        <w:t> </w:t>
      </w:r>
      <w:r>
        <w:rPr>
          <w:rFonts w:ascii="Times New Roman"/>
          <w:sz w:val="19"/>
        </w:rPr>
        <w:t>of</w:t>
      </w:r>
      <w:r>
        <w:rPr>
          <w:rFonts w:ascii="Times New Roman"/>
          <w:spacing w:val="-6"/>
          <w:sz w:val="19"/>
        </w:rPr>
        <w:t> </w:t>
      </w:r>
      <w:r>
        <w:rPr>
          <w:rFonts w:ascii="Times New Roman"/>
          <w:sz w:val="19"/>
        </w:rPr>
        <w:t>the</w:t>
      </w:r>
      <w:r>
        <w:rPr>
          <w:rFonts w:ascii="Times New Roman"/>
          <w:spacing w:val="-7"/>
          <w:sz w:val="19"/>
        </w:rPr>
        <w:t> </w:t>
      </w:r>
      <w:r>
        <w:rPr>
          <w:rFonts w:ascii="Times New Roman"/>
          <w:sz w:val="19"/>
        </w:rPr>
        <w:t>Board.There</w:t>
      </w:r>
      <w:r>
        <w:rPr>
          <w:rFonts w:ascii="Times New Roman"/>
          <w:spacing w:val="-7"/>
          <w:sz w:val="19"/>
        </w:rPr>
        <w:t> </w:t>
      </w:r>
      <w:r>
        <w:rPr>
          <w:rFonts w:ascii="Times New Roman"/>
          <w:sz w:val="19"/>
        </w:rPr>
        <w:t>are</w:t>
      </w:r>
      <w:r>
        <w:rPr>
          <w:rFonts w:ascii="Times New Roman"/>
          <w:spacing w:val="-11"/>
          <w:sz w:val="19"/>
        </w:rPr>
        <w:t> </w:t>
      </w:r>
      <w:r>
        <w:rPr>
          <w:rFonts w:ascii="Times New Roman"/>
          <w:sz w:val="19"/>
        </w:rPr>
        <w:t>now</w:t>
      </w:r>
      <w:r>
        <w:rPr>
          <w:rFonts w:ascii="Times New Roman"/>
          <w:spacing w:val="-11"/>
          <w:sz w:val="19"/>
        </w:rPr>
        <w:t> </w:t>
      </w:r>
      <w:r>
        <w:rPr>
          <w:rFonts w:ascii="Times New Roman"/>
          <w:sz w:val="19"/>
        </w:rPr>
        <w:t>branch offices</w:t>
      </w:r>
      <w:r>
        <w:rPr>
          <w:rFonts w:ascii="Times New Roman"/>
          <w:spacing w:val="-7"/>
          <w:sz w:val="19"/>
        </w:rPr>
        <w:t> </w:t>
      </w:r>
      <w:r>
        <w:rPr>
          <w:rFonts w:ascii="Times New Roman"/>
          <w:sz w:val="19"/>
        </w:rPr>
        <w:t>of</w:t>
      </w:r>
      <w:r>
        <w:rPr>
          <w:rFonts w:ascii="Times New Roman"/>
          <w:spacing w:val="-6"/>
          <w:sz w:val="19"/>
        </w:rPr>
        <w:t> </w:t>
      </w:r>
      <w:r>
        <w:rPr>
          <w:rFonts w:ascii="Times New Roman"/>
          <w:sz w:val="19"/>
        </w:rPr>
        <w:t>the</w:t>
      </w:r>
      <w:r>
        <w:rPr>
          <w:rFonts w:ascii="Times New Roman"/>
          <w:spacing w:val="-7"/>
          <w:sz w:val="19"/>
        </w:rPr>
        <w:t> </w:t>
      </w:r>
      <w:r>
        <w:rPr>
          <w:rFonts w:ascii="Times New Roman"/>
          <w:sz w:val="19"/>
        </w:rPr>
        <w:t>Board</w:t>
      </w:r>
      <w:r>
        <w:rPr>
          <w:rFonts w:ascii="Times New Roman"/>
          <w:spacing w:val="-8"/>
          <w:sz w:val="19"/>
        </w:rPr>
        <w:t> </w:t>
      </w:r>
      <w:r>
        <w:rPr>
          <w:rFonts w:ascii="Times New Roman"/>
          <w:sz w:val="19"/>
        </w:rPr>
        <w:t>in almost all the states of the Federation.</w:t>
      </w:r>
    </w:p>
    <w:p>
      <w:pPr>
        <w:spacing w:line="210" w:lineRule="exact" w:before="0"/>
        <w:ind w:left="187" w:right="0" w:firstLine="0"/>
        <w:jc w:val="left"/>
        <w:rPr>
          <w:rFonts w:ascii="Times New Roman"/>
          <w:i/>
          <w:sz w:val="19"/>
        </w:rPr>
      </w:pPr>
      <w:r>
        <w:rPr>
          <w:rFonts w:ascii="Times New Roman"/>
          <w:sz w:val="19"/>
          <w:vertAlign w:val="superscript"/>
        </w:rPr>
        <w:t>329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5(5)</w:t>
      </w:r>
      <w:r>
        <w:rPr>
          <w:rFonts w:ascii="Times New Roman"/>
          <w:spacing w:val="-8"/>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330</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71</w:t>
      </w:r>
      <w:r>
        <w:rPr>
          <w:rFonts w:ascii="Times New Roman"/>
          <w:spacing w:val="-5"/>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331</w:t>
      </w:r>
      <w:r>
        <w:rPr>
          <w:rFonts w:ascii="Times New Roman"/>
          <w:spacing w:val="11"/>
          <w:sz w:val="19"/>
          <w:vertAlign w:val="baseline"/>
        </w:rPr>
        <w:t> </w:t>
      </w:r>
      <w:r>
        <w:rPr>
          <w:rFonts w:ascii="Times New Roman"/>
          <w:i/>
          <w:spacing w:val="-4"/>
          <w:sz w:val="19"/>
          <w:vertAlign w:val="baseline"/>
        </w:rPr>
        <w:t>Ibid</w:t>
      </w:r>
    </w:p>
    <w:p>
      <w:pPr>
        <w:spacing w:line="237" w:lineRule="auto" w:before="0"/>
        <w:ind w:left="187" w:right="0" w:firstLine="0"/>
        <w:jc w:val="left"/>
        <w:rPr>
          <w:rFonts w:ascii="Times New Roman"/>
          <w:sz w:val="19"/>
        </w:rPr>
      </w:pPr>
      <w:r>
        <w:rPr>
          <w:rFonts w:ascii="Times New Roman"/>
          <w:sz w:val="19"/>
          <w:vertAlign w:val="superscript"/>
        </w:rPr>
        <w:t>332</w:t>
      </w:r>
      <w:r>
        <w:rPr>
          <w:rFonts w:ascii="Times New Roman"/>
          <w:spacing w:val="-2"/>
          <w:sz w:val="19"/>
          <w:vertAlign w:val="baseline"/>
        </w:rPr>
        <w:t> </w:t>
      </w:r>
      <w:r>
        <w:rPr>
          <w:rFonts w:ascii="Times New Roman"/>
          <w:sz w:val="19"/>
          <w:vertAlign w:val="baseline"/>
        </w:rPr>
        <w:t>See</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254C(5)(6)</w:t>
      </w:r>
      <w:r>
        <w:rPr>
          <w:rFonts w:ascii="Times New Roman"/>
          <w:spacing w:val="-7"/>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Constitution</w:t>
      </w:r>
      <w:r>
        <w:rPr>
          <w:rFonts w:ascii="Times New Roman"/>
          <w:spacing w:val="-5"/>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Federal</w:t>
      </w:r>
      <w:r>
        <w:rPr>
          <w:rFonts w:ascii="Times New Roman"/>
          <w:spacing w:val="-2"/>
          <w:sz w:val="19"/>
          <w:vertAlign w:val="baseline"/>
        </w:rPr>
        <w:t> </w:t>
      </w:r>
      <w:r>
        <w:rPr>
          <w:rFonts w:ascii="Times New Roman"/>
          <w:sz w:val="19"/>
          <w:vertAlign w:val="baseline"/>
        </w:rPr>
        <w:t>Republic</w:t>
      </w:r>
      <w:r>
        <w:rPr>
          <w:rFonts w:ascii="Times New Roman"/>
          <w:spacing w:val="-8"/>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Nigeria</w:t>
      </w:r>
      <w:r>
        <w:rPr>
          <w:rFonts w:ascii="Times New Roman"/>
          <w:spacing w:val="-8"/>
          <w:sz w:val="19"/>
          <w:vertAlign w:val="baseline"/>
        </w:rPr>
        <w:t> </w:t>
      </w:r>
      <w:r>
        <w:rPr>
          <w:rFonts w:ascii="Times New Roman"/>
          <w:sz w:val="19"/>
          <w:vertAlign w:val="baseline"/>
        </w:rPr>
        <w:t>1999</w:t>
      </w:r>
      <w:r>
        <w:rPr>
          <w:rFonts w:ascii="Times New Roman"/>
          <w:spacing w:val="-5"/>
          <w:sz w:val="19"/>
          <w:vertAlign w:val="baseline"/>
        </w:rPr>
        <w:t> </w:t>
      </w:r>
      <w:r>
        <w:rPr>
          <w:rFonts w:ascii="Times New Roman"/>
          <w:sz w:val="19"/>
          <w:vertAlign w:val="baseline"/>
        </w:rPr>
        <w:t>(as</w:t>
      </w:r>
      <w:r>
        <w:rPr>
          <w:rFonts w:ascii="Times New Roman"/>
          <w:spacing w:val="-12"/>
          <w:sz w:val="19"/>
          <w:vertAlign w:val="baseline"/>
        </w:rPr>
        <w:t> </w:t>
      </w:r>
      <w:r>
        <w:rPr>
          <w:rFonts w:ascii="Times New Roman"/>
          <w:sz w:val="19"/>
          <w:vertAlign w:val="baseline"/>
        </w:rPr>
        <w:t>amended</w:t>
      </w:r>
      <w:r>
        <w:rPr>
          <w:rFonts w:ascii="Times New Roman"/>
          <w:spacing w:val="-5"/>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4"/>
          <w:sz w:val="19"/>
          <w:vertAlign w:val="baseline"/>
        </w:rPr>
        <w:t> </w:t>
      </w:r>
      <w:r>
        <w:rPr>
          <w:rFonts w:ascii="Times New Roman"/>
          <w:sz w:val="19"/>
          <w:vertAlign w:val="baseline"/>
        </w:rPr>
        <w:t>Third Alteration Act, No. 3, 2010)</w:t>
      </w:r>
    </w:p>
    <w:p>
      <w:pPr>
        <w:spacing w:after="0" w:line="237" w:lineRule="auto"/>
        <w:jc w:val="left"/>
        <w:rPr>
          <w:rFonts w:ascii="Times New Roman"/>
          <w:sz w:val="19"/>
        </w:rPr>
        <w:sectPr>
          <w:footerReference w:type="default" r:id="rId26"/>
          <w:pgSz w:w="12240" w:h="15840"/>
          <w:pgMar w:header="0" w:footer="1009" w:top="1560" w:bottom="1200" w:left="1680" w:right="1320"/>
        </w:sectPr>
      </w:pPr>
    </w:p>
    <w:p>
      <w:pPr>
        <w:pStyle w:val="BodyText"/>
        <w:spacing w:line="489" w:lineRule="auto" w:before="114"/>
        <w:ind w:left="864" w:right="566"/>
        <w:jc w:val="both"/>
      </w:pPr>
      <w:r>
        <w:rPr/>
        <w:t>be</w:t>
      </w:r>
      <w:r>
        <w:rPr>
          <w:spacing w:val="36"/>
        </w:rPr>
        <w:t> </w:t>
      </w:r>
      <w:r>
        <w:rPr/>
        <w:t>signed</w:t>
      </w:r>
      <w:r>
        <w:rPr>
          <w:spacing w:val="39"/>
        </w:rPr>
        <w:t> </w:t>
      </w:r>
      <w:r>
        <w:rPr/>
        <w:t>by</w:t>
      </w:r>
      <w:r>
        <w:rPr>
          <w:spacing w:val="38"/>
        </w:rPr>
        <w:t> </w:t>
      </w:r>
      <w:r>
        <w:rPr/>
        <w:t>the</w:t>
      </w:r>
      <w:r>
        <w:rPr>
          <w:spacing w:val="36"/>
        </w:rPr>
        <w:t> </w:t>
      </w:r>
      <w:r>
        <w:rPr/>
        <w:t>employee</w:t>
      </w:r>
      <w:r>
        <w:rPr>
          <w:spacing w:val="36"/>
        </w:rPr>
        <w:t> </w:t>
      </w:r>
      <w:r>
        <w:rPr/>
        <w:t>or</w:t>
      </w:r>
      <w:r>
        <w:rPr>
          <w:spacing w:val="37"/>
        </w:rPr>
        <w:t> </w:t>
      </w:r>
      <w:r>
        <w:rPr/>
        <w:t>deceased</w:t>
      </w:r>
      <w:r>
        <w:rPr>
          <w:spacing w:val="39"/>
        </w:rPr>
        <w:t> </w:t>
      </w:r>
      <w:r>
        <w:rPr/>
        <w:t>employees’</w:t>
      </w:r>
      <w:r>
        <w:rPr>
          <w:spacing w:val="38"/>
        </w:rPr>
        <w:t> </w:t>
      </w:r>
      <w:r>
        <w:rPr/>
        <w:t>dependant.</w:t>
      </w:r>
      <w:r>
        <w:rPr>
          <w:vertAlign w:val="superscript"/>
        </w:rPr>
        <w:t>333</w:t>
      </w:r>
      <w:r>
        <w:rPr>
          <w:vertAlign w:val="baseline"/>
        </w:rPr>
        <w:t> Where an application is in respect of hearing impairment, an application for compensation must be accompanied or supported by a report of a medical practitioner who specialises in ailments of ear or hearing accredited by the Board, with an audiogram and a report by the employer, or other evidence of hearing impairment as the Board will determine from time to time.</w:t>
      </w:r>
      <w:r>
        <w:rPr>
          <w:vertAlign w:val="superscript"/>
        </w:rPr>
        <w:t>334</w:t>
      </w:r>
    </w:p>
    <w:p>
      <w:pPr>
        <w:pStyle w:val="BodyText"/>
      </w:pPr>
    </w:p>
    <w:p>
      <w:pPr>
        <w:pStyle w:val="BodyText"/>
        <w:spacing w:before="16"/>
      </w:pPr>
    </w:p>
    <w:p>
      <w:pPr>
        <w:pStyle w:val="BodyText"/>
        <w:spacing w:line="489" w:lineRule="auto"/>
        <w:ind w:left="864" w:right="569"/>
        <w:jc w:val="both"/>
      </w:pPr>
      <w:r>
        <w:rPr/>
        <w:t>Every medical practitioner or accredited medical practitioner attending or consulted on a case of injury to an employee shall give all reasonable and necessary information, advice and assistance to the injured employee or dependant</w:t>
      </w:r>
      <w:r>
        <w:rPr>
          <w:spacing w:val="40"/>
        </w:rPr>
        <w:t> </w:t>
      </w:r>
      <w:r>
        <w:rPr/>
        <w:t>in</w:t>
      </w:r>
      <w:r>
        <w:rPr>
          <w:spacing w:val="40"/>
        </w:rPr>
        <w:t> </w:t>
      </w:r>
      <w:r>
        <w:rPr/>
        <w:t>making</w:t>
      </w:r>
      <w:r>
        <w:rPr>
          <w:spacing w:val="40"/>
        </w:rPr>
        <w:t> </w:t>
      </w:r>
      <w:r>
        <w:rPr/>
        <w:t>an</w:t>
      </w:r>
      <w:r>
        <w:rPr>
          <w:spacing w:val="40"/>
        </w:rPr>
        <w:t> </w:t>
      </w:r>
      <w:r>
        <w:rPr/>
        <w:t>application</w:t>
      </w:r>
      <w:r>
        <w:rPr>
          <w:spacing w:val="40"/>
        </w:rPr>
        <w:t> </w:t>
      </w:r>
      <w:r>
        <w:rPr/>
        <w:t>for</w:t>
      </w:r>
      <w:r>
        <w:rPr>
          <w:spacing w:val="40"/>
        </w:rPr>
        <w:t> </w:t>
      </w:r>
      <w:r>
        <w:rPr/>
        <w:t>compensation,</w:t>
      </w:r>
      <w:r>
        <w:rPr>
          <w:spacing w:val="40"/>
        </w:rPr>
        <w:t> </w:t>
      </w:r>
      <w:r>
        <w:rPr/>
        <w:t>to</w:t>
      </w:r>
      <w:r>
        <w:rPr>
          <w:spacing w:val="40"/>
        </w:rPr>
        <w:t> </w:t>
      </w:r>
      <w:r>
        <w:rPr/>
        <w:t>provide certificate and proofs without charge to |xe employee.</w:t>
      </w:r>
      <w:r>
        <w:rPr>
          <w:vertAlign w:val="superscript"/>
        </w:rPr>
        <w:t>335</w:t>
      </w:r>
    </w:p>
    <w:p>
      <w:pPr>
        <w:pStyle w:val="BodyText"/>
        <w:spacing w:before="15"/>
      </w:pPr>
    </w:p>
    <w:p>
      <w:pPr>
        <w:pStyle w:val="BodyText"/>
        <w:spacing w:line="489" w:lineRule="auto"/>
        <w:ind w:left="864" w:right="565"/>
        <w:jc w:val="both"/>
      </w:pPr>
      <w:r>
        <w:rPr/>
        <w:t>Where</w:t>
      </w:r>
      <w:r>
        <w:rPr>
          <w:spacing w:val="40"/>
        </w:rPr>
        <w:t> </w:t>
      </w:r>
      <w:r>
        <w:rPr/>
        <w:t>an</w:t>
      </w:r>
      <w:r>
        <w:rPr>
          <w:spacing w:val="40"/>
        </w:rPr>
        <w:t> </w:t>
      </w:r>
      <w:r>
        <w:rPr/>
        <w:t>application</w:t>
      </w:r>
      <w:r>
        <w:rPr>
          <w:spacing w:val="40"/>
        </w:rPr>
        <w:t> </w:t>
      </w:r>
      <w:r>
        <w:rPr/>
        <w:t>is</w:t>
      </w:r>
      <w:r>
        <w:rPr>
          <w:spacing w:val="40"/>
        </w:rPr>
        <w:t> </w:t>
      </w:r>
      <w:r>
        <w:rPr/>
        <w:t>in</w:t>
      </w:r>
      <w:r>
        <w:rPr>
          <w:spacing w:val="40"/>
        </w:rPr>
        <w:t> </w:t>
      </w:r>
      <w:r>
        <w:rPr/>
        <w:t>respect</w:t>
      </w:r>
      <w:r>
        <w:rPr>
          <w:spacing w:val="40"/>
        </w:rPr>
        <w:t> </w:t>
      </w:r>
      <w:r>
        <w:rPr/>
        <w:t>of</w:t>
      </w:r>
      <w:r>
        <w:rPr>
          <w:spacing w:val="40"/>
        </w:rPr>
        <w:t> </w:t>
      </w:r>
      <w:r>
        <w:rPr/>
        <w:t>money</w:t>
      </w:r>
      <w:r>
        <w:rPr>
          <w:spacing w:val="40"/>
        </w:rPr>
        <w:t> </w:t>
      </w:r>
      <w:r>
        <w:rPr/>
        <w:t>spent</w:t>
      </w:r>
      <w:r>
        <w:rPr>
          <w:spacing w:val="40"/>
        </w:rPr>
        <w:t> </w:t>
      </w:r>
      <w:r>
        <w:rPr/>
        <w:t>on</w:t>
      </w:r>
      <w:r>
        <w:rPr>
          <w:spacing w:val="40"/>
        </w:rPr>
        <w:t> </w:t>
      </w:r>
      <w:r>
        <w:rPr/>
        <w:t>health</w:t>
      </w:r>
      <w:r>
        <w:rPr>
          <w:spacing w:val="40"/>
        </w:rPr>
        <w:t> </w:t>
      </w:r>
      <w:r>
        <w:rPr/>
        <w:t>care</w:t>
      </w:r>
      <w:r>
        <w:rPr>
          <w:spacing w:val="40"/>
        </w:rPr>
        <w:t> </w:t>
      </w:r>
      <w:r>
        <w:rPr/>
        <w:t>or medical</w:t>
      </w:r>
      <w:r>
        <w:rPr>
          <w:spacing w:val="33"/>
        </w:rPr>
        <w:t> </w:t>
      </w:r>
      <w:r>
        <w:rPr/>
        <w:t>services,</w:t>
      </w:r>
      <w:r>
        <w:rPr>
          <w:spacing w:val="40"/>
        </w:rPr>
        <w:t> </w:t>
      </w:r>
      <w:r>
        <w:rPr/>
        <w:t>unless the</w:t>
      </w:r>
      <w:r>
        <w:rPr>
          <w:spacing w:val="36"/>
        </w:rPr>
        <w:t> </w:t>
      </w:r>
      <w:r>
        <w:rPr/>
        <w:t>Board</w:t>
      </w:r>
      <w:r>
        <w:rPr>
          <w:spacing w:val="33"/>
        </w:rPr>
        <w:t> </w:t>
      </w:r>
      <w:r>
        <w:rPr/>
        <w:t>otherwise</w:t>
      </w:r>
      <w:r>
        <w:rPr>
          <w:spacing w:val="36"/>
        </w:rPr>
        <w:t> </w:t>
      </w:r>
      <w:r>
        <w:rPr/>
        <w:t>directs,</w:t>
      </w:r>
      <w:r>
        <w:rPr>
          <w:spacing w:val="39"/>
        </w:rPr>
        <w:t> </w:t>
      </w:r>
      <w:r>
        <w:rPr/>
        <w:t>such</w:t>
      </w:r>
      <w:r>
        <w:rPr>
          <w:spacing w:val="38"/>
        </w:rPr>
        <w:t> </w:t>
      </w:r>
      <w:r>
        <w:rPr/>
        <w:t>claim</w:t>
      </w:r>
      <w:r>
        <w:rPr>
          <w:spacing w:val="33"/>
        </w:rPr>
        <w:t> </w:t>
      </w:r>
      <w:r>
        <w:rPr/>
        <w:t>shall</w:t>
      </w:r>
      <w:r>
        <w:rPr>
          <w:spacing w:val="33"/>
        </w:rPr>
        <w:t> </w:t>
      </w:r>
      <w:r>
        <w:rPr/>
        <w:t>not be paid if it is submitted 90 days from the date that the last treatment was given</w:t>
      </w:r>
      <w:r>
        <w:rPr>
          <w:spacing w:val="40"/>
        </w:rPr>
        <w:t> </w:t>
      </w:r>
      <w:r>
        <w:rPr/>
        <w:t>or</w:t>
      </w:r>
      <w:r>
        <w:rPr>
          <w:spacing w:val="40"/>
        </w:rPr>
        <w:t> </w:t>
      </w:r>
      <w:r>
        <w:rPr/>
        <w:t>if</w:t>
      </w:r>
      <w:r>
        <w:rPr>
          <w:spacing w:val="40"/>
        </w:rPr>
        <w:t> </w:t>
      </w:r>
      <w:r>
        <w:rPr/>
        <w:t>it</w:t>
      </w:r>
      <w:r>
        <w:rPr>
          <w:spacing w:val="40"/>
        </w:rPr>
        <w:t> </w:t>
      </w:r>
      <w:r>
        <w:rPr/>
        <w:t>is</w:t>
      </w:r>
      <w:r>
        <w:rPr>
          <w:spacing w:val="40"/>
        </w:rPr>
        <w:t> </w:t>
      </w:r>
      <w:r>
        <w:rPr/>
        <w:t>submitted</w:t>
      </w:r>
      <w:r>
        <w:rPr>
          <w:spacing w:val="40"/>
        </w:rPr>
        <w:t> </w:t>
      </w:r>
      <w:r>
        <w:rPr/>
        <w:t>90</w:t>
      </w:r>
      <w:r>
        <w:rPr>
          <w:spacing w:val="40"/>
        </w:rPr>
        <w:t> </w:t>
      </w:r>
      <w:r>
        <w:rPr/>
        <w:t>days</w:t>
      </w:r>
      <w:r>
        <w:rPr>
          <w:spacing w:val="40"/>
        </w:rPr>
        <w:t> </w:t>
      </w:r>
      <w:r>
        <w:rPr/>
        <w:t>from</w:t>
      </w:r>
      <w:r>
        <w:rPr>
          <w:spacing w:val="40"/>
        </w:rPr>
        <w:t> </w:t>
      </w:r>
      <w:r>
        <w:rPr/>
        <w:t>the</w:t>
      </w:r>
      <w:r>
        <w:rPr>
          <w:spacing w:val="40"/>
        </w:rPr>
        <w:t> </w:t>
      </w:r>
      <w:r>
        <w:rPr/>
        <w:t>date</w:t>
      </w:r>
      <w:r>
        <w:rPr>
          <w:spacing w:val="40"/>
        </w:rPr>
        <w:t> </w:t>
      </w:r>
      <w:r>
        <w:rPr/>
        <w:t>that</w:t>
      </w:r>
      <w:r>
        <w:rPr>
          <w:spacing w:val="40"/>
        </w:rPr>
        <w:t> </w:t>
      </w:r>
      <w:r>
        <w:rPr/>
        <w:t>the</w:t>
      </w:r>
      <w:r>
        <w:rPr>
          <w:spacing w:val="40"/>
        </w:rPr>
        <w:t> </w:t>
      </w:r>
      <w:r>
        <w:rPr/>
        <w:t>accredited medical practitioner or other person providing medical service was first aware that the Board may be liable for his services, whichever first</w:t>
      </w:r>
      <w:r>
        <w:rPr>
          <w:spacing w:val="40"/>
        </w:rPr>
        <w:t> </w:t>
      </w:r>
      <w:r>
        <w:rPr/>
        <w:t>occurs.</w:t>
      </w:r>
      <w:r>
        <w:rPr>
          <w:vertAlign w:val="superscript"/>
        </w:rPr>
        <w:t>336</w:t>
      </w:r>
      <w:r>
        <w:rPr>
          <w:vertAlign w:val="baseline"/>
        </w:rPr>
        <w:t> It is the view of the researcher that this position of the law may work</w:t>
      </w:r>
      <w:r>
        <w:rPr>
          <w:spacing w:val="6"/>
          <w:vertAlign w:val="baseline"/>
        </w:rPr>
        <w:t> </w:t>
      </w:r>
      <w:r>
        <w:rPr>
          <w:vertAlign w:val="baseline"/>
        </w:rPr>
        <w:t>injustice.</w:t>
      </w:r>
      <w:r>
        <w:rPr>
          <w:spacing w:val="9"/>
          <w:vertAlign w:val="baseline"/>
        </w:rPr>
        <w:t> </w:t>
      </w:r>
      <w:r>
        <w:rPr>
          <w:vertAlign w:val="baseline"/>
        </w:rPr>
        <w:t>It</w:t>
      </w:r>
      <w:r>
        <w:rPr>
          <w:spacing w:val="6"/>
          <w:vertAlign w:val="baseline"/>
        </w:rPr>
        <w:t> </w:t>
      </w:r>
      <w:r>
        <w:rPr>
          <w:vertAlign w:val="baseline"/>
        </w:rPr>
        <w:t>is</w:t>
      </w:r>
      <w:r>
        <w:rPr>
          <w:spacing w:val="9"/>
          <w:vertAlign w:val="baseline"/>
        </w:rPr>
        <w:t> </w:t>
      </w:r>
      <w:r>
        <w:rPr>
          <w:vertAlign w:val="baseline"/>
        </w:rPr>
        <w:t>better</w:t>
      </w:r>
      <w:r>
        <w:rPr>
          <w:spacing w:val="10"/>
          <w:vertAlign w:val="baseline"/>
        </w:rPr>
        <w:t> </w:t>
      </w:r>
      <w:r>
        <w:rPr>
          <w:vertAlign w:val="baseline"/>
        </w:rPr>
        <w:t>to</w:t>
      </w:r>
      <w:r>
        <w:rPr>
          <w:spacing w:val="6"/>
          <w:vertAlign w:val="baseline"/>
        </w:rPr>
        <w:t> </w:t>
      </w:r>
      <w:r>
        <w:rPr>
          <w:vertAlign w:val="baseline"/>
        </w:rPr>
        <w:t>increase</w:t>
      </w:r>
      <w:r>
        <w:rPr>
          <w:spacing w:val="9"/>
          <w:vertAlign w:val="baseline"/>
        </w:rPr>
        <w:t> </w:t>
      </w:r>
      <w:r>
        <w:rPr>
          <w:vertAlign w:val="baseline"/>
        </w:rPr>
        <w:t>the</w:t>
      </w:r>
      <w:r>
        <w:rPr>
          <w:spacing w:val="5"/>
          <w:vertAlign w:val="baseline"/>
        </w:rPr>
        <w:t> </w:t>
      </w:r>
      <w:r>
        <w:rPr>
          <w:vertAlign w:val="baseline"/>
        </w:rPr>
        <w:t>number</w:t>
      </w:r>
      <w:r>
        <w:rPr>
          <w:spacing w:val="5"/>
          <w:vertAlign w:val="baseline"/>
        </w:rPr>
        <w:t> </w:t>
      </w:r>
      <w:r>
        <w:rPr>
          <w:vertAlign w:val="baseline"/>
        </w:rPr>
        <w:t>of</w:t>
      </w:r>
      <w:r>
        <w:rPr>
          <w:spacing w:val="6"/>
          <w:vertAlign w:val="baseline"/>
        </w:rPr>
        <w:t> </w:t>
      </w:r>
      <w:r>
        <w:rPr>
          <w:vertAlign w:val="baseline"/>
        </w:rPr>
        <w:t>days</w:t>
      </w:r>
      <w:r>
        <w:rPr>
          <w:spacing w:val="4"/>
          <w:vertAlign w:val="baseline"/>
        </w:rPr>
        <w:t> </w:t>
      </w:r>
      <w:r>
        <w:rPr>
          <w:vertAlign w:val="baseline"/>
        </w:rPr>
        <w:t>within</w:t>
      </w:r>
      <w:r>
        <w:rPr>
          <w:spacing w:val="7"/>
          <w:vertAlign w:val="baseline"/>
        </w:rPr>
        <w:t> </w:t>
      </w:r>
      <w:r>
        <w:rPr>
          <w:vertAlign w:val="baseline"/>
        </w:rPr>
        <w:t>which</w:t>
      </w:r>
      <w:r>
        <w:rPr>
          <w:spacing w:val="7"/>
          <w:vertAlign w:val="baseline"/>
        </w:rPr>
        <w:t> </w:t>
      </w:r>
      <w:r>
        <w:rPr>
          <w:spacing w:val="-5"/>
          <w:vertAlign w:val="baseline"/>
        </w:rPr>
        <w:t>one</w:t>
      </w:r>
    </w:p>
    <w:p>
      <w:pPr>
        <w:pStyle w:val="BodyText"/>
        <w:spacing w:before="28"/>
        <w:rPr>
          <w:sz w:val="20"/>
        </w:rPr>
      </w:pPr>
      <w:r>
        <w:rPr/>
        <mc:AlternateContent>
          <mc:Choice Requires="wps">
            <w:drawing>
              <wp:anchor distT="0" distB="0" distL="0" distR="0" allowOverlap="1" layoutInCell="1" locked="0" behindDoc="1" simplePos="0" relativeHeight="487646720">
                <wp:simplePos x="0" y="0"/>
                <wp:positionH relativeFrom="page">
                  <wp:posOffset>1185672</wp:posOffset>
                </wp:positionH>
                <wp:positionV relativeFrom="paragraph">
                  <wp:posOffset>186503</wp:posOffset>
                </wp:positionV>
                <wp:extent cx="1719580" cy="6350"/>
                <wp:effectExtent l="0" t="0" r="0" b="0"/>
                <wp:wrapTopAndBottom/>
                <wp:docPr id="136" name="Graphic 136"/>
                <wp:cNvGraphicFramePr>
                  <a:graphicFrameLocks/>
                </wp:cNvGraphicFramePr>
                <a:graphic>
                  <a:graphicData uri="http://schemas.microsoft.com/office/word/2010/wordprocessingShape">
                    <wps:wsp>
                      <wps:cNvPr id="136" name="Graphic 136"/>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685312pt;width:135.360pt;height:.48pt;mso-position-horizontal-relative:page;mso-position-vertical-relative:paragraph;z-index:-15669760;mso-wrap-distance-left:0;mso-wrap-distance-right:0" id="docshape136" filled="true" fillcolor="#000000" stroked="false">
                <v:fill type="solid"/>
                <w10:wrap type="topAndBottom"/>
              </v:rect>
            </w:pict>
          </mc:Fallback>
        </mc:AlternateContent>
      </w:r>
    </w:p>
    <w:p>
      <w:pPr>
        <w:spacing w:line="232" w:lineRule="auto" w:before="106"/>
        <w:ind w:left="187" w:right="0" w:firstLine="0"/>
        <w:jc w:val="left"/>
        <w:rPr>
          <w:rFonts w:ascii="Times New Roman" w:hAnsi="Times New Roman"/>
          <w:sz w:val="19"/>
        </w:rPr>
      </w:pPr>
      <w:r>
        <w:rPr>
          <w:rFonts w:ascii="Times New Roman" w:hAnsi="Times New Roman"/>
          <w:sz w:val="19"/>
          <w:vertAlign w:val="superscript"/>
        </w:rPr>
        <w:t>333</w:t>
      </w:r>
      <w:r>
        <w:rPr>
          <w:rFonts w:ascii="Times New Roman" w:hAnsi="Times New Roman"/>
          <w:spacing w:val="-2"/>
          <w:sz w:val="19"/>
          <w:vertAlign w:val="baseline"/>
        </w:rPr>
        <w:t> </w:t>
      </w:r>
      <w:r>
        <w:rPr>
          <w:rFonts w:ascii="Times New Roman" w:hAnsi="Times New Roman"/>
          <w:sz w:val="19"/>
          <w:vertAlign w:val="baseline"/>
        </w:rPr>
        <w:t>Section</w:t>
      </w:r>
      <w:r>
        <w:rPr>
          <w:rFonts w:ascii="Times New Roman" w:hAnsi="Times New Roman"/>
          <w:spacing w:val="-1"/>
          <w:sz w:val="19"/>
          <w:vertAlign w:val="baseline"/>
        </w:rPr>
        <w:t> </w:t>
      </w:r>
      <w:r>
        <w:rPr>
          <w:rFonts w:ascii="Times New Roman" w:hAnsi="Times New Roman"/>
          <w:sz w:val="19"/>
          <w:vertAlign w:val="baseline"/>
        </w:rPr>
        <w:t>6(1)</w:t>
      </w:r>
      <w:r>
        <w:rPr>
          <w:rFonts w:ascii="Times New Roman" w:hAnsi="Times New Roman"/>
          <w:spacing w:val="-3"/>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Employees’</w:t>
      </w:r>
      <w:r>
        <w:rPr>
          <w:rFonts w:ascii="Times New Roman" w:hAnsi="Times New Roman"/>
          <w:spacing w:val="-3"/>
          <w:sz w:val="19"/>
          <w:vertAlign w:val="baseline"/>
        </w:rPr>
        <w:t> </w:t>
      </w:r>
      <w:r>
        <w:rPr>
          <w:rFonts w:ascii="Times New Roman" w:hAnsi="Times New Roman"/>
          <w:sz w:val="19"/>
          <w:vertAlign w:val="baseline"/>
        </w:rPr>
        <w:t>Compensation</w:t>
      </w:r>
      <w:r>
        <w:rPr>
          <w:rFonts w:ascii="Times New Roman" w:hAnsi="Times New Roman"/>
          <w:spacing w:val="-1"/>
          <w:sz w:val="19"/>
          <w:vertAlign w:val="baseline"/>
        </w:rPr>
        <w:t> </w:t>
      </w:r>
      <w:r>
        <w:rPr>
          <w:rFonts w:ascii="Times New Roman" w:hAnsi="Times New Roman"/>
          <w:sz w:val="19"/>
          <w:vertAlign w:val="baseline"/>
        </w:rPr>
        <w:t>Act</w:t>
      </w:r>
      <w:r>
        <w:rPr>
          <w:rFonts w:ascii="Times New Roman" w:hAnsi="Times New Roman"/>
          <w:spacing w:val="-7"/>
          <w:sz w:val="19"/>
          <w:vertAlign w:val="baseline"/>
        </w:rPr>
        <w:t> </w:t>
      </w:r>
      <w:r>
        <w:rPr>
          <w:rFonts w:ascii="Times New Roman" w:hAnsi="Times New Roman"/>
          <w:i/>
          <w:sz w:val="19"/>
          <w:vertAlign w:val="baseline"/>
        </w:rPr>
        <w:t>op</w:t>
      </w:r>
      <w:r>
        <w:rPr>
          <w:rFonts w:ascii="Times New Roman" w:hAnsi="Times New Roman"/>
          <w:i/>
          <w:spacing w:val="-9"/>
          <w:sz w:val="19"/>
          <w:vertAlign w:val="baseline"/>
        </w:rPr>
        <w:t> </w:t>
      </w:r>
      <w:r>
        <w:rPr>
          <w:rFonts w:ascii="Times New Roman" w:hAnsi="Times New Roman"/>
          <w:i/>
          <w:sz w:val="19"/>
          <w:vertAlign w:val="baseline"/>
        </w:rPr>
        <w:t>cit</w:t>
      </w:r>
      <w:r>
        <w:rPr>
          <w:rFonts w:ascii="Times New Roman" w:hAnsi="Times New Roman"/>
          <w:i/>
          <w:spacing w:val="-11"/>
          <w:sz w:val="19"/>
          <w:vertAlign w:val="baseline"/>
        </w:rPr>
        <w:t> </w:t>
      </w:r>
      <w:r>
        <w:rPr>
          <w:rFonts w:ascii="Times New Roman" w:hAnsi="Times New Roman"/>
          <w:sz w:val="19"/>
          <w:vertAlign w:val="baseline"/>
        </w:rPr>
        <w:t>.</w:t>
      </w:r>
      <w:r>
        <w:rPr>
          <w:rFonts w:ascii="Times New Roman" w:hAnsi="Times New Roman"/>
          <w:spacing w:val="-2"/>
          <w:sz w:val="19"/>
          <w:vertAlign w:val="baseline"/>
        </w:rPr>
        <w:t> </w:t>
      </w:r>
      <w:r>
        <w:rPr>
          <w:rFonts w:ascii="Times New Roman" w:hAnsi="Times New Roman"/>
          <w:sz w:val="19"/>
          <w:vertAlign w:val="baseline"/>
        </w:rPr>
        <w:t>See</w:t>
      </w:r>
      <w:r>
        <w:rPr>
          <w:rFonts w:ascii="Times New Roman" w:hAnsi="Times New Roman"/>
          <w:spacing w:val="-4"/>
          <w:sz w:val="19"/>
          <w:vertAlign w:val="baseline"/>
        </w:rPr>
        <w:t> </w:t>
      </w:r>
      <w:r>
        <w:rPr>
          <w:rFonts w:ascii="Times New Roman" w:hAnsi="Times New Roman"/>
          <w:sz w:val="19"/>
          <w:vertAlign w:val="baseline"/>
        </w:rPr>
        <w:t>also</w:t>
      </w:r>
      <w:r>
        <w:rPr>
          <w:rFonts w:ascii="Times New Roman" w:hAnsi="Times New Roman"/>
          <w:spacing w:val="-9"/>
          <w:sz w:val="19"/>
          <w:vertAlign w:val="baseline"/>
        </w:rPr>
        <w:t> </w:t>
      </w:r>
      <w:r>
        <w:rPr>
          <w:rFonts w:ascii="Times New Roman" w:hAnsi="Times New Roman"/>
          <w:sz w:val="19"/>
          <w:vertAlign w:val="baseline"/>
        </w:rPr>
        <w:t>appendices</w:t>
      </w:r>
      <w:r>
        <w:rPr>
          <w:rFonts w:ascii="Times New Roman" w:hAnsi="Times New Roman"/>
          <w:spacing w:val="-8"/>
          <w:sz w:val="19"/>
          <w:vertAlign w:val="baseline"/>
        </w:rPr>
        <w:t> </w:t>
      </w:r>
      <w:r>
        <w:rPr>
          <w:rFonts w:ascii="Times New Roman" w:hAnsi="Times New Roman"/>
          <w:sz w:val="19"/>
          <w:vertAlign w:val="baseline"/>
        </w:rPr>
        <w:t>1,2,3</w:t>
      </w:r>
      <w:r>
        <w:rPr>
          <w:rFonts w:ascii="Times New Roman" w:hAnsi="Times New Roman"/>
          <w:spacing w:val="-5"/>
          <w:sz w:val="19"/>
          <w:vertAlign w:val="baseline"/>
        </w:rPr>
        <w:t> </w:t>
      </w:r>
      <w:r>
        <w:rPr>
          <w:rFonts w:ascii="Times New Roman" w:hAnsi="Times New Roman"/>
          <w:sz w:val="19"/>
          <w:vertAlign w:val="baseline"/>
        </w:rPr>
        <w:t>and</w:t>
      </w:r>
      <w:r>
        <w:rPr>
          <w:rFonts w:ascii="Times New Roman" w:hAnsi="Times New Roman"/>
          <w:spacing w:val="-6"/>
          <w:sz w:val="19"/>
          <w:vertAlign w:val="baseline"/>
        </w:rPr>
        <w:t> </w:t>
      </w:r>
      <w:r>
        <w:rPr>
          <w:rFonts w:ascii="Times New Roman" w:hAnsi="Times New Roman"/>
          <w:sz w:val="19"/>
          <w:vertAlign w:val="baseline"/>
        </w:rPr>
        <w:t>4</w:t>
      </w:r>
      <w:r>
        <w:rPr>
          <w:rFonts w:ascii="Times New Roman" w:hAnsi="Times New Roman"/>
          <w:spacing w:val="-9"/>
          <w:sz w:val="19"/>
          <w:vertAlign w:val="baseline"/>
        </w:rPr>
        <w:t> </w:t>
      </w:r>
      <w:r>
        <w:rPr>
          <w:rFonts w:ascii="Times New Roman" w:hAnsi="Times New Roman"/>
          <w:sz w:val="19"/>
          <w:vertAlign w:val="baseline"/>
        </w:rPr>
        <w:t>for</w:t>
      </w:r>
      <w:r>
        <w:rPr>
          <w:rFonts w:ascii="Times New Roman" w:hAnsi="Times New Roman"/>
          <w:spacing w:val="-3"/>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samples</w:t>
      </w:r>
      <w:r>
        <w:rPr>
          <w:rFonts w:ascii="Times New Roman" w:hAnsi="Times New Roman"/>
          <w:spacing w:val="-4"/>
          <w:sz w:val="19"/>
          <w:vertAlign w:val="baseline"/>
        </w:rPr>
        <w:t> </w:t>
      </w:r>
      <w:r>
        <w:rPr>
          <w:rFonts w:ascii="Times New Roman" w:hAnsi="Times New Roman"/>
          <w:sz w:val="19"/>
          <w:vertAlign w:val="baseline"/>
        </w:rPr>
        <w:t>of</w:t>
      </w:r>
      <w:r>
        <w:rPr>
          <w:rFonts w:ascii="Times New Roman" w:hAnsi="Times New Roman"/>
          <w:spacing w:val="-7"/>
          <w:sz w:val="19"/>
          <w:vertAlign w:val="baseline"/>
        </w:rPr>
        <w:t> </w:t>
      </w:r>
      <w:r>
        <w:rPr>
          <w:rFonts w:ascii="Times New Roman" w:hAnsi="Times New Roman"/>
          <w:sz w:val="19"/>
          <w:vertAlign w:val="baseline"/>
        </w:rPr>
        <w:t>the prescribed forms.</w:t>
      </w:r>
    </w:p>
    <w:p>
      <w:pPr>
        <w:spacing w:line="215" w:lineRule="exact" w:before="0"/>
        <w:ind w:left="187" w:right="0" w:firstLine="0"/>
        <w:jc w:val="left"/>
        <w:rPr>
          <w:rFonts w:ascii="Times New Roman"/>
          <w:i/>
          <w:sz w:val="19"/>
        </w:rPr>
      </w:pPr>
      <w:r>
        <w:rPr>
          <w:rFonts w:ascii="Times New Roman"/>
          <w:sz w:val="19"/>
          <w:vertAlign w:val="superscript"/>
        </w:rPr>
        <w:t>334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10(7)</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335</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27</w:t>
      </w:r>
      <w:r>
        <w:rPr>
          <w:rFonts w:ascii="Times New Roman"/>
          <w:spacing w:val="-2"/>
          <w:sz w:val="19"/>
          <w:vertAlign w:val="baseline"/>
        </w:rPr>
        <w:t> </w:t>
      </w:r>
      <w:r>
        <w:rPr>
          <w:rFonts w:ascii="Times New Roman"/>
          <w:sz w:val="19"/>
          <w:vertAlign w:val="baseline"/>
        </w:rPr>
        <w:t>(1)(d</w:t>
      </w:r>
      <w:r>
        <w:rPr>
          <w:rFonts w:ascii="Times New Roman"/>
          <w:i/>
          <w:sz w:val="19"/>
          <w:vertAlign w:val="baseline"/>
        </w:rPr>
        <w:t>)</w:t>
      </w:r>
      <w:r>
        <w:rPr>
          <w:rFonts w:ascii="Times New Roman"/>
          <w:i/>
          <w:spacing w:val="-12"/>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336</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27</w:t>
      </w:r>
      <w:r>
        <w:rPr>
          <w:rFonts w:ascii="Times New Roman"/>
          <w:spacing w:val="-2"/>
          <w:sz w:val="19"/>
          <w:vertAlign w:val="baseline"/>
        </w:rPr>
        <w:t> </w:t>
      </w:r>
      <w:r>
        <w:rPr>
          <w:rFonts w:ascii="Times New Roman"/>
          <w:sz w:val="19"/>
          <w:vertAlign w:val="baseline"/>
        </w:rPr>
        <w:t>(3)</w:t>
      </w:r>
      <w:r>
        <w:rPr>
          <w:rFonts w:ascii="Times New Roman"/>
          <w:spacing w:val="-12"/>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864" w:right="566"/>
        <w:jc w:val="both"/>
      </w:pPr>
      <w:r>
        <w:rPr/>
        <w:t>can apply for compensation for medical expenses. This is because, the</w:t>
      </w:r>
      <w:r>
        <w:rPr>
          <w:spacing w:val="40"/>
        </w:rPr>
        <w:t> </w:t>
      </w:r>
      <w:r>
        <w:rPr/>
        <w:t>Board</w:t>
      </w:r>
      <w:r>
        <w:rPr>
          <w:spacing w:val="40"/>
        </w:rPr>
        <w:t> </w:t>
      </w:r>
      <w:r>
        <w:rPr/>
        <w:t>though</w:t>
      </w:r>
      <w:r>
        <w:rPr>
          <w:spacing w:val="40"/>
        </w:rPr>
        <w:t> </w:t>
      </w:r>
      <w:r>
        <w:rPr/>
        <w:t>has</w:t>
      </w:r>
      <w:r>
        <w:rPr>
          <w:spacing w:val="40"/>
        </w:rPr>
        <w:t> </w:t>
      </w:r>
      <w:r>
        <w:rPr/>
        <w:t>the</w:t>
      </w:r>
      <w:r>
        <w:rPr>
          <w:spacing w:val="40"/>
        </w:rPr>
        <w:t> </w:t>
      </w:r>
      <w:r>
        <w:rPr/>
        <w:t>discretion</w:t>
      </w:r>
      <w:r>
        <w:rPr>
          <w:spacing w:val="40"/>
        </w:rPr>
        <w:t> </w:t>
      </w:r>
      <w:r>
        <w:rPr/>
        <w:t>to</w:t>
      </w:r>
      <w:r>
        <w:rPr>
          <w:spacing w:val="40"/>
        </w:rPr>
        <w:t> </w:t>
      </w:r>
      <w:r>
        <w:rPr/>
        <w:t>direct</w:t>
      </w:r>
      <w:r>
        <w:rPr>
          <w:spacing w:val="40"/>
        </w:rPr>
        <w:t> </w:t>
      </w:r>
      <w:r>
        <w:rPr/>
        <w:t>that</w:t>
      </w:r>
      <w:r>
        <w:rPr>
          <w:spacing w:val="40"/>
        </w:rPr>
        <w:t> </w:t>
      </w:r>
      <w:r>
        <w:rPr/>
        <w:t>compensation</w:t>
      </w:r>
      <w:r>
        <w:rPr>
          <w:spacing w:val="40"/>
        </w:rPr>
        <w:t> </w:t>
      </w:r>
      <w:r>
        <w:rPr/>
        <w:t>be</w:t>
      </w:r>
      <w:r>
        <w:rPr>
          <w:spacing w:val="40"/>
        </w:rPr>
        <w:t> </w:t>
      </w:r>
      <w:r>
        <w:rPr/>
        <w:t>paid despite the limitation of time, the Board is unlikely to use this discretion in favour</w:t>
      </w:r>
      <w:r>
        <w:rPr>
          <w:spacing w:val="40"/>
        </w:rPr>
        <w:t> </w:t>
      </w:r>
      <w:r>
        <w:rPr/>
        <w:t>of</w:t>
      </w:r>
      <w:r>
        <w:rPr>
          <w:spacing w:val="40"/>
        </w:rPr>
        <w:t> </w:t>
      </w:r>
      <w:r>
        <w:rPr/>
        <w:t>injured</w:t>
      </w:r>
      <w:r>
        <w:rPr>
          <w:spacing w:val="40"/>
        </w:rPr>
        <w:t> </w:t>
      </w:r>
      <w:r>
        <w:rPr/>
        <w:t>employees.</w:t>
      </w:r>
      <w:r>
        <w:rPr>
          <w:spacing w:val="40"/>
        </w:rPr>
        <w:t> </w:t>
      </w:r>
      <w:r>
        <w:rPr/>
        <w:t>This</w:t>
      </w:r>
      <w:r>
        <w:rPr>
          <w:spacing w:val="40"/>
        </w:rPr>
        <w:t> </w:t>
      </w:r>
      <w:r>
        <w:rPr/>
        <w:t>is</w:t>
      </w:r>
      <w:r>
        <w:rPr>
          <w:spacing w:val="40"/>
        </w:rPr>
        <w:t> </w:t>
      </w:r>
      <w:r>
        <w:rPr/>
        <w:t>because</w:t>
      </w:r>
      <w:r>
        <w:rPr>
          <w:spacing w:val="40"/>
        </w:rPr>
        <w:t> </w:t>
      </w:r>
      <w:r>
        <w:rPr/>
        <w:t>there</w:t>
      </w:r>
      <w:r>
        <w:rPr>
          <w:spacing w:val="40"/>
        </w:rPr>
        <w:t> </w:t>
      </w:r>
      <w:r>
        <w:rPr/>
        <w:t>is</w:t>
      </w:r>
      <w:r>
        <w:rPr>
          <w:spacing w:val="40"/>
        </w:rPr>
        <w:t> </w:t>
      </w:r>
      <w:r>
        <w:rPr/>
        <w:t>no</w:t>
      </w:r>
      <w:r>
        <w:rPr>
          <w:spacing w:val="40"/>
        </w:rPr>
        <w:t> </w:t>
      </w:r>
      <w:r>
        <w:rPr/>
        <w:t>statutory obligation to this effect.</w:t>
      </w:r>
    </w:p>
    <w:p>
      <w:pPr>
        <w:pStyle w:val="BodyText"/>
        <w:spacing w:before="10"/>
      </w:pPr>
    </w:p>
    <w:p>
      <w:pPr>
        <w:pStyle w:val="BodyText"/>
        <w:spacing w:line="489" w:lineRule="auto"/>
        <w:ind w:left="864" w:right="565"/>
        <w:jc w:val="both"/>
      </w:pPr>
      <w:r>
        <w:rPr/>
        <w:t>Where an application for compensation is in respect of death, injury or occupational disease, such application shall be within one year after the</w:t>
      </w:r>
      <w:r>
        <w:rPr>
          <w:spacing w:val="80"/>
        </w:rPr>
        <w:t> </w:t>
      </w:r>
      <w:r>
        <w:rPr/>
        <w:t>date</w:t>
      </w:r>
      <w:r>
        <w:rPr>
          <w:spacing w:val="26"/>
        </w:rPr>
        <w:t> </w:t>
      </w:r>
      <w:r>
        <w:rPr/>
        <w:t>of</w:t>
      </w:r>
      <w:r>
        <w:rPr>
          <w:spacing w:val="31"/>
        </w:rPr>
        <w:t> </w:t>
      </w:r>
      <w:r>
        <w:rPr/>
        <w:t>occurrence</w:t>
      </w:r>
      <w:r>
        <w:rPr>
          <w:spacing w:val="26"/>
        </w:rPr>
        <w:t> </w:t>
      </w:r>
      <w:r>
        <w:rPr/>
        <w:t>otherwise,</w:t>
      </w:r>
      <w:r>
        <w:rPr>
          <w:spacing w:val="30"/>
        </w:rPr>
        <w:t> </w:t>
      </w:r>
      <w:r>
        <w:rPr/>
        <w:t>no</w:t>
      </w:r>
      <w:r>
        <w:rPr>
          <w:spacing w:val="26"/>
        </w:rPr>
        <w:t> </w:t>
      </w:r>
      <w:r>
        <w:rPr/>
        <w:t>compensation</w:t>
      </w:r>
      <w:r>
        <w:rPr>
          <w:spacing w:val="27"/>
        </w:rPr>
        <w:t> </w:t>
      </w:r>
      <w:r>
        <w:rPr/>
        <w:t>shall</w:t>
      </w:r>
      <w:r>
        <w:rPr>
          <w:spacing w:val="28"/>
        </w:rPr>
        <w:t> </w:t>
      </w:r>
      <w:r>
        <w:rPr/>
        <w:t>be</w:t>
      </w:r>
      <w:r>
        <w:rPr>
          <w:spacing w:val="25"/>
        </w:rPr>
        <w:t> </w:t>
      </w:r>
      <w:r>
        <w:rPr/>
        <w:t>paid</w:t>
      </w:r>
      <w:r>
        <w:rPr>
          <w:vertAlign w:val="superscript"/>
        </w:rPr>
        <w:t>337</w:t>
      </w:r>
      <w:r>
        <w:rPr>
          <w:vertAlign w:val="baseline"/>
        </w:rPr>
        <w:t>.</w:t>
      </w:r>
      <w:r>
        <w:rPr>
          <w:spacing w:val="30"/>
          <w:vertAlign w:val="baseline"/>
        </w:rPr>
        <w:t> </w:t>
      </w:r>
      <w:r>
        <w:rPr>
          <w:vertAlign w:val="baseline"/>
        </w:rPr>
        <w:t>However, if the Board is satisfied that there existed special circumstance, which precluded the filing of an application within one year after the date of the occurrence, the Board may pay the compensation if the application is filed within three years after that date.</w:t>
      </w:r>
      <w:r>
        <w:rPr>
          <w:vertAlign w:val="superscript"/>
        </w:rPr>
        <w:t>338</w:t>
      </w:r>
      <w:r>
        <w:rPr>
          <w:vertAlign w:val="baseline"/>
        </w:rPr>
        <w:t> The Board may pay compensation commencing</w:t>
      </w:r>
      <w:r>
        <w:rPr>
          <w:spacing w:val="40"/>
          <w:vertAlign w:val="baseline"/>
        </w:rPr>
        <w:t> </w:t>
      </w:r>
      <w:r>
        <w:rPr>
          <w:vertAlign w:val="baseline"/>
        </w:rPr>
        <w:t>on</w:t>
      </w:r>
      <w:r>
        <w:rPr>
          <w:spacing w:val="40"/>
          <w:vertAlign w:val="baseline"/>
        </w:rPr>
        <w:t> </w:t>
      </w:r>
      <w:r>
        <w:rPr>
          <w:vertAlign w:val="baseline"/>
        </w:rPr>
        <w:t>the</w:t>
      </w:r>
      <w:r>
        <w:rPr>
          <w:spacing w:val="40"/>
          <w:vertAlign w:val="baseline"/>
        </w:rPr>
        <w:t> </w:t>
      </w:r>
      <w:r>
        <w:rPr>
          <w:vertAlign w:val="baseline"/>
        </w:rPr>
        <w:t>date</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receives</w:t>
      </w:r>
      <w:r>
        <w:rPr>
          <w:spacing w:val="40"/>
          <w:vertAlign w:val="baseline"/>
        </w:rPr>
        <w:t> </w:t>
      </w:r>
      <w:r>
        <w:rPr>
          <w:vertAlign w:val="baseline"/>
        </w:rPr>
        <w:t>application</w:t>
      </w:r>
      <w:r>
        <w:rPr>
          <w:spacing w:val="40"/>
          <w:vertAlign w:val="baseline"/>
        </w:rPr>
        <w:t> </w:t>
      </w:r>
      <w:r>
        <w:rPr>
          <w:vertAlign w:val="baseline"/>
        </w:rPr>
        <w:t>for </w:t>
      </w:r>
      <w:r>
        <w:rPr>
          <w:spacing w:val="-2"/>
          <w:vertAlign w:val="baseline"/>
        </w:rPr>
        <w:t>compensation.</w:t>
      </w:r>
      <w:r>
        <w:rPr>
          <w:spacing w:val="-2"/>
          <w:vertAlign w:val="superscript"/>
        </w:rPr>
        <w:t>339</w:t>
      </w:r>
    </w:p>
    <w:p>
      <w:pPr>
        <w:pStyle w:val="BodyText"/>
        <w:spacing w:before="16"/>
      </w:pPr>
    </w:p>
    <w:p>
      <w:pPr>
        <w:pStyle w:val="BodyText"/>
        <w:spacing w:line="489" w:lineRule="auto"/>
        <w:ind w:left="864" w:right="566"/>
        <w:jc w:val="both"/>
      </w:pPr>
      <w:r>
        <w:rPr/>
        <w:t>The Board may pay compensation for an occupational disease where there was no sufficient medical or scientific evidence within three years after the date of its occurrence but this evidence becomes available at a later date and the application is re-filed.</w:t>
      </w:r>
      <w:r>
        <w:rPr>
          <w:vertAlign w:val="superscript"/>
        </w:rPr>
        <w:t>340</w:t>
      </w:r>
      <w:r>
        <w:rPr>
          <w:vertAlign w:val="baseline"/>
        </w:rPr>
        <w:t> This provision will be better if the Act</w:t>
      </w:r>
      <w:r>
        <w:rPr>
          <w:spacing w:val="40"/>
          <w:vertAlign w:val="baseline"/>
        </w:rPr>
        <w:t> </w:t>
      </w:r>
      <w:r>
        <w:rPr>
          <w:vertAlign w:val="baseline"/>
        </w:rPr>
        <w:t>makes it mandatory for the Board to pay compensation upon receipt of sufficient</w:t>
      </w:r>
      <w:r>
        <w:rPr>
          <w:spacing w:val="12"/>
          <w:vertAlign w:val="baseline"/>
        </w:rPr>
        <w:t> </w:t>
      </w:r>
      <w:r>
        <w:rPr>
          <w:vertAlign w:val="baseline"/>
        </w:rPr>
        <w:t>medical</w:t>
      </w:r>
      <w:r>
        <w:rPr>
          <w:spacing w:val="18"/>
          <w:vertAlign w:val="baseline"/>
        </w:rPr>
        <w:t> </w:t>
      </w:r>
      <w:r>
        <w:rPr>
          <w:vertAlign w:val="baseline"/>
        </w:rPr>
        <w:t>or</w:t>
      </w:r>
      <w:r>
        <w:rPr>
          <w:spacing w:val="21"/>
          <w:vertAlign w:val="baseline"/>
        </w:rPr>
        <w:t> </w:t>
      </w:r>
      <w:r>
        <w:rPr>
          <w:vertAlign w:val="baseline"/>
        </w:rPr>
        <w:t>scientific</w:t>
      </w:r>
      <w:r>
        <w:rPr>
          <w:spacing w:val="21"/>
          <w:vertAlign w:val="baseline"/>
        </w:rPr>
        <w:t> </w:t>
      </w:r>
      <w:r>
        <w:rPr>
          <w:vertAlign w:val="baseline"/>
        </w:rPr>
        <w:t>evidence</w:t>
      </w:r>
      <w:r>
        <w:rPr>
          <w:spacing w:val="20"/>
          <w:vertAlign w:val="baseline"/>
        </w:rPr>
        <w:t> </w:t>
      </w:r>
      <w:r>
        <w:rPr>
          <w:vertAlign w:val="baseline"/>
        </w:rPr>
        <w:t>showing</w:t>
      </w:r>
      <w:r>
        <w:rPr>
          <w:spacing w:val="18"/>
          <w:vertAlign w:val="baseline"/>
        </w:rPr>
        <w:t> </w:t>
      </w:r>
      <w:r>
        <w:rPr>
          <w:vertAlign w:val="baseline"/>
        </w:rPr>
        <w:t>occupational</w:t>
      </w:r>
      <w:r>
        <w:rPr>
          <w:spacing w:val="22"/>
          <w:vertAlign w:val="baseline"/>
        </w:rPr>
        <w:t> </w:t>
      </w:r>
      <w:r>
        <w:rPr>
          <w:vertAlign w:val="baseline"/>
        </w:rPr>
        <w:t>disease.</w:t>
      </w:r>
      <w:r>
        <w:rPr>
          <w:spacing w:val="20"/>
          <w:vertAlign w:val="baseline"/>
        </w:rPr>
        <w:t> </w:t>
      </w:r>
      <w:r>
        <w:rPr>
          <w:vertAlign w:val="baseline"/>
        </w:rPr>
        <w:t>It</w:t>
      </w:r>
      <w:r>
        <w:rPr>
          <w:spacing w:val="17"/>
          <w:vertAlign w:val="baseline"/>
        </w:rPr>
        <w:t> </w:t>
      </w:r>
      <w:r>
        <w:rPr>
          <w:spacing w:val="-5"/>
          <w:vertAlign w:val="baseline"/>
        </w:rPr>
        <w:t>is</w:t>
      </w:r>
    </w:p>
    <w:p>
      <w:pPr>
        <w:pStyle w:val="BodyText"/>
        <w:spacing w:before="1"/>
        <w:rPr>
          <w:sz w:val="17"/>
        </w:rPr>
      </w:pPr>
      <w:r>
        <w:rPr/>
        <mc:AlternateContent>
          <mc:Choice Requires="wps">
            <w:drawing>
              <wp:anchor distT="0" distB="0" distL="0" distR="0" allowOverlap="1" layoutInCell="1" locked="0" behindDoc="1" simplePos="0" relativeHeight="487647232">
                <wp:simplePos x="0" y="0"/>
                <wp:positionH relativeFrom="page">
                  <wp:posOffset>1185672</wp:posOffset>
                </wp:positionH>
                <wp:positionV relativeFrom="paragraph">
                  <wp:posOffset>146548</wp:posOffset>
                </wp:positionV>
                <wp:extent cx="1719580" cy="3175"/>
                <wp:effectExtent l="0" t="0" r="0" b="0"/>
                <wp:wrapTopAndBottom/>
                <wp:docPr id="137" name="Graphic 137"/>
                <wp:cNvGraphicFramePr>
                  <a:graphicFrameLocks/>
                </wp:cNvGraphicFramePr>
                <a:graphic>
                  <a:graphicData uri="http://schemas.microsoft.com/office/word/2010/wordprocessingShape">
                    <wps:wsp>
                      <wps:cNvPr id="137" name="Graphic 137"/>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539219pt;width:135.360pt;height:.24pt;mso-position-horizontal-relative:page;mso-position-vertical-relative:paragraph;z-index:-15669248;mso-wrap-distance-left:0;mso-wrap-distance-right:0" id="docshape137"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337</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6</w:t>
      </w:r>
      <w:r>
        <w:rPr>
          <w:rFonts w:ascii="Times New Roman"/>
          <w:spacing w:val="-7"/>
          <w:sz w:val="19"/>
          <w:vertAlign w:val="baseline"/>
        </w:rPr>
        <w:t> </w:t>
      </w:r>
      <w:r>
        <w:rPr>
          <w:rFonts w:ascii="Times New Roman"/>
          <w:sz w:val="19"/>
          <w:vertAlign w:val="baseline"/>
        </w:rPr>
        <w:t>(2)</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338</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6</w:t>
      </w:r>
      <w:r>
        <w:rPr>
          <w:rFonts w:ascii="Times New Roman"/>
          <w:spacing w:val="-7"/>
          <w:sz w:val="19"/>
          <w:vertAlign w:val="baseline"/>
        </w:rPr>
        <w:t> </w:t>
      </w:r>
      <w:r>
        <w:rPr>
          <w:rFonts w:ascii="Times New Roman"/>
          <w:sz w:val="19"/>
          <w:vertAlign w:val="baseline"/>
        </w:rPr>
        <w:t>(3)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339</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6</w:t>
      </w:r>
      <w:r>
        <w:rPr>
          <w:rFonts w:ascii="Times New Roman"/>
          <w:spacing w:val="-7"/>
          <w:sz w:val="19"/>
          <w:vertAlign w:val="baseline"/>
        </w:rPr>
        <w:t> </w:t>
      </w:r>
      <w:r>
        <w:rPr>
          <w:rFonts w:ascii="Times New Roman"/>
          <w:sz w:val="19"/>
          <w:vertAlign w:val="baseline"/>
        </w:rPr>
        <w:t>(4)</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340</w:t>
      </w:r>
      <w:r>
        <w:rPr>
          <w:rFonts w:ascii="Times New Roman"/>
          <w:sz w:val="19"/>
          <w:vertAlign w:val="baseline"/>
        </w:rPr>
        <w:t> Section</w:t>
      </w:r>
      <w:r>
        <w:rPr>
          <w:rFonts w:ascii="Times New Roman"/>
          <w:spacing w:val="1"/>
          <w:sz w:val="19"/>
          <w:vertAlign w:val="baseline"/>
        </w:rPr>
        <w:t> </w:t>
      </w:r>
      <w:r>
        <w:rPr>
          <w:rFonts w:ascii="Times New Roman"/>
          <w:sz w:val="19"/>
          <w:vertAlign w:val="baseline"/>
        </w:rPr>
        <w:t>6</w:t>
      </w:r>
      <w:r>
        <w:rPr>
          <w:rFonts w:ascii="Times New Roman"/>
          <w:spacing w:val="-7"/>
          <w:sz w:val="19"/>
          <w:vertAlign w:val="baseline"/>
        </w:rPr>
        <w:t> </w:t>
      </w:r>
      <w:r>
        <w:rPr>
          <w:rFonts w:ascii="Times New Roman"/>
          <w:sz w:val="19"/>
          <w:vertAlign w:val="baseline"/>
        </w:rPr>
        <w:t>(5)</w:t>
      </w:r>
      <w:r>
        <w:rPr>
          <w:rFonts w:ascii="Times New Roman"/>
          <w:spacing w:val="-9"/>
          <w:sz w:val="19"/>
          <w:vertAlign w:val="baseline"/>
        </w:rPr>
        <w:t> </w:t>
      </w:r>
      <w:r>
        <w:rPr>
          <w:rFonts w:ascii="Times New Roman"/>
          <w:sz w:val="19"/>
          <w:vertAlign w:val="baseline"/>
        </w:rPr>
        <w:t>(a)</w:t>
      </w:r>
      <w:r>
        <w:rPr>
          <w:rFonts w:ascii="Times New Roman"/>
          <w:spacing w:val="-1"/>
          <w:sz w:val="19"/>
          <w:vertAlign w:val="baseline"/>
        </w:rPr>
        <w:t> </w:t>
      </w:r>
      <w:r>
        <w:rPr>
          <w:rFonts w:ascii="Times New Roman"/>
          <w:sz w:val="19"/>
          <w:vertAlign w:val="baseline"/>
        </w:rPr>
        <w:t>(b)</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71"/>
        <w:jc w:val="both"/>
      </w:pPr>
      <w:r>
        <w:rPr/>
        <w:t>an expensive discretion to say the “Board may pay” even where sufficient medical or scientific evidence is available.</w:t>
      </w:r>
    </w:p>
    <w:p>
      <w:pPr>
        <w:pStyle w:val="BodyText"/>
        <w:spacing w:before="5"/>
      </w:pPr>
    </w:p>
    <w:p>
      <w:pPr>
        <w:pStyle w:val="BodyText"/>
        <w:spacing w:line="489" w:lineRule="auto"/>
        <w:ind w:left="864" w:right="567"/>
        <w:jc w:val="both"/>
      </w:pPr>
      <w:r>
        <w:rPr/>
        <w:t>The Board may waive any requirement for an illiterate person to provide written notice and may accept instead notice in any form the Board deems appropriate.</w:t>
      </w:r>
      <w:r>
        <w:rPr>
          <w:vertAlign w:val="superscript"/>
        </w:rPr>
        <w:t>341</w:t>
      </w:r>
      <w:r>
        <w:rPr>
          <w:vertAlign w:val="baseline"/>
        </w:rPr>
        <w:t> There is no definition for the term “illiterate” in the Act. It</w:t>
      </w:r>
      <w:r>
        <w:rPr>
          <w:spacing w:val="40"/>
          <w:vertAlign w:val="baseline"/>
        </w:rPr>
        <w:t> </w:t>
      </w:r>
      <w:r>
        <w:rPr>
          <w:vertAlign w:val="baseline"/>
        </w:rPr>
        <w:t>will be better if the Act provides such</w:t>
      </w:r>
      <w:r>
        <w:rPr>
          <w:spacing w:val="24"/>
          <w:vertAlign w:val="baseline"/>
        </w:rPr>
        <w:t> </w:t>
      </w:r>
      <w:r>
        <w:rPr>
          <w:vertAlign w:val="baseline"/>
        </w:rPr>
        <w:t>definition. It may suffice to say</w:t>
      </w:r>
      <w:r>
        <w:rPr>
          <w:spacing w:val="24"/>
          <w:vertAlign w:val="baseline"/>
        </w:rPr>
        <w:t> </w:t>
      </w:r>
      <w:r>
        <w:rPr>
          <w:vertAlign w:val="baseline"/>
        </w:rPr>
        <w:t>that</w:t>
      </w:r>
      <w:r>
        <w:rPr>
          <w:spacing w:val="40"/>
          <w:vertAlign w:val="baseline"/>
        </w:rPr>
        <w:t> </w:t>
      </w:r>
      <w:r>
        <w:rPr>
          <w:vertAlign w:val="baseline"/>
        </w:rPr>
        <w:t>an illiterate person is one who is unable to write or read or understand a particular document</w:t>
      </w:r>
      <w:r>
        <w:rPr>
          <w:vertAlign w:val="superscript"/>
        </w:rPr>
        <w:t>342</w:t>
      </w:r>
    </w:p>
    <w:p>
      <w:pPr>
        <w:pStyle w:val="BodyText"/>
        <w:spacing w:before="16"/>
      </w:pPr>
    </w:p>
    <w:p>
      <w:pPr>
        <w:pStyle w:val="BodyText"/>
        <w:spacing w:line="489" w:lineRule="auto"/>
        <w:ind w:left="864" w:right="566"/>
        <w:jc w:val="both"/>
      </w:pPr>
      <w:r>
        <w:rPr/>
        <w:t>Where any order, notice or other document is to be served by the Board through registered mail, such is deemed to be served on the date that the post office receipt was signed by the employee.</w:t>
      </w:r>
      <w:r>
        <w:rPr>
          <w:vertAlign w:val="superscript"/>
        </w:rPr>
        <w:t>343</w:t>
      </w:r>
      <w:r>
        <w:rPr>
          <w:vertAlign w:val="baseline"/>
        </w:rPr>
        <w:t> This also suggests that where notice is given by the employees or their employers, through registered mail, such notice is deemed to be served on the date that the post office receipt was signed by the Board.</w:t>
      </w:r>
    </w:p>
    <w:p>
      <w:pPr>
        <w:pStyle w:val="BodyText"/>
        <w:spacing w:before="10"/>
      </w:pPr>
    </w:p>
    <w:p>
      <w:pPr>
        <w:pStyle w:val="Heading3"/>
        <w:numPr>
          <w:ilvl w:val="2"/>
          <w:numId w:val="13"/>
        </w:numPr>
        <w:tabs>
          <w:tab w:pos="860" w:val="left" w:leader="none"/>
        </w:tabs>
        <w:spacing w:line="240" w:lineRule="auto" w:before="1" w:after="0"/>
        <w:ind w:left="860" w:right="0" w:hanging="673"/>
        <w:jc w:val="left"/>
      </w:pPr>
      <w:bookmarkStart w:name="_TOC_250005" w:id="25"/>
      <w:r>
        <w:rPr/>
        <w:t>Limitation</w:t>
      </w:r>
      <w:r>
        <w:rPr>
          <w:spacing w:val="6"/>
        </w:rPr>
        <w:t> </w:t>
      </w:r>
      <w:r>
        <w:rPr/>
        <w:t>of</w:t>
      </w:r>
      <w:r>
        <w:rPr>
          <w:spacing w:val="11"/>
        </w:rPr>
        <w:t> </w:t>
      </w:r>
      <w:r>
        <w:rPr/>
        <w:t>Action,</w:t>
      </w:r>
      <w:r>
        <w:rPr>
          <w:spacing w:val="7"/>
        </w:rPr>
        <w:t> </w:t>
      </w:r>
      <w:r>
        <w:rPr/>
        <w:t>Subrogation</w:t>
      </w:r>
      <w:r>
        <w:rPr>
          <w:spacing w:val="7"/>
        </w:rPr>
        <w:t> </w:t>
      </w:r>
      <w:r>
        <w:rPr/>
        <w:t>and</w:t>
      </w:r>
      <w:r>
        <w:rPr>
          <w:spacing w:val="10"/>
        </w:rPr>
        <w:t> </w:t>
      </w:r>
      <w:bookmarkEnd w:id="25"/>
      <w:r>
        <w:rPr>
          <w:spacing w:val="-2"/>
        </w:rPr>
        <w:t>Indemnity</w:t>
      </w:r>
    </w:p>
    <w:p>
      <w:pPr>
        <w:pStyle w:val="BodyText"/>
        <w:spacing w:before="11"/>
        <w:rPr>
          <w:b/>
        </w:rPr>
      </w:pPr>
    </w:p>
    <w:p>
      <w:pPr>
        <w:pStyle w:val="BodyText"/>
        <w:spacing w:line="491" w:lineRule="auto"/>
        <w:ind w:left="864" w:right="561"/>
        <w:jc w:val="both"/>
      </w:pPr>
      <w:r>
        <w:rPr/>
        <w:t>The rights and privileges under the Act are in lieu of any right of action to which one would be entitled against the employer of the employee, or against any employer or against any employee in respect of any death, injury</w:t>
      </w:r>
      <w:r>
        <w:rPr>
          <w:spacing w:val="14"/>
        </w:rPr>
        <w:t> </w:t>
      </w:r>
      <w:r>
        <w:rPr/>
        <w:t>or</w:t>
      </w:r>
      <w:r>
        <w:rPr>
          <w:spacing w:val="14"/>
        </w:rPr>
        <w:t> </w:t>
      </w:r>
      <w:r>
        <w:rPr/>
        <w:t>disability</w:t>
      </w:r>
      <w:r>
        <w:rPr>
          <w:spacing w:val="14"/>
        </w:rPr>
        <w:t> </w:t>
      </w:r>
      <w:r>
        <w:rPr/>
        <w:t>which</w:t>
      </w:r>
      <w:r>
        <w:rPr>
          <w:spacing w:val="11"/>
        </w:rPr>
        <w:t> </w:t>
      </w:r>
      <w:r>
        <w:rPr/>
        <w:t>is</w:t>
      </w:r>
      <w:r>
        <w:rPr>
          <w:spacing w:val="18"/>
        </w:rPr>
        <w:t> </w:t>
      </w:r>
      <w:r>
        <w:rPr/>
        <w:t>job-related.</w:t>
      </w:r>
      <w:r>
        <w:rPr>
          <w:vertAlign w:val="superscript"/>
        </w:rPr>
        <w:t>344</w:t>
      </w:r>
      <w:r>
        <w:rPr>
          <w:spacing w:val="18"/>
          <w:vertAlign w:val="baseline"/>
        </w:rPr>
        <w:t> </w:t>
      </w:r>
      <w:r>
        <w:rPr>
          <w:vertAlign w:val="baseline"/>
        </w:rPr>
        <w:t>This</w:t>
      </w:r>
      <w:r>
        <w:rPr>
          <w:spacing w:val="22"/>
          <w:vertAlign w:val="baseline"/>
        </w:rPr>
        <w:t> </w:t>
      </w:r>
      <w:r>
        <w:rPr>
          <w:vertAlign w:val="baseline"/>
        </w:rPr>
        <w:t>is</w:t>
      </w:r>
      <w:r>
        <w:rPr>
          <w:spacing w:val="18"/>
          <w:vertAlign w:val="baseline"/>
        </w:rPr>
        <w:t> </w:t>
      </w:r>
      <w:r>
        <w:rPr>
          <w:vertAlign w:val="baseline"/>
        </w:rPr>
        <w:t>only</w:t>
      </w:r>
      <w:r>
        <w:rPr>
          <w:spacing w:val="20"/>
          <w:vertAlign w:val="baseline"/>
        </w:rPr>
        <w:t> </w:t>
      </w:r>
      <w:r>
        <w:rPr>
          <w:vertAlign w:val="baseline"/>
        </w:rPr>
        <w:t>if</w:t>
      </w:r>
      <w:r>
        <w:rPr>
          <w:spacing w:val="19"/>
          <w:vertAlign w:val="baseline"/>
        </w:rPr>
        <w:t> </w:t>
      </w:r>
      <w:r>
        <w:rPr>
          <w:vertAlign w:val="baseline"/>
        </w:rPr>
        <w:t>the</w:t>
      </w:r>
      <w:r>
        <w:rPr>
          <w:spacing w:val="13"/>
          <w:vertAlign w:val="baseline"/>
        </w:rPr>
        <w:t> </w:t>
      </w:r>
      <w:r>
        <w:rPr>
          <w:vertAlign w:val="baseline"/>
        </w:rPr>
        <w:t>conduct</w:t>
      </w:r>
      <w:r>
        <w:rPr>
          <w:spacing w:val="11"/>
          <w:vertAlign w:val="baseline"/>
        </w:rPr>
        <w:t> </w:t>
      </w:r>
      <w:r>
        <w:rPr>
          <w:vertAlign w:val="baseline"/>
        </w:rPr>
        <w:t>of</w:t>
      </w:r>
      <w:r>
        <w:rPr>
          <w:spacing w:val="19"/>
          <w:vertAlign w:val="baseline"/>
        </w:rPr>
        <w:t> </w:t>
      </w:r>
      <w:r>
        <w:rPr>
          <w:spacing w:val="-5"/>
          <w:vertAlign w:val="baseline"/>
        </w:rPr>
        <w:t>the</w:t>
      </w:r>
    </w:p>
    <w:p>
      <w:pPr>
        <w:pStyle w:val="BodyText"/>
        <w:spacing w:before="16"/>
        <w:rPr>
          <w:sz w:val="20"/>
        </w:rPr>
      </w:pPr>
      <w:r>
        <w:rPr/>
        <mc:AlternateContent>
          <mc:Choice Requires="wps">
            <w:drawing>
              <wp:anchor distT="0" distB="0" distL="0" distR="0" allowOverlap="1" layoutInCell="1" locked="0" behindDoc="1" simplePos="0" relativeHeight="487647744">
                <wp:simplePos x="0" y="0"/>
                <wp:positionH relativeFrom="page">
                  <wp:posOffset>1185672</wp:posOffset>
                </wp:positionH>
                <wp:positionV relativeFrom="paragraph">
                  <wp:posOffset>178883</wp:posOffset>
                </wp:positionV>
                <wp:extent cx="1719580" cy="6350"/>
                <wp:effectExtent l="0" t="0" r="0" b="0"/>
                <wp:wrapTopAndBottom/>
                <wp:docPr id="138" name="Graphic 138"/>
                <wp:cNvGraphicFramePr>
                  <a:graphicFrameLocks/>
                </wp:cNvGraphicFramePr>
                <a:graphic>
                  <a:graphicData uri="http://schemas.microsoft.com/office/word/2010/wordprocessingShape">
                    <wps:wsp>
                      <wps:cNvPr id="138" name="Graphic 138"/>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4.085313pt;width:135.360pt;height:.48pt;mso-position-horizontal-relative:page;mso-position-vertical-relative:paragraph;z-index:-15668736;mso-wrap-distance-left:0;mso-wrap-distance-right:0" id="docshape138" filled="true" fillcolor="#000000" stroked="false">
                <v:fill type="solid"/>
                <w10:wrap type="topAndBottom"/>
              </v:rect>
            </w:pict>
          </mc:Fallback>
        </mc:AlternateContent>
      </w:r>
    </w:p>
    <w:p>
      <w:pPr>
        <w:spacing w:line="215" w:lineRule="exact" w:before="101"/>
        <w:ind w:left="187" w:right="0" w:firstLine="0"/>
        <w:jc w:val="left"/>
        <w:rPr>
          <w:rFonts w:ascii="Times New Roman"/>
          <w:i/>
          <w:sz w:val="19"/>
        </w:rPr>
      </w:pPr>
      <w:r>
        <w:rPr>
          <w:rFonts w:ascii="Times New Roman"/>
          <w:sz w:val="19"/>
          <w:vertAlign w:val="superscript"/>
        </w:rPr>
        <w:t>341</w:t>
      </w:r>
      <w:r>
        <w:rPr>
          <w:rFonts w:ascii="Times New Roman"/>
          <w:spacing w:val="-1"/>
          <w:sz w:val="19"/>
          <w:vertAlign w:val="baseline"/>
        </w:rPr>
        <w:t> </w:t>
      </w:r>
      <w:r>
        <w:rPr>
          <w:rFonts w:ascii="Times New Roman"/>
          <w:sz w:val="19"/>
          <w:vertAlign w:val="baseline"/>
        </w:rPr>
        <w:t>Section 69</w:t>
      </w:r>
      <w:r>
        <w:rPr>
          <w:rFonts w:ascii="Times New Roman"/>
          <w:spacing w:val="-8"/>
          <w:sz w:val="19"/>
          <w:vertAlign w:val="baseline"/>
        </w:rPr>
        <w:t> </w:t>
      </w:r>
      <w:r>
        <w:rPr>
          <w:rFonts w:ascii="Times New Roman"/>
          <w:i/>
          <w:spacing w:val="-4"/>
          <w:sz w:val="19"/>
          <w:vertAlign w:val="baseline"/>
        </w:rPr>
        <w:t>ibid</w:t>
      </w:r>
    </w:p>
    <w:p>
      <w:pPr>
        <w:spacing w:line="237" w:lineRule="auto" w:before="0"/>
        <w:ind w:left="187" w:right="0" w:firstLine="0"/>
        <w:jc w:val="left"/>
        <w:rPr>
          <w:rFonts w:ascii="Times New Roman" w:hAnsi="Times New Roman"/>
          <w:sz w:val="19"/>
        </w:rPr>
      </w:pPr>
      <w:r>
        <w:rPr>
          <w:rFonts w:ascii="Times New Roman" w:hAnsi="Times New Roman"/>
          <w:sz w:val="19"/>
          <w:vertAlign w:val="superscript"/>
        </w:rPr>
        <w:t>342</w:t>
      </w:r>
      <w:r>
        <w:rPr>
          <w:rFonts w:ascii="Times New Roman" w:hAnsi="Times New Roman"/>
          <w:spacing w:val="-12"/>
          <w:sz w:val="19"/>
          <w:vertAlign w:val="baseline"/>
        </w:rPr>
        <w:t> </w:t>
      </w:r>
      <w:r>
        <w:rPr>
          <w:rFonts w:ascii="Times New Roman" w:hAnsi="Times New Roman"/>
          <w:sz w:val="19"/>
          <w:vertAlign w:val="baseline"/>
        </w:rPr>
        <w:t>See</w:t>
      </w:r>
      <w:r>
        <w:rPr>
          <w:rFonts w:ascii="Times New Roman" w:hAnsi="Times New Roman"/>
          <w:spacing w:val="-12"/>
          <w:sz w:val="19"/>
          <w:vertAlign w:val="baseline"/>
        </w:rPr>
        <w:t> </w:t>
      </w:r>
      <w:r>
        <w:rPr>
          <w:rFonts w:ascii="Times New Roman" w:hAnsi="Times New Roman"/>
          <w:sz w:val="19"/>
          <w:vertAlign w:val="baseline"/>
        </w:rPr>
        <w:t>Gilbert</w:t>
      </w:r>
      <w:r>
        <w:rPr>
          <w:rFonts w:ascii="Times New Roman" w:hAnsi="Times New Roman"/>
          <w:spacing w:val="-12"/>
          <w:sz w:val="19"/>
          <w:vertAlign w:val="baseline"/>
        </w:rPr>
        <w:t> </w:t>
      </w:r>
      <w:r>
        <w:rPr>
          <w:rFonts w:ascii="Times New Roman" w:hAnsi="Times New Roman"/>
          <w:sz w:val="19"/>
          <w:vertAlign w:val="baseline"/>
        </w:rPr>
        <w:t>Ezeigwe</w:t>
      </w:r>
      <w:r>
        <w:rPr>
          <w:rFonts w:ascii="Times New Roman" w:hAnsi="Times New Roman"/>
          <w:spacing w:val="-12"/>
          <w:sz w:val="19"/>
          <w:vertAlign w:val="baseline"/>
        </w:rPr>
        <w:t> </w:t>
      </w:r>
      <w:r>
        <w:rPr>
          <w:rFonts w:ascii="Times New Roman" w:hAnsi="Times New Roman"/>
          <w:sz w:val="19"/>
          <w:vertAlign w:val="baseline"/>
        </w:rPr>
        <w:t>v.Awawa</w:t>
      </w:r>
      <w:r>
        <w:rPr>
          <w:rFonts w:ascii="Times New Roman" w:hAnsi="Times New Roman"/>
          <w:spacing w:val="-9"/>
          <w:sz w:val="19"/>
          <w:vertAlign w:val="baseline"/>
        </w:rPr>
        <w:t> </w:t>
      </w:r>
      <w:r>
        <w:rPr>
          <w:rFonts w:ascii="Times New Roman" w:hAnsi="Times New Roman"/>
          <w:sz w:val="19"/>
          <w:vertAlign w:val="baseline"/>
        </w:rPr>
        <w:t>Awudu</w:t>
      </w:r>
      <w:r>
        <w:rPr>
          <w:rFonts w:ascii="Times New Roman" w:hAnsi="Times New Roman"/>
          <w:spacing w:val="-12"/>
          <w:sz w:val="19"/>
          <w:vertAlign w:val="baseline"/>
        </w:rPr>
        <w:t> </w:t>
      </w:r>
      <w:r>
        <w:rPr>
          <w:rFonts w:ascii="Times New Roman" w:hAnsi="Times New Roman"/>
          <w:sz w:val="19"/>
          <w:vertAlign w:val="baseline"/>
        </w:rPr>
        <w:t>(2008)11</w:t>
      </w:r>
      <w:r>
        <w:rPr>
          <w:rFonts w:ascii="Times New Roman" w:hAnsi="Times New Roman"/>
          <w:spacing w:val="-12"/>
          <w:sz w:val="19"/>
          <w:vertAlign w:val="baseline"/>
        </w:rPr>
        <w:t> </w:t>
      </w:r>
      <w:r>
        <w:rPr>
          <w:rFonts w:ascii="Times New Roman" w:hAnsi="Times New Roman"/>
          <w:sz w:val="19"/>
          <w:vertAlign w:val="baseline"/>
        </w:rPr>
        <w:t>NWLR(pt.1097)158,</w:t>
      </w:r>
      <w:r>
        <w:rPr>
          <w:rFonts w:ascii="Times New Roman" w:hAnsi="Times New Roman"/>
          <w:spacing w:val="-9"/>
          <w:sz w:val="19"/>
          <w:vertAlign w:val="baseline"/>
        </w:rPr>
        <w:t> </w:t>
      </w:r>
      <w:r>
        <w:rPr>
          <w:rFonts w:ascii="Times New Roman" w:hAnsi="Times New Roman"/>
          <w:sz w:val="19"/>
          <w:vertAlign w:val="baseline"/>
        </w:rPr>
        <w:t>Jiboso</w:t>
      </w:r>
      <w:r>
        <w:rPr>
          <w:rFonts w:ascii="Times New Roman" w:hAnsi="Times New Roman"/>
          <w:spacing w:val="-12"/>
          <w:sz w:val="19"/>
          <w:vertAlign w:val="baseline"/>
        </w:rPr>
        <w:t> </w:t>
      </w:r>
      <w:r>
        <w:rPr>
          <w:rFonts w:ascii="Times New Roman" w:hAnsi="Times New Roman"/>
          <w:sz w:val="19"/>
          <w:vertAlign w:val="baseline"/>
        </w:rPr>
        <w:t>v.</w:t>
      </w:r>
      <w:r>
        <w:rPr>
          <w:rFonts w:ascii="Times New Roman" w:hAnsi="Times New Roman"/>
          <w:spacing w:val="-10"/>
          <w:sz w:val="19"/>
          <w:vertAlign w:val="baseline"/>
        </w:rPr>
        <w:t> </w:t>
      </w:r>
      <w:r>
        <w:rPr>
          <w:rFonts w:ascii="Times New Roman" w:hAnsi="Times New Roman"/>
          <w:sz w:val="19"/>
          <w:vertAlign w:val="baseline"/>
        </w:rPr>
        <w:t>Obadina(1962)WRNLR 303,</w:t>
      </w:r>
      <w:r>
        <w:rPr>
          <w:rFonts w:ascii="Times New Roman" w:hAnsi="Times New Roman"/>
          <w:i/>
          <w:sz w:val="19"/>
          <w:vertAlign w:val="baseline"/>
        </w:rPr>
        <w:t>http/</w:t>
      </w:r>
      <w:hyperlink r:id="rId27">
        <w:r>
          <w:rPr>
            <w:rFonts w:ascii="Times New Roman" w:hAnsi="Times New Roman"/>
            <w:i/>
            <w:sz w:val="19"/>
            <w:vertAlign w:val="baseline"/>
          </w:rPr>
          <w:t>www.legal.dictionary.thefreedicitonary.com/illiterate</w:t>
        </w:r>
      </w:hyperlink>
      <w:r>
        <w:rPr>
          <w:rFonts w:ascii="Times New Roman" w:hAnsi="Times New Roman"/>
          <w:i/>
          <w:sz w:val="19"/>
          <w:vertAlign w:val="baseline"/>
        </w:rPr>
        <w:t> </w:t>
      </w:r>
      <w:r>
        <w:rPr>
          <w:rFonts w:ascii="Times New Roman" w:hAnsi="Times New Roman"/>
          <w:sz w:val="19"/>
          <w:vertAlign w:val="baseline"/>
        </w:rPr>
        <w:t>–</w:t>
      </w:r>
      <w:r>
        <w:rPr>
          <w:rFonts w:ascii="Times New Roman" w:hAnsi="Times New Roman"/>
          <w:spacing w:val="-1"/>
          <w:sz w:val="19"/>
          <w:vertAlign w:val="baseline"/>
        </w:rPr>
        <w:t> </w:t>
      </w:r>
      <w:r>
        <w:rPr>
          <w:rFonts w:ascii="Times New Roman" w:hAnsi="Times New Roman"/>
          <w:sz w:val="19"/>
          <w:vertAlign w:val="baseline"/>
        </w:rPr>
        <w:t>Retrieved</w:t>
      </w:r>
      <w:r>
        <w:rPr>
          <w:rFonts w:ascii="Times New Roman" w:hAnsi="Times New Roman"/>
          <w:spacing w:val="40"/>
          <w:sz w:val="19"/>
          <w:vertAlign w:val="baseline"/>
        </w:rPr>
        <w:t> </w:t>
      </w:r>
      <w:r>
        <w:rPr>
          <w:rFonts w:ascii="Times New Roman" w:hAnsi="Times New Roman"/>
          <w:sz w:val="19"/>
          <w:vertAlign w:val="baseline"/>
        </w:rPr>
        <w:t>on the19th day</w:t>
      </w:r>
      <w:r>
        <w:rPr>
          <w:rFonts w:ascii="Times New Roman" w:hAnsi="Times New Roman"/>
          <w:spacing w:val="-1"/>
          <w:sz w:val="19"/>
          <w:vertAlign w:val="baseline"/>
        </w:rPr>
        <w:t> </w:t>
      </w:r>
      <w:r>
        <w:rPr>
          <w:rFonts w:ascii="Times New Roman" w:hAnsi="Times New Roman"/>
          <w:sz w:val="19"/>
          <w:vertAlign w:val="baseline"/>
        </w:rPr>
        <w:t>of May, 2012</w:t>
      </w:r>
    </w:p>
    <w:p>
      <w:pPr>
        <w:spacing w:line="215" w:lineRule="exact" w:before="0"/>
        <w:ind w:left="187" w:right="0" w:firstLine="0"/>
        <w:jc w:val="left"/>
        <w:rPr>
          <w:rFonts w:ascii="Times New Roman" w:hAnsi="Times New Roman"/>
          <w:i/>
          <w:sz w:val="19"/>
        </w:rPr>
      </w:pPr>
      <w:r>
        <w:rPr>
          <w:rFonts w:ascii="Times New Roman" w:hAnsi="Times New Roman"/>
          <w:sz w:val="19"/>
          <w:vertAlign w:val="superscript"/>
        </w:rPr>
        <w:t>343</w:t>
      </w:r>
      <w:r>
        <w:rPr>
          <w:rFonts w:ascii="Times New Roman" w:hAnsi="Times New Roman"/>
          <w:spacing w:val="-6"/>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68</w:t>
      </w:r>
      <w:r>
        <w:rPr>
          <w:rFonts w:ascii="Times New Roman" w:hAnsi="Times New Roman"/>
          <w:spacing w:val="29"/>
          <w:sz w:val="19"/>
          <w:vertAlign w:val="baseline"/>
        </w:rPr>
        <w:t> </w:t>
      </w:r>
      <w:r>
        <w:rPr>
          <w:rFonts w:ascii="Times New Roman" w:hAnsi="Times New Roman"/>
          <w:sz w:val="19"/>
          <w:vertAlign w:val="baseline"/>
        </w:rPr>
        <w:t>Employees’</w:t>
      </w:r>
      <w:r>
        <w:rPr>
          <w:rFonts w:ascii="Times New Roman" w:hAnsi="Times New Roman"/>
          <w:spacing w:val="-10"/>
          <w:sz w:val="19"/>
          <w:vertAlign w:val="baseline"/>
        </w:rPr>
        <w:t> </w:t>
      </w:r>
      <w:r>
        <w:rPr>
          <w:rFonts w:ascii="Times New Roman" w:hAnsi="Times New Roman"/>
          <w:sz w:val="19"/>
          <w:vertAlign w:val="baseline"/>
        </w:rPr>
        <w:t>Compensation</w:t>
      </w:r>
      <w:r>
        <w:rPr>
          <w:rFonts w:ascii="Times New Roman" w:hAnsi="Times New Roman"/>
          <w:spacing w:val="-5"/>
          <w:sz w:val="19"/>
          <w:vertAlign w:val="baseline"/>
        </w:rPr>
        <w:t> </w:t>
      </w:r>
      <w:r>
        <w:rPr>
          <w:rFonts w:ascii="Times New Roman" w:hAnsi="Times New Roman"/>
          <w:sz w:val="19"/>
          <w:vertAlign w:val="baseline"/>
        </w:rPr>
        <w:t>Act</w:t>
      </w:r>
      <w:r>
        <w:rPr>
          <w:rFonts w:ascii="Times New Roman" w:hAnsi="Times New Roman"/>
          <w:spacing w:val="-9"/>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line="217" w:lineRule="exact" w:before="0"/>
        <w:ind w:left="187" w:right="0" w:firstLine="0"/>
        <w:jc w:val="left"/>
        <w:rPr>
          <w:rFonts w:ascii="Times New Roman"/>
          <w:i/>
          <w:sz w:val="19"/>
        </w:rPr>
      </w:pPr>
      <w:r>
        <w:rPr>
          <w:rFonts w:ascii="Times New Roman"/>
          <w:sz w:val="19"/>
          <w:vertAlign w:val="superscript"/>
        </w:rPr>
        <w:t>344</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w:t>
      </w:r>
      <w:r>
        <w:rPr>
          <w:rFonts w:ascii="Times New Roman"/>
          <w:spacing w:val="-2"/>
          <w:sz w:val="19"/>
          <w:vertAlign w:val="baseline"/>
        </w:rPr>
        <w:t> </w:t>
      </w:r>
      <w:r>
        <w:rPr>
          <w:rFonts w:ascii="Times New Roman"/>
          <w:sz w:val="19"/>
          <w:vertAlign w:val="baseline"/>
        </w:rPr>
        <w:t>(1)</w:t>
      </w:r>
      <w:r>
        <w:rPr>
          <w:rFonts w:ascii="Times New Roman"/>
          <w:spacing w:val="-12"/>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7"/>
        <w:jc w:val="both"/>
      </w:pPr>
      <w:r>
        <w:rPr/>
        <w:t>employers,</w:t>
      </w:r>
      <w:r>
        <w:rPr>
          <w:spacing w:val="40"/>
        </w:rPr>
        <w:t> </w:t>
      </w:r>
      <w:r>
        <w:rPr/>
        <w:t>the</w:t>
      </w:r>
      <w:r>
        <w:rPr>
          <w:spacing w:val="40"/>
        </w:rPr>
        <w:t> </w:t>
      </w:r>
      <w:r>
        <w:rPr/>
        <w:t>agent</w:t>
      </w:r>
      <w:r>
        <w:rPr>
          <w:spacing w:val="40"/>
        </w:rPr>
        <w:t> </w:t>
      </w:r>
      <w:r>
        <w:rPr/>
        <w:t>or</w:t>
      </w:r>
      <w:r>
        <w:rPr>
          <w:spacing w:val="40"/>
        </w:rPr>
        <w:t> </w:t>
      </w:r>
      <w:r>
        <w:rPr/>
        <w:t>servant</w:t>
      </w:r>
      <w:r>
        <w:rPr>
          <w:spacing w:val="40"/>
        </w:rPr>
        <w:t> </w:t>
      </w:r>
      <w:r>
        <w:rPr/>
        <w:t>of</w:t>
      </w:r>
      <w:r>
        <w:rPr>
          <w:spacing w:val="40"/>
        </w:rPr>
        <w:t> </w:t>
      </w:r>
      <w:r>
        <w:rPr/>
        <w:t>the</w:t>
      </w:r>
      <w:r>
        <w:rPr>
          <w:spacing w:val="40"/>
        </w:rPr>
        <w:t> </w:t>
      </w:r>
      <w:r>
        <w:rPr/>
        <w:t>employer</w:t>
      </w:r>
      <w:r>
        <w:rPr>
          <w:spacing w:val="40"/>
        </w:rPr>
        <w:t> </w:t>
      </w:r>
      <w:r>
        <w:rPr/>
        <w:t>or</w:t>
      </w:r>
      <w:r>
        <w:rPr>
          <w:spacing w:val="40"/>
        </w:rPr>
        <w:t> </w:t>
      </w:r>
      <w:r>
        <w:rPr/>
        <w:t>employee</w:t>
      </w:r>
      <w:r>
        <w:rPr>
          <w:spacing w:val="40"/>
        </w:rPr>
        <w:t> </w:t>
      </w:r>
      <w:r>
        <w:rPr/>
        <w:t>which caused</w:t>
      </w:r>
      <w:r>
        <w:rPr>
          <w:spacing w:val="40"/>
        </w:rPr>
        <w:t> </w:t>
      </w:r>
      <w:r>
        <w:rPr/>
        <w:t>the</w:t>
      </w:r>
      <w:r>
        <w:rPr>
          <w:spacing w:val="40"/>
        </w:rPr>
        <w:t> </w:t>
      </w:r>
      <w:r>
        <w:rPr/>
        <w:t>breach</w:t>
      </w:r>
      <w:r>
        <w:rPr>
          <w:spacing w:val="40"/>
        </w:rPr>
        <w:t> </w:t>
      </w:r>
      <w:r>
        <w:rPr/>
        <w:t>of</w:t>
      </w:r>
      <w:r>
        <w:rPr>
          <w:spacing w:val="40"/>
        </w:rPr>
        <w:t> </w:t>
      </w:r>
      <w:r>
        <w:rPr/>
        <w:t>duty,</w:t>
      </w:r>
      <w:r>
        <w:rPr>
          <w:spacing w:val="40"/>
        </w:rPr>
        <w:t> </w:t>
      </w:r>
      <w:r>
        <w:rPr/>
        <w:t>arose</w:t>
      </w:r>
      <w:r>
        <w:rPr>
          <w:spacing w:val="40"/>
        </w:rPr>
        <w:t> </w:t>
      </w:r>
      <w:r>
        <w:rPr/>
        <w:t>out</w:t>
      </w:r>
      <w:r>
        <w:rPr>
          <w:spacing w:val="40"/>
        </w:rPr>
        <w:t> </w:t>
      </w:r>
      <w:r>
        <w:rPr/>
        <w:t>of</w:t>
      </w:r>
      <w:r>
        <w:rPr>
          <w:spacing w:val="40"/>
        </w:rPr>
        <w:t> </w:t>
      </w:r>
      <w:r>
        <w:rPr/>
        <w:t>or</w:t>
      </w:r>
      <w:r>
        <w:rPr>
          <w:spacing w:val="40"/>
        </w:rPr>
        <w:t> </w:t>
      </w:r>
      <w:r>
        <w:rPr/>
        <w:t>in</w:t>
      </w:r>
      <w:r>
        <w:rPr>
          <w:spacing w:val="40"/>
        </w:rPr>
        <w:t> </w:t>
      </w:r>
      <w:r>
        <w:rPr/>
        <w:t>the</w:t>
      </w:r>
      <w:r>
        <w:rPr>
          <w:spacing w:val="40"/>
        </w:rPr>
        <w:t> </w:t>
      </w:r>
      <w:r>
        <w:rPr/>
        <w:t>course</w:t>
      </w:r>
      <w:r>
        <w:rPr>
          <w:spacing w:val="40"/>
        </w:rPr>
        <w:t> </w:t>
      </w:r>
      <w:r>
        <w:rPr/>
        <w:t>of employments.</w:t>
      </w:r>
      <w:r>
        <w:rPr>
          <w:vertAlign w:val="superscript"/>
        </w:rPr>
        <w:t>345</w:t>
      </w:r>
      <w:r>
        <w:rPr>
          <w:vertAlign w:val="baseline"/>
        </w:rPr>
        <w:t> Here, the employee or his defendants will claim compensation under the Act.</w:t>
      </w:r>
    </w:p>
    <w:p>
      <w:pPr>
        <w:pStyle w:val="BodyText"/>
        <w:spacing w:before="10"/>
      </w:pPr>
    </w:p>
    <w:p>
      <w:pPr>
        <w:pStyle w:val="BodyText"/>
        <w:spacing w:line="489" w:lineRule="auto"/>
        <w:ind w:left="864" w:right="564"/>
        <w:jc w:val="both"/>
      </w:pPr>
      <w:r>
        <w:rPr/>
        <w:t>Employees or dependants may decide to sue any person other than the employer or an employee that caused the job-related injury or death, but any</w:t>
      </w:r>
      <w:r>
        <w:rPr>
          <w:spacing w:val="26"/>
        </w:rPr>
        <w:t> </w:t>
      </w:r>
      <w:r>
        <w:rPr/>
        <w:t>such</w:t>
      </w:r>
      <w:r>
        <w:rPr>
          <w:spacing w:val="31"/>
        </w:rPr>
        <w:t> </w:t>
      </w:r>
      <w:r>
        <w:rPr/>
        <w:t>action</w:t>
      </w:r>
      <w:r>
        <w:rPr>
          <w:spacing w:val="27"/>
        </w:rPr>
        <w:t> </w:t>
      </w:r>
      <w:r>
        <w:rPr/>
        <w:t>is</w:t>
      </w:r>
      <w:r>
        <w:rPr>
          <w:spacing w:val="35"/>
        </w:rPr>
        <w:t> </w:t>
      </w:r>
      <w:r>
        <w:rPr/>
        <w:t>a</w:t>
      </w:r>
      <w:r>
        <w:rPr>
          <w:spacing w:val="29"/>
        </w:rPr>
        <w:t> </w:t>
      </w:r>
      <w:r>
        <w:rPr/>
        <w:t>bar</w:t>
      </w:r>
      <w:r>
        <w:rPr>
          <w:spacing w:val="30"/>
        </w:rPr>
        <w:t> </w:t>
      </w:r>
      <w:r>
        <w:rPr/>
        <w:t>to</w:t>
      </w:r>
      <w:r>
        <w:rPr>
          <w:spacing w:val="25"/>
        </w:rPr>
        <w:t> </w:t>
      </w:r>
      <w:r>
        <w:rPr/>
        <w:t>compensation</w:t>
      </w:r>
      <w:r>
        <w:rPr>
          <w:spacing w:val="27"/>
        </w:rPr>
        <w:t> </w:t>
      </w:r>
      <w:r>
        <w:rPr/>
        <w:t>under</w:t>
      </w:r>
      <w:r>
        <w:rPr>
          <w:spacing w:val="25"/>
        </w:rPr>
        <w:t> </w:t>
      </w:r>
      <w:r>
        <w:rPr/>
        <w:t>the</w:t>
      </w:r>
      <w:r>
        <w:rPr>
          <w:spacing w:val="29"/>
        </w:rPr>
        <w:t> </w:t>
      </w:r>
      <w:r>
        <w:rPr/>
        <w:t>Act.</w:t>
      </w:r>
      <w:r>
        <w:rPr>
          <w:vertAlign w:val="superscript"/>
        </w:rPr>
        <w:t>346</w:t>
      </w:r>
      <w:r>
        <w:rPr>
          <w:spacing w:val="28"/>
          <w:vertAlign w:val="baseline"/>
        </w:rPr>
        <w:t> </w:t>
      </w:r>
      <w:r>
        <w:rPr>
          <w:vertAlign w:val="baseline"/>
        </w:rPr>
        <w:t>The</w:t>
      </w:r>
      <w:r>
        <w:rPr>
          <w:spacing w:val="29"/>
          <w:vertAlign w:val="baseline"/>
        </w:rPr>
        <w:t> </w:t>
      </w:r>
      <w:r>
        <w:rPr>
          <w:vertAlign w:val="baseline"/>
        </w:rPr>
        <w:t>employee or his dependants are to exercise this right of election within 6 months or any</w:t>
      </w:r>
      <w:r>
        <w:rPr>
          <w:spacing w:val="40"/>
          <w:vertAlign w:val="baseline"/>
        </w:rPr>
        <w:t> </w:t>
      </w:r>
      <w:r>
        <w:rPr>
          <w:vertAlign w:val="baseline"/>
        </w:rPr>
        <w:t>longer</w:t>
      </w:r>
      <w:r>
        <w:rPr>
          <w:spacing w:val="40"/>
          <w:vertAlign w:val="baseline"/>
        </w:rPr>
        <w:t> </w:t>
      </w:r>
      <w:r>
        <w:rPr>
          <w:vertAlign w:val="baseline"/>
        </w:rPr>
        <w:t>period</w:t>
      </w:r>
      <w:r>
        <w:rPr>
          <w:spacing w:val="40"/>
          <w:vertAlign w:val="baseline"/>
        </w:rPr>
        <w:t> </w:t>
      </w:r>
      <w:r>
        <w:rPr>
          <w:vertAlign w:val="baseline"/>
        </w:rPr>
        <w:t>as</w:t>
      </w:r>
      <w:r>
        <w:rPr>
          <w:spacing w:val="40"/>
          <w:vertAlign w:val="baseline"/>
        </w:rPr>
        <w:t> </w:t>
      </w:r>
      <w:r>
        <w:rPr>
          <w:vertAlign w:val="baseline"/>
        </w:rPr>
        <w:t>may</w:t>
      </w:r>
      <w:r>
        <w:rPr>
          <w:spacing w:val="40"/>
          <w:vertAlign w:val="baseline"/>
        </w:rPr>
        <w:t> </w:t>
      </w:r>
      <w:r>
        <w:rPr>
          <w:vertAlign w:val="baseline"/>
        </w:rPr>
        <w:t>from</w:t>
      </w:r>
      <w:r>
        <w:rPr>
          <w:spacing w:val="40"/>
          <w:vertAlign w:val="baseline"/>
        </w:rPr>
        <w:t> </w:t>
      </w:r>
      <w:r>
        <w:rPr>
          <w:vertAlign w:val="baseline"/>
        </w:rPr>
        <w:t>time</w:t>
      </w:r>
      <w:r>
        <w:rPr>
          <w:spacing w:val="40"/>
          <w:vertAlign w:val="baseline"/>
        </w:rPr>
        <w:t> </w:t>
      </w:r>
      <w:r>
        <w:rPr>
          <w:vertAlign w:val="baseline"/>
        </w:rPr>
        <w:t>to</w:t>
      </w:r>
      <w:r>
        <w:rPr>
          <w:spacing w:val="40"/>
          <w:vertAlign w:val="baseline"/>
        </w:rPr>
        <w:t> </w:t>
      </w:r>
      <w:r>
        <w:rPr>
          <w:vertAlign w:val="baseline"/>
        </w:rPr>
        <w:t>time</w:t>
      </w:r>
      <w:r>
        <w:rPr>
          <w:spacing w:val="40"/>
          <w:vertAlign w:val="baseline"/>
        </w:rPr>
        <w:t> </w:t>
      </w:r>
      <w:r>
        <w:rPr>
          <w:vertAlign w:val="baseline"/>
        </w:rPr>
        <w:t>be</w:t>
      </w:r>
      <w:r>
        <w:rPr>
          <w:spacing w:val="40"/>
          <w:vertAlign w:val="baseline"/>
        </w:rPr>
        <w:t> </w:t>
      </w:r>
      <w:r>
        <w:rPr>
          <w:vertAlign w:val="baseline"/>
        </w:rPr>
        <w:t>determined</w:t>
      </w:r>
      <w:r>
        <w:rPr>
          <w:spacing w:val="40"/>
          <w:vertAlign w:val="baseline"/>
        </w:rPr>
        <w:t> </w:t>
      </w:r>
      <w:r>
        <w:rPr>
          <w:vertAlign w:val="baseline"/>
        </w:rPr>
        <w:t>by</w:t>
      </w:r>
      <w:r>
        <w:rPr>
          <w:spacing w:val="40"/>
          <w:vertAlign w:val="baseline"/>
        </w:rPr>
        <w:t> </w:t>
      </w:r>
      <w:r>
        <w:rPr>
          <w:vertAlign w:val="baseline"/>
        </w:rPr>
        <w:t>the Board.</w:t>
      </w:r>
      <w:r>
        <w:rPr>
          <w:vertAlign w:val="superscript"/>
        </w:rPr>
        <w:t>347</w:t>
      </w:r>
      <w:r>
        <w:rPr>
          <w:spacing w:val="22"/>
          <w:vertAlign w:val="baseline"/>
        </w:rPr>
        <w:t> </w:t>
      </w:r>
      <w:r>
        <w:rPr>
          <w:vertAlign w:val="baseline"/>
        </w:rPr>
        <w:t>It</w:t>
      </w:r>
      <w:r>
        <w:rPr>
          <w:spacing w:val="14"/>
          <w:vertAlign w:val="baseline"/>
        </w:rPr>
        <w:t> </w:t>
      </w:r>
      <w:r>
        <w:rPr>
          <w:vertAlign w:val="baseline"/>
        </w:rPr>
        <w:t>is</w:t>
      </w:r>
      <w:r>
        <w:rPr>
          <w:spacing w:val="17"/>
          <w:vertAlign w:val="baseline"/>
        </w:rPr>
        <w:t> </w:t>
      </w:r>
      <w:r>
        <w:rPr>
          <w:vertAlign w:val="baseline"/>
        </w:rPr>
        <w:t>a</w:t>
      </w:r>
      <w:r>
        <w:rPr>
          <w:spacing w:val="18"/>
          <w:vertAlign w:val="baseline"/>
        </w:rPr>
        <w:t> </w:t>
      </w:r>
      <w:r>
        <w:rPr>
          <w:vertAlign w:val="baseline"/>
        </w:rPr>
        <w:t>valid</w:t>
      </w:r>
      <w:r>
        <w:rPr>
          <w:spacing w:val="21"/>
          <w:vertAlign w:val="baseline"/>
        </w:rPr>
        <w:t> </w:t>
      </w:r>
      <w:r>
        <w:rPr>
          <w:vertAlign w:val="baseline"/>
        </w:rPr>
        <w:t>election</w:t>
      </w:r>
      <w:r>
        <w:rPr>
          <w:spacing w:val="20"/>
          <w:vertAlign w:val="baseline"/>
        </w:rPr>
        <w:t> </w:t>
      </w:r>
      <w:r>
        <w:rPr>
          <w:vertAlign w:val="baseline"/>
        </w:rPr>
        <w:t>if</w:t>
      </w:r>
      <w:r>
        <w:rPr>
          <w:spacing w:val="23"/>
          <w:vertAlign w:val="baseline"/>
        </w:rPr>
        <w:t> </w:t>
      </w:r>
      <w:r>
        <w:rPr>
          <w:vertAlign w:val="baseline"/>
        </w:rPr>
        <w:t>an</w:t>
      </w:r>
      <w:r>
        <w:rPr>
          <w:spacing w:val="20"/>
          <w:vertAlign w:val="baseline"/>
        </w:rPr>
        <w:t> </w:t>
      </w:r>
      <w:r>
        <w:rPr>
          <w:vertAlign w:val="baseline"/>
        </w:rPr>
        <w:t>application</w:t>
      </w:r>
      <w:r>
        <w:rPr>
          <w:spacing w:val="24"/>
          <w:vertAlign w:val="baseline"/>
        </w:rPr>
        <w:t> </w:t>
      </w:r>
      <w:r>
        <w:rPr>
          <w:vertAlign w:val="baseline"/>
        </w:rPr>
        <w:t>for</w:t>
      </w:r>
      <w:r>
        <w:rPr>
          <w:spacing w:val="23"/>
          <w:vertAlign w:val="baseline"/>
        </w:rPr>
        <w:t> </w:t>
      </w:r>
      <w:r>
        <w:rPr>
          <w:vertAlign w:val="baseline"/>
        </w:rPr>
        <w:t>compensation</w:t>
      </w:r>
      <w:r>
        <w:rPr>
          <w:spacing w:val="20"/>
          <w:vertAlign w:val="baseline"/>
        </w:rPr>
        <w:t> </w:t>
      </w:r>
      <w:r>
        <w:rPr>
          <w:vertAlign w:val="baseline"/>
        </w:rPr>
        <w:t>is</w:t>
      </w:r>
      <w:r>
        <w:rPr>
          <w:spacing w:val="17"/>
          <w:vertAlign w:val="baseline"/>
        </w:rPr>
        <w:t> </w:t>
      </w:r>
      <w:r>
        <w:rPr>
          <w:vertAlign w:val="baseline"/>
        </w:rPr>
        <w:t>filed</w:t>
      </w:r>
      <w:r>
        <w:rPr>
          <w:spacing w:val="21"/>
          <w:vertAlign w:val="baseline"/>
        </w:rPr>
        <w:t> </w:t>
      </w:r>
      <w:r>
        <w:rPr>
          <w:vertAlign w:val="baseline"/>
        </w:rPr>
        <w:t>by a parent or guardian of an employee who is under the age of 18 years.</w:t>
      </w:r>
      <w:r>
        <w:rPr>
          <w:vertAlign w:val="superscript"/>
        </w:rPr>
        <w:t>348</w:t>
      </w:r>
      <w:r>
        <w:rPr>
          <w:vertAlign w:val="baseline"/>
        </w:rPr>
        <w:t> Where the Board is satisfied that due to physical or mental disability, an employee is unable to exercise his right of election, the Board may pay compe~{qtion until the employee is able to take decision and where he</w:t>
      </w:r>
      <w:r>
        <w:rPr>
          <w:spacing w:val="80"/>
          <w:vertAlign w:val="baseline"/>
        </w:rPr>
        <w:t> </w:t>
      </w:r>
      <w:r>
        <w:rPr>
          <w:vertAlign w:val="baseline"/>
        </w:rPr>
        <w:t>later</w:t>
      </w:r>
      <w:r>
        <w:rPr>
          <w:spacing w:val="40"/>
          <w:vertAlign w:val="baseline"/>
        </w:rPr>
        <w:t> </w:t>
      </w:r>
      <w:r>
        <w:rPr>
          <w:vertAlign w:val="baseline"/>
        </w:rPr>
        <w:t>takes</w:t>
      </w:r>
      <w:r>
        <w:rPr>
          <w:spacing w:val="40"/>
          <w:vertAlign w:val="baseline"/>
        </w:rPr>
        <w:t> </w:t>
      </w:r>
      <w:r>
        <w:rPr>
          <w:vertAlign w:val="baseline"/>
        </w:rPr>
        <w:t>decision</w:t>
      </w:r>
      <w:r>
        <w:rPr>
          <w:spacing w:val="40"/>
          <w:vertAlign w:val="baseline"/>
        </w:rPr>
        <w:t> </w:t>
      </w:r>
      <w:r>
        <w:rPr>
          <w:vertAlign w:val="baseline"/>
        </w:rPr>
        <w:t>not</w:t>
      </w:r>
      <w:r>
        <w:rPr>
          <w:spacing w:val="40"/>
          <w:vertAlign w:val="baseline"/>
        </w:rPr>
        <w:t> </w:t>
      </w:r>
      <w:r>
        <w:rPr>
          <w:vertAlign w:val="baseline"/>
        </w:rPr>
        <w:t>to</w:t>
      </w:r>
      <w:r>
        <w:rPr>
          <w:spacing w:val="40"/>
          <w:vertAlign w:val="baseline"/>
        </w:rPr>
        <w:t> </w:t>
      </w:r>
      <w:r>
        <w:rPr>
          <w:vertAlign w:val="baseline"/>
        </w:rPr>
        <w:t>take</w:t>
      </w:r>
      <w:r>
        <w:rPr>
          <w:spacing w:val="40"/>
          <w:vertAlign w:val="baseline"/>
        </w:rPr>
        <w:t> </w:t>
      </w:r>
      <w:r>
        <w:rPr>
          <w:vertAlign w:val="baseline"/>
        </w:rPr>
        <w:t>compensation,</w:t>
      </w:r>
      <w:r>
        <w:rPr>
          <w:spacing w:val="40"/>
          <w:vertAlign w:val="baseline"/>
        </w:rPr>
        <w:t> </w:t>
      </w:r>
      <w:r>
        <w:rPr>
          <w:vertAlign w:val="baseline"/>
        </w:rPr>
        <w:t>no further</w:t>
      </w:r>
      <w:r>
        <w:rPr>
          <w:spacing w:val="40"/>
          <w:vertAlign w:val="baseline"/>
        </w:rPr>
        <w:t> </w:t>
      </w:r>
      <w:r>
        <w:rPr>
          <w:vertAlign w:val="baseline"/>
        </w:rPr>
        <w:t>compensation may be paid, but the compensation so paid shall be a first charge against any sum recovered in exercise of his right of action.</w:t>
      </w:r>
      <w:r>
        <w:rPr>
          <w:vertAlign w:val="superscript"/>
        </w:rPr>
        <w:t>349</w:t>
      </w:r>
    </w:p>
    <w:p>
      <w:pPr>
        <w:pStyle w:val="BodyText"/>
        <w:spacing w:before="16"/>
      </w:pPr>
    </w:p>
    <w:p>
      <w:pPr>
        <w:pStyle w:val="BodyText"/>
        <w:spacing w:line="491" w:lineRule="auto"/>
        <w:ind w:left="864" w:right="566"/>
        <w:jc w:val="both"/>
      </w:pPr>
      <w:r>
        <w:rPr/>
        <w:t>Where the employee or dependant makes an application for compensation or is paid compensation, the Board is subrogated to the right of the employee</w:t>
      </w:r>
      <w:r>
        <w:rPr>
          <w:spacing w:val="34"/>
        </w:rPr>
        <w:t> </w:t>
      </w:r>
      <w:r>
        <w:rPr/>
        <w:t>or</w:t>
      </w:r>
      <w:r>
        <w:rPr>
          <w:spacing w:val="25"/>
        </w:rPr>
        <w:t> </w:t>
      </w:r>
      <w:r>
        <w:rPr/>
        <w:t>dependant</w:t>
      </w:r>
      <w:r>
        <w:rPr>
          <w:spacing w:val="26"/>
        </w:rPr>
        <w:t> </w:t>
      </w:r>
      <w:r>
        <w:rPr/>
        <w:t>and</w:t>
      </w:r>
      <w:r>
        <w:rPr>
          <w:spacing w:val="27"/>
        </w:rPr>
        <w:t> </w:t>
      </w:r>
      <w:r>
        <w:rPr/>
        <w:t>in</w:t>
      </w:r>
      <w:r>
        <w:rPr>
          <w:spacing w:val="32"/>
        </w:rPr>
        <w:t> </w:t>
      </w:r>
      <w:r>
        <w:rPr/>
        <w:t>this</w:t>
      </w:r>
      <w:r>
        <w:rPr>
          <w:spacing w:val="24"/>
        </w:rPr>
        <w:t> </w:t>
      </w:r>
      <w:r>
        <w:rPr/>
        <w:t>regard</w:t>
      </w:r>
      <w:r>
        <w:rPr>
          <w:spacing w:val="32"/>
        </w:rPr>
        <w:t> </w:t>
      </w:r>
      <w:r>
        <w:rPr/>
        <w:t>may</w:t>
      </w:r>
      <w:r>
        <w:rPr>
          <w:spacing w:val="26"/>
        </w:rPr>
        <w:t> </w:t>
      </w:r>
      <w:r>
        <w:rPr/>
        <w:t>maintain</w:t>
      </w:r>
      <w:r>
        <w:rPr>
          <w:spacing w:val="31"/>
        </w:rPr>
        <w:t> </w:t>
      </w:r>
      <w:r>
        <w:rPr/>
        <w:t>an</w:t>
      </w:r>
      <w:r>
        <w:rPr>
          <w:spacing w:val="32"/>
        </w:rPr>
        <w:t> </w:t>
      </w:r>
      <w:r>
        <w:rPr/>
        <w:t>action</w:t>
      </w:r>
      <w:r>
        <w:rPr>
          <w:spacing w:val="31"/>
        </w:rPr>
        <w:t> </w:t>
      </w:r>
      <w:r>
        <w:rPr/>
        <w:t>in</w:t>
      </w:r>
      <w:r>
        <w:rPr>
          <w:spacing w:val="31"/>
        </w:rPr>
        <w:t> </w:t>
      </w:r>
      <w:r>
        <w:rPr>
          <w:spacing w:val="-5"/>
        </w:rPr>
        <w:t>the</w:t>
      </w:r>
    </w:p>
    <w:p>
      <w:pPr>
        <w:pStyle w:val="BodyText"/>
        <w:spacing w:line="20" w:lineRule="exact"/>
        <w:ind w:left="187"/>
        <w:rPr>
          <w:sz w:val="2"/>
        </w:rPr>
      </w:pPr>
      <w:r>
        <w:rPr>
          <w:sz w:val="2"/>
        </w:rPr>
        <mc:AlternateContent>
          <mc:Choice Requires="wps">
            <w:drawing>
              <wp:inline distT="0" distB="0" distL="0" distR="0">
                <wp:extent cx="1719580" cy="6350"/>
                <wp:effectExtent l="0" t="0" r="0" b="0"/>
                <wp:docPr id="140" name="Group 140"/>
                <wp:cNvGraphicFramePr>
                  <a:graphicFrameLocks/>
                </wp:cNvGraphicFramePr>
                <a:graphic>
                  <a:graphicData uri="http://schemas.microsoft.com/office/word/2010/wordprocessingGroup">
                    <wpg:wgp>
                      <wpg:cNvPr id="140" name="Group 140"/>
                      <wpg:cNvGrpSpPr/>
                      <wpg:grpSpPr>
                        <a:xfrm>
                          <a:off x="0" y="0"/>
                          <a:ext cx="1719580" cy="6350"/>
                          <a:chExt cx="1719580" cy="6350"/>
                        </a:xfrm>
                      </wpg:grpSpPr>
                      <wps:wsp>
                        <wps:cNvPr id="141" name="Graphic 141"/>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35.4pt;height:.5pt;mso-position-horizontal-relative:char;mso-position-vertical-relative:line" id="docshapegroup140" coordorigin="0,0" coordsize="2708,10">
                <v:rect style="position:absolute;left:0;top:0;width:2708;height:10" id="docshape141" filled="true" fillcolor="#000000" stroked="false">
                  <v:fill type="solid"/>
                </v:rect>
              </v:group>
            </w:pict>
          </mc:Fallback>
        </mc:AlternateContent>
      </w:r>
      <w:r>
        <w:rPr>
          <w:sz w:val="2"/>
        </w:rPr>
      </w:r>
    </w:p>
    <w:p>
      <w:pPr>
        <w:spacing w:line="215" w:lineRule="exact" w:before="90"/>
        <w:ind w:left="187" w:right="0" w:firstLine="0"/>
        <w:jc w:val="left"/>
        <w:rPr>
          <w:rFonts w:ascii="Times New Roman"/>
          <w:i/>
          <w:sz w:val="19"/>
        </w:rPr>
      </w:pPr>
      <w:r>
        <w:rPr>
          <w:rFonts w:ascii="Times New Roman"/>
          <w:sz w:val="19"/>
          <w:vertAlign w:val="superscript"/>
        </w:rPr>
        <w:t>345</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w:t>
      </w:r>
      <w:r>
        <w:rPr>
          <w:rFonts w:ascii="Times New Roman"/>
          <w:spacing w:val="-2"/>
          <w:sz w:val="19"/>
          <w:vertAlign w:val="baseline"/>
        </w:rPr>
        <w:t> </w:t>
      </w:r>
      <w:r>
        <w:rPr>
          <w:rFonts w:ascii="Times New Roman"/>
          <w:sz w:val="19"/>
          <w:vertAlign w:val="baseline"/>
        </w:rPr>
        <w:t>(2)</w:t>
      </w:r>
      <w:r>
        <w:rPr>
          <w:rFonts w:ascii="Times New Roman"/>
          <w:spacing w:val="-12"/>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346</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w:t>
      </w:r>
      <w:r>
        <w:rPr>
          <w:rFonts w:ascii="Times New Roman"/>
          <w:spacing w:val="-2"/>
          <w:sz w:val="19"/>
          <w:vertAlign w:val="baseline"/>
        </w:rPr>
        <w:t> </w:t>
      </w:r>
      <w:r>
        <w:rPr>
          <w:rFonts w:ascii="Times New Roman"/>
          <w:sz w:val="19"/>
          <w:vertAlign w:val="baseline"/>
        </w:rPr>
        <w:t>(3)</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347</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348</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12(5)</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349</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w:t>
      </w:r>
      <w:r>
        <w:rPr>
          <w:rFonts w:ascii="Times New Roman"/>
          <w:spacing w:val="-2"/>
          <w:sz w:val="19"/>
          <w:vertAlign w:val="baseline"/>
        </w:rPr>
        <w:t> </w:t>
      </w:r>
      <w:r>
        <w:rPr>
          <w:rFonts w:ascii="Times New Roman"/>
          <w:sz w:val="19"/>
          <w:vertAlign w:val="baseline"/>
        </w:rPr>
        <w:t>(4)</w:t>
      </w:r>
      <w:r>
        <w:rPr>
          <w:rFonts w:ascii="Times New Roman"/>
          <w:spacing w:val="-12"/>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footerReference w:type="default" r:id="rId28"/>
          <w:pgSz w:w="12240" w:h="15840"/>
          <w:pgMar w:header="0" w:footer="1009" w:top="1260" w:bottom="1200" w:left="1680" w:right="1320"/>
        </w:sectPr>
      </w:pPr>
    </w:p>
    <w:p>
      <w:pPr>
        <w:pStyle w:val="BodyText"/>
        <w:spacing w:line="489" w:lineRule="auto" w:before="94"/>
        <w:ind w:left="864" w:right="569"/>
        <w:jc w:val="both"/>
      </w:pPr>
      <w:r>
        <w:rPr/>
        <w:t>name</w:t>
      </w:r>
      <w:r>
        <w:rPr>
          <w:spacing w:val="40"/>
        </w:rPr>
        <w:t> </w:t>
      </w:r>
      <w:r>
        <w:rPr/>
        <w:t>of</w:t>
      </w:r>
      <w:r>
        <w:rPr>
          <w:spacing w:val="40"/>
        </w:rPr>
        <w:t> </w:t>
      </w:r>
      <w:r>
        <w:rPr/>
        <w:t>the</w:t>
      </w:r>
      <w:r>
        <w:rPr>
          <w:spacing w:val="40"/>
        </w:rPr>
        <w:t> </w:t>
      </w:r>
      <w:r>
        <w:rPr/>
        <w:t>employee</w:t>
      </w:r>
      <w:r>
        <w:rPr>
          <w:spacing w:val="40"/>
        </w:rPr>
        <w:t> </w:t>
      </w:r>
      <w:r>
        <w:rPr/>
        <w:t>or</w:t>
      </w:r>
      <w:r>
        <w:rPr>
          <w:spacing w:val="40"/>
        </w:rPr>
        <w:t> </w:t>
      </w:r>
      <w:r>
        <w:rPr/>
        <w:t>dependant</w:t>
      </w:r>
      <w:r>
        <w:rPr>
          <w:spacing w:val="40"/>
        </w:rPr>
        <w:t> </w:t>
      </w:r>
      <w:r>
        <w:rPr/>
        <w:t>in</w:t>
      </w:r>
      <w:r>
        <w:rPr>
          <w:spacing w:val="40"/>
        </w:rPr>
        <w:t> </w:t>
      </w:r>
      <w:r>
        <w:rPr/>
        <w:t>order</w:t>
      </w:r>
      <w:r>
        <w:rPr>
          <w:spacing w:val="40"/>
        </w:rPr>
        <w:t> </w:t>
      </w:r>
      <w:r>
        <w:rPr/>
        <w:t>to</w:t>
      </w:r>
      <w:r>
        <w:rPr>
          <w:spacing w:val="40"/>
        </w:rPr>
        <w:t> </w:t>
      </w:r>
      <w:r>
        <w:rPr/>
        <w:t>recover</w:t>
      </w:r>
      <w:r>
        <w:rPr>
          <w:spacing w:val="40"/>
        </w:rPr>
        <w:t> </w:t>
      </w:r>
      <w:r>
        <w:rPr/>
        <w:t>what</w:t>
      </w:r>
      <w:r>
        <w:rPr>
          <w:spacing w:val="40"/>
        </w:rPr>
        <w:t> </w:t>
      </w:r>
      <w:r>
        <w:rPr/>
        <w:t>the employee or dependant would recover if they had sued.</w:t>
      </w:r>
      <w:r>
        <w:rPr>
          <w:vertAlign w:val="superscript"/>
        </w:rPr>
        <w:t>350</w:t>
      </w:r>
      <w:r>
        <w:rPr>
          <w:vertAlign w:val="baseline"/>
        </w:rPr>
        <w:t> If the Board recovers more than what the employee or</w:t>
      </w:r>
      <w:r>
        <w:rPr>
          <w:spacing w:val="40"/>
          <w:vertAlign w:val="baseline"/>
        </w:rPr>
        <w:t> </w:t>
      </w:r>
      <w:r>
        <w:rPr>
          <w:vertAlign w:val="baseline"/>
        </w:rPr>
        <w:t>dependant is</w:t>
      </w:r>
      <w:r>
        <w:rPr>
          <w:spacing w:val="39"/>
          <w:vertAlign w:val="baseline"/>
        </w:rPr>
        <w:t> </w:t>
      </w:r>
      <w:r>
        <w:rPr>
          <w:vertAlign w:val="baseline"/>
        </w:rPr>
        <w:t>entitled to under the Act, the excess will be given to the employee or dependant.</w:t>
      </w:r>
      <w:r>
        <w:rPr>
          <w:vertAlign w:val="superscript"/>
        </w:rPr>
        <w:t>351</w:t>
      </w:r>
      <w:r>
        <w:rPr>
          <w:vertAlign w:val="baseline"/>
        </w:rPr>
        <w:t> The</w:t>
      </w:r>
      <w:r>
        <w:rPr>
          <w:spacing w:val="40"/>
          <w:vertAlign w:val="baseline"/>
        </w:rPr>
        <w:t> </w:t>
      </w:r>
      <w:r>
        <w:rPr>
          <w:vertAlign w:val="baseline"/>
        </w:rPr>
        <w:t>Board will deduct any administrative expenses before the employee or dependant</w:t>
      </w:r>
      <w:r>
        <w:rPr>
          <w:spacing w:val="40"/>
          <w:vertAlign w:val="baseline"/>
        </w:rPr>
        <w:t> </w:t>
      </w:r>
      <w:r>
        <w:rPr>
          <w:vertAlign w:val="baseline"/>
        </w:rPr>
        <w:t>will</w:t>
      </w:r>
      <w:r>
        <w:rPr>
          <w:spacing w:val="40"/>
          <w:vertAlign w:val="baseline"/>
        </w:rPr>
        <w:t> </w:t>
      </w:r>
      <w:r>
        <w:rPr>
          <w:vertAlign w:val="baseline"/>
        </w:rPr>
        <w:t>be</w:t>
      </w:r>
      <w:r>
        <w:rPr>
          <w:spacing w:val="40"/>
          <w:vertAlign w:val="baseline"/>
        </w:rPr>
        <w:t> </w:t>
      </w:r>
      <w:r>
        <w:rPr>
          <w:vertAlign w:val="baseline"/>
        </w:rPr>
        <w:t>entitled</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remainder.</w:t>
      </w:r>
      <w:r>
        <w:rPr>
          <w:vertAlign w:val="superscript"/>
        </w:rPr>
        <w:t>352</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here</w:t>
      </w:r>
      <w:r>
        <w:rPr>
          <w:spacing w:val="40"/>
          <w:vertAlign w:val="baseline"/>
        </w:rPr>
        <w:t> </w:t>
      </w:r>
      <w:r>
        <w:rPr>
          <w:vertAlign w:val="baseline"/>
        </w:rPr>
        <w:t>has</w:t>
      </w:r>
      <w:r>
        <w:rPr>
          <w:spacing w:val="40"/>
          <w:vertAlign w:val="baseline"/>
        </w:rPr>
        <w:t> </w:t>
      </w:r>
      <w:r>
        <w:rPr>
          <w:vertAlign w:val="baseline"/>
        </w:rPr>
        <w:t>the right to maintain such action or not at all.</w:t>
      </w:r>
      <w:r>
        <w:rPr>
          <w:vertAlign w:val="superscript"/>
        </w:rPr>
        <w:t>353</w:t>
      </w:r>
    </w:p>
    <w:p>
      <w:pPr>
        <w:pStyle w:val="BodyText"/>
        <w:spacing w:before="10"/>
      </w:pPr>
    </w:p>
    <w:p>
      <w:pPr>
        <w:pStyle w:val="BodyText"/>
        <w:spacing w:line="489" w:lineRule="auto"/>
        <w:ind w:left="864" w:right="569"/>
        <w:jc w:val="both"/>
      </w:pPr>
      <w:r>
        <w:rPr/>
        <w:t>An</w:t>
      </w:r>
      <w:r>
        <w:rPr>
          <w:spacing w:val="34"/>
        </w:rPr>
        <w:t> </w:t>
      </w:r>
      <w:r>
        <w:rPr/>
        <w:t>employer</w:t>
      </w:r>
      <w:r>
        <w:rPr>
          <w:spacing w:val="33"/>
        </w:rPr>
        <w:t> </w:t>
      </w:r>
      <w:r>
        <w:rPr/>
        <w:t>of</w:t>
      </w:r>
      <w:r>
        <w:rPr>
          <w:spacing w:val="37"/>
        </w:rPr>
        <w:t> </w:t>
      </w:r>
      <w:r>
        <w:rPr/>
        <w:t>the</w:t>
      </w:r>
      <w:r>
        <w:rPr>
          <w:spacing w:val="32"/>
        </w:rPr>
        <w:t> </w:t>
      </w:r>
      <w:r>
        <w:rPr/>
        <w:t>injured</w:t>
      </w:r>
      <w:r>
        <w:rPr>
          <w:spacing w:val="35"/>
        </w:rPr>
        <w:t> </w:t>
      </w:r>
      <w:r>
        <w:rPr/>
        <w:t>or</w:t>
      </w:r>
      <w:r>
        <w:rPr>
          <w:spacing w:val="32"/>
        </w:rPr>
        <w:t> </w:t>
      </w:r>
      <w:r>
        <w:rPr/>
        <w:t>deceased</w:t>
      </w:r>
      <w:r>
        <w:rPr>
          <w:spacing w:val="35"/>
        </w:rPr>
        <w:t> </w:t>
      </w:r>
      <w:r>
        <w:rPr/>
        <w:t>person</w:t>
      </w:r>
      <w:r>
        <w:rPr>
          <w:spacing w:val="34"/>
        </w:rPr>
        <w:t> </w:t>
      </w:r>
      <w:r>
        <w:rPr/>
        <w:t>has</w:t>
      </w:r>
      <w:r>
        <w:rPr>
          <w:spacing w:val="36"/>
        </w:rPr>
        <w:t> </w:t>
      </w:r>
      <w:r>
        <w:rPr/>
        <w:t>the</w:t>
      </w:r>
      <w:r>
        <w:rPr>
          <w:spacing w:val="32"/>
        </w:rPr>
        <w:t> </w:t>
      </w:r>
      <w:r>
        <w:rPr/>
        <w:t>right</w:t>
      </w:r>
      <w:r>
        <w:rPr>
          <w:spacing w:val="34"/>
        </w:rPr>
        <w:t> </w:t>
      </w:r>
      <w:r>
        <w:rPr/>
        <w:t>to</w:t>
      </w:r>
      <w:r>
        <w:rPr>
          <w:spacing w:val="33"/>
        </w:rPr>
        <w:t> </w:t>
      </w:r>
      <w:r>
        <w:rPr/>
        <w:t>maintain an action upon contract or indemnity agreement against another employer or independent contractor in respect of the injury or death.</w:t>
      </w:r>
      <w:r>
        <w:rPr>
          <w:vertAlign w:val="superscript"/>
        </w:rPr>
        <w:t>354</w:t>
      </w:r>
      <w:r>
        <w:rPr>
          <w:vertAlign w:val="baseline"/>
        </w:rPr>
        <w:t> The Board</w:t>
      </w:r>
      <w:r>
        <w:rPr>
          <w:spacing w:val="80"/>
          <w:vertAlign w:val="baseline"/>
        </w:rPr>
        <w:t> </w:t>
      </w:r>
      <w:r>
        <w:rPr>
          <w:vertAlign w:val="baseline"/>
        </w:rPr>
        <w:t>can also order that compensation be charged in whole or in part to the account</w:t>
      </w:r>
      <w:r>
        <w:rPr>
          <w:spacing w:val="40"/>
          <w:vertAlign w:val="baseline"/>
        </w:rPr>
        <w:t> </w:t>
      </w:r>
      <w:r>
        <w:rPr>
          <w:vertAlign w:val="baseline"/>
        </w:rPr>
        <w:t>of</w:t>
      </w:r>
      <w:r>
        <w:rPr>
          <w:spacing w:val="40"/>
          <w:vertAlign w:val="baseline"/>
        </w:rPr>
        <w:t> </w:t>
      </w:r>
      <w:r>
        <w:rPr>
          <w:vertAlign w:val="baseline"/>
        </w:rPr>
        <w:t>another</w:t>
      </w:r>
      <w:r>
        <w:rPr>
          <w:spacing w:val="40"/>
          <w:vertAlign w:val="baseline"/>
        </w:rPr>
        <w:t> </w:t>
      </w:r>
      <w:r>
        <w:rPr>
          <w:vertAlign w:val="baseline"/>
        </w:rPr>
        <w:t>employer</w:t>
      </w:r>
      <w:r>
        <w:rPr>
          <w:spacing w:val="40"/>
          <w:vertAlign w:val="baseline"/>
        </w:rPr>
        <w:t> </w:t>
      </w:r>
      <w:r>
        <w:rPr>
          <w:vertAlign w:val="baseline"/>
        </w:rPr>
        <w:t>of</w:t>
      </w:r>
      <w:r>
        <w:rPr>
          <w:spacing w:val="40"/>
          <w:vertAlign w:val="baseline"/>
        </w:rPr>
        <w:t> </w:t>
      </w:r>
      <w:r>
        <w:rPr>
          <w:vertAlign w:val="baseline"/>
        </w:rPr>
        <w:t>independent</w:t>
      </w:r>
      <w:r>
        <w:rPr>
          <w:spacing w:val="40"/>
          <w:vertAlign w:val="baseline"/>
        </w:rPr>
        <w:t> </w:t>
      </w:r>
      <w:r>
        <w:rPr>
          <w:vertAlign w:val="baseline"/>
        </w:rPr>
        <w:t>contractor</w:t>
      </w:r>
      <w:r>
        <w:rPr>
          <w:spacing w:val="40"/>
          <w:vertAlign w:val="baseline"/>
        </w:rPr>
        <w:t> </w:t>
      </w:r>
      <w:r>
        <w:rPr>
          <w:vertAlign w:val="baseline"/>
        </w:rPr>
        <w:t>if</w:t>
      </w:r>
      <w:r>
        <w:rPr>
          <w:spacing w:val="40"/>
          <w:vertAlign w:val="baseline"/>
        </w:rPr>
        <w:t> </w:t>
      </w:r>
      <w:r>
        <w:rPr>
          <w:vertAlign w:val="baseline"/>
        </w:rPr>
        <w:t>it</w:t>
      </w:r>
      <w:r>
        <w:rPr>
          <w:spacing w:val="40"/>
          <w:vertAlign w:val="baseline"/>
        </w:rPr>
        <w:t> </w:t>
      </w:r>
      <w:r>
        <w:rPr>
          <w:vertAlign w:val="baseline"/>
        </w:rPr>
        <w:t>is</w:t>
      </w:r>
      <w:r>
        <w:rPr>
          <w:spacing w:val="40"/>
          <w:vertAlign w:val="baseline"/>
        </w:rPr>
        <w:t> </w:t>
      </w:r>
      <w:r>
        <w:rPr>
          <w:vertAlign w:val="baseline"/>
        </w:rPr>
        <w:t>of</w:t>
      </w:r>
      <w:r>
        <w:rPr>
          <w:spacing w:val="40"/>
          <w:vertAlign w:val="baseline"/>
        </w:rPr>
        <w:t> </w:t>
      </w:r>
      <w:r>
        <w:rPr>
          <w:vertAlign w:val="baseline"/>
        </w:rPr>
        <w:t>the opinion that it is that employer or independent contractor that caused the injury or death.</w:t>
      </w:r>
      <w:r>
        <w:rPr>
          <w:vertAlign w:val="superscript"/>
        </w:rPr>
        <w:t>355</w:t>
      </w:r>
    </w:p>
    <w:p>
      <w:pPr>
        <w:pStyle w:val="BodyText"/>
        <w:spacing w:before="16"/>
      </w:pPr>
    </w:p>
    <w:p>
      <w:pPr>
        <w:pStyle w:val="Heading3"/>
        <w:numPr>
          <w:ilvl w:val="2"/>
          <w:numId w:val="13"/>
        </w:numPr>
        <w:tabs>
          <w:tab w:pos="841" w:val="left" w:leader="none"/>
        </w:tabs>
        <w:spacing w:line="240" w:lineRule="auto" w:before="0" w:after="0"/>
        <w:ind w:left="841" w:right="0" w:hanging="654"/>
        <w:jc w:val="left"/>
      </w:pPr>
      <w:bookmarkStart w:name="_TOC_250004" w:id="26"/>
      <w:r>
        <w:rPr/>
        <w:t>Right</w:t>
      </w:r>
      <w:r>
        <w:rPr>
          <w:spacing w:val="8"/>
        </w:rPr>
        <w:t> </w:t>
      </w:r>
      <w:r>
        <w:rPr/>
        <w:t>of</w:t>
      </w:r>
      <w:r>
        <w:rPr>
          <w:spacing w:val="6"/>
        </w:rPr>
        <w:t> </w:t>
      </w:r>
      <w:bookmarkEnd w:id="26"/>
      <w:r>
        <w:rPr>
          <w:spacing w:val="-2"/>
        </w:rPr>
        <w:t>Appeal</w:t>
      </w:r>
    </w:p>
    <w:p>
      <w:pPr>
        <w:pStyle w:val="BodyText"/>
        <w:spacing w:before="11"/>
        <w:rPr>
          <w:b/>
        </w:rPr>
      </w:pPr>
    </w:p>
    <w:p>
      <w:pPr>
        <w:pStyle w:val="BodyText"/>
        <w:ind w:left="864"/>
        <w:jc w:val="both"/>
      </w:pPr>
      <w:r>
        <w:rPr/>
        <w:t>Anybody</w:t>
      </w:r>
      <w:r>
        <w:rPr>
          <w:spacing w:val="7"/>
        </w:rPr>
        <w:t> </w:t>
      </w:r>
      <w:r>
        <w:rPr/>
        <w:t>that</w:t>
      </w:r>
      <w:r>
        <w:rPr>
          <w:spacing w:val="11"/>
        </w:rPr>
        <w:t> </w:t>
      </w:r>
      <w:r>
        <w:rPr/>
        <w:t>is</w:t>
      </w:r>
      <w:r>
        <w:rPr>
          <w:spacing w:val="10"/>
        </w:rPr>
        <w:t> </w:t>
      </w:r>
      <w:r>
        <w:rPr/>
        <w:t>aggrieved</w:t>
      </w:r>
      <w:r>
        <w:rPr>
          <w:spacing w:val="8"/>
        </w:rPr>
        <w:t> </w:t>
      </w:r>
      <w:r>
        <w:rPr/>
        <w:t>by</w:t>
      </w:r>
      <w:r>
        <w:rPr>
          <w:spacing w:val="17"/>
        </w:rPr>
        <w:t> </w:t>
      </w:r>
      <w:r>
        <w:rPr/>
        <w:t>the</w:t>
      </w:r>
      <w:r>
        <w:rPr>
          <w:spacing w:val="5"/>
        </w:rPr>
        <w:t> </w:t>
      </w:r>
      <w:r>
        <w:rPr/>
        <w:t>decision</w:t>
      </w:r>
      <w:r>
        <w:rPr>
          <w:spacing w:val="8"/>
        </w:rPr>
        <w:t> </w:t>
      </w:r>
      <w:r>
        <w:rPr/>
        <w:t>of</w:t>
      </w:r>
      <w:r>
        <w:rPr>
          <w:spacing w:val="10"/>
        </w:rPr>
        <w:t> </w:t>
      </w:r>
      <w:r>
        <w:rPr/>
        <w:t>the</w:t>
      </w:r>
      <w:r>
        <w:rPr>
          <w:spacing w:val="5"/>
        </w:rPr>
        <w:t> </w:t>
      </w:r>
      <w:r>
        <w:rPr/>
        <w:t>Board</w:t>
      </w:r>
      <w:r>
        <w:rPr>
          <w:spacing w:val="9"/>
        </w:rPr>
        <w:t> </w:t>
      </w:r>
      <w:r>
        <w:rPr/>
        <w:t>in</w:t>
      </w:r>
      <w:r>
        <w:rPr>
          <w:spacing w:val="7"/>
        </w:rPr>
        <w:t> </w:t>
      </w:r>
      <w:r>
        <w:rPr/>
        <w:t>the</w:t>
      </w:r>
      <w:r>
        <w:rPr>
          <w:spacing w:val="5"/>
        </w:rPr>
        <w:t> </w:t>
      </w:r>
      <w:r>
        <w:rPr/>
        <w:t>first</w:t>
      </w:r>
      <w:r>
        <w:rPr>
          <w:spacing w:val="8"/>
        </w:rPr>
        <w:t> </w:t>
      </w:r>
      <w:r>
        <w:rPr>
          <w:spacing w:val="-2"/>
        </w:rPr>
        <w:t>instance</w:t>
      </w:r>
    </w:p>
    <w:p>
      <w:pPr>
        <w:pStyle w:val="BodyText"/>
        <w:spacing w:before="11"/>
      </w:pPr>
    </w:p>
    <w:p>
      <w:pPr>
        <w:pStyle w:val="BodyText"/>
        <w:spacing w:line="491" w:lineRule="auto"/>
        <w:ind w:left="864" w:right="566"/>
        <w:jc w:val="both"/>
      </w:pPr>
      <w:r>
        <w:rPr/>
        <w:t>,</w:t>
      </w:r>
      <w:r>
        <w:rPr>
          <w:spacing w:val="40"/>
        </w:rPr>
        <w:t> </w:t>
      </w:r>
      <w:r>
        <w:rPr/>
        <w:t>may</w:t>
      </w:r>
      <w:r>
        <w:rPr>
          <w:spacing w:val="40"/>
        </w:rPr>
        <w:t> </w:t>
      </w:r>
      <w:r>
        <w:rPr/>
        <w:t>appeal</w:t>
      </w:r>
      <w:r>
        <w:rPr>
          <w:spacing w:val="40"/>
        </w:rPr>
        <w:t> </w:t>
      </w:r>
      <w:r>
        <w:rPr/>
        <w:t>to</w:t>
      </w:r>
      <w:r>
        <w:rPr>
          <w:spacing w:val="40"/>
        </w:rPr>
        <w:t> </w:t>
      </w:r>
      <w:r>
        <w:rPr/>
        <w:t>the</w:t>
      </w:r>
      <w:r>
        <w:rPr>
          <w:spacing w:val="40"/>
        </w:rPr>
        <w:t> </w:t>
      </w:r>
      <w:r>
        <w:rPr/>
        <w:t>Board</w:t>
      </w:r>
      <w:r>
        <w:rPr>
          <w:spacing w:val="40"/>
        </w:rPr>
        <w:t> </w:t>
      </w:r>
      <w:r>
        <w:rPr/>
        <w:t>for</w:t>
      </w:r>
      <w:r>
        <w:rPr>
          <w:spacing w:val="40"/>
        </w:rPr>
        <w:t> </w:t>
      </w:r>
      <w:r>
        <w:rPr/>
        <w:t>a</w:t>
      </w:r>
      <w:r>
        <w:rPr>
          <w:spacing w:val="40"/>
        </w:rPr>
        <w:t> </w:t>
      </w:r>
      <w:r>
        <w:rPr/>
        <w:t>review</w:t>
      </w:r>
      <w:r>
        <w:rPr>
          <w:spacing w:val="40"/>
        </w:rPr>
        <w:t> </w:t>
      </w:r>
      <w:r>
        <w:rPr/>
        <w:t>of</w:t>
      </w:r>
      <w:r>
        <w:rPr>
          <w:spacing w:val="40"/>
        </w:rPr>
        <w:t> </w:t>
      </w:r>
      <w:r>
        <w:rPr/>
        <w:t>such</w:t>
      </w:r>
      <w:r>
        <w:rPr>
          <w:spacing w:val="40"/>
        </w:rPr>
        <w:t> </w:t>
      </w:r>
      <w:r>
        <w:rPr/>
        <w:t>decision.</w:t>
      </w:r>
      <w:r>
        <w:rPr>
          <w:vertAlign w:val="superscript"/>
        </w:rPr>
        <w:t>356</w:t>
      </w:r>
      <w:r>
        <w:rPr>
          <w:spacing w:val="80"/>
          <w:w w:val="150"/>
          <w:vertAlign w:val="baseline"/>
        </w:rPr>
        <w:t> </w:t>
      </w:r>
      <w:r>
        <w:rPr>
          <w:vertAlign w:val="baseline"/>
        </w:rPr>
        <w:t>If</w:t>
      </w:r>
      <w:r>
        <w:rPr>
          <w:spacing w:val="40"/>
          <w:vertAlign w:val="baseline"/>
        </w:rPr>
        <w:t> </w:t>
      </w:r>
      <w:r>
        <w:rPr>
          <w:vertAlign w:val="baseline"/>
        </w:rPr>
        <w:t>the aggrieved employee or dependant jumps this stage and proceeds to the court,</w:t>
      </w:r>
      <w:r>
        <w:rPr>
          <w:spacing w:val="28"/>
          <w:vertAlign w:val="baseline"/>
        </w:rPr>
        <w:t> </w:t>
      </w:r>
      <w:r>
        <w:rPr>
          <w:vertAlign w:val="baseline"/>
        </w:rPr>
        <w:t>the</w:t>
      </w:r>
      <w:r>
        <w:rPr>
          <w:spacing w:val="24"/>
          <w:vertAlign w:val="baseline"/>
        </w:rPr>
        <w:t> </w:t>
      </w:r>
      <w:r>
        <w:rPr>
          <w:vertAlign w:val="baseline"/>
        </w:rPr>
        <w:t>court</w:t>
      </w:r>
      <w:r>
        <w:rPr>
          <w:spacing w:val="26"/>
          <w:vertAlign w:val="baseline"/>
        </w:rPr>
        <w:t> </w:t>
      </w:r>
      <w:r>
        <w:rPr>
          <w:vertAlign w:val="baseline"/>
        </w:rPr>
        <w:t>will</w:t>
      </w:r>
      <w:r>
        <w:rPr>
          <w:spacing w:val="27"/>
          <w:vertAlign w:val="baseline"/>
        </w:rPr>
        <w:t> </w:t>
      </w:r>
      <w:r>
        <w:rPr>
          <w:vertAlign w:val="baseline"/>
        </w:rPr>
        <w:t>not</w:t>
      </w:r>
      <w:r>
        <w:rPr>
          <w:spacing w:val="21"/>
          <w:vertAlign w:val="baseline"/>
        </w:rPr>
        <w:t> </w:t>
      </w:r>
      <w:r>
        <w:rPr>
          <w:vertAlign w:val="baseline"/>
        </w:rPr>
        <w:t>have</w:t>
      </w:r>
      <w:r>
        <w:rPr>
          <w:spacing w:val="29"/>
          <w:vertAlign w:val="baseline"/>
        </w:rPr>
        <w:t> </w:t>
      </w:r>
      <w:r>
        <w:rPr>
          <w:vertAlign w:val="baseline"/>
        </w:rPr>
        <w:t>jurisdiction.</w:t>
      </w:r>
      <w:r>
        <w:rPr>
          <w:spacing w:val="24"/>
          <w:vertAlign w:val="baseline"/>
        </w:rPr>
        <w:t> </w:t>
      </w:r>
      <w:r>
        <w:rPr>
          <w:vertAlign w:val="baseline"/>
        </w:rPr>
        <w:t>It</w:t>
      </w:r>
      <w:r>
        <w:rPr>
          <w:spacing w:val="27"/>
          <w:vertAlign w:val="baseline"/>
        </w:rPr>
        <w:t> </w:t>
      </w:r>
      <w:r>
        <w:rPr>
          <w:vertAlign w:val="baseline"/>
        </w:rPr>
        <w:t>is</w:t>
      </w:r>
      <w:r>
        <w:rPr>
          <w:spacing w:val="28"/>
          <w:vertAlign w:val="baseline"/>
        </w:rPr>
        <w:t> </w:t>
      </w:r>
      <w:r>
        <w:rPr>
          <w:vertAlign w:val="baseline"/>
        </w:rPr>
        <w:t>the</w:t>
      </w:r>
      <w:r>
        <w:rPr>
          <w:spacing w:val="27"/>
          <w:vertAlign w:val="baseline"/>
        </w:rPr>
        <w:t> </w:t>
      </w:r>
      <w:r>
        <w:rPr>
          <w:vertAlign w:val="baseline"/>
        </w:rPr>
        <w:t>view</w:t>
      </w:r>
      <w:r>
        <w:rPr>
          <w:spacing w:val="26"/>
          <w:vertAlign w:val="baseline"/>
        </w:rPr>
        <w:t> </w:t>
      </w:r>
      <w:r>
        <w:rPr>
          <w:vertAlign w:val="baseline"/>
        </w:rPr>
        <w:t>of</w:t>
      </w:r>
      <w:r>
        <w:rPr>
          <w:spacing w:val="25"/>
          <w:vertAlign w:val="baseline"/>
        </w:rPr>
        <w:t> </w:t>
      </w:r>
      <w:r>
        <w:rPr>
          <w:vertAlign w:val="baseline"/>
        </w:rPr>
        <w:t>the</w:t>
      </w:r>
      <w:r>
        <w:rPr>
          <w:spacing w:val="24"/>
          <w:vertAlign w:val="baseline"/>
        </w:rPr>
        <w:t> </w:t>
      </w:r>
      <w:r>
        <w:rPr>
          <w:spacing w:val="-2"/>
          <w:vertAlign w:val="baseline"/>
        </w:rPr>
        <w:t>researcher</w:t>
      </w:r>
    </w:p>
    <w:p>
      <w:pPr>
        <w:pStyle w:val="BodyText"/>
        <w:spacing w:before="3"/>
        <w:rPr>
          <w:sz w:val="9"/>
        </w:rPr>
      </w:pPr>
      <w:r>
        <w:rPr/>
        <mc:AlternateContent>
          <mc:Choice Requires="wps">
            <w:drawing>
              <wp:anchor distT="0" distB="0" distL="0" distR="0" allowOverlap="1" layoutInCell="1" locked="0" behindDoc="1" simplePos="0" relativeHeight="487648768">
                <wp:simplePos x="0" y="0"/>
                <wp:positionH relativeFrom="page">
                  <wp:posOffset>1185672</wp:posOffset>
                </wp:positionH>
                <wp:positionV relativeFrom="paragraph">
                  <wp:posOffset>86489</wp:posOffset>
                </wp:positionV>
                <wp:extent cx="1719580" cy="6350"/>
                <wp:effectExtent l="0" t="0" r="0" b="0"/>
                <wp:wrapTopAndBottom/>
                <wp:docPr id="142" name="Graphic 142"/>
                <wp:cNvGraphicFramePr>
                  <a:graphicFrameLocks/>
                </wp:cNvGraphicFramePr>
                <a:graphic>
                  <a:graphicData uri="http://schemas.microsoft.com/office/word/2010/wordprocessingShape">
                    <wps:wsp>
                      <wps:cNvPr id="142" name="Graphic 142"/>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6.810215pt;width:135.360pt;height:.48pt;mso-position-horizontal-relative:page;mso-position-vertical-relative:paragraph;z-index:-15667712;mso-wrap-distance-left:0;mso-wrap-distance-right:0" id="docshape142" filled="true" fillcolor="#000000" stroked="false">
                <v:fill type="solid"/>
                <w10:wrap type="topAndBottom"/>
              </v:rect>
            </w:pict>
          </mc:Fallback>
        </mc:AlternateContent>
      </w:r>
    </w:p>
    <w:p>
      <w:pPr>
        <w:spacing w:before="96"/>
        <w:ind w:left="187" w:right="0" w:firstLine="0"/>
        <w:jc w:val="left"/>
        <w:rPr>
          <w:rFonts w:ascii="Times New Roman"/>
          <w:i/>
          <w:sz w:val="19"/>
        </w:rPr>
      </w:pPr>
      <w:r>
        <w:rPr>
          <w:rFonts w:ascii="Times New Roman"/>
          <w:sz w:val="19"/>
          <w:vertAlign w:val="superscript"/>
        </w:rPr>
        <w:t>350</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12(6)</w:t>
      </w:r>
      <w:r>
        <w:rPr>
          <w:rFonts w:ascii="Times New Roman"/>
          <w:spacing w:val="-8"/>
          <w:sz w:val="19"/>
          <w:vertAlign w:val="baseline"/>
        </w:rPr>
        <w:t> </w:t>
      </w:r>
      <w:r>
        <w:rPr>
          <w:rFonts w:ascii="Times New Roman"/>
          <w:i/>
          <w:spacing w:val="-4"/>
          <w:sz w:val="19"/>
          <w:vertAlign w:val="baseline"/>
        </w:rPr>
        <w:t>ibid</w:t>
      </w:r>
    </w:p>
    <w:p>
      <w:pPr>
        <w:spacing w:line="217" w:lineRule="exact" w:before="2"/>
        <w:ind w:left="187" w:right="0" w:firstLine="0"/>
        <w:jc w:val="left"/>
        <w:rPr>
          <w:rFonts w:ascii="Times New Roman"/>
          <w:i/>
          <w:sz w:val="19"/>
        </w:rPr>
      </w:pPr>
      <w:r>
        <w:rPr>
          <w:rFonts w:ascii="Times New Roman"/>
          <w:sz w:val="19"/>
          <w:vertAlign w:val="superscript"/>
        </w:rPr>
        <w:t>351</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352</w:t>
      </w:r>
      <w:r>
        <w:rPr>
          <w:rFonts w:ascii="Times New Roman"/>
          <w:spacing w:val="11"/>
          <w:sz w:val="19"/>
          <w:vertAlign w:val="baseline"/>
        </w:rPr>
        <w:t> </w:t>
      </w:r>
      <w:r>
        <w:rPr>
          <w:rFonts w:ascii="Times New Roman"/>
          <w:i/>
          <w:spacing w:val="-4"/>
          <w:sz w:val="19"/>
          <w:vertAlign w:val="baseline"/>
        </w:rPr>
        <w:t>Ibid</w:t>
      </w:r>
    </w:p>
    <w:p>
      <w:pPr>
        <w:spacing w:line="214" w:lineRule="exact" w:before="0"/>
        <w:ind w:left="187" w:right="0" w:firstLine="0"/>
        <w:jc w:val="left"/>
        <w:rPr>
          <w:rFonts w:ascii="Times New Roman"/>
          <w:i/>
          <w:sz w:val="19"/>
        </w:rPr>
      </w:pPr>
      <w:r>
        <w:rPr>
          <w:rFonts w:ascii="Times New Roman"/>
          <w:sz w:val="19"/>
          <w:vertAlign w:val="superscript"/>
        </w:rPr>
        <w:t>353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12(7)</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354</w:t>
      </w:r>
      <w:r>
        <w:rPr>
          <w:rFonts w:ascii="Times New Roman"/>
          <w:spacing w:val="-2"/>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w:t>
      </w:r>
      <w:r>
        <w:rPr>
          <w:rFonts w:ascii="Times New Roman"/>
          <w:spacing w:val="-2"/>
          <w:sz w:val="19"/>
          <w:vertAlign w:val="baseline"/>
        </w:rPr>
        <w:t> </w:t>
      </w:r>
      <w:r>
        <w:rPr>
          <w:rFonts w:ascii="Times New Roman"/>
          <w:sz w:val="19"/>
          <w:vertAlign w:val="baseline"/>
        </w:rPr>
        <w:t>(8)</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355</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12(9)</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356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55(1)</w:t>
      </w:r>
      <w:r>
        <w:rPr>
          <w:rFonts w:ascii="Times New Roman"/>
          <w:spacing w:val="-8"/>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58"/>
        <w:jc w:val="both"/>
      </w:pPr>
      <w:r>
        <w:rPr/>
        <w:t>that appealing</w:t>
      </w:r>
      <w:r>
        <w:rPr>
          <w:spacing w:val="25"/>
        </w:rPr>
        <w:t> </w:t>
      </w:r>
      <w:r>
        <w:rPr/>
        <w:t>to</w:t>
      </w:r>
      <w:r>
        <w:rPr>
          <w:spacing w:val="22"/>
        </w:rPr>
        <w:t> </w:t>
      </w:r>
      <w:r>
        <w:rPr/>
        <w:t>the</w:t>
      </w:r>
      <w:r>
        <w:rPr>
          <w:spacing w:val="26"/>
        </w:rPr>
        <w:t> </w:t>
      </w:r>
      <w:r>
        <w:rPr/>
        <w:t>same</w:t>
      </w:r>
      <w:r>
        <w:rPr>
          <w:spacing w:val="22"/>
        </w:rPr>
        <w:t> </w:t>
      </w:r>
      <w:r>
        <w:rPr/>
        <w:t>body</w:t>
      </w:r>
      <w:r>
        <w:rPr>
          <w:spacing w:val="23"/>
        </w:rPr>
        <w:t> </w:t>
      </w:r>
      <w:r>
        <w:rPr/>
        <w:t>against</w:t>
      </w:r>
      <w:r>
        <w:rPr>
          <w:spacing w:val="23"/>
        </w:rPr>
        <w:t> </w:t>
      </w:r>
      <w:r>
        <w:rPr/>
        <w:t>whose</w:t>
      </w:r>
      <w:r>
        <w:rPr>
          <w:spacing w:val="22"/>
        </w:rPr>
        <w:t> </w:t>
      </w:r>
      <w:r>
        <w:rPr/>
        <w:t>decision</w:t>
      </w:r>
      <w:r>
        <w:rPr>
          <w:spacing w:val="30"/>
        </w:rPr>
        <w:t> </w:t>
      </w:r>
      <w:r>
        <w:rPr/>
        <w:t>one</w:t>
      </w:r>
      <w:r>
        <w:rPr>
          <w:spacing w:val="22"/>
        </w:rPr>
        <w:t> </w:t>
      </w:r>
      <w:r>
        <w:rPr/>
        <w:t>is</w:t>
      </w:r>
      <w:r>
        <w:rPr>
          <w:spacing w:val="26"/>
        </w:rPr>
        <w:t> </w:t>
      </w:r>
      <w:r>
        <w:rPr/>
        <w:t>aggrieved, is</w:t>
      </w:r>
      <w:r>
        <w:rPr>
          <w:spacing w:val="38"/>
        </w:rPr>
        <w:t> </w:t>
      </w:r>
      <w:r>
        <w:rPr/>
        <w:t>improper.</w:t>
      </w:r>
      <w:r>
        <w:rPr>
          <w:spacing w:val="38"/>
        </w:rPr>
        <w:t> </w:t>
      </w:r>
      <w:r>
        <w:rPr/>
        <w:t>This</w:t>
      </w:r>
      <w:r>
        <w:rPr>
          <w:spacing w:val="34"/>
        </w:rPr>
        <w:t> </w:t>
      </w:r>
      <w:r>
        <w:rPr/>
        <w:t>is</w:t>
      </w:r>
      <w:r>
        <w:rPr>
          <w:spacing w:val="38"/>
        </w:rPr>
        <w:t> </w:t>
      </w:r>
      <w:r>
        <w:rPr/>
        <w:t>because,</w:t>
      </w:r>
      <w:r>
        <w:rPr>
          <w:spacing w:val="38"/>
        </w:rPr>
        <w:t> </w:t>
      </w:r>
      <w:r>
        <w:rPr/>
        <w:t>the</w:t>
      </w:r>
      <w:r>
        <w:rPr>
          <w:spacing w:val="34"/>
        </w:rPr>
        <w:t> </w:t>
      </w:r>
      <w:r>
        <w:rPr/>
        <w:t>Board</w:t>
      </w:r>
      <w:r>
        <w:rPr>
          <w:spacing w:val="37"/>
        </w:rPr>
        <w:t> </w:t>
      </w:r>
      <w:r>
        <w:rPr/>
        <w:t>knowing</w:t>
      </w:r>
      <w:r>
        <w:rPr>
          <w:spacing w:val="37"/>
        </w:rPr>
        <w:t> </w:t>
      </w:r>
      <w:r>
        <w:rPr/>
        <w:t>that</w:t>
      </w:r>
      <w:r>
        <w:rPr>
          <w:spacing w:val="31"/>
        </w:rPr>
        <w:t> </w:t>
      </w:r>
      <w:r>
        <w:rPr/>
        <w:t>any</w:t>
      </w:r>
      <w:r>
        <w:rPr>
          <w:spacing w:val="36"/>
        </w:rPr>
        <w:t> </w:t>
      </w:r>
      <w:r>
        <w:rPr/>
        <w:t>grievance</w:t>
      </w:r>
      <w:r>
        <w:rPr>
          <w:spacing w:val="34"/>
        </w:rPr>
        <w:t> </w:t>
      </w:r>
      <w:r>
        <w:rPr/>
        <w:t>from its first decision will still be brought before it, will be willing to be reckless with its first decision to the disadvantage of the applicants by not giving them the fair amounts of money that may be claimed as compensation. Where however, the law gives another different body this responsibility the Board will be very careful in arriving</w:t>
      </w:r>
      <w:r>
        <w:rPr>
          <w:spacing w:val="40"/>
        </w:rPr>
        <w:t> </w:t>
      </w:r>
      <w:r>
        <w:rPr/>
        <w:t>at its first decision for the simple</w:t>
      </w:r>
      <w:r>
        <w:rPr>
          <w:spacing w:val="40"/>
        </w:rPr>
        <w:t> </w:t>
      </w:r>
      <w:r>
        <w:rPr/>
        <w:t>reason that it will not want its faulty decisions to be scrutinised by a</w:t>
      </w:r>
      <w:r>
        <w:rPr>
          <w:spacing w:val="40"/>
        </w:rPr>
        <w:t> </w:t>
      </w:r>
      <w:r>
        <w:rPr/>
        <w:t>different body and found wanting.</w:t>
      </w:r>
    </w:p>
    <w:p>
      <w:pPr>
        <w:pStyle w:val="BodyText"/>
        <w:spacing w:before="10"/>
      </w:pPr>
    </w:p>
    <w:p>
      <w:pPr>
        <w:pStyle w:val="BodyText"/>
        <w:spacing w:line="489" w:lineRule="auto" w:before="1"/>
        <w:ind w:left="864" w:right="563"/>
        <w:jc w:val="both"/>
      </w:pPr>
      <w:r>
        <w:rPr/>
        <w:t>It is the requirement of the law that such appeal must be in writing within 180 days of the date of the decision, otherwise the person shall lose his or her right to appeal</w:t>
      </w:r>
      <w:r>
        <w:rPr>
          <w:spacing w:val="23"/>
        </w:rPr>
        <w:t> </w:t>
      </w:r>
      <w:r>
        <w:rPr/>
        <w:t>against the decision.</w:t>
      </w:r>
      <w:r>
        <w:rPr>
          <w:vertAlign w:val="superscript"/>
        </w:rPr>
        <w:t>357</w:t>
      </w:r>
      <w:r>
        <w:rPr>
          <w:vertAlign w:val="baseline"/>
        </w:rPr>
        <w:t>This appeal</w:t>
      </w:r>
      <w:r>
        <w:rPr>
          <w:spacing w:val="23"/>
          <w:vertAlign w:val="baseline"/>
        </w:rPr>
        <w:t> </w:t>
      </w:r>
      <w:r>
        <w:rPr>
          <w:vertAlign w:val="baseline"/>
        </w:rPr>
        <w:t>shall</w:t>
      </w:r>
      <w:r>
        <w:rPr>
          <w:spacing w:val="29"/>
          <w:vertAlign w:val="baseline"/>
        </w:rPr>
        <w:t> </w:t>
      </w:r>
      <w:r>
        <w:rPr>
          <w:vertAlign w:val="baseline"/>
        </w:rPr>
        <w:t>be disposed</w:t>
      </w:r>
      <w:r>
        <w:rPr>
          <w:spacing w:val="24"/>
          <w:vertAlign w:val="baseline"/>
        </w:rPr>
        <w:t> </w:t>
      </w:r>
      <w:r>
        <w:rPr>
          <w:vertAlign w:val="baseline"/>
        </w:rPr>
        <w:t>of in a manner determined by the Board within a period of 180 days.</w:t>
      </w:r>
      <w:r>
        <w:rPr>
          <w:vertAlign w:val="superscript"/>
        </w:rPr>
        <w:t>358</w:t>
      </w:r>
      <w:r>
        <w:rPr>
          <w:vertAlign w:val="baseline"/>
        </w:rPr>
        <w:t> It is</w:t>
      </w:r>
      <w:r>
        <w:rPr>
          <w:spacing w:val="40"/>
          <w:vertAlign w:val="baseline"/>
        </w:rPr>
        <w:t> </w:t>
      </w:r>
      <w:r>
        <w:rPr>
          <w:vertAlign w:val="baseline"/>
        </w:rPr>
        <w:t>the</w:t>
      </w:r>
      <w:r>
        <w:rPr>
          <w:spacing w:val="40"/>
          <w:vertAlign w:val="baseline"/>
        </w:rPr>
        <w:t> </w:t>
      </w:r>
      <w:r>
        <w:rPr>
          <w:vertAlign w:val="baseline"/>
        </w:rPr>
        <w:t>humble</w:t>
      </w:r>
      <w:r>
        <w:rPr>
          <w:spacing w:val="40"/>
          <w:vertAlign w:val="baseline"/>
        </w:rPr>
        <w:t> </w:t>
      </w:r>
      <w:r>
        <w:rPr>
          <w:vertAlign w:val="baseline"/>
        </w:rPr>
        <w:t>view</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researcher</w:t>
      </w:r>
      <w:r>
        <w:rPr>
          <w:spacing w:val="40"/>
          <w:vertAlign w:val="baseline"/>
        </w:rPr>
        <w:t> </w:t>
      </w:r>
      <w:r>
        <w:rPr>
          <w:vertAlign w:val="baseline"/>
        </w:rPr>
        <w:t>that</w:t>
      </w:r>
      <w:r>
        <w:rPr>
          <w:spacing w:val="39"/>
          <w:vertAlign w:val="baseline"/>
        </w:rPr>
        <w:t> </w:t>
      </w:r>
      <w:r>
        <w:rPr>
          <w:vertAlign w:val="baseline"/>
        </w:rPr>
        <w:t>total</w:t>
      </w:r>
      <w:r>
        <w:rPr>
          <w:spacing w:val="40"/>
          <w:vertAlign w:val="baseline"/>
        </w:rPr>
        <w:t> </w:t>
      </w:r>
      <w:r>
        <w:rPr>
          <w:vertAlign w:val="baseline"/>
        </w:rPr>
        <w:t>foreclosure</w:t>
      </w:r>
      <w:r>
        <w:rPr>
          <w:spacing w:val="40"/>
          <w:vertAlign w:val="baseline"/>
        </w:rPr>
        <w:t> </w:t>
      </w:r>
      <w:r>
        <w:rPr>
          <w:vertAlign w:val="baseline"/>
        </w:rPr>
        <w:t>from</w:t>
      </w:r>
      <w:r>
        <w:rPr>
          <w:spacing w:val="40"/>
          <w:vertAlign w:val="baseline"/>
        </w:rPr>
        <w:t> </w:t>
      </w:r>
      <w:r>
        <w:rPr>
          <w:vertAlign w:val="baseline"/>
        </w:rPr>
        <w:t>appeal</w:t>
      </w:r>
      <w:r>
        <w:rPr>
          <w:spacing w:val="40"/>
          <w:vertAlign w:val="baseline"/>
        </w:rPr>
        <w:t> </w:t>
      </w:r>
      <w:r>
        <w:rPr>
          <w:vertAlign w:val="baseline"/>
        </w:rPr>
        <w:t>on the ground that it is not brought within 180 days may work hardship. The law should be that where one is not able</w:t>
      </w:r>
      <w:r>
        <w:rPr>
          <w:spacing w:val="40"/>
          <w:vertAlign w:val="baseline"/>
        </w:rPr>
        <w:t> </w:t>
      </w:r>
      <w:r>
        <w:rPr>
          <w:vertAlign w:val="baseline"/>
        </w:rPr>
        <w:t>to bring the appeal within 180</w:t>
      </w:r>
      <w:r>
        <w:rPr>
          <w:spacing w:val="40"/>
          <w:vertAlign w:val="baseline"/>
        </w:rPr>
        <w:t> </w:t>
      </w:r>
      <w:r>
        <w:rPr>
          <w:vertAlign w:val="baseline"/>
        </w:rPr>
        <w:t>days but shows convincing and justifiable reasons why it is not so brought within time, his appeal should be heard.</w:t>
      </w:r>
    </w:p>
    <w:p>
      <w:pPr>
        <w:pStyle w:val="BodyText"/>
        <w:spacing w:line="489" w:lineRule="auto" w:before="258"/>
        <w:ind w:left="864" w:right="567"/>
        <w:jc w:val="both"/>
      </w:pPr>
      <w:r>
        <w:rPr/>
        <mc:AlternateContent>
          <mc:Choice Requires="wps">
            <w:drawing>
              <wp:anchor distT="0" distB="0" distL="0" distR="0" allowOverlap="1" layoutInCell="1" locked="0" behindDoc="1" simplePos="0" relativeHeight="486213120">
                <wp:simplePos x="0" y="0"/>
                <wp:positionH relativeFrom="page">
                  <wp:posOffset>1185672</wp:posOffset>
                </wp:positionH>
                <wp:positionV relativeFrom="paragraph">
                  <wp:posOffset>1188770</wp:posOffset>
                </wp:positionV>
                <wp:extent cx="1719580" cy="6350"/>
                <wp:effectExtent l="0" t="0" r="0" b="0"/>
                <wp:wrapNone/>
                <wp:docPr id="143" name="Graphic 143"/>
                <wp:cNvGraphicFramePr>
                  <a:graphicFrameLocks/>
                </wp:cNvGraphicFramePr>
                <a:graphic>
                  <a:graphicData uri="http://schemas.microsoft.com/office/word/2010/wordprocessingShape">
                    <wps:wsp>
                      <wps:cNvPr id="143" name="Graphic 14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93.603981pt;width:135.360pt;height:.48pt;mso-position-horizontal-relative:page;mso-position-vertical-relative:paragraph;z-index:-17103360" id="docshape143" filled="true" fillcolor="#000000" stroked="false">
                <v:fill type="solid"/>
                <w10:wrap type="none"/>
              </v:rect>
            </w:pict>
          </mc:Fallback>
        </mc:AlternateContent>
      </w:r>
      <w:r>
        <w:rPr/>
        <w:t>The</w:t>
      </w:r>
      <w:r>
        <w:rPr>
          <w:spacing w:val="40"/>
        </w:rPr>
        <w:t> </w:t>
      </w:r>
      <w:r>
        <w:rPr/>
        <w:t>employee</w:t>
      </w:r>
      <w:r>
        <w:rPr>
          <w:spacing w:val="40"/>
        </w:rPr>
        <w:t> </w:t>
      </w:r>
      <w:r>
        <w:rPr/>
        <w:t>or</w:t>
      </w:r>
      <w:r>
        <w:rPr>
          <w:spacing w:val="40"/>
        </w:rPr>
        <w:t> </w:t>
      </w:r>
      <w:r>
        <w:rPr/>
        <w:t>his</w:t>
      </w:r>
      <w:r>
        <w:rPr>
          <w:spacing w:val="40"/>
        </w:rPr>
        <w:t> </w:t>
      </w:r>
      <w:r>
        <w:rPr/>
        <w:t>dependants</w:t>
      </w:r>
      <w:r>
        <w:rPr>
          <w:spacing w:val="40"/>
        </w:rPr>
        <w:t> </w:t>
      </w:r>
      <w:r>
        <w:rPr/>
        <w:t>having</w:t>
      </w:r>
      <w:r>
        <w:rPr>
          <w:spacing w:val="40"/>
        </w:rPr>
        <w:t> </w:t>
      </w:r>
      <w:r>
        <w:rPr/>
        <w:t>appealed</w:t>
      </w:r>
      <w:r>
        <w:rPr>
          <w:spacing w:val="40"/>
        </w:rPr>
        <w:t> </w:t>
      </w:r>
      <w:r>
        <w:rPr/>
        <w:t>to</w:t>
      </w:r>
      <w:r>
        <w:rPr>
          <w:spacing w:val="40"/>
        </w:rPr>
        <w:t> </w:t>
      </w:r>
      <w:r>
        <w:rPr/>
        <w:t>the</w:t>
      </w:r>
      <w:r>
        <w:rPr>
          <w:spacing w:val="40"/>
        </w:rPr>
        <w:t> </w:t>
      </w:r>
      <w:r>
        <w:rPr/>
        <w:t>Board</w:t>
      </w:r>
      <w:r>
        <w:rPr>
          <w:spacing w:val="40"/>
        </w:rPr>
        <w:t> </w:t>
      </w:r>
      <w:r>
        <w:rPr/>
        <w:t>may further appeal to the National Industrial Court.</w:t>
      </w:r>
      <w:r>
        <w:rPr>
          <w:vertAlign w:val="superscript"/>
        </w:rPr>
        <w:t>359</w:t>
      </w:r>
      <w:r>
        <w:rPr>
          <w:vertAlign w:val="baseline"/>
        </w:rPr>
        <w:t> The Act does not state whether</w:t>
      </w:r>
      <w:r>
        <w:rPr>
          <w:spacing w:val="43"/>
          <w:vertAlign w:val="baseline"/>
        </w:rPr>
        <w:t> </w:t>
      </w:r>
      <w:r>
        <w:rPr>
          <w:vertAlign w:val="baseline"/>
        </w:rPr>
        <w:t>upon</w:t>
      </w:r>
      <w:r>
        <w:rPr>
          <w:spacing w:val="45"/>
          <w:vertAlign w:val="baseline"/>
        </w:rPr>
        <w:t> </w:t>
      </w:r>
      <w:r>
        <w:rPr>
          <w:vertAlign w:val="baseline"/>
        </w:rPr>
        <w:t>dissatisfaction</w:t>
      </w:r>
      <w:r>
        <w:rPr>
          <w:spacing w:val="45"/>
          <w:vertAlign w:val="baseline"/>
        </w:rPr>
        <w:t> </w:t>
      </w:r>
      <w:r>
        <w:rPr>
          <w:vertAlign w:val="baseline"/>
        </w:rPr>
        <w:t>with</w:t>
      </w:r>
      <w:r>
        <w:rPr>
          <w:spacing w:val="49"/>
          <w:vertAlign w:val="baseline"/>
        </w:rPr>
        <w:t> </w:t>
      </w:r>
      <w:r>
        <w:rPr>
          <w:vertAlign w:val="baseline"/>
        </w:rPr>
        <w:t>the</w:t>
      </w:r>
      <w:r>
        <w:rPr>
          <w:spacing w:val="47"/>
          <w:vertAlign w:val="baseline"/>
        </w:rPr>
        <w:t> </w:t>
      </w:r>
      <w:r>
        <w:rPr>
          <w:vertAlign w:val="baseline"/>
        </w:rPr>
        <w:t>decision</w:t>
      </w:r>
      <w:r>
        <w:rPr>
          <w:spacing w:val="46"/>
          <w:vertAlign w:val="baseline"/>
        </w:rPr>
        <w:t> </w:t>
      </w:r>
      <w:r>
        <w:rPr>
          <w:vertAlign w:val="baseline"/>
        </w:rPr>
        <w:t>of</w:t>
      </w:r>
      <w:r>
        <w:rPr>
          <w:spacing w:val="48"/>
          <w:vertAlign w:val="baseline"/>
        </w:rPr>
        <w:t> </w:t>
      </w:r>
      <w:r>
        <w:rPr>
          <w:vertAlign w:val="baseline"/>
        </w:rPr>
        <w:t>the</w:t>
      </w:r>
      <w:r>
        <w:rPr>
          <w:spacing w:val="42"/>
          <w:vertAlign w:val="baseline"/>
        </w:rPr>
        <w:t> </w:t>
      </w:r>
      <w:r>
        <w:rPr>
          <w:vertAlign w:val="baseline"/>
        </w:rPr>
        <w:t>National</w:t>
      </w:r>
      <w:r>
        <w:rPr>
          <w:spacing w:val="50"/>
          <w:vertAlign w:val="baseline"/>
        </w:rPr>
        <w:t> </w:t>
      </w:r>
      <w:r>
        <w:rPr>
          <w:spacing w:val="-2"/>
          <w:vertAlign w:val="baseline"/>
        </w:rPr>
        <w:t>Industrial</w:t>
      </w:r>
    </w:p>
    <w:p>
      <w:pPr>
        <w:spacing w:line="217" w:lineRule="exact" w:before="16"/>
        <w:ind w:left="187" w:right="0" w:firstLine="0"/>
        <w:jc w:val="left"/>
        <w:rPr>
          <w:rFonts w:ascii="Times New Roman"/>
          <w:i/>
          <w:sz w:val="19"/>
        </w:rPr>
      </w:pPr>
      <w:r>
        <w:rPr>
          <w:rFonts w:ascii="Times New Roman"/>
          <w:sz w:val="19"/>
          <w:vertAlign w:val="superscript"/>
        </w:rPr>
        <w:t>357</w:t>
      </w:r>
      <w:r>
        <w:rPr>
          <w:rFonts w:ascii="Times New Roman"/>
          <w:spacing w:val="-4"/>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55(2)(3)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358</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sz w:val="19"/>
        </w:rPr>
      </w:pPr>
      <w:r>
        <w:rPr>
          <w:rFonts w:ascii="Times New Roman"/>
          <w:sz w:val="19"/>
          <w:vertAlign w:val="superscript"/>
        </w:rPr>
        <w:t>359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55(4</w:t>
      </w:r>
      <w:r>
        <w:rPr>
          <w:rFonts w:ascii="Times New Roman"/>
          <w:i/>
          <w:sz w:val="19"/>
          <w:vertAlign w:val="baseline"/>
        </w:rPr>
        <w:t>)</w:t>
      </w:r>
      <w:r>
        <w:rPr>
          <w:rFonts w:ascii="Times New Roman"/>
          <w:i/>
          <w:spacing w:val="-8"/>
          <w:sz w:val="19"/>
          <w:vertAlign w:val="baseline"/>
        </w:rPr>
        <w:t> </w:t>
      </w:r>
      <w:r>
        <w:rPr>
          <w:rFonts w:ascii="Times New Roman"/>
          <w:i/>
          <w:spacing w:val="-4"/>
          <w:sz w:val="19"/>
          <w:vertAlign w:val="baseline"/>
        </w:rPr>
        <w:t>ibid</w:t>
      </w:r>
      <w:r>
        <w:rPr>
          <w:rFonts w:ascii="Times New Roman"/>
          <w:spacing w:val="-4"/>
          <w:sz w:val="19"/>
          <w:vertAlign w:val="baseline"/>
        </w:rPr>
        <w:t>.</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9"/>
      </w:pPr>
      <w:r>
        <w:rPr/>
        <w:t>Court,</w:t>
      </w:r>
      <w:r>
        <w:rPr>
          <w:spacing w:val="40"/>
        </w:rPr>
        <w:t> </w:t>
      </w:r>
      <w:r>
        <w:rPr/>
        <w:t>one</w:t>
      </w:r>
      <w:r>
        <w:rPr>
          <w:spacing w:val="40"/>
        </w:rPr>
        <w:t> </w:t>
      </w:r>
      <w:r>
        <w:rPr/>
        <w:t>can</w:t>
      </w:r>
      <w:r>
        <w:rPr>
          <w:spacing w:val="67"/>
        </w:rPr>
        <w:t> </w:t>
      </w:r>
      <w:r>
        <w:rPr/>
        <w:t>appeal</w:t>
      </w:r>
      <w:r>
        <w:rPr>
          <w:spacing w:val="40"/>
        </w:rPr>
        <w:t> </w:t>
      </w:r>
      <w:r>
        <w:rPr/>
        <w:t>to</w:t>
      </w:r>
      <w:r>
        <w:rPr>
          <w:spacing w:val="66"/>
        </w:rPr>
        <w:t> </w:t>
      </w:r>
      <w:r>
        <w:rPr/>
        <w:t>the</w:t>
      </w:r>
      <w:r>
        <w:rPr>
          <w:spacing w:val="40"/>
        </w:rPr>
        <w:t> </w:t>
      </w:r>
      <w:r>
        <w:rPr/>
        <w:t>Court</w:t>
      </w:r>
      <w:r>
        <w:rPr>
          <w:spacing w:val="40"/>
        </w:rPr>
        <w:t> </w:t>
      </w:r>
      <w:r>
        <w:rPr/>
        <w:t>of</w:t>
      </w:r>
      <w:r>
        <w:rPr>
          <w:spacing w:val="40"/>
        </w:rPr>
        <w:t> </w:t>
      </w:r>
      <w:r>
        <w:rPr/>
        <w:t>Appeal</w:t>
      </w:r>
      <w:r>
        <w:rPr>
          <w:spacing w:val="40"/>
        </w:rPr>
        <w:t> </w:t>
      </w:r>
      <w:r>
        <w:rPr/>
        <w:t>and</w:t>
      </w:r>
      <w:r>
        <w:rPr>
          <w:spacing w:val="40"/>
        </w:rPr>
        <w:t> </w:t>
      </w:r>
      <w:r>
        <w:rPr/>
        <w:t>up</w:t>
      </w:r>
      <w:r>
        <w:rPr>
          <w:spacing w:val="40"/>
        </w:rPr>
        <w:t> </w:t>
      </w:r>
      <w:r>
        <w:rPr/>
        <w:t>to</w:t>
      </w:r>
      <w:r>
        <w:rPr>
          <w:spacing w:val="40"/>
        </w:rPr>
        <w:t> </w:t>
      </w:r>
      <w:r>
        <w:rPr/>
        <w:t>the</w:t>
      </w:r>
      <w:r>
        <w:rPr>
          <w:spacing w:val="40"/>
        </w:rPr>
        <w:t> </w:t>
      </w:r>
      <w:r>
        <w:rPr/>
        <w:t>Supreme </w:t>
      </w:r>
      <w:r>
        <w:rPr>
          <w:spacing w:val="-2"/>
        </w:rPr>
        <w:t>Court.</w:t>
      </w:r>
    </w:p>
    <w:p>
      <w:pPr>
        <w:pStyle w:val="BodyText"/>
        <w:ind w:left="864"/>
      </w:pPr>
      <w:r>
        <w:rPr/>
        <w:t>However,</w:t>
      </w:r>
      <w:r>
        <w:rPr>
          <w:spacing w:val="4"/>
        </w:rPr>
        <w:t> </w:t>
      </w:r>
      <w:r>
        <w:rPr/>
        <w:t>section</w:t>
      </w:r>
      <w:r>
        <w:rPr>
          <w:spacing w:val="7"/>
        </w:rPr>
        <w:t> </w:t>
      </w:r>
      <w:r>
        <w:rPr/>
        <w:t>9</w:t>
      </w:r>
      <w:r>
        <w:rPr>
          <w:spacing w:val="5"/>
        </w:rPr>
        <w:t> </w:t>
      </w:r>
      <w:r>
        <w:rPr/>
        <w:t>of</w:t>
      </w:r>
      <w:r>
        <w:rPr>
          <w:spacing w:val="6"/>
        </w:rPr>
        <w:t> </w:t>
      </w:r>
      <w:r>
        <w:rPr/>
        <w:t>National</w:t>
      </w:r>
      <w:r>
        <w:rPr>
          <w:spacing w:val="8"/>
        </w:rPr>
        <w:t> </w:t>
      </w:r>
      <w:r>
        <w:rPr/>
        <w:t>Industrial</w:t>
      </w:r>
      <w:r>
        <w:rPr>
          <w:spacing w:val="9"/>
        </w:rPr>
        <w:t> </w:t>
      </w:r>
      <w:r>
        <w:rPr/>
        <w:t>Court</w:t>
      </w:r>
      <w:r>
        <w:rPr>
          <w:spacing w:val="1"/>
        </w:rPr>
        <w:t> </w:t>
      </w:r>
      <w:r>
        <w:rPr/>
        <w:t>Act</w:t>
      </w:r>
      <w:r>
        <w:rPr>
          <w:vertAlign w:val="superscript"/>
        </w:rPr>
        <w:t>360</w:t>
      </w:r>
      <w:r>
        <w:rPr>
          <w:spacing w:val="4"/>
          <w:vertAlign w:val="baseline"/>
        </w:rPr>
        <w:t> </w:t>
      </w:r>
      <w:r>
        <w:rPr>
          <w:spacing w:val="-2"/>
          <w:vertAlign w:val="baseline"/>
        </w:rPr>
        <w:t>says:</w:t>
      </w:r>
    </w:p>
    <w:p>
      <w:pPr>
        <w:pStyle w:val="BodyText"/>
        <w:spacing w:before="11"/>
      </w:pPr>
    </w:p>
    <w:p>
      <w:pPr>
        <w:pStyle w:val="ListParagraph"/>
        <w:numPr>
          <w:ilvl w:val="0"/>
          <w:numId w:val="18"/>
        </w:numPr>
        <w:tabs>
          <w:tab w:pos="1451" w:val="left" w:leader="none"/>
          <w:tab w:pos="1454" w:val="left" w:leader="none"/>
        </w:tabs>
        <w:spacing w:line="244" w:lineRule="auto" w:before="0" w:after="0"/>
        <w:ind w:left="1454" w:right="1922" w:hanging="591"/>
        <w:jc w:val="both"/>
        <w:rPr>
          <w:sz w:val="23"/>
        </w:rPr>
      </w:pPr>
      <w:r>
        <w:rPr>
          <w:sz w:val="23"/>
        </w:rPr>
        <w:t>Subject to the provisions of the Constitution of the Federal Republic of Nigeria 1999 and subsection (2) of this section, no appeal shall lie from the decisions of the Court to the Court of</w:t>
      </w:r>
      <w:r>
        <w:rPr>
          <w:spacing w:val="33"/>
          <w:sz w:val="23"/>
        </w:rPr>
        <w:t> </w:t>
      </w:r>
      <w:r>
        <w:rPr>
          <w:sz w:val="23"/>
        </w:rPr>
        <w:t>Appeal</w:t>
      </w:r>
      <w:r>
        <w:rPr>
          <w:spacing w:val="35"/>
          <w:sz w:val="23"/>
        </w:rPr>
        <w:t> </w:t>
      </w:r>
      <w:r>
        <w:rPr>
          <w:sz w:val="23"/>
        </w:rPr>
        <w:t>or any other</w:t>
      </w:r>
      <w:r>
        <w:rPr>
          <w:spacing w:val="38"/>
          <w:sz w:val="23"/>
        </w:rPr>
        <w:t> </w:t>
      </w:r>
      <w:r>
        <w:rPr>
          <w:sz w:val="23"/>
        </w:rPr>
        <w:t>court except as may be prescribed by this Act or any other Act of the National Assembly.</w:t>
      </w:r>
    </w:p>
    <w:p>
      <w:pPr>
        <w:pStyle w:val="ListParagraph"/>
        <w:numPr>
          <w:ilvl w:val="0"/>
          <w:numId w:val="18"/>
        </w:numPr>
        <w:tabs>
          <w:tab w:pos="1451" w:val="left" w:leader="none"/>
          <w:tab w:pos="1454" w:val="left" w:leader="none"/>
        </w:tabs>
        <w:spacing w:line="244" w:lineRule="auto" w:before="5" w:after="0"/>
        <w:ind w:left="1454" w:right="1921" w:hanging="591"/>
        <w:jc w:val="both"/>
        <w:rPr>
          <w:sz w:val="23"/>
        </w:rPr>
      </w:pPr>
      <w:r>
        <w:rPr>
          <w:sz w:val="23"/>
        </w:rPr>
        <w:t>An</w:t>
      </w:r>
      <w:r>
        <w:rPr>
          <w:spacing w:val="37"/>
          <w:sz w:val="23"/>
        </w:rPr>
        <w:t> </w:t>
      </w:r>
      <w:r>
        <w:rPr>
          <w:sz w:val="23"/>
        </w:rPr>
        <w:t>appeal</w:t>
      </w:r>
      <w:r>
        <w:rPr>
          <w:spacing w:val="37"/>
          <w:sz w:val="23"/>
        </w:rPr>
        <w:t> </w:t>
      </w:r>
      <w:r>
        <w:rPr>
          <w:sz w:val="23"/>
        </w:rPr>
        <w:t>from</w:t>
      </w:r>
      <w:r>
        <w:rPr>
          <w:spacing w:val="38"/>
          <w:sz w:val="23"/>
        </w:rPr>
        <w:t> </w:t>
      </w:r>
      <w:r>
        <w:rPr>
          <w:sz w:val="23"/>
        </w:rPr>
        <w:t>the</w:t>
      </w:r>
      <w:r>
        <w:rPr>
          <w:spacing w:val="35"/>
          <w:sz w:val="23"/>
        </w:rPr>
        <w:t> </w:t>
      </w:r>
      <w:r>
        <w:rPr>
          <w:sz w:val="23"/>
        </w:rPr>
        <w:t>decision</w:t>
      </w:r>
      <w:r>
        <w:rPr>
          <w:spacing w:val="37"/>
          <w:sz w:val="23"/>
        </w:rPr>
        <w:t> </w:t>
      </w:r>
      <w:r>
        <w:rPr>
          <w:sz w:val="23"/>
        </w:rPr>
        <w:t>of</w:t>
      </w:r>
      <w:r>
        <w:rPr>
          <w:spacing w:val="40"/>
          <w:sz w:val="23"/>
        </w:rPr>
        <w:t> </w:t>
      </w:r>
      <w:r>
        <w:rPr>
          <w:sz w:val="23"/>
        </w:rPr>
        <w:t>the</w:t>
      </w:r>
      <w:r>
        <w:rPr>
          <w:spacing w:val="35"/>
          <w:sz w:val="23"/>
        </w:rPr>
        <w:t> </w:t>
      </w:r>
      <w:r>
        <w:rPr>
          <w:sz w:val="23"/>
        </w:rPr>
        <w:t>Court</w:t>
      </w:r>
      <w:r>
        <w:rPr>
          <w:spacing w:val="40"/>
          <w:sz w:val="23"/>
        </w:rPr>
        <w:t> </w:t>
      </w:r>
      <w:r>
        <w:rPr>
          <w:sz w:val="23"/>
        </w:rPr>
        <w:t>shall</w:t>
      </w:r>
      <w:r>
        <w:rPr>
          <w:spacing w:val="37"/>
          <w:sz w:val="23"/>
        </w:rPr>
        <w:t> </w:t>
      </w:r>
      <w:r>
        <w:rPr>
          <w:sz w:val="23"/>
        </w:rPr>
        <w:t>lie</w:t>
      </w:r>
      <w:r>
        <w:rPr>
          <w:spacing w:val="35"/>
          <w:sz w:val="23"/>
        </w:rPr>
        <w:t> </w:t>
      </w:r>
      <w:r>
        <w:rPr>
          <w:sz w:val="23"/>
        </w:rPr>
        <w:t>only as of right to the Court of Appeal on questions of fundamental rights as contained in chapter iv of the Constitution of the Federal Republic of Nigeria 1999.</w:t>
      </w:r>
    </w:p>
    <w:p>
      <w:pPr>
        <w:pStyle w:val="BodyText"/>
        <w:spacing w:before="10"/>
      </w:pPr>
    </w:p>
    <w:p>
      <w:pPr>
        <w:pStyle w:val="BodyText"/>
        <w:ind w:left="864"/>
      </w:pPr>
      <w:r>
        <w:rPr/>
        <w:t>Also,</w:t>
      </w:r>
      <w:r>
        <w:rPr>
          <w:spacing w:val="4"/>
        </w:rPr>
        <w:t> </w:t>
      </w:r>
      <w:r>
        <w:rPr/>
        <w:t>section</w:t>
      </w:r>
      <w:r>
        <w:rPr>
          <w:spacing w:val="6"/>
        </w:rPr>
        <w:t> </w:t>
      </w:r>
      <w:r>
        <w:rPr/>
        <w:t>243</w:t>
      </w:r>
      <w:r>
        <w:rPr>
          <w:spacing w:val="5"/>
        </w:rPr>
        <w:t> </w:t>
      </w:r>
      <w:r>
        <w:rPr/>
        <w:t>“(2)</w:t>
      </w:r>
      <w:r>
        <w:rPr>
          <w:spacing w:val="5"/>
        </w:rPr>
        <w:t> </w:t>
      </w:r>
      <w:r>
        <w:rPr/>
        <w:t>–</w:t>
      </w:r>
      <w:r>
        <w:rPr>
          <w:spacing w:val="4"/>
        </w:rPr>
        <w:t> </w:t>
      </w:r>
      <w:r>
        <w:rPr/>
        <w:t>(4)”</w:t>
      </w:r>
      <w:r>
        <w:rPr>
          <w:spacing w:val="6"/>
        </w:rPr>
        <w:t> </w:t>
      </w:r>
      <w:r>
        <w:rPr/>
        <w:t>of</w:t>
      </w:r>
      <w:r>
        <w:rPr>
          <w:spacing w:val="5"/>
        </w:rPr>
        <w:t> </w:t>
      </w:r>
      <w:r>
        <w:rPr/>
        <w:t>the</w:t>
      </w:r>
      <w:r>
        <w:rPr>
          <w:spacing w:val="5"/>
        </w:rPr>
        <w:t> </w:t>
      </w:r>
      <w:r>
        <w:rPr/>
        <w:t>Constitution</w:t>
      </w:r>
      <w:r>
        <w:rPr>
          <w:vertAlign w:val="superscript"/>
        </w:rPr>
        <w:t>361</w:t>
      </w:r>
      <w:r>
        <w:rPr>
          <w:spacing w:val="3"/>
          <w:vertAlign w:val="baseline"/>
        </w:rPr>
        <w:t> </w:t>
      </w:r>
      <w:r>
        <w:rPr>
          <w:spacing w:val="-4"/>
          <w:vertAlign w:val="baseline"/>
        </w:rPr>
        <w:t>says</w:t>
      </w:r>
    </w:p>
    <w:p>
      <w:pPr>
        <w:pStyle w:val="BodyText"/>
        <w:spacing w:before="7"/>
      </w:pPr>
    </w:p>
    <w:p>
      <w:pPr>
        <w:pStyle w:val="ListParagraph"/>
        <w:numPr>
          <w:ilvl w:val="0"/>
          <w:numId w:val="19"/>
        </w:numPr>
        <w:tabs>
          <w:tab w:pos="2214" w:val="left" w:leader="none"/>
          <w:tab w:pos="2217" w:val="left" w:leader="none"/>
        </w:tabs>
        <w:spacing w:line="244" w:lineRule="auto" w:before="0" w:after="0"/>
        <w:ind w:left="2217" w:right="1923" w:hanging="677"/>
        <w:jc w:val="both"/>
        <w:rPr>
          <w:sz w:val="23"/>
        </w:rPr>
      </w:pPr>
      <w:r>
        <w:rPr>
          <w:sz w:val="23"/>
        </w:rPr>
        <w:t>an appeal shall lie from the decision of National Industrial</w:t>
      </w:r>
      <w:r>
        <w:rPr>
          <w:spacing w:val="40"/>
          <w:sz w:val="23"/>
        </w:rPr>
        <w:t> </w:t>
      </w:r>
      <w:r>
        <w:rPr>
          <w:sz w:val="23"/>
        </w:rPr>
        <w:t>Court</w:t>
      </w:r>
      <w:r>
        <w:rPr>
          <w:spacing w:val="40"/>
          <w:sz w:val="23"/>
        </w:rPr>
        <w:t> </w:t>
      </w:r>
      <w:r>
        <w:rPr>
          <w:sz w:val="23"/>
        </w:rPr>
        <w:t>as</w:t>
      </w:r>
      <w:r>
        <w:rPr>
          <w:spacing w:val="40"/>
          <w:sz w:val="23"/>
        </w:rPr>
        <w:t> </w:t>
      </w:r>
      <w:r>
        <w:rPr>
          <w:sz w:val="23"/>
        </w:rPr>
        <w:t>of</w:t>
      </w:r>
      <w:r>
        <w:rPr>
          <w:spacing w:val="40"/>
          <w:sz w:val="23"/>
        </w:rPr>
        <w:t> </w:t>
      </w:r>
      <w:r>
        <w:rPr>
          <w:sz w:val="23"/>
        </w:rPr>
        <w:t>right</w:t>
      </w:r>
      <w:r>
        <w:rPr>
          <w:spacing w:val="40"/>
          <w:sz w:val="23"/>
        </w:rPr>
        <w:t> </w:t>
      </w:r>
      <w:r>
        <w:rPr>
          <w:sz w:val="23"/>
        </w:rPr>
        <w:t>to</w:t>
      </w:r>
      <w:r>
        <w:rPr>
          <w:spacing w:val="40"/>
          <w:sz w:val="23"/>
        </w:rPr>
        <w:t> </w:t>
      </w:r>
      <w:r>
        <w:rPr>
          <w:sz w:val="23"/>
        </w:rPr>
        <w:t>the</w:t>
      </w:r>
      <w:r>
        <w:rPr>
          <w:spacing w:val="40"/>
          <w:sz w:val="23"/>
        </w:rPr>
        <w:t> </w:t>
      </w:r>
      <w:r>
        <w:rPr>
          <w:sz w:val="23"/>
        </w:rPr>
        <w:t>Court</w:t>
      </w:r>
      <w:r>
        <w:rPr>
          <w:spacing w:val="40"/>
          <w:sz w:val="23"/>
        </w:rPr>
        <w:t> </w:t>
      </w:r>
      <w:r>
        <w:rPr>
          <w:sz w:val="23"/>
        </w:rPr>
        <w:t>of Appeal on questions of fundamental rights as contained in chapter iv of this constitution as it relates to matters upon which the National Industrial Court has jurisdiction.</w:t>
      </w:r>
    </w:p>
    <w:p>
      <w:pPr>
        <w:pStyle w:val="ListParagraph"/>
        <w:numPr>
          <w:ilvl w:val="0"/>
          <w:numId w:val="19"/>
        </w:numPr>
        <w:tabs>
          <w:tab w:pos="2214" w:val="left" w:leader="none"/>
          <w:tab w:pos="2217" w:val="left" w:leader="none"/>
        </w:tabs>
        <w:spacing w:line="244" w:lineRule="auto" w:before="10" w:after="0"/>
        <w:ind w:left="2217" w:right="1919" w:hanging="677"/>
        <w:jc w:val="both"/>
        <w:rPr>
          <w:sz w:val="23"/>
        </w:rPr>
      </w:pPr>
      <w:r>
        <w:rPr>
          <w:sz w:val="23"/>
        </w:rPr>
        <w:t>An appeal shall lie from the decisions of the National Industrial Court to the Court of Appeal</w:t>
      </w:r>
      <w:r>
        <w:rPr>
          <w:spacing w:val="80"/>
          <w:sz w:val="23"/>
        </w:rPr>
        <w:t> </w:t>
      </w:r>
      <w:r>
        <w:rPr>
          <w:sz w:val="23"/>
        </w:rPr>
        <w:t>as may be prescribed by an Act of the National Assembly provided that where an Act or law prescribes that an appeal shall lie from the decisions of the National Industrial Court to the Court of Appeal, such appeal shall be with the leave of the Court of Appeal.</w:t>
      </w:r>
    </w:p>
    <w:p>
      <w:pPr>
        <w:pStyle w:val="ListParagraph"/>
        <w:numPr>
          <w:ilvl w:val="0"/>
          <w:numId w:val="19"/>
        </w:numPr>
        <w:tabs>
          <w:tab w:pos="2214" w:val="left" w:leader="none"/>
          <w:tab w:pos="2217" w:val="left" w:leader="none"/>
        </w:tabs>
        <w:spacing w:line="244" w:lineRule="auto" w:before="0" w:after="0"/>
        <w:ind w:left="2217" w:right="1922" w:hanging="677"/>
        <w:jc w:val="both"/>
        <w:rPr>
          <w:sz w:val="23"/>
        </w:rPr>
      </w:pPr>
      <w:r>
        <w:rPr>
          <w:sz w:val="23"/>
        </w:rPr>
        <w:t>Without prejudice to the provisions of section 254C(5)</w:t>
      </w:r>
      <w:r>
        <w:rPr>
          <w:sz w:val="23"/>
          <w:vertAlign w:val="superscript"/>
        </w:rPr>
        <w:t>362</w:t>
      </w:r>
      <w:r>
        <w:rPr>
          <w:sz w:val="23"/>
          <w:vertAlign w:val="baseline"/>
        </w:rPr>
        <w:t> of this Act,</w:t>
      </w:r>
      <w:r>
        <w:rPr>
          <w:spacing w:val="36"/>
          <w:sz w:val="23"/>
          <w:vertAlign w:val="baseline"/>
        </w:rPr>
        <w:t> </w:t>
      </w:r>
      <w:r>
        <w:rPr>
          <w:sz w:val="23"/>
          <w:vertAlign w:val="baseline"/>
        </w:rPr>
        <w:t>the decision of the Court</w:t>
      </w:r>
      <w:r>
        <w:rPr>
          <w:spacing w:val="40"/>
          <w:sz w:val="23"/>
          <w:vertAlign w:val="baseline"/>
        </w:rPr>
        <w:t> </w:t>
      </w:r>
      <w:r>
        <w:rPr>
          <w:sz w:val="23"/>
          <w:vertAlign w:val="baseline"/>
        </w:rPr>
        <w:t>of Appeal in respect of any appeal arising from any civil jurisdiction of the National Industrial court shall be final.</w:t>
      </w:r>
    </w:p>
    <w:p>
      <w:pPr>
        <w:pStyle w:val="BodyText"/>
        <w:spacing w:before="10"/>
      </w:pPr>
    </w:p>
    <w:p>
      <w:pPr>
        <w:pStyle w:val="BodyText"/>
        <w:ind w:left="864"/>
      </w:pPr>
      <w:r>
        <w:rPr/>
        <w:t>From</w:t>
      </w:r>
      <w:r>
        <w:rPr>
          <w:spacing w:val="6"/>
        </w:rPr>
        <w:t> </w:t>
      </w:r>
      <w:r>
        <w:rPr/>
        <w:t>the</w:t>
      </w:r>
      <w:r>
        <w:rPr>
          <w:spacing w:val="14"/>
        </w:rPr>
        <w:t> </w:t>
      </w:r>
      <w:r>
        <w:rPr/>
        <w:t>above</w:t>
      </w:r>
      <w:r>
        <w:rPr>
          <w:spacing w:val="3"/>
        </w:rPr>
        <w:t> </w:t>
      </w:r>
      <w:r>
        <w:rPr/>
        <w:t>provisions,</w:t>
      </w:r>
      <w:r>
        <w:rPr>
          <w:spacing w:val="8"/>
        </w:rPr>
        <w:t> </w:t>
      </w:r>
      <w:r>
        <w:rPr/>
        <w:t>the</w:t>
      </w:r>
      <w:r>
        <w:rPr>
          <w:spacing w:val="4"/>
        </w:rPr>
        <w:t> </w:t>
      </w:r>
      <w:r>
        <w:rPr/>
        <w:t>following</w:t>
      </w:r>
      <w:r>
        <w:rPr>
          <w:spacing w:val="7"/>
        </w:rPr>
        <w:t> </w:t>
      </w:r>
      <w:r>
        <w:rPr/>
        <w:t>are</w:t>
      </w:r>
      <w:r>
        <w:rPr>
          <w:spacing w:val="7"/>
        </w:rPr>
        <w:t> </w:t>
      </w:r>
      <w:r>
        <w:rPr>
          <w:spacing w:val="-2"/>
        </w:rPr>
        <w:t>deduced:</w:t>
      </w:r>
    </w:p>
    <w:p>
      <w:pPr>
        <w:pStyle w:val="BodyText"/>
        <w:rPr>
          <w:sz w:val="20"/>
        </w:rPr>
      </w:pPr>
    </w:p>
    <w:p>
      <w:pPr>
        <w:pStyle w:val="BodyText"/>
        <w:rPr>
          <w:sz w:val="20"/>
        </w:rPr>
      </w:pPr>
    </w:p>
    <w:p>
      <w:pPr>
        <w:pStyle w:val="BodyText"/>
        <w:spacing w:before="49"/>
        <w:rPr>
          <w:sz w:val="20"/>
        </w:rPr>
      </w:pPr>
      <w:r>
        <w:rPr/>
        <mc:AlternateContent>
          <mc:Choice Requires="wps">
            <w:drawing>
              <wp:anchor distT="0" distB="0" distL="0" distR="0" allowOverlap="1" layoutInCell="1" locked="0" behindDoc="1" simplePos="0" relativeHeight="487649792">
                <wp:simplePos x="0" y="0"/>
                <wp:positionH relativeFrom="page">
                  <wp:posOffset>1185672</wp:posOffset>
                </wp:positionH>
                <wp:positionV relativeFrom="paragraph">
                  <wp:posOffset>200071</wp:posOffset>
                </wp:positionV>
                <wp:extent cx="1719580" cy="3175"/>
                <wp:effectExtent l="0" t="0" r="0" b="0"/>
                <wp:wrapTopAndBottom/>
                <wp:docPr id="144" name="Graphic 144"/>
                <wp:cNvGraphicFramePr>
                  <a:graphicFrameLocks/>
                </wp:cNvGraphicFramePr>
                <a:graphic>
                  <a:graphicData uri="http://schemas.microsoft.com/office/word/2010/wordprocessingShape">
                    <wps:wsp>
                      <wps:cNvPr id="144" name="Graphic 144"/>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5.753633pt;width:135.360pt;height:.24pt;mso-position-horizontal-relative:page;mso-position-vertical-relative:paragraph;z-index:-15666688;mso-wrap-distance-left:0;mso-wrap-distance-right:0" id="docshape144" filled="true" fillcolor="#000000" stroked="false">
                <v:fill type="solid"/>
                <w10:wrap type="topAndBottom"/>
              </v:rect>
            </w:pict>
          </mc:Fallback>
        </mc:AlternateContent>
      </w:r>
    </w:p>
    <w:p>
      <w:pPr>
        <w:spacing w:line="217" w:lineRule="exact" w:before="96"/>
        <w:ind w:left="187" w:right="0" w:firstLine="0"/>
        <w:jc w:val="left"/>
        <w:rPr>
          <w:rFonts w:ascii="Times New Roman"/>
          <w:sz w:val="19"/>
        </w:rPr>
      </w:pPr>
      <w:r>
        <w:rPr>
          <w:rFonts w:ascii="Times New Roman"/>
          <w:sz w:val="19"/>
          <w:vertAlign w:val="superscript"/>
        </w:rPr>
        <w:t>360</w:t>
      </w:r>
      <w:r>
        <w:rPr>
          <w:rFonts w:ascii="Times New Roman"/>
          <w:spacing w:val="-4"/>
          <w:sz w:val="19"/>
          <w:vertAlign w:val="baseline"/>
        </w:rPr>
        <w:t> </w:t>
      </w:r>
      <w:r>
        <w:rPr>
          <w:rFonts w:ascii="Times New Roman"/>
          <w:sz w:val="19"/>
          <w:vertAlign w:val="baseline"/>
        </w:rPr>
        <w:t>National</w:t>
      </w:r>
      <w:r>
        <w:rPr>
          <w:rFonts w:ascii="Times New Roman"/>
          <w:spacing w:val="-8"/>
          <w:sz w:val="19"/>
          <w:vertAlign w:val="baseline"/>
        </w:rPr>
        <w:t> </w:t>
      </w:r>
      <w:r>
        <w:rPr>
          <w:rFonts w:ascii="Times New Roman"/>
          <w:sz w:val="19"/>
          <w:vertAlign w:val="baseline"/>
        </w:rPr>
        <w:t>Industrial</w:t>
      </w:r>
      <w:r>
        <w:rPr>
          <w:rFonts w:ascii="Times New Roman"/>
          <w:spacing w:val="-12"/>
          <w:sz w:val="19"/>
          <w:vertAlign w:val="baseline"/>
        </w:rPr>
        <w:t> </w:t>
      </w:r>
      <w:r>
        <w:rPr>
          <w:rFonts w:ascii="Times New Roman"/>
          <w:sz w:val="19"/>
          <w:vertAlign w:val="baseline"/>
        </w:rPr>
        <w:t>Court</w:t>
      </w:r>
      <w:r>
        <w:rPr>
          <w:rFonts w:ascii="Times New Roman"/>
          <w:spacing w:val="-3"/>
          <w:sz w:val="19"/>
          <w:vertAlign w:val="baseline"/>
        </w:rPr>
        <w:t> </w:t>
      </w:r>
      <w:r>
        <w:rPr>
          <w:rFonts w:ascii="Times New Roman"/>
          <w:sz w:val="19"/>
          <w:vertAlign w:val="baseline"/>
        </w:rPr>
        <w:t>Act,</w:t>
      </w:r>
      <w:r>
        <w:rPr>
          <w:rFonts w:ascii="Times New Roman"/>
          <w:spacing w:val="-8"/>
          <w:sz w:val="19"/>
          <w:vertAlign w:val="baseline"/>
        </w:rPr>
        <w:t> </w:t>
      </w:r>
      <w:r>
        <w:rPr>
          <w:rFonts w:ascii="Times New Roman"/>
          <w:sz w:val="19"/>
          <w:vertAlign w:val="baseline"/>
        </w:rPr>
        <w:t>No.</w:t>
      </w:r>
      <w:r>
        <w:rPr>
          <w:rFonts w:ascii="Times New Roman"/>
          <w:spacing w:val="-8"/>
          <w:sz w:val="19"/>
          <w:vertAlign w:val="baseline"/>
        </w:rPr>
        <w:t> </w:t>
      </w:r>
      <w:r>
        <w:rPr>
          <w:rFonts w:ascii="Times New Roman"/>
          <w:sz w:val="19"/>
          <w:vertAlign w:val="baseline"/>
        </w:rPr>
        <w:t>1,</w:t>
      </w:r>
      <w:r>
        <w:rPr>
          <w:rFonts w:ascii="Times New Roman"/>
          <w:spacing w:val="-11"/>
          <w:sz w:val="19"/>
          <w:vertAlign w:val="baseline"/>
        </w:rPr>
        <w:t> </w:t>
      </w:r>
      <w:r>
        <w:rPr>
          <w:rFonts w:ascii="Times New Roman"/>
          <w:spacing w:val="-4"/>
          <w:sz w:val="19"/>
          <w:vertAlign w:val="baseline"/>
        </w:rPr>
        <w:t>2006</w:t>
      </w:r>
    </w:p>
    <w:p>
      <w:pPr>
        <w:spacing w:line="216" w:lineRule="exact" w:before="0"/>
        <w:ind w:left="187" w:right="0" w:firstLine="0"/>
        <w:jc w:val="left"/>
        <w:rPr>
          <w:rFonts w:ascii="Times New Roman"/>
          <w:i/>
          <w:sz w:val="19"/>
        </w:rPr>
      </w:pPr>
      <w:r>
        <w:rPr>
          <w:rFonts w:ascii="Times New Roman"/>
          <w:sz w:val="19"/>
          <w:vertAlign w:val="superscript"/>
        </w:rPr>
        <w:t>361</w:t>
      </w:r>
      <w:r>
        <w:rPr>
          <w:rFonts w:ascii="Times New Roman"/>
          <w:spacing w:val="-6"/>
          <w:sz w:val="19"/>
          <w:vertAlign w:val="baseline"/>
        </w:rPr>
        <w:t> </w:t>
      </w:r>
      <w:r>
        <w:rPr>
          <w:rFonts w:ascii="Times New Roman"/>
          <w:sz w:val="19"/>
          <w:vertAlign w:val="baseline"/>
        </w:rPr>
        <w:t>Constitution</w:t>
      </w:r>
      <w:r>
        <w:rPr>
          <w:rFonts w:ascii="Times New Roman"/>
          <w:spacing w:val="-3"/>
          <w:sz w:val="19"/>
          <w:vertAlign w:val="baseline"/>
        </w:rPr>
        <w:t> </w:t>
      </w:r>
      <w:r>
        <w:rPr>
          <w:rFonts w:ascii="Times New Roman"/>
          <w:sz w:val="19"/>
          <w:vertAlign w:val="baseline"/>
        </w:rPr>
        <w:t>of</w:t>
      </w:r>
      <w:r>
        <w:rPr>
          <w:rFonts w:ascii="Times New Roman"/>
          <w:spacing w:val="-12"/>
          <w:sz w:val="19"/>
          <w:vertAlign w:val="baseline"/>
        </w:rPr>
        <w:t> </w:t>
      </w:r>
      <w:r>
        <w:rPr>
          <w:rFonts w:ascii="Times New Roman"/>
          <w:sz w:val="19"/>
          <w:vertAlign w:val="baseline"/>
        </w:rPr>
        <w:t>the</w:t>
      </w:r>
      <w:r>
        <w:rPr>
          <w:rFonts w:ascii="Times New Roman"/>
          <w:spacing w:val="-10"/>
          <w:sz w:val="19"/>
          <w:vertAlign w:val="baseline"/>
        </w:rPr>
        <w:t> </w:t>
      </w:r>
      <w:r>
        <w:rPr>
          <w:rFonts w:ascii="Times New Roman"/>
          <w:sz w:val="19"/>
          <w:vertAlign w:val="baseline"/>
        </w:rPr>
        <w:t>Federal</w:t>
      </w:r>
      <w:r>
        <w:rPr>
          <w:rFonts w:ascii="Times New Roman"/>
          <w:spacing w:val="-8"/>
          <w:sz w:val="19"/>
          <w:vertAlign w:val="baseline"/>
        </w:rPr>
        <w:t> </w:t>
      </w:r>
      <w:r>
        <w:rPr>
          <w:rFonts w:ascii="Times New Roman"/>
          <w:sz w:val="19"/>
          <w:vertAlign w:val="baseline"/>
        </w:rPr>
        <w:t>Republic</w:t>
      </w:r>
      <w:r>
        <w:rPr>
          <w:rFonts w:ascii="Times New Roman"/>
          <w:spacing w:val="-5"/>
          <w:sz w:val="19"/>
          <w:vertAlign w:val="baseline"/>
        </w:rPr>
        <w:t> </w:t>
      </w:r>
      <w:r>
        <w:rPr>
          <w:rFonts w:ascii="Times New Roman"/>
          <w:sz w:val="19"/>
          <w:vertAlign w:val="baseline"/>
        </w:rPr>
        <w:t>of</w:t>
      </w:r>
      <w:r>
        <w:rPr>
          <w:rFonts w:ascii="Times New Roman"/>
          <w:spacing w:val="-12"/>
          <w:sz w:val="19"/>
          <w:vertAlign w:val="baseline"/>
        </w:rPr>
        <w:t> </w:t>
      </w:r>
      <w:r>
        <w:rPr>
          <w:rFonts w:ascii="Times New Roman"/>
          <w:sz w:val="19"/>
          <w:vertAlign w:val="baseline"/>
        </w:rPr>
        <w:t>Nigeria</w:t>
      </w:r>
      <w:r>
        <w:rPr>
          <w:rFonts w:ascii="Times New Roman"/>
          <w:spacing w:val="-6"/>
          <w:sz w:val="19"/>
          <w:vertAlign w:val="baseline"/>
        </w:rPr>
        <w:t> </w:t>
      </w:r>
      <w:r>
        <w:rPr>
          <w:rFonts w:ascii="Times New Roman"/>
          <w:i/>
          <w:sz w:val="19"/>
          <w:vertAlign w:val="baseline"/>
        </w:rPr>
        <w:t>op</w:t>
      </w:r>
      <w:r>
        <w:rPr>
          <w:rFonts w:ascii="Times New Roman"/>
          <w:i/>
          <w:spacing w:val="-12"/>
          <w:sz w:val="19"/>
          <w:vertAlign w:val="baseline"/>
        </w:rPr>
        <w:t> </w:t>
      </w:r>
      <w:r>
        <w:rPr>
          <w:rFonts w:ascii="Times New Roman"/>
          <w:i/>
          <w:spacing w:val="-5"/>
          <w:sz w:val="19"/>
          <w:vertAlign w:val="baseline"/>
        </w:rPr>
        <w:t>cit</w:t>
      </w:r>
    </w:p>
    <w:p>
      <w:pPr>
        <w:spacing w:line="237" w:lineRule="auto" w:before="0"/>
        <w:ind w:left="187" w:right="123" w:firstLine="0"/>
        <w:jc w:val="left"/>
        <w:rPr>
          <w:rFonts w:ascii="Times New Roman"/>
          <w:sz w:val="19"/>
        </w:rPr>
      </w:pPr>
      <w:r>
        <w:rPr>
          <w:rFonts w:ascii="Times New Roman"/>
          <w:sz w:val="19"/>
          <w:vertAlign w:val="superscript"/>
        </w:rPr>
        <w:t>362</w:t>
      </w:r>
      <w:r>
        <w:rPr>
          <w:rFonts w:ascii="Times New Roman"/>
          <w:spacing w:val="-1"/>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254C(5)</w:t>
      </w:r>
      <w:r>
        <w:rPr>
          <w:rFonts w:ascii="Times New Roman"/>
          <w:spacing w:val="-7"/>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Constitution</w:t>
      </w:r>
      <w:r>
        <w:rPr>
          <w:rFonts w:ascii="Times New Roman"/>
          <w:spacing w:val="-5"/>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Federal</w:t>
      </w:r>
      <w:r>
        <w:rPr>
          <w:rFonts w:ascii="Times New Roman"/>
          <w:spacing w:val="-2"/>
          <w:sz w:val="19"/>
          <w:vertAlign w:val="baseline"/>
        </w:rPr>
        <w:t> </w:t>
      </w:r>
      <w:r>
        <w:rPr>
          <w:rFonts w:ascii="Times New Roman"/>
          <w:sz w:val="19"/>
          <w:vertAlign w:val="baseline"/>
        </w:rPr>
        <w:t>Republic</w:t>
      </w:r>
      <w:r>
        <w:rPr>
          <w:rFonts w:ascii="Times New Roman"/>
          <w:spacing w:val="-8"/>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Nigeria</w:t>
      </w:r>
      <w:r>
        <w:rPr>
          <w:rFonts w:ascii="Times New Roman"/>
          <w:spacing w:val="-8"/>
          <w:sz w:val="19"/>
          <w:vertAlign w:val="baseline"/>
        </w:rPr>
        <w:t> </w:t>
      </w:r>
      <w:r>
        <w:rPr>
          <w:rFonts w:ascii="Times New Roman"/>
          <w:i/>
          <w:sz w:val="19"/>
          <w:vertAlign w:val="baseline"/>
        </w:rPr>
        <w:t>op</w:t>
      </w:r>
      <w:r>
        <w:rPr>
          <w:rFonts w:ascii="Times New Roman"/>
          <w:i/>
          <w:spacing w:val="-9"/>
          <w:sz w:val="19"/>
          <w:vertAlign w:val="baseline"/>
        </w:rPr>
        <w:t> </w:t>
      </w:r>
      <w:r>
        <w:rPr>
          <w:rFonts w:ascii="Times New Roman"/>
          <w:i/>
          <w:sz w:val="19"/>
          <w:vertAlign w:val="baseline"/>
        </w:rPr>
        <w:t>cit</w:t>
      </w:r>
      <w:r>
        <w:rPr>
          <w:rFonts w:ascii="Times New Roman"/>
          <w:i/>
          <w:spacing w:val="36"/>
          <w:sz w:val="19"/>
          <w:vertAlign w:val="baseline"/>
        </w:rPr>
        <w:t> </w:t>
      </w:r>
      <w:r>
        <w:rPr>
          <w:rFonts w:ascii="Times New Roman"/>
          <w:sz w:val="19"/>
          <w:vertAlign w:val="baseline"/>
        </w:rPr>
        <w:t>talks</w:t>
      </w:r>
      <w:r>
        <w:rPr>
          <w:rFonts w:ascii="Times New Roman"/>
          <w:spacing w:val="-8"/>
          <w:sz w:val="19"/>
          <w:vertAlign w:val="baseline"/>
        </w:rPr>
        <w:t> </w:t>
      </w:r>
      <w:r>
        <w:rPr>
          <w:rFonts w:ascii="Times New Roman"/>
          <w:sz w:val="19"/>
          <w:vertAlign w:val="baseline"/>
        </w:rPr>
        <w:t>about</w:t>
      </w:r>
      <w:r>
        <w:rPr>
          <w:rFonts w:ascii="Times New Roman"/>
          <w:spacing w:val="-2"/>
          <w:sz w:val="19"/>
          <w:vertAlign w:val="baseline"/>
        </w:rPr>
        <w:t> </w:t>
      </w:r>
      <w:r>
        <w:rPr>
          <w:rFonts w:ascii="Times New Roman"/>
          <w:sz w:val="19"/>
          <w:vertAlign w:val="baseline"/>
        </w:rPr>
        <w:t>criminal</w:t>
      </w:r>
      <w:r>
        <w:rPr>
          <w:rFonts w:ascii="Times New Roman"/>
          <w:spacing w:val="-6"/>
          <w:sz w:val="19"/>
          <w:vertAlign w:val="baseline"/>
        </w:rPr>
        <w:t> </w:t>
      </w:r>
      <w:r>
        <w:rPr>
          <w:rFonts w:ascii="Times New Roman"/>
          <w:sz w:val="19"/>
          <w:vertAlign w:val="baseline"/>
        </w:rPr>
        <w:t>causes</w:t>
      </w:r>
      <w:r>
        <w:rPr>
          <w:rFonts w:ascii="Times New Roman"/>
          <w:spacing w:val="-4"/>
          <w:sz w:val="19"/>
          <w:vertAlign w:val="baseline"/>
        </w:rPr>
        <w:t> </w:t>
      </w:r>
      <w:r>
        <w:rPr>
          <w:rFonts w:ascii="Times New Roman"/>
          <w:sz w:val="19"/>
          <w:vertAlign w:val="baseline"/>
        </w:rPr>
        <w:t>and matters</w:t>
      </w:r>
      <w:r>
        <w:rPr>
          <w:rFonts w:ascii="Times New Roman"/>
          <w:spacing w:val="-1"/>
          <w:sz w:val="19"/>
          <w:vertAlign w:val="baseline"/>
        </w:rPr>
        <w:t> </w:t>
      </w:r>
      <w:r>
        <w:rPr>
          <w:rFonts w:ascii="Times New Roman"/>
          <w:sz w:val="19"/>
          <w:vertAlign w:val="baseline"/>
        </w:rPr>
        <w:t>arising from</w:t>
      </w:r>
      <w:r>
        <w:rPr>
          <w:rFonts w:ascii="Times New Roman"/>
          <w:spacing w:val="-2"/>
          <w:sz w:val="19"/>
          <w:vertAlign w:val="baseline"/>
        </w:rPr>
        <w:t> </w:t>
      </w:r>
      <w:r>
        <w:rPr>
          <w:rFonts w:ascii="Times New Roman"/>
          <w:sz w:val="19"/>
          <w:vertAlign w:val="baseline"/>
        </w:rPr>
        <w:t>any</w:t>
      </w:r>
      <w:r>
        <w:rPr>
          <w:rFonts w:ascii="Times New Roman"/>
          <w:spacing w:val="-7"/>
          <w:sz w:val="19"/>
          <w:vertAlign w:val="baseline"/>
        </w:rPr>
        <w:t> </w:t>
      </w:r>
      <w:r>
        <w:rPr>
          <w:rFonts w:ascii="Times New Roman"/>
          <w:sz w:val="19"/>
          <w:vertAlign w:val="baseline"/>
        </w:rPr>
        <w:t>cause or matter of</w:t>
      </w:r>
      <w:r>
        <w:rPr>
          <w:rFonts w:ascii="Times New Roman"/>
          <w:spacing w:val="-4"/>
          <w:sz w:val="19"/>
          <w:vertAlign w:val="baseline"/>
        </w:rPr>
        <w:t> </w:t>
      </w:r>
      <w:r>
        <w:rPr>
          <w:rFonts w:ascii="Times New Roman"/>
          <w:sz w:val="19"/>
          <w:vertAlign w:val="baseline"/>
        </w:rPr>
        <w:t>which jurisdiction is</w:t>
      </w:r>
      <w:r>
        <w:rPr>
          <w:rFonts w:ascii="Times New Roman"/>
          <w:spacing w:val="-5"/>
          <w:sz w:val="19"/>
          <w:vertAlign w:val="baseline"/>
        </w:rPr>
        <w:t> </w:t>
      </w:r>
      <w:r>
        <w:rPr>
          <w:rFonts w:ascii="Times New Roman"/>
          <w:sz w:val="19"/>
          <w:vertAlign w:val="baseline"/>
        </w:rPr>
        <w:t>conferred</w:t>
      </w:r>
      <w:r>
        <w:rPr>
          <w:rFonts w:ascii="Times New Roman"/>
          <w:spacing w:val="-2"/>
          <w:sz w:val="19"/>
          <w:vertAlign w:val="baseline"/>
        </w:rPr>
        <w:t> </w:t>
      </w:r>
      <w:r>
        <w:rPr>
          <w:rFonts w:ascii="Times New Roman"/>
          <w:sz w:val="19"/>
          <w:vertAlign w:val="baseline"/>
        </w:rPr>
        <w:t>on National Industrial</w:t>
      </w:r>
      <w:r>
        <w:rPr>
          <w:rFonts w:ascii="Times New Roman"/>
          <w:spacing w:val="-4"/>
          <w:sz w:val="19"/>
          <w:vertAlign w:val="baseline"/>
        </w:rPr>
        <w:t> </w:t>
      </w:r>
      <w:r>
        <w:rPr>
          <w:rFonts w:ascii="Times New Roman"/>
          <w:sz w:val="19"/>
          <w:vertAlign w:val="baseline"/>
        </w:rPr>
        <w:t>Court</w:t>
      </w:r>
    </w:p>
    <w:p>
      <w:pPr>
        <w:spacing w:after="0" w:line="237" w:lineRule="auto"/>
        <w:jc w:val="left"/>
        <w:rPr>
          <w:rFonts w:ascii="Times New Roman"/>
          <w:sz w:val="19"/>
        </w:rPr>
        <w:sectPr>
          <w:pgSz w:w="12240" w:h="15840"/>
          <w:pgMar w:header="0" w:footer="1009" w:top="1260" w:bottom="1200" w:left="1680" w:right="1320"/>
        </w:sectPr>
      </w:pPr>
    </w:p>
    <w:p>
      <w:pPr>
        <w:pStyle w:val="ListParagraph"/>
        <w:numPr>
          <w:ilvl w:val="0"/>
          <w:numId w:val="20"/>
        </w:numPr>
        <w:tabs>
          <w:tab w:pos="1540" w:val="left" w:leader="none"/>
        </w:tabs>
        <w:spacing w:line="489" w:lineRule="auto" w:before="94" w:after="0"/>
        <w:ind w:left="1540" w:right="565" w:hanging="677"/>
        <w:jc w:val="both"/>
        <w:rPr>
          <w:sz w:val="23"/>
        </w:rPr>
      </w:pPr>
      <w:r>
        <w:rPr>
          <w:sz w:val="23"/>
        </w:rPr>
        <w:t>Appeal shall</w:t>
      </w:r>
      <w:r>
        <w:rPr>
          <w:spacing w:val="36"/>
          <w:sz w:val="23"/>
        </w:rPr>
        <w:t> </w:t>
      </w:r>
      <w:r>
        <w:rPr>
          <w:sz w:val="23"/>
        </w:rPr>
        <w:t>only lie from the</w:t>
      </w:r>
      <w:r>
        <w:rPr>
          <w:spacing w:val="33"/>
          <w:sz w:val="23"/>
        </w:rPr>
        <w:t> </w:t>
      </w:r>
      <w:r>
        <w:rPr>
          <w:sz w:val="23"/>
        </w:rPr>
        <w:t>decisions of</w:t>
      </w:r>
      <w:r>
        <w:rPr>
          <w:spacing w:val="33"/>
          <w:sz w:val="23"/>
        </w:rPr>
        <w:t> </w:t>
      </w:r>
      <w:r>
        <w:rPr>
          <w:sz w:val="23"/>
        </w:rPr>
        <w:t>National</w:t>
      </w:r>
      <w:r>
        <w:rPr>
          <w:spacing w:val="36"/>
          <w:sz w:val="23"/>
        </w:rPr>
        <w:t> </w:t>
      </w:r>
      <w:r>
        <w:rPr>
          <w:sz w:val="23"/>
        </w:rPr>
        <w:t>Industrial</w:t>
      </w:r>
      <w:r>
        <w:rPr>
          <w:spacing w:val="36"/>
          <w:sz w:val="23"/>
        </w:rPr>
        <w:t> </w:t>
      </w:r>
      <w:r>
        <w:rPr>
          <w:sz w:val="23"/>
        </w:rPr>
        <w:t>Court on questions of fundamental rights as contained in chapter iv of the Constitution as it relates to matters upon on which the National Industrial Court has jurisdiction.</w:t>
      </w:r>
    </w:p>
    <w:p>
      <w:pPr>
        <w:pStyle w:val="ListParagraph"/>
        <w:numPr>
          <w:ilvl w:val="0"/>
          <w:numId w:val="20"/>
        </w:numPr>
        <w:tabs>
          <w:tab w:pos="1454" w:val="left" w:leader="none"/>
        </w:tabs>
        <w:spacing w:line="489" w:lineRule="auto" w:before="5" w:after="0"/>
        <w:ind w:left="1454" w:right="568" w:hanging="591"/>
        <w:jc w:val="both"/>
        <w:rPr>
          <w:sz w:val="23"/>
        </w:rPr>
      </w:pPr>
      <w:r>
        <w:rPr>
          <w:sz w:val="23"/>
        </w:rPr>
        <w:t>That any Act of the National Assembly can provide for appeal on certain matters but where such provision is made, such appeal shall</w:t>
      </w:r>
      <w:r>
        <w:rPr>
          <w:spacing w:val="80"/>
          <w:sz w:val="23"/>
        </w:rPr>
        <w:t> </w:t>
      </w:r>
      <w:r>
        <w:rPr>
          <w:sz w:val="23"/>
        </w:rPr>
        <w:t>be with the leave of Court of Appeal.</w:t>
      </w:r>
    </w:p>
    <w:p>
      <w:pPr>
        <w:pStyle w:val="ListParagraph"/>
        <w:numPr>
          <w:ilvl w:val="0"/>
          <w:numId w:val="20"/>
        </w:numPr>
        <w:tabs>
          <w:tab w:pos="1454" w:val="left" w:leader="none"/>
        </w:tabs>
        <w:spacing w:line="489" w:lineRule="auto" w:before="0" w:after="0"/>
        <w:ind w:left="1454" w:right="567" w:hanging="591"/>
        <w:jc w:val="both"/>
        <w:rPr>
          <w:sz w:val="23"/>
        </w:rPr>
      </w:pPr>
      <w:r>
        <w:rPr>
          <w:sz w:val="23"/>
        </w:rPr>
        <w:t>Any decision of the Court of Appeal arising from civil jurisdictions of the National Industrial Court shall be final but where it has to do with any criminal causes and matters arising from any cause or matter of which</w:t>
      </w:r>
      <w:r>
        <w:rPr>
          <w:spacing w:val="40"/>
          <w:sz w:val="23"/>
        </w:rPr>
        <w:t> </w:t>
      </w:r>
      <w:r>
        <w:rPr>
          <w:sz w:val="23"/>
        </w:rPr>
        <w:t>jurisdiction</w:t>
      </w:r>
      <w:r>
        <w:rPr>
          <w:spacing w:val="40"/>
          <w:sz w:val="23"/>
        </w:rPr>
        <w:t> </w:t>
      </w:r>
      <w:r>
        <w:rPr>
          <w:sz w:val="23"/>
        </w:rPr>
        <w:t>is</w:t>
      </w:r>
      <w:r>
        <w:rPr>
          <w:spacing w:val="40"/>
          <w:sz w:val="23"/>
        </w:rPr>
        <w:t> </w:t>
      </w:r>
      <w:r>
        <w:rPr>
          <w:sz w:val="23"/>
        </w:rPr>
        <w:t>conferred</w:t>
      </w:r>
      <w:r>
        <w:rPr>
          <w:spacing w:val="40"/>
          <w:sz w:val="23"/>
        </w:rPr>
        <w:t> </w:t>
      </w:r>
      <w:r>
        <w:rPr>
          <w:sz w:val="23"/>
        </w:rPr>
        <w:t>on</w:t>
      </w:r>
      <w:r>
        <w:rPr>
          <w:spacing w:val="40"/>
          <w:sz w:val="23"/>
        </w:rPr>
        <w:t> </w:t>
      </w:r>
      <w:r>
        <w:rPr>
          <w:sz w:val="23"/>
        </w:rPr>
        <w:t>National</w:t>
      </w:r>
      <w:r>
        <w:rPr>
          <w:spacing w:val="40"/>
          <w:sz w:val="23"/>
        </w:rPr>
        <w:t> </w:t>
      </w:r>
      <w:r>
        <w:rPr>
          <w:sz w:val="23"/>
        </w:rPr>
        <w:t>Industrial</w:t>
      </w:r>
      <w:r>
        <w:rPr>
          <w:spacing w:val="40"/>
          <w:sz w:val="23"/>
        </w:rPr>
        <w:t> </w:t>
      </w:r>
      <w:r>
        <w:rPr>
          <w:sz w:val="23"/>
        </w:rPr>
        <w:t>Court,</w:t>
      </w:r>
      <w:r>
        <w:rPr>
          <w:spacing w:val="40"/>
          <w:sz w:val="23"/>
        </w:rPr>
        <w:t> </w:t>
      </w:r>
      <w:r>
        <w:rPr>
          <w:sz w:val="23"/>
        </w:rPr>
        <w:t>there shall be appeal against such decisions, up to the Supreme court.</w:t>
      </w:r>
    </w:p>
    <w:p>
      <w:pPr>
        <w:pStyle w:val="BodyText"/>
        <w:spacing w:before="15"/>
      </w:pPr>
    </w:p>
    <w:p>
      <w:pPr>
        <w:pStyle w:val="BodyText"/>
        <w:spacing w:line="489" w:lineRule="auto"/>
        <w:ind w:left="864" w:right="565"/>
        <w:jc w:val="both"/>
      </w:pPr>
      <w:r>
        <w:rPr/>
        <w:t>Therefore, unless and until Employees’ Compensation Act</w:t>
      </w:r>
      <w:r>
        <w:rPr>
          <w:vertAlign w:val="superscript"/>
        </w:rPr>
        <w:t>363</w:t>
      </w:r>
      <w:r>
        <w:rPr>
          <w:vertAlign w:val="baseline"/>
        </w:rPr>
        <w:t> is amended, employees’ compensation matters will terminate at the National Industrial Court. However decisions on fundamental right matters that stem from employees’ compensation can be appealed against, to the Court of Appeal.</w:t>
      </w:r>
      <w:r>
        <w:rPr>
          <w:spacing w:val="40"/>
          <w:vertAlign w:val="baseline"/>
        </w:rPr>
        <w:t> </w:t>
      </w:r>
      <w:r>
        <w:rPr>
          <w:vertAlign w:val="baseline"/>
        </w:rPr>
        <w:t>It is important to reiterate that criminal matters related to employees’ compensation can be appealed against, up to the Supreme Court.</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8"/>
        <w:rPr>
          <w:sz w:val="20"/>
        </w:rPr>
      </w:pPr>
      <w:r>
        <w:rPr/>
        <mc:AlternateContent>
          <mc:Choice Requires="wps">
            <w:drawing>
              <wp:anchor distT="0" distB="0" distL="0" distR="0" allowOverlap="1" layoutInCell="1" locked="0" behindDoc="1" simplePos="0" relativeHeight="487650304">
                <wp:simplePos x="0" y="0"/>
                <wp:positionH relativeFrom="page">
                  <wp:posOffset>1185672</wp:posOffset>
                </wp:positionH>
                <wp:positionV relativeFrom="paragraph">
                  <wp:posOffset>231031</wp:posOffset>
                </wp:positionV>
                <wp:extent cx="1719580" cy="6350"/>
                <wp:effectExtent l="0" t="0" r="0" b="0"/>
                <wp:wrapTopAndBottom/>
                <wp:docPr id="145" name="Graphic 145"/>
                <wp:cNvGraphicFramePr>
                  <a:graphicFrameLocks/>
                </wp:cNvGraphicFramePr>
                <a:graphic>
                  <a:graphicData uri="http://schemas.microsoft.com/office/word/2010/wordprocessingShape">
                    <wps:wsp>
                      <wps:cNvPr id="145" name="Graphic 145"/>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8.191484pt;width:135.360pt;height:.48pt;mso-position-horizontal-relative:page;mso-position-vertical-relative:paragraph;z-index:-15666176;mso-wrap-distance-left:0;mso-wrap-distance-right:0" id="docshape145" filled="true" fillcolor="#000000" stroked="false">
                <v:fill type="solid"/>
                <w10:wrap type="topAndBottom"/>
              </v:rect>
            </w:pict>
          </mc:Fallback>
        </mc:AlternateContent>
      </w:r>
    </w:p>
    <w:p>
      <w:pPr>
        <w:spacing w:before="91"/>
        <w:ind w:left="187" w:right="0" w:firstLine="0"/>
        <w:jc w:val="left"/>
        <w:rPr>
          <w:rFonts w:ascii="Times New Roman"/>
          <w:i/>
          <w:sz w:val="19"/>
        </w:rPr>
      </w:pPr>
      <w:r>
        <w:rPr>
          <w:rFonts w:ascii="Times New Roman"/>
          <w:sz w:val="19"/>
          <w:vertAlign w:val="superscript"/>
        </w:rPr>
        <w:t>363</w:t>
      </w:r>
      <w:r>
        <w:rPr>
          <w:rFonts w:ascii="Times New Roman"/>
          <w:spacing w:val="6"/>
          <w:sz w:val="19"/>
          <w:vertAlign w:val="baseline"/>
        </w:rPr>
        <w:t> </w:t>
      </w:r>
      <w:r>
        <w:rPr>
          <w:rFonts w:ascii="Times New Roman"/>
          <w:i/>
          <w:sz w:val="19"/>
          <w:vertAlign w:val="baseline"/>
        </w:rPr>
        <w:t>Op</w:t>
      </w:r>
      <w:r>
        <w:rPr>
          <w:rFonts w:ascii="Times New Roman"/>
          <w:i/>
          <w:spacing w:val="-3"/>
          <w:sz w:val="19"/>
          <w:vertAlign w:val="baseline"/>
        </w:rPr>
        <w:t> </w:t>
      </w:r>
      <w:r>
        <w:rPr>
          <w:rFonts w:ascii="Times New Roman"/>
          <w:i/>
          <w:spacing w:val="-5"/>
          <w:sz w:val="19"/>
          <w:vertAlign w:val="baseline"/>
        </w:rPr>
        <w:t>cit</w:t>
      </w:r>
    </w:p>
    <w:p>
      <w:pPr>
        <w:spacing w:after="0"/>
        <w:jc w:val="left"/>
        <w:rPr>
          <w:rFonts w:ascii="Times New Roman"/>
          <w:sz w:val="19"/>
        </w:rPr>
        <w:sectPr>
          <w:pgSz w:w="12240" w:h="15840"/>
          <w:pgMar w:header="0" w:footer="1009" w:top="1260" w:bottom="1200" w:left="1680" w:right="1320"/>
        </w:sectPr>
      </w:pPr>
    </w:p>
    <w:p>
      <w:pPr>
        <w:pStyle w:val="Heading2"/>
        <w:spacing w:before="94"/>
        <w:ind w:left="307" w:right="687"/>
        <w:jc w:val="center"/>
      </w:pPr>
      <w:bookmarkStart w:name="_TOC_250003" w:id="27"/>
      <w:r>
        <w:rPr/>
        <w:t>CHAPTER</w:t>
      </w:r>
      <w:r>
        <w:rPr>
          <w:spacing w:val="12"/>
        </w:rPr>
        <w:t> </w:t>
      </w:r>
      <w:bookmarkEnd w:id="27"/>
      <w:r>
        <w:rPr>
          <w:spacing w:val="-4"/>
        </w:rPr>
        <w:t>FOUR</w:t>
      </w:r>
    </w:p>
    <w:p>
      <w:pPr>
        <w:pStyle w:val="BodyText"/>
        <w:spacing w:before="11"/>
        <w:rPr>
          <w:b/>
        </w:rPr>
      </w:pPr>
    </w:p>
    <w:p>
      <w:pPr>
        <w:pStyle w:val="Heading3"/>
        <w:ind w:left="528" w:firstLine="0"/>
      </w:pPr>
      <w:bookmarkStart w:name="_TOC_250002" w:id="28"/>
      <w:r>
        <w:rPr/>
        <w:t>Challenges</w:t>
      </w:r>
      <w:r>
        <w:rPr>
          <w:spacing w:val="11"/>
        </w:rPr>
        <w:t> </w:t>
      </w:r>
      <w:r>
        <w:rPr/>
        <w:t>of</w:t>
      </w:r>
      <w:r>
        <w:rPr>
          <w:spacing w:val="7"/>
        </w:rPr>
        <w:t> </w:t>
      </w:r>
      <w:r>
        <w:rPr/>
        <w:t>Employees’</w:t>
      </w:r>
      <w:r>
        <w:rPr>
          <w:spacing w:val="9"/>
        </w:rPr>
        <w:t> </w:t>
      </w:r>
      <w:r>
        <w:rPr/>
        <w:t>Compensation</w:t>
      </w:r>
      <w:r>
        <w:rPr>
          <w:spacing w:val="9"/>
        </w:rPr>
        <w:t> </w:t>
      </w:r>
      <w:r>
        <w:rPr/>
        <w:t>in</w:t>
      </w:r>
      <w:r>
        <w:rPr>
          <w:spacing w:val="16"/>
        </w:rPr>
        <w:t> </w:t>
      </w:r>
      <w:bookmarkEnd w:id="28"/>
      <w:r>
        <w:rPr>
          <w:spacing w:val="-2"/>
        </w:rPr>
        <w:t>Nigeria</w:t>
      </w:r>
    </w:p>
    <w:p>
      <w:pPr>
        <w:pStyle w:val="BodyText"/>
        <w:spacing w:before="11"/>
        <w:rPr>
          <w:b/>
        </w:rPr>
      </w:pPr>
    </w:p>
    <w:p>
      <w:pPr>
        <w:pStyle w:val="ListParagraph"/>
        <w:numPr>
          <w:ilvl w:val="1"/>
          <w:numId w:val="21"/>
        </w:numPr>
        <w:tabs>
          <w:tab w:pos="1204" w:val="left" w:leader="none"/>
        </w:tabs>
        <w:spacing w:line="240" w:lineRule="auto" w:before="0" w:after="0"/>
        <w:ind w:left="1204" w:right="0" w:hanging="676"/>
        <w:jc w:val="left"/>
        <w:rPr>
          <w:b/>
          <w:sz w:val="23"/>
        </w:rPr>
      </w:pPr>
      <w:r>
        <w:rPr>
          <w:b/>
          <w:spacing w:val="-2"/>
          <w:sz w:val="23"/>
        </w:rPr>
        <w:t>Introduction</w:t>
      </w:r>
    </w:p>
    <w:p>
      <w:pPr>
        <w:pStyle w:val="BodyText"/>
        <w:spacing w:before="11"/>
        <w:rPr>
          <w:b/>
        </w:rPr>
      </w:pPr>
    </w:p>
    <w:p>
      <w:pPr>
        <w:pStyle w:val="BodyText"/>
        <w:spacing w:line="489" w:lineRule="auto"/>
        <w:ind w:left="1204" w:right="904"/>
        <w:jc w:val="both"/>
      </w:pPr>
      <w:r>
        <w:rPr/>
        <w:t>This chapter presents the information gotten through the interview granted by</w:t>
      </w:r>
      <w:r>
        <w:rPr>
          <w:spacing w:val="40"/>
        </w:rPr>
        <w:t> </w:t>
      </w:r>
      <w:r>
        <w:rPr/>
        <w:t>the</w:t>
      </w:r>
      <w:r>
        <w:rPr>
          <w:spacing w:val="40"/>
        </w:rPr>
        <w:t> </w:t>
      </w:r>
      <w:r>
        <w:rPr/>
        <w:t>office of</w:t>
      </w:r>
      <w:r>
        <w:rPr>
          <w:spacing w:val="40"/>
        </w:rPr>
        <w:t> </w:t>
      </w:r>
      <w:r>
        <w:rPr/>
        <w:t>the</w:t>
      </w:r>
      <w:r>
        <w:rPr>
          <w:spacing w:val="40"/>
        </w:rPr>
        <w:t> </w:t>
      </w:r>
      <w:r>
        <w:rPr/>
        <w:t>General</w:t>
      </w:r>
      <w:r>
        <w:rPr>
          <w:spacing w:val="40"/>
        </w:rPr>
        <w:t> </w:t>
      </w:r>
      <w:r>
        <w:rPr/>
        <w:t>Manager, Enforcements/Benefits, Nigeria Social Insurance Trust Fund Management Board, at the headquarters of the Board in FCT, Abuja on the 22</w:t>
      </w:r>
      <w:r>
        <w:rPr>
          <w:vertAlign w:val="superscript"/>
        </w:rPr>
        <w:t>nd</w:t>
      </w:r>
      <w:r>
        <w:rPr>
          <w:vertAlign w:val="baseline"/>
        </w:rPr>
        <w:t> day of January 2013 at about 2:00pm. The information gotten, give further insight on the present employees’ compensation scheme in Nigeria. The chapter anchors with the analysis of the information gotten by way of interview and discusses certain related challenges in the implementation of the employees’ compensation scheme in Nigeria.</w:t>
      </w:r>
    </w:p>
    <w:p>
      <w:pPr>
        <w:pStyle w:val="BodyText"/>
        <w:spacing w:before="16"/>
      </w:pPr>
    </w:p>
    <w:p>
      <w:pPr>
        <w:pStyle w:val="Heading3"/>
        <w:numPr>
          <w:ilvl w:val="1"/>
          <w:numId w:val="21"/>
        </w:numPr>
        <w:tabs>
          <w:tab w:pos="1204" w:val="left" w:leader="none"/>
        </w:tabs>
        <w:spacing w:line="240" w:lineRule="auto" w:before="0" w:after="0"/>
        <w:ind w:left="1204" w:right="0" w:hanging="676"/>
        <w:jc w:val="left"/>
      </w:pPr>
      <w:r>
        <w:rPr/>
        <w:t>Data </w:t>
      </w:r>
      <w:r>
        <w:rPr>
          <w:spacing w:val="-2"/>
        </w:rPr>
        <w:t>Presentation</w:t>
      </w:r>
    </w:p>
    <w:p>
      <w:pPr>
        <w:pStyle w:val="BodyText"/>
        <w:spacing w:before="16"/>
        <w:rPr>
          <w:b/>
        </w:rPr>
      </w:pPr>
    </w:p>
    <w:p>
      <w:pPr>
        <w:pStyle w:val="BodyText"/>
        <w:spacing w:line="489" w:lineRule="auto"/>
        <w:ind w:left="1204" w:right="907"/>
        <w:jc w:val="both"/>
      </w:pPr>
      <w:r>
        <w:rPr/>
        <w:t>This section presents the summary of the questions and answers at the interview granted by the Board. Details of the interview are contained in appendix 7 to this thesis.</w:t>
      </w:r>
    </w:p>
    <w:p>
      <w:pPr>
        <w:pStyle w:val="BodyText"/>
        <w:spacing w:before="5"/>
      </w:pPr>
    </w:p>
    <w:p>
      <w:pPr>
        <w:pStyle w:val="BodyText"/>
        <w:spacing w:line="489" w:lineRule="auto" w:before="1"/>
        <w:ind w:left="1204" w:right="905"/>
        <w:jc w:val="both"/>
      </w:pPr>
      <w:r>
        <w:rPr/>
        <w:t>The interview granted by the Board revealed that publicity about the present employees’ compensation scheme in Nigeria is poor. The Board at present uses basically print media for the purpose of awareness.</w:t>
      </w:r>
      <w:r>
        <w:rPr>
          <w:spacing w:val="28"/>
        </w:rPr>
        <w:t> </w:t>
      </w:r>
      <w:r>
        <w:rPr/>
        <w:t>The</w:t>
      </w:r>
      <w:r>
        <w:rPr>
          <w:spacing w:val="29"/>
        </w:rPr>
        <w:t> </w:t>
      </w:r>
      <w:r>
        <w:rPr/>
        <w:t>Board intends to partner with TUC, NECA, and NLC to ensure that employers register for the said scheme.</w:t>
      </w:r>
    </w:p>
    <w:p>
      <w:pPr>
        <w:spacing w:after="0" w:line="489" w:lineRule="auto"/>
        <w:jc w:val="both"/>
        <w:sectPr>
          <w:pgSz w:w="12240" w:h="15840"/>
          <w:pgMar w:header="0" w:footer="1009" w:top="1260" w:bottom="1200" w:left="1680" w:right="1320"/>
        </w:sectPr>
      </w:pPr>
    </w:p>
    <w:p>
      <w:pPr>
        <w:pStyle w:val="BodyText"/>
        <w:spacing w:line="489" w:lineRule="auto" w:before="100"/>
        <w:ind w:left="1204" w:right="904"/>
        <w:jc w:val="both"/>
      </w:pPr>
      <w:r>
        <w:rPr/>
        <w:t>The</w:t>
      </w:r>
      <w:r>
        <w:rPr>
          <w:spacing w:val="40"/>
        </w:rPr>
        <w:t> </w:t>
      </w:r>
      <w:r>
        <w:rPr/>
        <w:t>interview</w:t>
      </w:r>
      <w:r>
        <w:rPr>
          <w:spacing w:val="40"/>
        </w:rPr>
        <w:t> </w:t>
      </w:r>
      <w:r>
        <w:rPr/>
        <w:t>further</w:t>
      </w:r>
      <w:r>
        <w:rPr>
          <w:spacing w:val="40"/>
        </w:rPr>
        <w:t> </w:t>
      </w:r>
      <w:r>
        <w:rPr/>
        <w:t>revealed</w:t>
      </w:r>
      <w:r>
        <w:rPr>
          <w:spacing w:val="40"/>
        </w:rPr>
        <w:t> </w:t>
      </w:r>
      <w:r>
        <w:rPr/>
        <w:t>that the</w:t>
      </w:r>
      <w:r>
        <w:rPr>
          <w:spacing w:val="40"/>
        </w:rPr>
        <w:t> </w:t>
      </w:r>
      <w:r>
        <w:rPr/>
        <w:t>Board</w:t>
      </w:r>
      <w:r>
        <w:rPr>
          <w:spacing w:val="40"/>
        </w:rPr>
        <w:t> </w:t>
      </w:r>
      <w:r>
        <w:rPr/>
        <w:t>has</w:t>
      </w:r>
      <w:r>
        <w:rPr>
          <w:spacing w:val="40"/>
        </w:rPr>
        <w:t> </w:t>
      </w:r>
      <w:r>
        <w:rPr/>
        <w:t>not made</w:t>
      </w:r>
      <w:r>
        <w:rPr>
          <w:spacing w:val="40"/>
        </w:rPr>
        <w:t> </w:t>
      </w:r>
      <w:r>
        <w:rPr/>
        <w:t>the Rules which the Act empowers it to make in order to take care of cases of compensation whose scales of compensation are not contained in the Act. The Board however could not tell why it is has not made available the Rules yet.</w:t>
      </w:r>
    </w:p>
    <w:p>
      <w:pPr>
        <w:pStyle w:val="BodyText"/>
      </w:pPr>
    </w:p>
    <w:p>
      <w:pPr>
        <w:pStyle w:val="BodyText"/>
        <w:spacing w:before="16"/>
      </w:pPr>
    </w:p>
    <w:p>
      <w:pPr>
        <w:pStyle w:val="BodyText"/>
        <w:spacing w:line="489" w:lineRule="auto"/>
        <w:ind w:left="1204" w:right="907"/>
        <w:jc w:val="both"/>
      </w:pPr>
      <w:r>
        <w:rPr/>
        <w:t>The Board disclosed that about One Thousand Four Hundred and Ninety</w:t>
      </w:r>
      <w:r>
        <w:rPr>
          <w:spacing w:val="40"/>
        </w:rPr>
        <w:t> </w:t>
      </w:r>
      <w:r>
        <w:rPr/>
        <w:t>(1,</w:t>
      </w:r>
      <w:r>
        <w:rPr>
          <w:spacing w:val="40"/>
        </w:rPr>
        <w:t> </w:t>
      </w:r>
      <w:r>
        <w:rPr/>
        <w:t>490)</w:t>
      </w:r>
      <w:r>
        <w:rPr>
          <w:spacing w:val="40"/>
        </w:rPr>
        <w:t> </w:t>
      </w:r>
      <w:r>
        <w:rPr/>
        <w:t>employers</w:t>
      </w:r>
      <w:r>
        <w:rPr>
          <w:spacing w:val="40"/>
        </w:rPr>
        <w:t> </w:t>
      </w:r>
      <w:r>
        <w:rPr/>
        <w:t>from</w:t>
      </w:r>
      <w:r>
        <w:rPr>
          <w:spacing w:val="40"/>
        </w:rPr>
        <w:t> </w:t>
      </w:r>
      <w:r>
        <w:rPr/>
        <w:t>the</w:t>
      </w:r>
      <w:r>
        <w:rPr>
          <w:spacing w:val="40"/>
        </w:rPr>
        <w:t> </w:t>
      </w:r>
      <w:r>
        <w:rPr/>
        <w:t>private</w:t>
      </w:r>
      <w:r>
        <w:rPr>
          <w:spacing w:val="40"/>
        </w:rPr>
        <w:t> </w:t>
      </w:r>
      <w:r>
        <w:rPr/>
        <w:t>sector</w:t>
      </w:r>
      <w:r>
        <w:rPr>
          <w:spacing w:val="40"/>
        </w:rPr>
        <w:t> </w:t>
      </w:r>
      <w:r>
        <w:rPr/>
        <w:t>have</w:t>
      </w:r>
      <w:r>
        <w:rPr>
          <w:spacing w:val="40"/>
        </w:rPr>
        <w:t> </w:t>
      </w:r>
      <w:r>
        <w:rPr/>
        <w:t>registered for the present employees’ compensation. It disclosed that nearly all Federal Government treasury funded agencies have registered and that</w:t>
      </w:r>
      <w:r>
        <w:rPr>
          <w:spacing w:val="29"/>
        </w:rPr>
        <w:t> </w:t>
      </w:r>
      <w:r>
        <w:rPr/>
        <w:t>the</w:t>
      </w:r>
      <w:r>
        <w:rPr>
          <w:spacing w:val="27"/>
        </w:rPr>
        <w:t> </w:t>
      </w:r>
      <w:r>
        <w:rPr/>
        <w:t>non</w:t>
      </w:r>
      <w:r>
        <w:rPr>
          <w:spacing w:val="30"/>
        </w:rPr>
        <w:t> </w:t>
      </w:r>
      <w:r>
        <w:rPr/>
        <w:t>treasury</w:t>
      </w:r>
      <w:r>
        <w:rPr>
          <w:spacing w:val="29"/>
        </w:rPr>
        <w:t> </w:t>
      </w:r>
      <w:r>
        <w:rPr/>
        <w:t>funded</w:t>
      </w:r>
      <w:r>
        <w:rPr>
          <w:spacing w:val="30"/>
        </w:rPr>
        <w:t> </w:t>
      </w:r>
      <w:r>
        <w:rPr/>
        <w:t>agencies</w:t>
      </w:r>
      <w:r>
        <w:rPr>
          <w:spacing w:val="27"/>
        </w:rPr>
        <w:t> </w:t>
      </w:r>
      <w:r>
        <w:rPr/>
        <w:t>are</w:t>
      </w:r>
      <w:r>
        <w:rPr>
          <w:spacing w:val="32"/>
        </w:rPr>
        <w:t> </w:t>
      </w:r>
      <w:r>
        <w:rPr/>
        <w:t>also</w:t>
      </w:r>
      <w:r>
        <w:rPr>
          <w:spacing w:val="28"/>
        </w:rPr>
        <w:t> </w:t>
      </w:r>
      <w:r>
        <w:rPr/>
        <w:t>trying.</w:t>
      </w:r>
      <w:r>
        <w:rPr>
          <w:spacing w:val="31"/>
        </w:rPr>
        <w:t> </w:t>
      </w:r>
      <w:r>
        <w:rPr/>
        <w:t>When</w:t>
      </w:r>
      <w:r>
        <w:rPr>
          <w:spacing w:val="30"/>
        </w:rPr>
        <w:t> </w:t>
      </w:r>
      <w:r>
        <w:rPr/>
        <w:t>asked if the Board could provide list of all registered employers for the purpose of compensation, the Boarded objected. The Board handles such information including the files of applications for compensation with utmost secrecy.</w:t>
      </w:r>
      <w:r>
        <w:rPr>
          <w:vertAlign w:val="superscript"/>
        </w:rPr>
        <w:t>1</w:t>
      </w:r>
      <w:r>
        <w:rPr>
          <w:vertAlign w:val="baseline"/>
        </w:rPr>
        <w:t> The Board also disclosed that it had received about</w:t>
      </w:r>
      <w:r>
        <w:rPr>
          <w:spacing w:val="40"/>
          <w:vertAlign w:val="baseline"/>
        </w:rPr>
        <w:t> </w:t>
      </w:r>
      <w:r>
        <w:rPr>
          <w:vertAlign w:val="baseline"/>
        </w:rPr>
        <w:t>Seven</w:t>
      </w:r>
      <w:r>
        <w:rPr>
          <w:spacing w:val="40"/>
          <w:vertAlign w:val="baseline"/>
        </w:rPr>
        <w:t> </w:t>
      </w:r>
      <w:r>
        <w:rPr>
          <w:vertAlign w:val="baseline"/>
        </w:rPr>
        <w:t>Hundred</w:t>
      </w:r>
      <w:r>
        <w:rPr>
          <w:spacing w:val="40"/>
          <w:vertAlign w:val="baseline"/>
        </w:rPr>
        <w:t> </w:t>
      </w:r>
      <w:r>
        <w:rPr>
          <w:vertAlign w:val="baseline"/>
        </w:rPr>
        <w:t>and</w:t>
      </w:r>
      <w:r>
        <w:rPr>
          <w:spacing w:val="40"/>
          <w:vertAlign w:val="baseline"/>
        </w:rPr>
        <w:t> </w:t>
      </w:r>
      <w:r>
        <w:rPr>
          <w:vertAlign w:val="baseline"/>
        </w:rPr>
        <w:t>Eighty</w:t>
      </w:r>
      <w:r>
        <w:rPr>
          <w:spacing w:val="40"/>
          <w:vertAlign w:val="baseline"/>
        </w:rPr>
        <w:t> </w:t>
      </w:r>
      <w:r>
        <w:rPr>
          <w:vertAlign w:val="baseline"/>
        </w:rPr>
        <w:t>(780)</w:t>
      </w:r>
      <w:r>
        <w:rPr>
          <w:spacing w:val="40"/>
          <w:vertAlign w:val="baseline"/>
        </w:rPr>
        <w:t> </w:t>
      </w:r>
      <w:r>
        <w:rPr>
          <w:vertAlign w:val="baseline"/>
        </w:rPr>
        <w:t>applications</w:t>
      </w:r>
      <w:r>
        <w:rPr>
          <w:spacing w:val="40"/>
          <w:vertAlign w:val="baseline"/>
        </w:rPr>
        <w:t> </w:t>
      </w:r>
      <w:r>
        <w:rPr>
          <w:vertAlign w:val="baseline"/>
        </w:rPr>
        <w:t>for compensation out of which about Four Hundred people have been paid. As to whether any employee or depenti~ts have appealed in</w:t>
      </w:r>
      <w:r>
        <w:rPr>
          <w:spacing w:val="80"/>
          <w:vertAlign w:val="baseline"/>
        </w:rPr>
        <w:t> </w:t>
      </w:r>
      <w:r>
        <w:rPr>
          <w:vertAlign w:val="baseline"/>
        </w:rPr>
        <w:t>the</w:t>
      </w:r>
      <w:r>
        <w:rPr>
          <w:spacing w:val="40"/>
          <w:vertAlign w:val="baseline"/>
        </w:rPr>
        <w:t> </w:t>
      </w:r>
      <w:r>
        <w:rPr>
          <w:vertAlign w:val="baseline"/>
        </w:rPr>
        <w:t>first</w:t>
      </w:r>
      <w:r>
        <w:rPr>
          <w:spacing w:val="40"/>
          <w:vertAlign w:val="baseline"/>
        </w:rPr>
        <w:t> </w:t>
      </w:r>
      <w:r>
        <w:rPr>
          <w:vertAlign w:val="baseline"/>
        </w:rPr>
        <w:t>instance</w:t>
      </w:r>
      <w:r>
        <w:rPr>
          <w:spacing w:val="40"/>
          <w:vertAlign w:val="baseline"/>
        </w:rPr>
        <w:t> </w:t>
      </w:r>
      <w:r>
        <w:rPr>
          <w:vertAlign w:val="baseline"/>
        </w:rPr>
        <w:t>against</w:t>
      </w:r>
      <w:r>
        <w:rPr>
          <w:spacing w:val="40"/>
          <w:vertAlign w:val="baseline"/>
        </w:rPr>
        <w:t> </w:t>
      </w:r>
      <w:r>
        <w:rPr>
          <w:vertAlign w:val="baseline"/>
        </w:rPr>
        <w:t>the</w:t>
      </w:r>
      <w:r>
        <w:rPr>
          <w:spacing w:val="40"/>
          <w:vertAlign w:val="baseline"/>
        </w:rPr>
        <w:t> </w:t>
      </w:r>
      <w:r>
        <w:rPr>
          <w:vertAlign w:val="baseline"/>
        </w:rPr>
        <w:t>award</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the</w:t>
      </w:r>
      <w:r>
        <w:rPr>
          <w:spacing w:val="40"/>
          <w:vertAlign w:val="baseline"/>
        </w:rPr>
        <w:t> </w:t>
      </w:r>
      <w:r>
        <w:rPr>
          <w:vertAlign w:val="baseline"/>
        </w:rPr>
        <w:t>Board revealed that nobody had appealed against its awards yet.</w:t>
      </w:r>
    </w:p>
    <w:p>
      <w:pPr>
        <w:pStyle w:val="BodyText"/>
        <w:rPr>
          <w:sz w:val="20"/>
        </w:rPr>
      </w:pPr>
    </w:p>
    <w:p>
      <w:pPr>
        <w:pStyle w:val="BodyText"/>
        <w:spacing w:before="166"/>
        <w:rPr>
          <w:sz w:val="20"/>
        </w:rPr>
      </w:pPr>
      <w:r>
        <w:rPr/>
        <mc:AlternateContent>
          <mc:Choice Requires="wps">
            <w:drawing>
              <wp:anchor distT="0" distB="0" distL="0" distR="0" allowOverlap="1" layoutInCell="1" locked="0" behindDoc="1" simplePos="0" relativeHeight="487650816">
                <wp:simplePos x="0" y="0"/>
                <wp:positionH relativeFrom="page">
                  <wp:posOffset>1399032</wp:posOffset>
                </wp:positionH>
                <wp:positionV relativeFrom="paragraph">
                  <wp:posOffset>274140</wp:posOffset>
                </wp:positionV>
                <wp:extent cx="1719580" cy="6350"/>
                <wp:effectExtent l="0" t="0" r="0" b="0"/>
                <wp:wrapTopAndBottom/>
                <wp:docPr id="146" name="Graphic 146"/>
                <wp:cNvGraphicFramePr>
                  <a:graphicFrameLocks/>
                </wp:cNvGraphicFramePr>
                <a:graphic>
                  <a:graphicData uri="http://schemas.microsoft.com/office/word/2010/wordprocessingShape">
                    <wps:wsp>
                      <wps:cNvPr id="146" name="Graphic 146"/>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10.160004pt;margin-top:21.585859pt;width:135.360pt;height:.48pt;mso-position-horizontal-relative:page;mso-position-vertical-relative:paragraph;z-index:-15665664;mso-wrap-distance-left:0;mso-wrap-distance-right:0" id="docshape146" filled="true" fillcolor="#000000" stroked="false">
                <v:fill type="solid"/>
                <w10:wrap type="topAndBottom"/>
              </v:rect>
            </w:pict>
          </mc:Fallback>
        </mc:AlternateContent>
      </w:r>
    </w:p>
    <w:p>
      <w:pPr>
        <w:spacing w:line="237" w:lineRule="auto" w:before="93"/>
        <w:ind w:left="528" w:right="1056" w:firstLine="0"/>
        <w:jc w:val="left"/>
        <w:rPr>
          <w:rFonts w:ascii="Times New Roman"/>
          <w:sz w:val="19"/>
        </w:rPr>
      </w:pPr>
      <w:r>
        <w:rPr>
          <w:rFonts w:ascii="Times New Roman"/>
          <w:sz w:val="19"/>
          <w:vertAlign w:val="superscript"/>
        </w:rPr>
        <w:t>1</w:t>
      </w:r>
      <w:r>
        <w:rPr>
          <w:rFonts w:ascii="Times New Roman"/>
          <w:spacing w:val="-4"/>
          <w:sz w:val="19"/>
          <w:vertAlign w:val="baseline"/>
        </w:rPr>
        <w:t> </w:t>
      </w:r>
      <w:r>
        <w:rPr>
          <w:rFonts w:ascii="Times New Roman"/>
          <w:sz w:val="19"/>
          <w:vertAlign w:val="baseline"/>
        </w:rPr>
        <w:t>Perhaps</w:t>
      </w:r>
      <w:r>
        <w:rPr>
          <w:rFonts w:ascii="Times New Roman"/>
          <w:spacing w:val="-7"/>
          <w:sz w:val="19"/>
          <w:vertAlign w:val="baseline"/>
        </w:rPr>
        <w:t> </w:t>
      </w:r>
      <w:r>
        <w:rPr>
          <w:rFonts w:ascii="Times New Roman"/>
          <w:sz w:val="19"/>
          <w:vertAlign w:val="baseline"/>
        </w:rPr>
        <w:t>when</w:t>
      </w:r>
      <w:r>
        <w:rPr>
          <w:rFonts w:ascii="Times New Roman"/>
          <w:spacing w:val="-5"/>
          <w:sz w:val="19"/>
          <w:vertAlign w:val="baseline"/>
        </w:rPr>
        <w:t> </w:t>
      </w:r>
      <w:r>
        <w:rPr>
          <w:rFonts w:ascii="Times New Roman"/>
          <w:sz w:val="19"/>
          <w:vertAlign w:val="baseline"/>
        </w:rPr>
        <w:t>employees</w:t>
      </w:r>
      <w:r>
        <w:rPr>
          <w:rFonts w:ascii="Times New Roman"/>
          <w:spacing w:val="-7"/>
          <w:sz w:val="19"/>
          <w:vertAlign w:val="baseline"/>
        </w:rPr>
        <w:t> </w:t>
      </w:r>
      <w:r>
        <w:rPr>
          <w:rFonts w:ascii="Times New Roman"/>
          <w:sz w:val="19"/>
          <w:vertAlign w:val="baseline"/>
        </w:rPr>
        <w:t>or</w:t>
      </w:r>
      <w:r>
        <w:rPr>
          <w:rFonts w:ascii="Times New Roman"/>
          <w:spacing w:val="-2"/>
          <w:sz w:val="19"/>
          <w:vertAlign w:val="baseline"/>
        </w:rPr>
        <w:t> </w:t>
      </w:r>
      <w:r>
        <w:rPr>
          <w:rFonts w:ascii="Times New Roman"/>
          <w:sz w:val="19"/>
          <w:vertAlign w:val="baseline"/>
        </w:rPr>
        <w:t>their</w:t>
      </w:r>
      <w:r>
        <w:rPr>
          <w:rFonts w:ascii="Times New Roman"/>
          <w:spacing w:val="-7"/>
          <w:sz w:val="19"/>
          <w:vertAlign w:val="baseline"/>
        </w:rPr>
        <w:t> </w:t>
      </w:r>
      <w:r>
        <w:rPr>
          <w:rFonts w:ascii="Times New Roman"/>
          <w:sz w:val="19"/>
          <w:vertAlign w:val="baseline"/>
        </w:rPr>
        <w:t>dependants</w:t>
      </w:r>
      <w:r>
        <w:rPr>
          <w:rFonts w:ascii="Times New Roman"/>
          <w:spacing w:val="35"/>
          <w:sz w:val="19"/>
          <w:vertAlign w:val="baseline"/>
        </w:rPr>
        <w:t> </w:t>
      </w:r>
      <w:r>
        <w:rPr>
          <w:rFonts w:ascii="Times New Roman"/>
          <w:sz w:val="19"/>
          <w:vertAlign w:val="baseline"/>
        </w:rPr>
        <w:t>start</w:t>
      </w:r>
      <w:r>
        <w:rPr>
          <w:rFonts w:ascii="Times New Roman"/>
          <w:spacing w:val="-6"/>
          <w:sz w:val="19"/>
          <w:vertAlign w:val="baseline"/>
        </w:rPr>
        <w:t> </w:t>
      </w:r>
      <w:r>
        <w:rPr>
          <w:rFonts w:ascii="Times New Roman"/>
          <w:sz w:val="19"/>
          <w:vertAlign w:val="baseline"/>
        </w:rPr>
        <w:t>appealing</w:t>
      </w:r>
      <w:r>
        <w:rPr>
          <w:rFonts w:ascii="Times New Roman"/>
          <w:spacing w:val="-5"/>
          <w:sz w:val="19"/>
          <w:vertAlign w:val="baseline"/>
        </w:rPr>
        <w:t> </w:t>
      </w:r>
      <w:r>
        <w:rPr>
          <w:rFonts w:ascii="Times New Roman"/>
          <w:sz w:val="19"/>
          <w:vertAlign w:val="baseline"/>
        </w:rPr>
        <w:t>against</w:t>
      </w:r>
      <w:r>
        <w:rPr>
          <w:rFonts w:ascii="Times New Roman"/>
          <w:spacing w:val="-6"/>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awards</w:t>
      </w:r>
      <w:r>
        <w:rPr>
          <w:rFonts w:ascii="Times New Roman"/>
          <w:spacing w:val="-11"/>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7"/>
          <w:sz w:val="19"/>
          <w:vertAlign w:val="baseline"/>
        </w:rPr>
        <w:t> </w:t>
      </w:r>
      <w:r>
        <w:rPr>
          <w:rFonts w:ascii="Times New Roman"/>
          <w:sz w:val="19"/>
          <w:vertAlign w:val="baseline"/>
        </w:rPr>
        <w:t>Board</w:t>
      </w:r>
      <w:r>
        <w:rPr>
          <w:rFonts w:ascii="Times New Roman"/>
          <w:spacing w:val="-8"/>
          <w:sz w:val="19"/>
          <w:vertAlign w:val="baseline"/>
        </w:rPr>
        <w:t> </w:t>
      </w:r>
      <w:r>
        <w:rPr>
          <w:rFonts w:ascii="Times New Roman"/>
          <w:sz w:val="19"/>
          <w:vertAlign w:val="baseline"/>
        </w:rPr>
        <w:t>to</w:t>
      </w:r>
      <w:r>
        <w:rPr>
          <w:rFonts w:ascii="Times New Roman"/>
          <w:spacing w:val="29"/>
          <w:sz w:val="19"/>
          <w:vertAlign w:val="baseline"/>
        </w:rPr>
        <w:t> </w:t>
      </w:r>
      <w:r>
        <w:rPr>
          <w:rFonts w:ascii="Times New Roman"/>
          <w:sz w:val="19"/>
          <w:vertAlign w:val="baseline"/>
        </w:rPr>
        <w:t>the National Industrial Court, researchers</w:t>
      </w:r>
      <w:r>
        <w:rPr>
          <w:rFonts w:ascii="Times New Roman"/>
          <w:spacing w:val="-1"/>
          <w:sz w:val="19"/>
          <w:vertAlign w:val="baseline"/>
        </w:rPr>
        <w:t> </w:t>
      </w:r>
      <w:r>
        <w:rPr>
          <w:rFonts w:ascii="Times New Roman"/>
          <w:sz w:val="19"/>
          <w:vertAlign w:val="baseline"/>
        </w:rPr>
        <w:t>can easily</w:t>
      </w:r>
      <w:r>
        <w:rPr>
          <w:rFonts w:ascii="Times New Roman"/>
          <w:spacing w:val="-3"/>
          <w:sz w:val="19"/>
          <w:vertAlign w:val="baseline"/>
        </w:rPr>
        <w:t> </w:t>
      </w:r>
      <w:r>
        <w:rPr>
          <w:rFonts w:ascii="Times New Roman"/>
          <w:sz w:val="19"/>
          <w:vertAlign w:val="baseline"/>
        </w:rPr>
        <w:t>follow those cases in court.</w:t>
      </w:r>
    </w:p>
    <w:p>
      <w:pPr>
        <w:spacing w:after="0" w:line="237" w:lineRule="auto"/>
        <w:jc w:val="left"/>
        <w:rPr>
          <w:rFonts w:ascii="Times New Roman"/>
          <w:sz w:val="19"/>
        </w:rPr>
        <w:sectPr>
          <w:pgSz w:w="12240" w:h="15840"/>
          <w:pgMar w:header="0" w:footer="1009" w:top="1820" w:bottom="1200" w:left="1680" w:right="1320"/>
        </w:sectPr>
      </w:pPr>
    </w:p>
    <w:p>
      <w:pPr>
        <w:pStyle w:val="BodyText"/>
        <w:spacing w:line="489" w:lineRule="auto" w:before="94"/>
        <w:ind w:left="1204" w:right="911"/>
        <w:jc w:val="both"/>
      </w:pPr>
      <w:r>
        <w:rPr/>
        <w:t>The Board also confirmed that some injured employees of Cappa D’ Alberto, a construction company was given a cheque of</w:t>
      </w:r>
      <w:r>
        <w:rPr>
          <w:spacing w:val="80"/>
        </w:rPr>
        <w:t> </w:t>
      </w:r>
      <w:r>
        <w:rPr/>
        <w:t>Five</w:t>
      </w:r>
      <w:r>
        <w:rPr>
          <w:spacing w:val="40"/>
        </w:rPr>
        <w:t> </w:t>
      </w:r>
      <w:r>
        <w:rPr/>
        <w:t>Hundred Thousand Naira Only(N500,000) .This amount of money</w:t>
      </w:r>
      <w:r>
        <w:rPr>
          <w:spacing w:val="80"/>
        </w:rPr>
        <w:t> </w:t>
      </w:r>
      <w:r>
        <w:rPr/>
        <w:t>was for their health care.</w:t>
      </w:r>
    </w:p>
    <w:p>
      <w:pPr>
        <w:pStyle w:val="BodyText"/>
        <w:spacing w:before="10"/>
      </w:pPr>
    </w:p>
    <w:p>
      <w:pPr>
        <w:pStyle w:val="BodyText"/>
        <w:spacing w:line="489" w:lineRule="auto"/>
        <w:ind w:left="1204" w:right="905"/>
        <w:jc w:val="both"/>
      </w:pPr>
      <w:r>
        <w:rPr/>
        <w:t>It was also revealed that</w:t>
      </w:r>
      <w:r>
        <w:rPr>
          <w:spacing w:val="39"/>
        </w:rPr>
        <w:t> </w:t>
      </w:r>
      <w:r>
        <w:rPr/>
        <w:t>the Federal</w:t>
      </w:r>
      <w:r>
        <w:rPr>
          <w:spacing w:val="38"/>
        </w:rPr>
        <w:t> </w:t>
      </w:r>
      <w:r>
        <w:rPr/>
        <w:t>Government has paid in bulk the year 2011 and 2012 contributions for all Federal Government owned tertiary institutions and Research Institutes in Nigeria</w:t>
      </w:r>
      <w:r>
        <w:rPr>
          <w:spacing w:val="80"/>
        </w:rPr>
        <w:t> </w:t>
      </w:r>
      <w:r>
        <w:rPr/>
        <w:t>and</w:t>
      </w:r>
      <w:r>
        <w:rPr>
          <w:spacing w:val="40"/>
        </w:rPr>
        <w:t> </w:t>
      </w:r>
      <w:r>
        <w:rPr/>
        <w:t>that this fact is not even known to the benefiting institutions. These institutions however only need to approach the Board so as to regularise their registration status with the Board. However as from and including 2013, these institutions will take care of their yearly contributions themselves as the Federal Government will no longer pay for them.</w:t>
      </w:r>
    </w:p>
    <w:p>
      <w:pPr>
        <w:pStyle w:val="BodyText"/>
        <w:spacing w:before="11"/>
      </w:pPr>
    </w:p>
    <w:p>
      <w:pPr>
        <w:pStyle w:val="BodyText"/>
        <w:spacing w:line="491" w:lineRule="auto"/>
        <w:ind w:left="1204" w:right="907"/>
        <w:jc w:val="both"/>
      </w:pPr>
      <w:r>
        <w:rPr/>
        <w:t>The Board disclosed that it has not yet started implementing the employees’</w:t>
      </w:r>
      <w:r>
        <w:rPr>
          <w:spacing w:val="40"/>
        </w:rPr>
        <w:t> </w:t>
      </w:r>
      <w:r>
        <w:rPr/>
        <w:t>compensation</w:t>
      </w:r>
      <w:r>
        <w:rPr>
          <w:spacing w:val="40"/>
        </w:rPr>
        <w:t> </w:t>
      </w:r>
      <w:r>
        <w:rPr/>
        <w:t>scheme</w:t>
      </w:r>
      <w:r>
        <w:rPr>
          <w:spacing w:val="40"/>
        </w:rPr>
        <w:t> </w:t>
      </w:r>
      <w:r>
        <w:rPr/>
        <w:t>at</w:t>
      </w:r>
      <w:r>
        <w:rPr>
          <w:spacing w:val="40"/>
        </w:rPr>
        <w:t> </w:t>
      </w:r>
      <w:r>
        <w:rPr/>
        <w:t>the</w:t>
      </w:r>
      <w:r>
        <w:rPr>
          <w:spacing w:val="40"/>
        </w:rPr>
        <w:t> </w:t>
      </w:r>
      <w:r>
        <w:rPr/>
        <w:t>State</w:t>
      </w:r>
      <w:r>
        <w:rPr>
          <w:spacing w:val="40"/>
        </w:rPr>
        <w:t> </w:t>
      </w:r>
      <w:r>
        <w:rPr/>
        <w:t>and</w:t>
      </w:r>
      <w:r>
        <w:rPr>
          <w:spacing w:val="40"/>
        </w:rPr>
        <w:t> </w:t>
      </w:r>
      <w:r>
        <w:rPr/>
        <w:t>Local Government levels even though covered by the Act. Also, the Board disclosed that it has not started implementing the scheme within the informal</w:t>
      </w:r>
      <w:r>
        <w:rPr>
          <w:spacing w:val="40"/>
        </w:rPr>
        <w:t> </w:t>
      </w:r>
      <w:r>
        <w:rPr/>
        <w:t>sector</w:t>
      </w:r>
      <w:r>
        <w:rPr>
          <w:spacing w:val="40"/>
        </w:rPr>
        <w:t> </w:t>
      </w:r>
      <w:r>
        <w:rPr/>
        <w:t>of</w:t>
      </w:r>
      <w:r>
        <w:rPr>
          <w:spacing w:val="40"/>
        </w:rPr>
        <w:t> </w:t>
      </w:r>
      <w:r>
        <w:rPr/>
        <w:t>the</w:t>
      </w:r>
      <w:r>
        <w:rPr>
          <w:spacing w:val="40"/>
        </w:rPr>
        <w:t> </w:t>
      </w:r>
      <w:r>
        <w:rPr/>
        <w:t>economy</w:t>
      </w:r>
      <w:r>
        <w:rPr>
          <w:spacing w:val="40"/>
        </w:rPr>
        <w:t> </w:t>
      </w:r>
      <w:r>
        <w:rPr/>
        <w:t>as</w:t>
      </w:r>
      <w:r>
        <w:rPr>
          <w:spacing w:val="40"/>
        </w:rPr>
        <w:t> </w:t>
      </w:r>
      <w:r>
        <w:rPr/>
        <w:t>it</w:t>
      </w:r>
      <w:r>
        <w:rPr>
          <w:spacing w:val="40"/>
        </w:rPr>
        <w:t> </w:t>
      </w:r>
      <w:r>
        <w:rPr/>
        <w:t>intends</w:t>
      </w:r>
      <w:r>
        <w:rPr>
          <w:spacing w:val="40"/>
        </w:rPr>
        <w:t> </w:t>
      </w:r>
      <w:r>
        <w:rPr/>
        <w:t>to</w:t>
      </w:r>
      <w:r>
        <w:rPr>
          <w:spacing w:val="40"/>
        </w:rPr>
        <w:t> </w:t>
      </w:r>
      <w:r>
        <w:rPr/>
        <w:t>study</w:t>
      </w:r>
      <w:r>
        <w:rPr>
          <w:spacing w:val="40"/>
        </w:rPr>
        <w:t> </w:t>
      </w:r>
      <w:r>
        <w:rPr/>
        <w:t>how</w:t>
      </w:r>
      <w:r>
        <w:rPr>
          <w:spacing w:val="40"/>
        </w:rPr>
        <w:t> </w:t>
      </w:r>
      <w:r>
        <w:rPr/>
        <w:t>it</w:t>
      </w:r>
      <w:r>
        <w:rPr>
          <w:spacing w:val="40"/>
        </w:rPr>
        <w:t> </w:t>
      </w:r>
      <w:r>
        <w:rPr/>
        <w:t>will work effectively.</w:t>
      </w:r>
    </w:p>
    <w:p>
      <w:pPr>
        <w:pStyle w:val="Heading3"/>
        <w:numPr>
          <w:ilvl w:val="1"/>
          <w:numId w:val="21"/>
        </w:numPr>
        <w:tabs>
          <w:tab w:pos="1204" w:val="left" w:leader="none"/>
        </w:tabs>
        <w:spacing w:line="271" w:lineRule="exact" w:before="0" w:after="0"/>
        <w:ind w:left="1204" w:right="0" w:hanging="676"/>
        <w:jc w:val="left"/>
      </w:pPr>
      <w:r>
        <w:rPr/>
        <w:t>Data </w:t>
      </w:r>
      <w:r>
        <w:rPr>
          <w:spacing w:val="-2"/>
        </w:rPr>
        <w:t>Analysis</w:t>
      </w:r>
    </w:p>
    <w:p>
      <w:pPr>
        <w:pStyle w:val="BodyText"/>
        <w:spacing w:before="11"/>
        <w:rPr>
          <w:b/>
        </w:rPr>
      </w:pPr>
    </w:p>
    <w:p>
      <w:pPr>
        <w:pStyle w:val="BodyText"/>
        <w:spacing w:line="489" w:lineRule="auto"/>
        <w:ind w:left="1204" w:right="911"/>
        <w:jc w:val="both"/>
      </w:pPr>
      <w:r>
        <w:rPr/>
        <w:t>The</w:t>
      </w:r>
      <w:r>
        <w:rPr>
          <w:spacing w:val="40"/>
        </w:rPr>
        <w:t> </w:t>
      </w:r>
      <w:r>
        <w:rPr/>
        <w:t>data</w:t>
      </w:r>
      <w:r>
        <w:rPr>
          <w:spacing w:val="40"/>
        </w:rPr>
        <w:t> </w:t>
      </w:r>
      <w:r>
        <w:rPr/>
        <w:t>above</w:t>
      </w:r>
      <w:r>
        <w:rPr>
          <w:spacing w:val="40"/>
        </w:rPr>
        <w:t> </w:t>
      </w:r>
      <w:r>
        <w:rPr/>
        <w:t>gotten</w:t>
      </w:r>
      <w:r>
        <w:rPr>
          <w:spacing w:val="40"/>
        </w:rPr>
        <w:t> </w:t>
      </w:r>
      <w:r>
        <w:rPr/>
        <w:t>by</w:t>
      </w:r>
      <w:r>
        <w:rPr>
          <w:spacing w:val="40"/>
        </w:rPr>
        <w:t> </w:t>
      </w:r>
      <w:r>
        <w:rPr/>
        <w:t>way</w:t>
      </w:r>
      <w:r>
        <w:rPr>
          <w:spacing w:val="40"/>
        </w:rPr>
        <w:t> </w:t>
      </w:r>
      <w:r>
        <w:rPr/>
        <w:t>of</w:t>
      </w:r>
      <w:r>
        <w:rPr>
          <w:spacing w:val="40"/>
        </w:rPr>
        <w:t> </w:t>
      </w:r>
      <w:r>
        <w:rPr/>
        <w:t>interview</w:t>
      </w:r>
      <w:r>
        <w:rPr>
          <w:spacing w:val="40"/>
        </w:rPr>
        <w:t> </w:t>
      </w:r>
      <w:r>
        <w:rPr/>
        <w:t>reveal</w:t>
      </w:r>
      <w:r>
        <w:rPr>
          <w:spacing w:val="40"/>
        </w:rPr>
        <w:t> </w:t>
      </w:r>
      <w:r>
        <w:rPr/>
        <w:t>certain challenges.</w:t>
      </w:r>
      <w:r>
        <w:rPr>
          <w:spacing w:val="69"/>
        </w:rPr>
        <w:t>  </w:t>
      </w:r>
      <w:r>
        <w:rPr/>
        <w:t>Some</w:t>
      </w:r>
      <w:r>
        <w:rPr>
          <w:spacing w:val="67"/>
        </w:rPr>
        <w:t>  </w:t>
      </w:r>
      <w:r>
        <w:rPr/>
        <w:t>of</w:t>
      </w:r>
      <w:r>
        <w:rPr>
          <w:spacing w:val="69"/>
        </w:rPr>
        <w:t>  </w:t>
      </w:r>
      <w:r>
        <w:rPr/>
        <w:t>the</w:t>
      </w:r>
      <w:r>
        <w:rPr>
          <w:spacing w:val="67"/>
        </w:rPr>
        <w:t>  </w:t>
      </w:r>
      <w:r>
        <w:rPr/>
        <w:t>challenges</w:t>
      </w:r>
      <w:r>
        <w:rPr>
          <w:spacing w:val="70"/>
        </w:rPr>
        <w:t>  </w:t>
      </w:r>
      <w:r>
        <w:rPr/>
        <w:t>are</w:t>
      </w:r>
      <w:r>
        <w:rPr>
          <w:spacing w:val="67"/>
        </w:rPr>
        <w:t>  </w:t>
      </w:r>
      <w:r>
        <w:rPr/>
        <w:t>associated</w:t>
      </w:r>
      <w:r>
        <w:rPr>
          <w:spacing w:val="68"/>
        </w:rPr>
        <w:t>  </w:t>
      </w:r>
      <w:r>
        <w:rPr>
          <w:spacing w:val="-4"/>
        </w:rPr>
        <w:t>with</w:t>
      </w:r>
    </w:p>
    <w:p>
      <w:pPr>
        <w:spacing w:after="0" w:line="489" w:lineRule="auto"/>
        <w:jc w:val="both"/>
        <w:sectPr>
          <w:pgSz w:w="12240" w:h="15840"/>
          <w:pgMar w:header="0" w:footer="1009" w:top="1260" w:bottom="1200" w:left="1680" w:right="1320"/>
        </w:sectPr>
      </w:pPr>
    </w:p>
    <w:p>
      <w:pPr>
        <w:pStyle w:val="BodyText"/>
        <w:spacing w:line="489" w:lineRule="auto" w:before="94"/>
        <w:ind w:left="1204" w:right="910"/>
        <w:jc w:val="both"/>
      </w:pPr>
      <w:r>
        <w:rPr/>
        <w:t>implementation while some are associated with awareness and publicity. Other related challenges are also discussed.</w:t>
      </w:r>
    </w:p>
    <w:p>
      <w:pPr>
        <w:pStyle w:val="BodyText"/>
        <w:spacing w:before="5"/>
      </w:pPr>
    </w:p>
    <w:p>
      <w:pPr>
        <w:pStyle w:val="Heading3"/>
        <w:numPr>
          <w:ilvl w:val="2"/>
          <w:numId w:val="21"/>
        </w:numPr>
        <w:tabs>
          <w:tab w:pos="1182" w:val="left" w:leader="none"/>
        </w:tabs>
        <w:spacing w:line="240" w:lineRule="auto" w:before="0" w:after="0"/>
        <w:ind w:left="1182" w:right="0" w:hanging="654"/>
        <w:jc w:val="left"/>
      </w:pPr>
      <w:r>
        <w:rPr/>
        <w:t>The</w:t>
      </w:r>
      <w:r>
        <w:rPr>
          <w:spacing w:val="9"/>
        </w:rPr>
        <w:t> </w:t>
      </w:r>
      <w:r>
        <w:rPr/>
        <w:t>Challenge</w:t>
      </w:r>
      <w:r>
        <w:rPr>
          <w:spacing w:val="10"/>
        </w:rPr>
        <w:t> </w:t>
      </w:r>
      <w:r>
        <w:rPr/>
        <w:t>of</w:t>
      </w:r>
      <w:r>
        <w:rPr>
          <w:spacing w:val="6"/>
        </w:rPr>
        <w:t> </w:t>
      </w:r>
      <w:r>
        <w:rPr>
          <w:spacing w:val="-2"/>
        </w:rPr>
        <w:t>awareness</w:t>
      </w:r>
    </w:p>
    <w:p>
      <w:pPr>
        <w:pStyle w:val="BodyText"/>
        <w:spacing w:before="16"/>
        <w:rPr>
          <w:b/>
        </w:rPr>
      </w:pPr>
    </w:p>
    <w:p>
      <w:pPr>
        <w:pStyle w:val="BodyText"/>
        <w:spacing w:line="489" w:lineRule="auto"/>
        <w:ind w:left="1204" w:right="907"/>
        <w:jc w:val="both"/>
      </w:pPr>
      <w:r>
        <w:rPr/>
        <w:t>As it has already been pointed out, the interview revealed that there is poor publicity on the side of the Board. At present, the Board only uses print media for</w:t>
      </w:r>
      <w:r>
        <w:rPr>
          <w:spacing w:val="38"/>
        </w:rPr>
        <w:t> </w:t>
      </w:r>
      <w:r>
        <w:rPr/>
        <w:t>publicity.</w:t>
      </w:r>
      <w:r>
        <w:rPr>
          <w:spacing w:val="37"/>
        </w:rPr>
        <w:t> </w:t>
      </w:r>
      <w:r>
        <w:rPr/>
        <w:t>No radio or</w:t>
      </w:r>
      <w:r>
        <w:rPr>
          <w:spacing w:val="38"/>
        </w:rPr>
        <w:t> </w:t>
      </w:r>
      <w:r>
        <w:rPr/>
        <w:t>television</w:t>
      </w:r>
      <w:r>
        <w:rPr>
          <w:spacing w:val="40"/>
        </w:rPr>
        <w:t> </w:t>
      </w:r>
      <w:r>
        <w:rPr/>
        <w:t>jingles yet for the purpose of publicity. The Board has not written employers individually to get them know about this scheme. There are no billboards, posters, leaflets and pamphlets in places of work to enlighten</w:t>
      </w:r>
      <w:r>
        <w:rPr>
          <w:spacing w:val="37"/>
        </w:rPr>
        <w:t> </w:t>
      </w:r>
      <w:r>
        <w:rPr/>
        <w:t>employees</w:t>
      </w:r>
      <w:r>
        <w:rPr>
          <w:spacing w:val="39"/>
        </w:rPr>
        <w:t> </w:t>
      </w:r>
      <w:r>
        <w:rPr/>
        <w:t>and</w:t>
      </w:r>
      <w:r>
        <w:rPr>
          <w:spacing w:val="40"/>
        </w:rPr>
        <w:t> </w:t>
      </w:r>
      <w:r>
        <w:rPr/>
        <w:t>employers</w:t>
      </w:r>
      <w:r>
        <w:rPr>
          <w:spacing w:val="40"/>
        </w:rPr>
        <w:t> </w:t>
      </w:r>
      <w:r>
        <w:rPr/>
        <w:t>about</w:t>
      </w:r>
      <w:r>
        <w:rPr>
          <w:spacing w:val="37"/>
        </w:rPr>
        <w:t> </w:t>
      </w:r>
      <w:r>
        <w:rPr/>
        <w:t>the</w:t>
      </w:r>
      <w:r>
        <w:rPr>
          <w:spacing w:val="40"/>
        </w:rPr>
        <w:t> </w:t>
      </w:r>
      <w:r>
        <w:rPr/>
        <w:t>new</w:t>
      </w:r>
      <w:r>
        <w:rPr>
          <w:spacing w:val="40"/>
        </w:rPr>
        <w:t> </w:t>
      </w:r>
      <w:r>
        <w:rPr/>
        <w:t>scheme.</w:t>
      </w:r>
      <w:r>
        <w:rPr>
          <w:spacing w:val="40"/>
        </w:rPr>
        <w:t> </w:t>
      </w:r>
      <w:r>
        <w:rPr/>
        <w:t>There is also no door-to-door (places of work to places of work) enlightenment</w:t>
      </w:r>
      <w:r>
        <w:rPr>
          <w:spacing w:val="40"/>
        </w:rPr>
        <w:t> </w:t>
      </w:r>
      <w:r>
        <w:rPr/>
        <w:t>campaign</w:t>
      </w:r>
      <w:r>
        <w:rPr>
          <w:spacing w:val="40"/>
        </w:rPr>
        <w:t> </w:t>
      </w:r>
      <w:r>
        <w:rPr/>
        <w:t>to</w:t>
      </w:r>
      <w:r>
        <w:rPr>
          <w:spacing w:val="40"/>
        </w:rPr>
        <w:t> </w:t>
      </w:r>
      <w:r>
        <w:rPr/>
        <w:t>let</w:t>
      </w:r>
      <w:r>
        <w:rPr>
          <w:spacing w:val="40"/>
        </w:rPr>
        <w:t> </w:t>
      </w:r>
      <w:r>
        <w:rPr/>
        <w:t>employees and</w:t>
      </w:r>
      <w:r>
        <w:rPr>
          <w:spacing w:val="40"/>
        </w:rPr>
        <w:t> </w:t>
      </w:r>
      <w:r>
        <w:rPr/>
        <w:t>employers</w:t>
      </w:r>
      <w:r>
        <w:rPr>
          <w:spacing w:val="40"/>
        </w:rPr>
        <w:t> </w:t>
      </w:r>
      <w:r>
        <w:rPr/>
        <w:t>know about the new scheme in place. Publicity is very fundamental to the success or otherwise of any new scheme. The interview disclosed</w:t>
      </w:r>
      <w:r>
        <w:rPr>
          <w:spacing w:val="80"/>
        </w:rPr>
        <w:t> </w:t>
      </w:r>
      <w:r>
        <w:rPr/>
        <w:t>that the Federal Government has paid in bulk the 2011 and 2012 contributions for all Federal Government -owned tertiary institutions and Research Institutes and that these institutions are not even</w:t>
      </w:r>
      <w:r>
        <w:rPr>
          <w:spacing w:val="40"/>
        </w:rPr>
        <w:t> </w:t>
      </w:r>
      <w:r>
        <w:rPr/>
        <w:t>aware of such information. This demonstrates some sort of complacency on the side of the Board as regards awareness about</w:t>
      </w:r>
      <w:r>
        <w:rPr>
          <w:spacing w:val="40"/>
        </w:rPr>
        <w:t> </w:t>
      </w:r>
      <w:r>
        <w:rPr/>
        <w:t>the</w:t>
      </w:r>
      <w:r>
        <w:rPr>
          <w:spacing w:val="39"/>
        </w:rPr>
        <w:t> </w:t>
      </w:r>
      <w:r>
        <w:rPr/>
        <w:t>scheme.</w:t>
      </w:r>
      <w:r>
        <w:rPr>
          <w:spacing w:val="40"/>
        </w:rPr>
        <w:t> </w:t>
      </w:r>
      <w:r>
        <w:rPr/>
        <w:t>The</w:t>
      </w:r>
      <w:r>
        <w:rPr>
          <w:spacing w:val="39"/>
        </w:rPr>
        <w:t> </w:t>
      </w:r>
      <w:r>
        <w:rPr/>
        <w:t>print</w:t>
      </w:r>
      <w:r>
        <w:rPr>
          <w:spacing w:val="40"/>
        </w:rPr>
        <w:t> </w:t>
      </w:r>
      <w:r>
        <w:rPr/>
        <w:t>media</w:t>
      </w:r>
      <w:r>
        <w:rPr>
          <w:spacing w:val="39"/>
        </w:rPr>
        <w:t> </w:t>
      </w:r>
      <w:r>
        <w:rPr/>
        <w:t>publicity</w:t>
      </w:r>
      <w:r>
        <w:rPr>
          <w:spacing w:val="40"/>
        </w:rPr>
        <w:t> </w:t>
      </w:r>
      <w:r>
        <w:rPr/>
        <w:t>will</w:t>
      </w:r>
      <w:r>
        <w:rPr>
          <w:spacing w:val="40"/>
        </w:rPr>
        <w:t> </w:t>
      </w:r>
      <w:r>
        <w:rPr/>
        <w:t>not suffice</w:t>
      </w:r>
      <w:r>
        <w:rPr>
          <w:spacing w:val="39"/>
        </w:rPr>
        <w:t> </w:t>
      </w:r>
      <w:r>
        <w:rPr/>
        <w:t>in</w:t>
      </w:r>
      <w:r>
        <w:rPr>
          <w:spacing w:val="40"/>
        </w:rPr>
        <w:t> </w:t>
      </w:r>
      <w:r>
        <w:rPr/>
        <w:t>a</w:t>
      </w:r>
      <w:r>
        <w:rPr>
          <w:spacing w:val="39"/>
        </w:rPr>
        <w:t> </w:t>
      </w:r>
      <w:r>
        <w:rPr/>
        <w:t>country like</w:t>
      </w:r>
      <w:r>
        <w:rPr>
          <w:spacing w:val="32"/>
        </w:rPr>
        <w:t> </w:t>
      </w:r>
      <w:r>
        <w:rPr/>
        <w:t>Nigeria</w:t>
      </w:r>
      <w:r>
        <w:rPr>
          <w:spacing w:val="32"/>
        </w:rPr>
        <w:t> </w:t>
      </w:r>
      <w:r>
        <w:rPr/>
        <w:t>where</w:t>
      </w:r>
      <w:r>
        <w:rPr>
          <w:spacing w:val="32"/>
        </w:rPr>
        <w:t> </w:t>
      </w:r>
      <w:r>
        <w:rPr/>
        <w:t>there</w:t>
      </w:r>
      <w:r>
        <w:rPr>
          <w:spacing w:val="33"/>
        </w:rPr>
        <w:t> </w:t>
      </w:r>
      <w:r>
        <w:rPr/>
        <w:t>is</w:t>
      </w:r>
      <w:r>
        <w:rPr>
          <w:spacing w:val="36"/>
        </w:rPr>
        <w:t> </w:t>
      </w:r>
      <w:r>
        <w:rPr/>
        <w:t>high</w:t>
      </w:r>
      <w:r>
        <w:rPr>
          <w:spacing w:val="34"/>
        </w:rPr>
        <w:t> </w:t>
      </w:r>
      <w:r>
        <w:rPr/>
        <w:t>level</w:t>
      </w:r>
      <w:r>
        <w:rPr>
          <w:spacing w:val="35"/>
        </w:rPr>
        <w:t> </w:t>
      </w:r>
      <w:r>
        <w:rPr/>
        <w:t>of</w:t>
      </w:r>
      <w:r>
        <w:rPr>
          <w:spacing w:val="33"/>
        </w:rPr>
        <w:t> </w:t>
      </w:r>
      <w:r>
        <w:rPr/>
        <w:t>illiteracy</w:t>
      </w:r>
      <w:r>
        <w:rPr>
          <w:spacing w:val="34"/>
        </w:rPr>
        <w:t> </w:t>
      </w:r>
      <w:r>
        <w:rPr/>
        <w:t>and</w:t>
      </w:r>
      <w:r>
        <w:rPr>
          <w:spacing w:val="35"/>
        </w:rPr>
        <w:t> </w:t>
      </w:r>
      <w:r>
        <w:rPr/>
        <w:t>poor</w:t>
      </w:r>
      <w:r>
        <w:rPr>
          <w:spacing w:val="33"/>
        </w:rPr>
        <w:t> </w:t>
      </w:r>
      <w:r>
        <w:rPr>
          <w:spacing w:val="-2"/>
        </w:rPr>
        <w:t>reading</w:t>
      </w:r>
    </w:p>
    <w:p>
      <w:pPr>
        <w:spacing w:after="0" w:line="489" w:lineRule="auto"/>
        <w:jc w:val="both"/>
        <w:sectPr>
          <w:pgSz w:w="12240" w:h="15840"/>
          <w:pgMar w:header="0" w:footer="1009" w:top="1260" w:bottom="1200" w:left="1680" w:right="1320"/>
        </w:sectPr>
      </w:pPr>
    </w:p>
    <w:p>
      <w:pPr>
        <w:pStyle w:val="BodyText"/>
        <w:spacing w:line="489" w:lineRule="auto" w:before="114"/>
        <w:ind w:left="1204" w:right="908"/>
        <w:jc w:val="both"/>
      </w:pPr>
      <w:r>
        <w:rPr/>
        <w:t>culture.</w:t>
      </w:r>
      <w:r>
        <w:rPr>
          <w:vertAlign w:val="superscript"/>
        </w:rPr>
        <w:t>2</w:t>
      </w:r>
      <w:r>
        <w:rPr>
          <w:vertAlign w:val="baseline"/>
        </w:rPr>
        <w:t> The Board must make deliberate efforts to organise direct talks</w:t>
      </w:r>
      <w:r>
        <w:rPr>
          <w:spacing w:val="36"/>
          <w:vertAlign w:val="baseline"/>
        </w:rPr>
        <w:t> </w:t>
      </w:r>
      <w:r>
        <w:rPr>
          <w:vertAlign w:val="baseline"/>
        </w:rPr>
        <w:t>with</w:t>
      </w:r>
      <w:r>
        <w:rPr>
          <w:spacing w:val="39"/>
          <w:vertAlign w:val="baseline"/>
        </w:rPr>
        <w:t> </w:t>
      </w:r>
      <w:r>
        <w:rPr>
          <w:vertAlign w:val="baseline"/>
        </w:rPr>
        <w:t>employees</w:t>
      </w:r>
      <w:r>
        <w:rPr>
          <w:spacing w:val="40"/>
          <w:vertAlign w:val="baseline"/>
        </w:rPr>
        <w:t> </w:t>
      </w:r>
      <w:r>
        <w:rPr>
          <w:vertAlign w:val="baseline"/>
        </w:rPr>
        <w:t>and</w:t>
      </w:r>
      <w:r>
        <w:rPr>
          <w:spacing w:val="40"/>
          <w:vertAlign w:val="baseline"/>
        </w:rPr>
        <w:t> </w:t>
      </w:r>
      <w:r>
        <w:rPr>
          <w:vertAlign w:val="baseline"/>
        </w:rPr>
        <w:t>employers</w:t>
      </w:r>
      <w:r>
        <w:rPr>
          <w:spacing w:val="40"/>
          <w:vertAlign w:val="baseline"/>
        </w:rPr>
        <w:t> </w:t>
      </w:r>
      <w:r>
        <w:rPr>
          <w:vertAlign w:val="baseline"/>
        </w:rPr>
        <w:t>in</w:t>
      </w:r>
      <w:r>
        <w:rPr>
          <w:spacing w:val="40"/>
          <w:vertAlign w:val="baseline"/>
        </w:rPr>
        <w:t> </w:t>
      </w:r>
      <w:r>
        <w:rPr>
          <w:vertAlign w:val="baseline"/>
        </w:rPr>
        <w:t>their</w:t>
      </w:r>
      <w:r>
        <w:rPr>
          <w:spacing w:val="37"/>
          <w:vertAlign w:val="baseline"/>
        </w:rPr>
        <w:t> </w:t>
      </w:r>
      <w:r>
        <w:rPr>
          <w:vertAlign w:val="baseline"/>
        </w:rPr>
        <w:t>places</w:t>
      </w:r>
      <w:r>
        <w:rPr>
          <w:spacing w:val="36"/>
          <w:vertAlign w:val="baseline"/>
        </w:rPr>
        <w:t> </w:t>
      </w:r>
      <w:r>
        <w:rPr>
          <w:vertAlign w:val="baseline"/>
        </w:rPr>
        <w:t>of</w:t>
      </w:r>
      <w:r>
        <w:rPr>
          <w:spacing w:val="38"/>
          <w:vertAlign w:val="baseline"/>
        </w:rPr>
        <w:t> </w:t>
      </w:r>
      <w:r>
        <w:rPr>
          <w:vertAlign w:val="baseline"/>
        </w:rPr>
        <w:t>work.</w:t>
      </w:r>
      <w:r>
        <w:rPr>
          <w:spacing w:val="40"/>
          <w:vertAlign w:val="baseline"/>
        </w:rPr>
        <w:t> </w:t>
      </w:r>
      <w:r>
        <w:rPr>
          <w:vertAlign w:val="baseline"/>
        </w:rPr>
        <w:t>As</w:t>
      </w:r>
      <w:r>
        <w:rPr>
          <w:spacing w:val="36"/>
          <w:vertAlign w:val="baseline"/>
        </w:rPr>
        <w:t> </w:t>
      </w:r>
      <w:r>
        <w:rPr>
          <w:vertAlign w:val="baseline"/>
        </w:rPr>
        <w:t>to the informal sector of the economy, publicity will be better if the Board the Board connects with village heads and district heads.</w:t>
      </w:r>
    </w:p>
    <w:p>
      <w:pPr>
        <w:pStyle w:val="BodyText"/>
        <w:spacing w:before="10"/>
      </w:pPr>
    </w:p>
    <w:p>
      <w:pPr>
        <w:pStyle w:val="Heading3"/>
        <w:numPr>
          <w:ilvl w:val="2"/>
          <w:numId w:val="21"/>
        </w:numPr>
        <w:tabs>
          <w:tab w:pos="1201" w:val="left" w:leader="none"/>
        </w:tabs>
        <w:spacing w:line="240" w:lineRule="auto" w:before="0" w:after="0"/>
        <w:ind w:left="1201" w:right="0" w:hanging="673"/>
        <w:jc w:val="left"/>
      </w:pPr>
      <w:r>
        <w:rPr/>
        <w:t>The</w:t>
      </w:r>
      <w:r>
        <w:rPr>
          <w:spacing w:val="6"/>
        </w:rPr>
        <w:t> </w:t>
      </w:r>
      <w:r>
        <w:rPr/>
        <w:t>Challenge</w:t>
      </w:r>
      <w:r>
        <w:rPr>
          <w:spacing w:val="6"/>
        </w:rPr>
        <w:t> </w:t>
      </w:r>
      <w:r>
        <w:rPr/>
        <w:t>of</w:t>
      </w:r>
      <w:r>
        <w:rPr>
          <w:spacing w:val="3"/>
        </w:rPr>
        <w:t> </w:t>
      </w:r>
      <w:r>
        <w:rPr>
          <w:spacing w:val="-2"/>
        </w:rPr>
        <w:t>implementation</w:t>
      </w:r>
    </w:p>
    <w:p>
      <w:pPr>
        <w:pStyle w:val="BodyText"/>
        <w:rPr>
          <w:b/>
        </w:rPr>
      </w:pPr>
    </w:p>
    <w:p>
      <w:pPr>
        <w:pStyle w:val="BodyText"/>
        <w:spacing w:before="17"/>
        <w:rPr>
          <w:b/>
        </w:rPr>
      </w:pPr>
    </w:p>
    <w:p>
      <w:pPr>
        <w:pStyle w:val="BodyText"/>
        <w:spacing w:line="491" w:lineRule="auto"/>
        <w:ind w:left="1204" w:right="907"/>
        <w:jc w:val="both"/>
      </w:pPr>
      <w:r>
        <w:rPr/>
        <w:t>Also, while the Act empowers the Board to make Rules and Regulations to govern cases of compensation that the scales are not specifically provided for in the Act, the interview revealed that there</w:t>
      </w:r>
      <w:r>
        <w:rPr>
          <w:spacing w:val="80"/>
        </w:rPr>
        <w:t> </w:t>
      </w:r>
      <w:r>
        <w:rPr/>
        <w:t>is</w:t>
      </w:r>
      <w:r>
        <w:rPr>
          <w:spacing w:val="40"/>
        </w:rPr>
        <w:t> </w:t>
      </w:r>
      <w:r>
        <w:rPr/>
        <w:t>no</w:t>
      </w:r>
      <w:r>
        <w:rPr>
          <w:spacing w:val="40"/>
        </w:rPr>
        <w:t> </w:t>
      </w:r>
      <w:r>
        <w:rPr/>
        <w:t>such</w:t>
      </w:r>
      <w:r>
        <w:rPr>
          <w:spacing w:val="40"/>
        </w:rPr>
        <w:t> </w:t>
      </w:r>
      <w:r>
        <w:rPr/>
        <w:t>Rules</w:t>
      </w:r>
      <w:r>
        <w:rPr>
          <w:spacing w:val="40"/>
        </w:rPr>
        <w:t> </w:t>
      </w:r>
      <w:r>
        <w:rPr/>
        <w:t>and</w:t>
      </w:r>
      <w:r>
        <w:rPr>
          <w:spacing w:val="40"/>
        </w:rPr>
        <w:t> </w:t>
      </w:r>
      <w:r>
        <w:rPr/>
        <w:t>Regulations</w:t>
      </w:r>
      <w:r>
        <w:rPr>
          <w:spacing w:val="40"/>
        </w:rPr>
        <w:t> </w:t>
      </w:r>
      <w:r>
        <w:rPr/>
        <w:t>in</w:t>
      </w:r>
      <w:r>
        <w:rPr>
          <w:spacing w:val="40"/>
        </w:rPr>
        <w:t> </w:t>
      </w:r>
      <w:r>
        <w:rPr/>
        <w:t>place</w:t>
      </w:r>
      <w:r>
        <w:rPr>
          <w:spacing w:val="40"/>
        </w:rPr>
        <w:t> </w:t>
      </w:r>
      <w:r>
        <w:rPr/>
        <w:t>yet</w:t>
      </w:r>
      <w:r>
        <w:rPr>
          <w:vertAlign w:val="superscript"/>
        </w:rPr>
        <w:t>3</w:t>
      </w:r>
      <w:r>
        <w:rPr>
          <w:vertAlign w:val="baseline"/>
        </w:rPr>
        <w:t>.</w:t>
      </w:r>
      <w:r>
        <w:rPr>
          <w:spacing w:val="40"/>
          <w:vertAlign w:val="baseline"/>
        </w:rPr>
        <w:t> </w:t>
      </w:r>
      <w:r>
        <w:rPr>
          <w:vertAlign w:val="baseline"/>
        </w:rPr>
        <w:t>The</w:t>
      </w:r>
      <w:r>
        <w:rPr>
          <w:spacing w:val="40"/>
          <w:vertAlign w:val="baseline"/>
        </w:rPr>
        <w:t> </w:t>
      </w:r>
      <w:r>
        <w:rPr>
          <w:vertAlign w:val="baseline"/>
        </w:rPr>
        <w:t>implication</w:t>
      </w:r>
      <w:r>
        <w:rPr>
          <w:spacing w:val="40"/>
          <w:vertAlign w:val="baseline"/>
        </w:rPr>
        <w:t> </w:t>
      </w:r>
      <w:r>
        <w:rPr>
          <w:vertAlign w:val="baseline"/>
        </w:rPr>
        <w:t>is that victims of such cases cannot be sure of the scale of their compensation, even though the Act makes their cases compensable. Also the Act seems not to compel the Board to make the Rules that will cover such situations.</w:t>
      </w:r>
      <w:r>
        <w:rPr>
          <w:vertAlign w:val="superscript"/>
        </w:rPr>
        <w:t>4</w:t>
      </w:r>
    </w:p>
    <w:p>
      <w:pPr>
        <w:pStyle w:val="BodyText"/>
        <w:spacing w:line="489" w:lineRule="auto" w:before="271"/>
        <w:ind w:left="1204" w:right="902"/>
        <w:jc w:val="both"/>
      </w:pPr>
      <w:r>
        <w:rPr/>
        <w:t>Arising from the interview also, is the challenge of enforcing the scheme</w:t>
      </w:r>
      <w:r>
        <w:rPr>
          <w:spacing w:val="70"/>
        </w:rPr>
        <w:t> </w:t>
      </w:r>
      <w:r>
        <w:rPr/>
        <w:t>within</w:t>
      </w:r>
      <w:r>
        <w:rPr>
          <w:spacing w:val="73"/>
        </w:rPr>
        <w:t> </w:t>
      </w:r>
      <w:r>
        <w:rPr/>
        <w:t>the</w:t>
      </w:r>
      <w:r>
        <w:rPr>
          <w:spacing w:val="76"/>
        </w:rPr>
        <w:t> </w:t>
      </w:r>
      <w:r>
        <w:rPr/>
        <w:t>informal</w:t>
      </w:r>
      <w:r>
        <w:rPr>
          <w:spacing w:val="73"/>
        </w:rPr>
        <w:t> </w:t>
      </w:r>
      <w:r>
        <w:rPr/>
        <w:t>sector</w:t>
      </w:r>
      <w:r>
        <w:rPr>
          <w:spacing w:val="76"/>
        </w:rPr>
        <w:t> </w:t>
      </w:r>
      <w:r>
        <w:rPr/>
        <w:t>of</w:t>
      </w:r>
      <w:r>
        <w:rPr>
          <w:spacing w:val="76"/>
        </w:rPr>
        <w:t> </w:t>
      </w:r>
      <w:r>
        <w:rPr/>
        <w:t>the</w:t>
      </w:r>
      <w:r>
        <w:rPr>
          <w:spacing w:val="76"/>
        </w:rPr>
        <w:t> </w:t>
      </w:r>
      <w:r>
        <w:rPr/>
        <w:t>economy</w:t>
      </w:r>
      <w:r>
        <w:rPr>
          <w:vertAlign w:val="superscript"/>
        </w:rPr>
        <w:t>5</w:t>
      </w:r>
      <w:r>
        <w:rPr>
          <w:vertAlign w:val="baseline"/>
        </w:rPr>
        <w:t>.</w:t>
      </w:r>
      <w:r>
        <w:rPr>
          <w:spacing w:val="75"/>
          <w:vertAlign w:val="baseline"/>
        </w:rPr>
        <w:t> </w:t>
      </w:r>
      <w:r>
        <w:rPr>
          <w:vertAlign w:val="baseline"/>
        </w:rPr>
        <w:t>At</w:t>
      </w:r>
      <w:r>
        <w:rPr>
          <w:spacing w:val="72"/>
          <w:vertAlign w:val="baseline"/>
        </w:rPr>
        <w:t> </w:t>
      </w:r>
      <w:r>
        <w:rPr>
          <w:vertAlign w:val="baseline"/>
        </w:rPr>
        <w:t>a</w:t>
      </w:r>
      <w:r>
        <w:rPr>
          <w:spacing w:val="76"/>
          <w:vertAlign w:val="baseline"/>
        </w:rPr>
        <w:t> </w:t>
      </w:r>
      <w:r>
        <w:rPr>
          <w:spacing w:val="-2"/>
          <w:vertAlign w:val="baseline"/>
        </w:rPr>
        <w:t>time,</w:t>
      </w:r>
    </w:p>
    <w:p>
      <w:pPr>
        <w:pStyle w:val="BodyText"/>
        <w:spacing w:before="1"/>
        <w:rPr>
          <w:sz w:val="13"/>
        </w:rPr>
      </w:pPr>
      <w:r>
        <w:rPr/>
        <mc:AlternateContent>
          <mc:Choice Requires="wps">
            <w:drawing>
              <wp:anchor distT="0" distB="0" distL="0" distR="0" allowOverlap="1" layoutInCell="1" locked="0" behindDoc="1" simplePos="0" relativeHeight="487651328">
                <wp:simplePos x="0" y="0"/>
                <wp:positionH relativeFrom="page">
                  <wp:posOffset>1399032</wp:posOffset>
                </wp:positionH>
                <wp:positionV relativeFrom="paragraph">
                  <wp:posOffset>115935</wp:posOffset>
                </wp:positionV>
                <wp:extent cx="1719580" cy="6350"/>
                <wp:effectExtent l="0" t="0" r="0" b="0"/>
                <wp:wrapTopAndBottom/>
                <wp:docPr id="147" name="Graphic 147"/>
                <wp:cNvGraphicFramePr>
                  <a:graphicFrameLocks/>
                </wp:cNvGraphicFramePr>
                <a:graphic>
                  <a:graphicData uri="http://schemas.microsoft.com/office/word/2010/wordprocessingShape">
                    <wps:wsp>
                      <wps:cNvPr id="147" name="Graphic 147"/>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10.160004pt;margin-top:9.12875pt;width:135.360pt;height:.48pt;mso-position-horizontal-relative:page;mso-position-vertical-relative:paragraph;z-index:-15665152;mso-wrap-distance-left:0;mso-wrap-distance-right:0" id="docshape147" filled="true" fillcolor="#000000" stroked="false">
                <v:fill type="solid"/>
                <w10:wrap type="topAndBottom"/>
              </v:rect>
            </w:pict>
          </mc:Fallback>
        </mc:AlternateContent>
      </w:r>
    </w:p>
    <w:p>
      <w:pPr>
        <w:spacing w:line="240" w:lineRule="auto" w:before="91"/>
        <w:ind w:left="528" w:right="1023" w:firstLine="0"/>
        <w:jc w:val="left"/>
        <w:rPr>
          <w:rFonts w:ascii="Times New Roman" w:hAnsi="Times New Roman"/>
          <w:sz w:val="19"/>
        </w:rPr>
      </w:pPr>
      <w:r>
        <w:rPr>
          <w:rFonts w:ascii="Times New Roman" w:hAnsi="Times New Roman"/>
          <w:sz w:val="19"/>
          <w:vertAlign w:val="superscript"/>
        </w:rPr>
        <w:t>2</w:t>
      </w:r>
      <w:r>
        <w:rPr>
          <w:rFonts w:ascii="Times New Roman" w:hAnsi="Times New Roman"/>
          <w:spacing w:val="-10"/>
          <w:sz w:val="19"/>
          <w:vertAlign w:val="baseline"/>
        </w:rPr>
        <w:t> </w:t>
      </w:r>
      <w:r>
        <w:rPr>
          <w:rFonts w:ascii="Times New Roman" w:hAnsi="Times New Roman"/>
          <w:sz w:val="19"/>
          <w:vertAlign w:val="baseline"/>
        </w:rPr>
        <w:t>See</w:t>
      </w:r>
      <w:r>
        <w:rPr>
          <w:rFonts w:ascii="Times New Roman" w:hAnsi="Times New Roman"/>
          <w:spacing w:val="-10"/>
          <w:sz w:val="19"/>
          <w:vertAlign w:val="baseline"/>
        </w:rPr>
        <w:t> </w:t>
      </w:r>
      <w:r>
        <w:rPr>
          <w:rFonts w:ascii="Times New Roman" w:hAnsi="Times New Roman"/>
          <w:sz w:val="19"/>
          <w:vertAlign w:val="baseline"/>
        </w:rPr>
        <w:t>Tunde,</w:t>
      </w:r>
      <w:r>
        <w:rPr>
          <w:rFonts w:ascii="Times New Roman" w:hAnsi="Times New Roman"/>
          <w:spacing w:val="-9"/>
          <w:sz w:val="19"/>
          <w:vertAlign w:val="baseline"/>
        </w:rPr>
        <w:t> </w:t>
      </w:r>
      <w:r>
        <w:rPr>
          <w:rFonts w:ascii="Times New Roman" w:hAnsi="Times New Roman"/>
          <w:sz w:val="19"/>
          <w:vertAlign w:val="baseline"/>
        </w:rPr>
        <w:t>G</w:t>
      </w:r>
      <w:r>
        <w:rPr>
          <w:rFonts w:ascii="Times New Roman" w:hAnsi="Times New Roman"/>
          <w:spacing w:val="-6"/>
          <w:sz w:val="19"/>
          <w:vertAlign w:val="baseline"/>
        </w:rPr>
        <w:t> </w:t>
      </w:r>
      <w:r>
        <w:rPr>
          <w:rFonts w:ascii="Times New Roman" w:hAnsi="Times New Roman"/>
          <w:sz w:val="19"/>
          <w:vertAlign w:val="baseline"/>
        </w:rPr>
        <w:t>‘Library</w:t>
      </w:r>
      <w:r>
        <w:rPr>
          <w:rFonts w:ascii="Times New Roman" w:hAnsi="Times New Roman"/>
          <w:spacing w:val="-12"/>
          <w:sz w:val="19"/>
          <w:vertAlign w:val="baseline"/>
        </w:rPr>
        <w:t> </w:t>
      </w:r>
      <w:r>
        <w:rPr>
          <w:rFonts w:ascii="Times New Roman" w:hAnsi="Times New Roman"/>
          <w:sz w:val="19"/>
          <w:vertAlign w:val="baseline"/>
        </w:rPr>
        <w:t>Reading</w:t>
      </w:r>
      <w:r>
        <w:rPr>
          <w:rFonts w:ascii="Times New Roman" w:hAnsi="Times New Roman"/>
          <w:spacing w:val="-11"/>
          <w:sz w:val="19"/>
          <w:vertAlign w:val="baseline"/>
        </w:rPr>
        <w:t> </w:t>
      </w:r>
      <w:r>
        <w:rPr>
          <w:rFonts w:ascii="Times New Roman" w:hAnsi="Times New Roman"/>
          <w:sz w:val="19"/>
          <w:vertAlign w:val="baseline"/>
        </w:rPr>
        <w:t>Culture</w:t>
      </w:r>
      <w:r>
        <w:rPr>
          <w:rFonts w:ascii="Times New Roman" w:hAnsi="Times New Roman"/>
          <w:spacing w:val="-10"/>
          <w:sz w:val="19"/>
          <w:vertAlign w:val="baseline"/>
        </w:rPr>
        <w:t> </w:t>
      </w:r>
      <w:r>
        <w:rPr>
          <w:rFonts w:ascii="Times New Roman" w:hAnsi="Times New Roman"/>
          <w:sz w:val="19"/>
          <w:vertAlign w:val="baseline"/>
        </w:rPr>
        <w:t>and</w:t>
      </w:r>
      <w:r>
        <w:rPr>
          <w:rFonts w:ascii="Times New Roman" w:hAnsi="Times New Roman"/>
          <w:spacing w:val="-11"/>
          <w:sz w:val="19"/>
          <w:vertAlign w:val="baseline"/>
        </w:rPr>
        <w:t> </w:t>
      </w:r>
      <w:r>
        <w:rPr>
          <w:rFonts w:ascii="Times New Roman" w:hAnsi="Times New Roman"/>
          <w:sz w:val="19"/>
          <w:vertAlign w:val="baseline"/>
        </w:rPr>
        <w:t>Students’</w:t>
      </w:r>
      <w:r>
        <w:rPr>
          <w:rFonts w:ascii="Times New Roman" w:hAnsi="Times New Roman"/>
          <w:spacing w:val="-9"/>
          <w:sz w:val="19"/>
          <w:vertAlign w:val="baseline"/>
        </w:rPr>
        <w:t> </w:t>
      </w:r>
      <w:r>
        <w:rPr>
          <w:rFonts w:ascii="Times New Roman" w:hAnsi="Times New Roman"/>
          <w:sz w:val="19"/>
          <w:vertAlign w:val="baseline"/>
        </w:rPr>
        <w:t>Academic</w:t>
      </w:r>
      <w:r>
        <w:rPr>
          <w:rFonts w:ascii="Times New Roman" w:hAnsi="Times New Roman"/>
          <w:spacing w:val="-6"/>
          <w:sz w:val="19"/>
          <w:vertAlign w:val="baseline"/>
        </w:rPr>
        <w:t> </w:t>
      </w:r>
      <w:r>
        <w:rPr>
          <w:rFonts w:ascii="Times New Roman" w:hAnsi="Times New Roman"/>
          <w:sz w:val="19"/>
          <w:vertAlign w:val="baseline"/>
        </w:rPr>
        <w:t>Performance</w:t>
      </w:r>
      <w:r>
        <w:rPr>
          <w:rFonts w:ascii="Times New Roman" w:hAnsi="Times New Roman"/>
          <w:spacing w:val="-10"/>
          <w:sz w:val="19"/>
          <w:vertAlign w:val="baseline"/>
        </w:rPr>
        <w:t> </w:t>
      </w:r>
      <w:r>
        <w:rPr>
          <w:rFonts w:ascii="Times New Roman" w:hAnsi="Times New Roman"/>
          <w:sz w:val="19"/>
          <w:vertAlign w:val="baseline"/>
        </w:rPr>
        <w:t>in</w:t>
      </w:r>
      <w:r>
        <w:rPr>
          <w:rFonts w:ascii="Times New Roman" w:hAnsi="Times New Roman"/>
          <w:spacing w:val="-7"/>
          <w:sz w:val="19"/>
          <w:vertAlign w:val="baseline"/>
        </w:rPr>
        <w:t> </w:t>
      </w:r>
      <w:r>
        <w:rPr>
          <w:rFonts w:ascii="Times New Roman" w:hAnsi="Times New Roman"/>
          <w:sz w:val="19"/>
          <w:vertAlign w:val="baseline"/>
        </w:rPr>
        <w:t>Secondary</w:t>
      </w:r>
      <w:r>
        <w:rPr>
          <w:rFonts w:ascii="Times New Roman" w:hAnsi="Times New Roman"/>
          <w:spacing w:val="-11"/>
          <w:sz w:val="19"/>
          <w:vertAlign w:val="baseline"/>
        </w:rPr>
        <w:t> </w:t>
      </w:r>
      <w:r>
        <w:rPr>
          <w:rFonts w:ascii="Times New Roman" w:hAnsi="Times New Roman"/>
          <w:sz w:val="19"/>
          <w:vertAlign w:val="baseline"/>
        </w:rPr>
        <w:t>Schools in Oyo State’ </w:t>
      </w:r>
      <w:r>
        <w:rPr>
          <w:rFonts w:ascii="Times New Roman" w:hAnsi="Times New Roman"/>
          <w:i/>
          <w:sz w:val="19"/>
          <w:vertAlign w:val="baseline"/>
        </w:rPr>
        <w:t>Middle</w:t>
      </w:r>
      <w:r>
        <w:rPr>
          <w:rFonts w:ascii="Times New Roman" w:hAnsi="Times New Roman"/>
          <w:i/>
          <w:spacing w:val="-5"/>
          <w:sz w:val="19"/>
          <w:vertAlign w:val="baseline"/>
        </w:rPr>
        <w:t> </w:t>
      </w:r>
      <w:r>
        <w:rPr>
          <w:rFonts w:ascii="Times New Roman" w:hAnsi="Times New Roman"/>
          <w:i/>
          <w:sz w:val="19"/>
          <w:vertAlign w:val="baseline"/>
        </w:rPr>
        <w:t>Belt Journal of</w:t>
      </w:r>
      <w:r>
        <w:rPr>
          <w:rFonts w:ascii="Times New Roman" w:hAnsi="Times New Roman"/>
          <w:i/>
          <w:spacing w:val="-3"/>
          <w:sz w:val="19"/>
          <w:vertAlign w:val="baseline"/>
        </w:rPr>
        <w:t> </w:t>
      </w:r>
      <w:r>
        <w:rPr>
          <w:rFonts w:ascii="Times New Roman" w:hAnsi="Times New Roman"/>
          <w:i/>
          <w:sz w:val="19"/>
          <w:vertAlign w:val="baseline"/>
        </w:rPr>
        <w:t>Library and Information Science (</w:t>
      </w:r>
      <w:r>
        <w:rPr>
          <w:rFonts w:ascii="Times New Roman" w:hAnsi="Times New Roman"/>
          <w:sz w:val="19"/>
          <w:vertAlign w:val="baseline"/>
        </w:rPr>
        <w:t>2007)pp.42-58 for an exposition on poor</w:t>
      </w:r>
      <w:r>
        <w:rPr>
          <w:rFonts w:ascii="Times New Roman" w:hAnsi="Times New Roman"/>
          <w:spacing w:val="40"/>
          <w:sz w:val="19"/>
          <w:vertAlign w:val="baseline"/>
        </w:rPr>
        <w:t> </w:t>
      </w:r>
      <w:r>
        <w:rPr>
          <w:rFonts w:ascii="Times New Roman" w:hAnsi="Times New Roman"/>
          <w:sz w:val="19"/>
          <w:vertAlign w:val="baseline"/>
        </w:rPr>
        <w:t>reading culture in Nigeria.</w:t>
      </w:r>
    </w:p>
    <w:p>
      <w:pPr>
        <w:spacing w:line="237" w:lineRule="auto" w:before="0"/>
        <w:ind w:left="528" w:right="1023" w:firstLine="0"/>
        <w:jc w:val="left"/>
        <w:rPr>
          <w:rFonts w:ascii="Times New Roman"/>
          <w:sz w:val="19"/>
        </w:rPr>
      </w:pPr>
      <w:r>
        <w:rPr>
          <w:rFonts w:ascii="Times New Roman"/>
          <w:sz w:val="19"/>
          <w:vertAlign w:val="superscript"/>
        </w:rPr>
        <w:t>3</w:t>
      </w:r>
      <w:r>
        <w:rPr>
          <w:rFonts w:ascii="Times New Roman"/>
          <w:spacing w:val="-4"/>
          <w:sz w:val="19"/>
          <w:vertAlign w:val="baseline"/>
        </w:rPr>
        <w:t> </w:t>
      </w:r>
      <w:r>
        <w:rPr>
          <w:rFonts w:ascii="Times New Roman"/>
          <w:sz w:val="19"/>
          <w:vertAlign w:val="baseline"/>
        </w:rPr>
        <w:t>For example,</w:t>
      </w:r>
      <w:r>
        <w:rPr>
          <w:rFonts w:ascii="Times New Roman"/>
          <w:spacing w:val="-2"/>
          <w:sz w:val="19"/>
          <w:vertAlign w:val="baseline"/>
        </w:rPr>
        <w:t> </w:t>
      </w:r>
      <w:r>
        <w:rPr>
          <w:rFonts w:ascii="Times New Roman"/>
          <w:sz w:val="19"/>
          <w:vertAlign w:val="baseline"/>
        </w:rPr>
        <w:t>section</w:t>
      </w:r>
      <w:r>
        <w:rPr>
          <w:rFonts w:ascii="Times New Roman"/>
          <w:spacing w:val="-5"/>
          <w:sz w:val="19"/>
          <w:vertAlign w:val="baseline"/>
        </w:rPr>
        <w:t> </w:t>
      </w:r>
      <w:r>
        <w:rPr>
          <w:rFonts w:ascii="Times New Roman"/>
          <w:sz w:val="19"/>
          <w:vertAlign w:val="baseline"/>
        </w:rPr>
        <w:t>10</w:t>
      </w:r>
      <w:r>
        <w:rPr>
          <w:rFonts w:ascii="Times New Roman"/>
          <w:spacing w:val="-9"/>
          <w:sz w:val="19"/>
          <w:vertAlign w:val="baseline"/>
        </w:rPr>
        <w:t> </w:t>
      </w:r>
      <w:r>
        <w:rPr>
          <w:rFonts w:ascii="Times New Roman"/>
          <w:sz w:val="19"/>
          <w:vertAlign w:val="baseline"/>
        </w:rPr>
        <w:t>of</w:t>
      </w:r>
      <w:r>
        <w:rPr>
          <w:rFonts w:ascii="Times New Roman"/>
          <w:spacing w:val="-7"/>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act</w:t>
      </w:r>
      <w:r>
        <w:rPr>
          <w:rFonts w:ascii="Times New Roman"/>
          <w:spacing w:val="-6"/>
          <w:sz w:val="19"/>
          <w:vertAlign w:val="baseline"/>
        </w:rPr>
        <w:t> </w:t>
      </w:r>
      <w:r>
        <w:rPr>
          <w:rFonts w:ascii="Times New Roman"/>
          <w:sz w:val="19"/>
          <w:vertAlign w:val="baseline"/>
        </w:rPr>
        <w:t>says where</w:t>
      </w:r>
      <w:r>
        <w:rPr>
          <w:rFonts w:ascii="Times New Roman"/>
          <w:spacing w:val="-12"/>
          <w:sz w:val="19"/>
          <w:vertAlign w:val="baseline"/>
        </w:rPr>
        <w:t> </w:t>
      </w:r>
      <w:r>
        <w:rPr>
          <w:rFonts w:ascii="Times New Roman"/>
          <w:sz w:val="19"/>
          <w:vertAlign w:val="baseline"/>
        </w:rPr>
        <w:t>hearing</w:t>
      </w:r>
      <w:r>
        <w:rPr>
          <w:rFonts w:ascii="Times New Roman"/>
          <w:spacing w:val="-9"/>
          <w:sz w:val="19"/>
          <w:vertAlign w:val="baseline"/>
        </w:rPr>
        <w:t> </w:t>
      </w:r>
      <w:r>
        <w:rPr>
          <w:rFonts w:ascii="Times New Roman"/>
          <w:sz w:val="19"/>
          <w:vertAlign w:val="baseline"/>
        </w:rPr>
        <w:t>impairment</w:t>
      </w:r>
      <w:r>
        <w:rPr>
          <w:rFonts w:ascii="Times New Roman"/>
          <w:spacing w:val="-6"/>
          <w:sz w:val="19"/>
          <w:vertAlign w:val="baseline"/>
        </w:rPr>
        <w:t> </w:t>
      </w:r>
      <w:r>
        <w:rPr>
          <w:rFonts w:ascii="Times New Roman"/>
          <w:sz w:val="19"/>
          <w:vertAlign w:val="baseline"/>
        </w:rPr>
        <w:t>results</w:t>
      </w:r>
      <w:r>
        <w:rPr>
          <w:rFonts w:ascii="Times New Roman"/>
          <w:spacing w:val="-11"/>
          <w:sz w:val="19"/>
          <w:vertAlign w:val="baseline"/>
        </w:rPr>
        <w:t> </w:t>
      </w:r>
      <w:r>
        <w:rPr>
          <w:rFonts w:ascii="Times New Roman"/>
          <w:sz w:val="19"/>
          <w:vertAlign w:val="baseline"/>
        </w:rPr>
        <w:t>to</w:t>
      </w:r>
      <w:r>
        <w:rPr>
          <w:rFonts w:ascii="Times New Roman"/>
          <w:spacing w:val="-9"/>
          <w:sz w:val="19"/>
          <w:vertAlign w:val="baseline"/>
        </w:rPr>
        <w:t> </w:t>
      </w:r>
      <w:r>
        <w:rPr>
          <w:rFonts w:ascii="Times New Roman"/>
          <w:sz w:val="19"/>
          <w:vertAlign w:val="baseline"/>
        </w:rPr>
        <w:t>deafness</w:t>
      </w:r>
      <w:r>
        <w:rPr>
          <w:rFonts w:ascii="Times New Roman"/>
          <w:spacing w:val="-3"/>
          <w:sz w:val="19"/>
          <w:vertAlign w:val="baseline"/>
        </w:rPr>
        <w:t> </w:t>
      </w:r>
      <w:r>
        <w:rPr>
          <w:rFonts w:ascii="Times New Roman"/>
          <w:sz w:val="19"/>
          <w:vertAlign w:val="baseline"/>
        </w:rPr>
        <w:t>and</w:t>
      </w:r>
      <w:r>
        <w:rPr>
          <w:rFonts w:ascii="Times New Roman"/>
          <w:spacing w:val="-9"/>
          <w:sz w:val="19"/>
          <w:vertAlign w:val="baseline"/>
        </w:rPr>
        <w:t> </w:t>
      </w:r>
      <w:r>
        <w:rPr>
          <w:rFonts w:ascii="Times New Roman"/>
          <w:sz w:val="19"/>
          <w:vertAlign w:val="baseline"/>
        </w:rPr>
        <w:t>there</w:t>
      </w:r>
      <w:r>
        <w:rPr>
          <w:rFonts w:ascii="Times New Roman"/>
          <w:spacing w:val="-8"/>
          <w:sz w:val="19"/>
          <w:vertAlign w:val="baseline"/>
        </w:rPr>
        <w:t> </w:t>
      </w:r>
      <w:r>
        <w:rPr>
          <w:rFonts w:ascii="Times New Roman"/>
          <w:sz w:val="19"/>
          <w:vertAlign w:val="baseline"/>
        </w:rPr>
        <w:t>is</w:t>
      </w:r>
      <w:r>
        <w:rPr>
          <w:rFonts w:ascii="Times New Roman"/>
          <w:spacing w:val="-11"/>
          <w:sz w:val="19"/>
          <w:vertAlign w:val="baseline"/>
        </w:rPr>
        <w:t> </w:t>
      </w:r>
      <w:r>
        <w:rPr>
          <w:rFonts w:ascii="Times New Roman"/>
          <w:sz w:val="19"/>
          <w:vertAlign w:val="baseline"/>
        </w:rPr>
        <w:t>no earning loss, compensation shall be provided by Regulations</w:t>
      </w:r>
      <w:r>
        <w:rPr>
          <w:rFonts w:ascii="Times New Roman"/>
          <w:spacing w:val="-3"/>
          <w:sz w:val="19"/>
          <w:vertAlign w:val="baseline"/>
        </w:rPr>
        <w:t> </w:t>
      </w:r>
      <w:r>
        <w:rPr>
          <w:rFonts w:ascii="Times New Roman"/>
          <w:sz w:val="19"/>
          <w:vertAlign w:val="baseline"/>
        </w:rPr>
        <w:t>made by</w:t>
      </w:r>
      <w:r>
        <w:rPr>
          <w:rFonts w:ascii="Times New Roman"/>
          <w:spacing w:val="-6"/>
          <w:sz w:val="19"/>
          <w:vertAlign w:val="baseline"/>
        </w:rPr>
        <w:t> </w:t>
      </w:r>
      <w:r>
        <w:rPr>
          <w:rFonts w:ascii="Times New Roman"/>
          <w:sz w:val="19"/>
          <w:vertAlign w:val="baseline"/>
        </w:rPr>
        <w:t>the Board under the Act. See also</w:t>
      </w:r>
      <w:r>
        <w:rPr>
          <w:rFonts w:ascii="Times New Roman"/>
          <w:spacing w:val="-11"/>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8(2)</w:t>
      </w:r>
      <w:r>
        <w:rPr>
          <w:rFonts w:ascii="Times New Roman"/>
          <w:spacing w:val="-8"/>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Act</w:t>
      </w:r>
      <w:r>
        <w:rPr>
          <w:rFonts w:ascii="Times New Roman"/>
          <w:spacing w:val="-3"/>
          <w:sz w:val="19"/>
          <w:vertAlign w:val="baseline"/>
        </w:rPr>
        <w:t> </w:t>
      </w:r>
      <w:r>
        <w:rPr>
          <w:rFonts w:ascii="Times New Roman"/>
          <w:sz w:val="19"/>
          <w:vertAlign w:val="baseline"/>
        </w:rPr>
        <w:t>which</w:t>
      </w:r>
      <w:r>
        <w:rPr>
          <w:rFonts w:ascii="Times New Roman"/>
          <w:spacing w:val="-7"/>
          <w:sz w:val="19"/>
          <w:vertAlign w:val="baseline"/>
        </w:rPr>
        <w:t> </w:t>
      </w:r>
      <w:r>
        <w:rPr>
          <w:rFonts w:ascii="Times New Roman"/>
          <w:sz w:val="19"/>
          <w:vertAlign w:val="baseline"/>
        </w:rPr>
        <w:t>says</w:t>
      </w:r>
      <w:r>
        <w:rPr>
          <w:rFonts w:ascii="Times New Roman"/>
          <w:spacing w:val="-9"/>
          <w:sz w:val="19"/>
          <w:vertAlign w:val="baseline"/>
        </w:rPr>
        <w:t> </w:t>
      </w:r>
      <w:r>
        <w:rPr>
          <w:rFonts w:ascii="Times New Roman"/>
          <w:sz w:val="19"/>
          <w:vertAlign w:val="baseline"/>
        </w:rPr>
        <w:t>compensation</w:t>
      </w:r>
      <w:r>
        <w:rPr>
          <w:rFonts w:ascii="Times New Roman"/>
          <w:spacing w:val="-2"/>
          <w:sz w:val="19"/>
          <w:vertAlign w:val="baseline"/>
        </w:rPr>
        <w:t> </w:t>
      </w:r>
      <w:r>
        <w:rPr>
          <w:rFonts w:ascii="Times New Roman"/>
          <w:sz w:val="19"/>
          <w:vertAlign w:val="baseline"/>
        </w:rPr>
        <w:t>for</w:t>
      </w:r>
      <w:r>
        <w:rPr>
          <w:rFonts w:ascii="Times New Roman"/>
          <w:spacing w:val="-8"/>
          <w:sz w:val="19"/>
          <w:vertAlign w:val="baseline"/>
        </w:rPr>
        <w:t> </w:t>
      </w:r>
      <w:r>
        <w:rPr>
          <w:rFonts w:ascii="Times New Roman"/>
          <w:sz w:val="19"/>
          <w:vertAlign w:val="baseline"/>
        </w:rPr>
        <w:t>mental</w:t>
      </w:r>
      <w:r>
        <w:rPr>
          <w:rFonts w:ascii="Times New Roman"/>
          <w:spacing w:val="-3"/>
          <w:sz w:val="19"/>
          <w:vertAlign w:val="baseline"/>
        </w:rPr>
        <w:t> </w:t>
      </w:r>
      <w:r>
        <w:rPr>
          <w:rFonts w:ascii="Times New Roman"/>
          <w:sz w:val="19"/>
          <w:vertAlign w:val="baseline"/>
        </w:rPr>
        <w:t>stress</w:t>
      </w:r>
      <w:r>
        <w:rPr>
          <w:rFonts w:ascii="Times New Roman"/>
          <w:spacing w:val="-12"/>
          <w:sz w:val="19"/>
          <w:vertAlign w:val="baseline"/>
        </w:rPr>
        <w:t> </w:t>
      </w:r>
      <w:r>
        <w:rPr>
          <w:rFonts w:ascii="Times New Roman"/>
          <w:sz w:val="19"/>
          <w:vertAlign w:val="baseline"/>
        </w:rPr>
        <w:t>is</w:t>
      </w:r>
      <w:r>
        <w:rPr>
          <w:rFonts w:ascii="Times New Roman"/>
          <w:spacing w:val="-9"/>
          <w:sz w:val="19"/>
          <w:vertAlign w:val="baseline"/>
        </w:rPr>
        <w:t> </w:t>
      </w:r>
      <w:r>
        <w:rPr>
          <w:rFonts w:ascii="Times New Roman"/>
          <w:sz w:val="19"/>
          <w:vertAlign w:val="baseline"/>
        </w:rPr>
        <w:t>as</w:t>
      </w:r>
      <w:r>
        <w:rPr>
          <w:rFonts w:ascii="Times New Roman"/>
          <w:spacing w:val="-12"/>
          <w:sz w:val="19"/>
          <w:vertAlign w:val="baseline"/>
        </w:rPr>
        <w:t> </w:t>
      </w:r>
      <w:r>
        <w:rPr>
          <w:rFonts w:ascii="Times New Roman"/>
          <w:sz w:val="19"/>
          <w:vertAlign w:val="baseline"/>
        </w:rPr>
        <w:t>may</w:t>
      </w:r>
      <w:r>
        <w:rPr>
          <w:rFonts w:ascii="Times New Roman"/>
          <w:spacing w:val="-10"/>
          <w:sz w:val="19"/>
          <w:vertAlign w:val="baseline"/>
        </w:rPr>
        <w:t> </w:t>
      </w:r>
      <w:r>
        <w:rPr>
          <w:rFonts w:ascii="Times New Roman"/>
          <w:sz w:val="19"/>
          <w:vertAlign w:val="baseline"/>
        </w:rPr>
        <w:t>be</w:t>
      </w:r>
      <w:r>
        <w:rPr>
          <w:rFonts w:ascii="Times New Roman"/>
          <w:spacing w:val="-5"/>
          <w:sz w:val="19"/>
          <w:vertAlign w:val="baseline"/>
        </w:rPr>
        <w:t> </w:t>
      </w:r>
      <w:r>
        <w:rPr>
          <w:rFonts w:ascii="Times New Roman"/>
          <w:sz w:val="19"/>
          <w:vertAlign w:val="baseline"/>
        </w:rPr>
        <w:t>determined</w:t>
      </w:r>
      <w:r>
        <w:rPr>
          <w:rFonts w:ascii="Times New Roman"/>
          <w:spacing w:val="-2"/>
          <w:sz w:val="19"/>
          <w:vertAlign w:val="baseline"/>
        </w:rPr>
        <w:t> </w:t>
      </w:r>
      <w:r>
        <w:rPr>
          <w:rFonts w:ascii="Times New Roman"/>
          <w:sz w:val="19"/>
          <w:vertAlign w:val="baseline"/>
        </w:rPr>
        <w:t>under any</w:t>
      </w:r>
      <w:r>
        <w:rPr>
          <w:rFonts w:ascii="Times New Roman"/>
          <w:spacing w:val="-2"/>
          <w:sz w:val="19"/>
          <w:vertAlign w:val="baseline"/>
        </w:rPr>
        <w:t> </w:t>
      </w:r>
      <w:r>
        <w:rPr>
          <w:rFonts w:ascii="Times New Roman"/>
          <w:sz w:val="19"/>
          <w:vertAlign w:val="baseline"/>
        </w:rPr>
        <w:t>Regulation made by the Board. The Act is</w:t>
      </w:r>
      <w:r>
        <w:rPr>
          <w:rFonts w:ascii="Times New Roman"/>
          <w:spacing w:val="-6"/>
          <w:sz w:val="19"/>
          <w:vertAlign w:val="baseline"/>
        </w:rPr>
        <w:t> </w:t>
      </w:r>
      <w:r>
        <w:rPr>
          <w:rFonts w:ascii="Times New Roman"/>
          <w:sz w:val="19"/>
          <w:vertAlign w:val="baseline"/>
        </w:rPr>
        <w:t>replete with such examples.</w:t>
      </w:r>
    </w:p>
    <w:p>
      <w:pPr>
        <w:spacing w:line="237" w:lineRule="auto" w:before="0"/>
        <w:ind w:left="528" w:right="1056" w:firstLine="0"/>
        <w:jc w:val="left"/>
        <w:rPr>
          <w:rFonts w:ascii="Times New Roman" w:hAnsi="Times New Roman"/>
          <w:sz w:val="19"/>
        </w:rPr>
      </w:pPr>
      <w:r>
        <w:rPr>
          <w:rFonts w:ascii="Times New Roman" w:hAnsi="Times New Roman"/>
          <w:sz w:val="19"/>
          <w:vertAlign w:val="superscript"/>
        </w:rPr>
        <w:t>4</w:t>
      </w:r>
      <w:r>
        <w:rPr>
          <w:rFonts w:ascii="Times New Roman" w:hAnsi="Times New Roman"/>
          <w:sz w:val="19"/>
          <w:vertAlign w:val="baseline"/>
        </w:rPr>
        <w:t> For example, section 8(2) of the Act,</w:t>
      </w:r>
      <w:r>
        <w:rPr>
          <w:rFonts w:ascii="Times New Roman" w:hAnsi="Times New Roman"/>
          <w:spacing w:val="-2"/>
          <w:sz w:val="19"/>
          <w:vertAlign w:val="baseline"/>
        </w:rPr>
        <w:t> </w:t>
      </w:r>
      <w:r>
        <w:rPr>
          <w:rFonts w:ascii="Times New Roman" w:hAnsi="Times New Roman"/>
          <w:i/>
          <w:sz w:val="19"/>
          <w:vertAlign w:val="baseline"/>
        </w:rPr>
        <w:t>inter</w:t>
      </w:r>
      <w:r>
        <w:rPr>
          <w:rFonts w:ascii="Times New Roman" w:hAnsi="Times New Roman"/>
          <w:i/>
          <w:spacing w:val="-4"/>
          <w:sz w:val="19"/>
          <w:vertAlign w:val="baseline"/>
        </w:rPr>
        <w:t> </w:t>
      </w:r>
      <w:r>
        <w:rPr>
          <w:rFonts w:ascii="Times New Roman" w:hAnsi="Times New Roman"/>
          <w:i/>
          <w:sz w:val="19"/>
          <w:vertAlign w:val="baseline"/>
        </w:rPr>
        <w:t>alia </w:t>
      </w:r>
      <w:r>
        <w:rPr>
          <w:rFonts w:ascii="Times New Roman" w:hAnsi="Times New Roman"/>
          <w:sz w:val="19"/>
          <w:vertAlign w:val="baseline"/>
        </w:rPr>
        <w:t>states “…such situation shall be liable to compensation,</w:t>
      </w:r>
      <w:r>
        <w:rPr>
          <w:rFonts w:ascii="Times New Roman" w:hAnsi="Times New Roman"/>
          <w:spacing w:val="-10"/>
          <w:sz w:val="19"/>
          <w:vertAlign w:val="baseline"/>
        </w:rPr>
        <w:t> </w:t>
      </w:r>
      <w:r>
        <w:rPr>
          <w:rFonts w:ascii="Times New Roman" w:hAnsi="Times New Roman"/>
          <w:sz w:val="19"/>
          <w:vertAlign w:val="baseline"/>
        </w:rPr>
        <w:t>to</w:t>
      </w:r>
      <w:r>
        <w:rPr>
          <w:rFonts w:ascii="Times New Roman" w:hAnsi="Times New Roman"/>
          <w:spacing w:val="-8"/>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degree</w:t>
      </w:r>
      <w:r>
        <w:rPr>
          <w:rFonts w:ascii="Times New Roman" w:hAnsi="Times New Roman"/>
          <w:spacing w:val="-7"/>
          <w:sz w:val="19"/>
          <w:vertAlign w:val="baseline"/>
        </w:rPr>
        <w:t> </w:t>
      </w:r>
      <w:r>
        <w:rPr>
          <w:rFonts w:ascii="Times New Roman" w:hAnsi="Times New Roman"/>
          <w:sz w:val="19"/>
          <w:vertAlign w:val="baseline"/>
        </w:rPr>
        <w:t>as</w:t>
      </w:r>
      <w:r>
        <w:rPr>
          <w:rFonts w:ascii="Times New Roman" w:hAnsi="Times New Roman"/>
          <w:spacing w:val="-11"/>
          <w:sz w:val="19"/>
          <w:vertAlign w:val="baseline"/>
        </w:rPr>
        <w:t> </w:t>
      </w:r>
      <w:r>
        <w:rPr>
          <w:rFonts w:ascii="Times New Roman" w:hAnsi="Times New Roman"/>
          <w:sz w:val="19"/>
          <w:vertAlign w:val="baseline"/>
        </w:rPr>
        <w:t>may</w:t>
      </w:r>
      <w:r>
        <w:rPr>
          <w:rFonts w:ascii="Times New Roman" w:hAnsi="Times New Roman"/>
          <w:spacing w:val="-12"/>
          <w:sz w:val="19"/>
          <w:vertAlign w:val="baseline"/>
        </w:rPr>
        <w:t> </w:t>
      </w:r>
      <w:r>
        <w:rPr>
          <w:rFonts w:ascii="Times New Roman" w:hAnsi="Times New Roman"/>
          <w:sz w:val="19"/>
          <w:vertAlign w:val="baseline"/>
        </w:rPr>
        <w:t>be</w:t>
      </w:r>
      <w:r>
        <w:rPr>
          <w:rFonts w:ascii="Times New Roman" w:hAnsi="Times New Roman"/>
          <w:spacing w:val="-7"/>
          <w:sz w:val="19"/>
          <w:vertAlign w:val="baseline"/>
        </w:rPr>
        <w:t> </w:t>
      </w:r>
      <w:r>
        <w:rPr>
          <w:rFonts w:ascii="Times New Roman" w:hAnsi="Times New Roman"/>
          <w:sz w:val="19"/>
          <w:vertAlign w:val="baseline"/>
        </w:rPr>
        <w:t>determined</w:t>
      </w:r>
      <w:r>
        <w:rPr>
          <w:rFonts w:ascii="Times New Roman" w:hAnsi="Times New Roman"/>
          <w:spacing w:val="-8"/>
          <w:sz w:val="19"/>
          <w:vertAlign w:val="baseline"/>
        </w:rPr>
        <w:t> </w:t>
      </w:r>
      <w:r>
        <w:rPr>
          <w:rFonts w:ascii="Times New Roman" w:hAnsi="Times New Roman"/>
          <w:sz w:val="19"/>
          <w:vertAlign w:val="baseline"/>
        </w:rPr>
        <w:t>under</w:t>
      </w:r>
      <w:r>
        <w:rPr>
          <w:rFonts w:ascii="Times New Roman" w:hAnsi="Times New Roman"/>
          <w:spacing w:val="-6"/>
          <w:sz w:val="19"/>
          <w:vertAlign w:val="baseline"/>
        </w:rPr>
        <w:t> </w:t>
      </w:r>
      <w:r>
        <w:rPr>
          <w:rFonts w:ascii="Times New Roman" w:hAnsi="Times New Roman"/>
          <w:sz w:val="19"/>
          <w:vertAlign w:val="baseline"/>
        </w:rPr>
        <w:t>any</w:t>
      </w:r>
      <w:r>
        <w:rPr>
          <w:rFonts w:ascii="Times New Roman" w:hAnsi="Times New Roman"/>
          <w:spacing w:val="-8"/>
          <w:sz w:val="19"/>
          <w:vertAlign w:val="baseline"/>
        </w:rPr>
        <w:t> </w:t>
      </w:r>
      <w:r>
        <w:rPr>
          <w:rFonts w:ascii="Times New Roman" w:hAnsi="Times New Roman"/>
          <w:sz w:val="19"/>
          <w:vertAlign w:val="baseline"/>
        </w:rPr>
        <w:t>Regulation</w:t>
      </w:r>
      <w:r>
        <w:rPr>
          <w:rFonts w:ascii="Times New Roman" w:hAnsi="Times New Roman"/>
          <w:spacing w:val="-5"/>
          <w:sz w:val="19"/>
          <w:vertAlign w:val="baseline"/>
        </w:rPr>
        <w:t> </w:t>
      </w:r>
      <w:r>
        <w:rPr>
          <w:rFonts w:ascii="Times New Roman" w:hAnsi="Times New Roman"/>
          <w:sz w:val="19"/>
          <w:vertAlign w:val="baseline"/>
        </w:rPr>
        <w:t>made</w:t>
      </w:r>
      <w:r>
        <w:rPr>
          <w:rFonts w:ascii="Times New Roman" w:hAnsi="Times New Roman"/>
          <w:spacing w:val="-7"/>
          <w:sz w:val="19"/>
          <w:vertAlign w:val="baseline"/>
        </w:rPr>
        <w:t> </w:t>
      </w:r>
      <w:r>
        <w:rPr>
          <w:rFonts w:ascii="Times New Roman" w:hAnsi="Times New Roman"/>
          <w:sz w:val="19"/>
          <w:vertAlign w:val="baseline"/>
        </w:rPr>
        <w:t>by</w:t>
      </w:r>
      <w:r>
        <w:rPr>
          <w:rFonts w:ascii="Times New Roman" w:hAnsi="Times New Roman"/>
          <w:spacing w:val="-12"/>
          <w:sz w:val="19"/>
          <w:vertAlign w:val="baseline"/>
        </w:rPr>
        <w:t> </w:t>
      </w:r>
      <w:r>
        <w:rPr>
          <w:rFonts w:ascii="Times New Roman" w:hAnsi="Times New Roman"/>
          <w:sz w:val="19"/>
          <w:vertAlign w:val="baseline"/>
        </w:rPr>
        <w:t>the</w:t>
      </w:r>
      <w:r>
        <w:rPr>
          <w:rFonts w:ascii="Times New Roman" w:hAnsi="Times New Roman"/>
          <w:spacing w:val="-7"/>
          <w:sz w:val="19"/>
          <w:vertAlign w:val="baseline"/>
        </w:rPr>
        <w:t> </w:t>
      </w:r>
      <w:r>
        <w:rPr>
          <w:rFonts w:ascii="Times New Roman" w:hAnsi="Times New Roman"/>
          <w:sz w:val="19"/>
          <w:vertAlign w:val="baseline"/>
        </w:rPr>
        <w:t>Board’.</w:t>
      </w:r>
    </w:p>
    <w:p>
      <w:pPr>
        <w:spacing w:line="237" w:lineRule="auto" w:before="0"/>
        <w:ind w:left="528" w:right="881" w:firstLine="0"/>
        <w:jc w:val="left"/>
        <w:rPr>
          <w:rFonts w:ascii="Times New Roman"/>
          <w:sz w:val="19"/>
        </w:rPr>
      </w:pPr>
      <w:r>
        <w:rPr>
          <w:rFonts w:ascii="Times New Roman"/>
          <w:sz w:val="19"/>
          <w:vertAlign w:val="superscript"/>
        </w:rPr>
        <w:t>5</w:t>
      </w:r>
      <w:r>
        <w:rPr>
          <w:rFonts w:ascii="Times New Roman"/>
          <w:sz w:val="19"/>
          <w:vertAlign w:val="baseline"/>
        </w:rPr>
        <w:t> The difference between formal and informal sectors of the</w:t>
      </w:r>
      <w:r>
        <w:rPr>
          <w:rFonts w:ascii="Times New Roman"/>
          <w:spacing w:val="-3"/>
          <w:sz w:val="19"/>
          <w:vertAlign w:val="baseline"/>
        </w:rPr>
        <w:t> </w:t>
      </w:r>
      <w:r>
        <w:rPr>
          <w:rFonts w:ascii="Times New Roman"/>
          <w:sz w:val="19"/>
          <w:vertAlign w:val="baseline"/>
        </w:rPr>
        <w:t>economy</w:t>
      </w:r>
      <w:r>
        <w:rPr>
          <w:rFonts w:ascii="Times New Roman"/>
          <w:spacing w:val="-4"/>
          <w:sz w:val="19"/>
          <w:vertAlign w:val="baseline"/>
        </w:rPr>
        <w:t> </w:t>
      </w:r>
      <w:r>
        <w:rPr>
          <w:rFonts w:ascii="Times New Roman"/>
          <w:sz w:val="19"/>
          <w:vertAlign w:val="baseline"/>
        </w:rPr>
        <w:t>is a thing of regulation. The formal</w:t>
      </w:r>
      <w:r>
        <w:rPr>
          <w:rFonts w:ascii="Times New Roman"/>
          <w:spacing w:val="-12"/>
          <w:sz w:val="19"/>
          <w:vertAlign w:val="baseline"/>
        </w:rPr>
        <w:t> </w:t>
      </w:r>
      <w:r>
        <w:rPr>
          <w:rFonts w:ascii="Times New Roman"/>
          <w:sz w:val="19"/>
          <w:vertAlign w:val="baseline"/>
        </w:rPr>
        <w:t>economy</w:t>
      </w:r>
      <w:r>
        <w:rPr>
          <w:rFonts w:ascii="Times New Roman"/>
          <w:spacing w:val="-12"/>
          <w:sz w:val="19"/>
          <w:vertAlign w:val="baseline"/>
        </w:rPr>
        <w:t> </w:t>
      </w:r>
      <w:r>
        <w:rPr>
          <w:rFonts w:ascii="Times New Roman"/>
          <w:sz w:val="19"/>
          <w:vertAlign w:val="baseline"/>
        </w:rPr>
        <w:t>includes</w:t>
      </w:r>
      <w:r>
        <w:rPr>
          <w:rFonts w:ascii="Times New Roman"/>
          <w:spacing w:val="-12"/>
          <w:sz w:val="19"/>
          <w:vertAlign w:val="baseline"/>
        </w:rPr>
        <w:t> </w:t>
      </w:r>
      <w:r>
        <w:rPr>
          <w:rFonts w:ascii="Times New Roman"/>
          <w:sz w:val="19"/>
          <w:vertAlign w:val="baseline"/>
        </w:rPr>
        <w:t>reported</w:t>
      </w:r>
      <w:r>
        <w:rPr>
          <w:rFonts w:ascii="Times New Roman"/>
          <w:spacing w:val="-12"/>
          <w:sz w:val="19"/>
          <w:vertAlign w:val="baseline"/>
        </w:rPr>
        <w:t> </w:t>
      </w:r>
      <w:r>
        <w:rPr>
          <w:rFonts w:ascii="Times New Roman"/>
          <w:sz w:val="19"/>
          <w:vertAlign w:val="baseline"/>
        </w:rPr>
        <w:t>payroll</w:t>
      </w:r>
      <w:r>
        <w:rPr>
          <w:rFonts w:ascii="Times New Roman"/>
          <w:spacing w:val="-4"/>
          <w:sz w:val="19"/>
          <w:vertAlign w:val="baseline"/>
        </w:rPr>
        <w:t> </w:t>
      </w:r>
      <w:r>
        <w:rPr>
          <w:rFonts w:ascii="Times New Roman"/>
          <w:sz w:val="19"/>
          <w:vertAlign w:val="baseline"/>
        </w:rPr>
        <w:t>items,</w:t>
      </w:r>
      <w:r>
        <w:rPr>
          <w:rFonts w:ascii="Times New Roman"/>
          <w:spacing w:val="-7"/>
          <w:sz w:val="19"/>
          <w:vertAlign w:val="baseline"/>
        </w:rPr>
        <w:t> </w:t>
      </w:r>
      <w:r>
        <w:rPr>
          <w:rFonts w:ascii="Times New Roman"/>
          <w:sz w:val="19"/>
          <w:vertAlign w:val="baseline"/>
        </w:rPr>
        <w:t>income</w:t>
      </w:r>
      <w:r>
        <w:rPr>
          <w:rFonts w:ascii="Times New Roman"/>
          <w:spacing w:val="-10"/>
          <w:sz w:val="19"/>
          <w:vertAlign w:val="baseline"/>
        </w:rPr>
        <w:t> </w:t>
      </w:r>
      <w:r>
        <w:rPr>
          <w:rFonts w:ascii="Times New Roman"/>
          <w:sz w:val="19"/>
          <w:vertAlign w:val="baseline"/>
        </w:rPr>
        <w:t>taxes</w:t>
      </w:r>
      <w:r>
        <w:rPr>
          <w:rFonts w:ascii="Times New Roman"/>
          <w:spacing w:val="-10"/>
          <w:sz w:val="19"/>
          <w:vertAlign w:val="baseline"/>
        </w:rPr>
        <w:t> </w:t>
      </w:r>
      <w:r>
        <w:rPr>
          <w:rFonts w:ascii="Times New Roman"/>
          <w:sz w:val="19"/>
          <w:vertAlign w:val="baseline"/>
        </w:rPr>
        <w:t>and</w:t>
      </w:r>
      <w:r>
        <w:rPr>
          <w:rFonts w:ascii="Times New Roman"/>
          <w:spacing w:val="-11"/>
          <w:sz w:val="19"/>
          <w:vertAlign w:val="baseline"/>
        </w:rPr>
        <w:t> </w:t>
      </w:r>
      <w:r>
        <w:rPr>
          <w:rFonts w:ascii="Times New Roman"/>
          <w:sz w:val="19"/>
          <w:vertAlign w:val="baseline"/>
        </w:rPr>
        <w:t>any</w:t>
      </w:r>
      <w:r>
        <w:rPr>
          <w:rFonts w:ascii="Times New Roman"/>
          <w:spacing w:val="-12"/>
          <w:sz w:val="19"/>
          <w:vertAlign w:val="baseline"/>
        </w:rPr>
        <w:t> </w:t>
      </w:r>
      <w:r>
        <w:rPr>
          <w:rFonts w:ascii="Times New Roman"/>
          <w:sz w:val="19"/>
          <w:vertAlign w:val="baseline"/>
        </w:rPr>
        <w:t>other</w:t>
      </w:r>
      <w:r>
        <w:rPr>
          <w:rFonts w:ascii="Times New Roman"/>
          <w:spacing w:val="-9"/>
          <w:sz w:val="19"/>
          <w:vertAlign w:val="baseline"/>
        </w:rPr>
        <w:t> </w:t>
      </w:r>
      <w:r>
        <w:rPr>
          <w:rFonts w:ascii="Times New Roman"/>
          <w:sz w:val="19"/>
          <w:vertAlign w:val="baseline"/>
        </w:rPr>
        <w:t>official</w:t>
      </w:r>
      <w:r>
        <w:rPr>
          <w:rFonts w:ascii="Times New Roman"/>
          <w:spacing w:val="-8"/>
          <w:sz w:val="19"/>
          <w:vertAlign w:val="baseline"/>
        </w:rPr>
        <w:t> </w:t>
      </w:r>
      <w:r>
        <w:rPr>
          <w:rFonts w:ascii="Times New Roman"/>
          <w:sz w:val="19"/>
          <w:vertAlign w:val="baseline"/>
        </w:rPr>
        <w:t>economic</w:t>
      </w:r>
      <w:r>
        <w:rPr>
          <w:rFonts w:ascii="Times New Roman"/>
          <w:spacing w:val="-11"/>
          <w:sz w:val="19"/>
          <w:vertAlign w:val="baseline"/>
        </w:rPr>
        <w:t> </w:t>
      </w:r>
      <w:r>
        <w:rPr>
          <w:rFonts w:ascii="Times New Roman"/>
          <w:sz w:val="19"/>
          <w:vertAlign w:val="baseline"/>
        </w:rPr>
        <w:t>factors. Informal sector is</w:t>
      </w:r>
      <w:r>
        <w:rPr>
          <w:rFonts w:ascii="Times New Roman"/>
          <w:spacing w:val="-3"/>
          <w:sz w:val="19"/>
          <w:vertAlign w:val="baseline"/>
        </w:rPr>
        <w:t> </w:t>
      </w:r>
      <w:r>
        <w:rPr>
          <w:rFonts w:ascii="Times New Roman"/>
          <w:sz w:val="19"/>
          <w:vertAlign w:val="baseline"/>
        </w:rPr>
        <w:t>that sector mostly</w:t>
      </w:r>
      <w:r>
        <w:rPr>
          <w:rFonts w:ascii="Times New Roman"/>
          <w:spacing w:val="-5"/>
          <w:sz w:val="19"/>
          <w:vertAlign w:val="baseline"/>
        </w:rPr>
        <w:t> </w:t>
      </w:r>
      <w:r>
        <w:rPr>
          <w:rFonts w:ascii="Times New Roman"/>
          <w:sz w:val="19"/>
          <w:vertAlign w:val="baseline"/>
        </w:rPr>
        <w:t>not organized and may</w:t>
      </w:r>
      <w:r>
        <w:rPr>
          <w:rFonts w:ascii="Times New Roman"/>
          <w:spacing w:val="-5"/>
          <w:sz w:val="19"/>
          <w:vertAlign w:val="baseline"/>
        </w:rPr>
        <w:t> </w:t>
      </w:r>
      <w:r>
        <w:rPr>
          <w:rFonts w:ascii="Times New Roman"/>
          <w:sz w:val="19"/>
          <w:vertAlign w:val="baseline"/>
        </w:rPr>
        <w:t>not be effectively</w:t>
      </w:r>
      <w:r>
        <w:rPr>
          <w:rFonts w:ascii="Times New Roman"/>
          <w:spacing w:val="-5"/>
          <w:sz w:val="19"/>
          <w:vertAlign w:val="baseline"/>
        </w:rPr>
        <w:t> </w:t>
      </w:r>
      <w:r>
        <w:rPr>
          <w:rFonts w:ascii="Times New Roman"/>
          <w:sz w:val="19"/>
          <w:vertAlign w:val="baseline"/>
        </w:rPr>
        <w:t>monitored by Government especially</w:t>
      </w:r>
      <w:r>
        <w:rPr>
          <w:rFonts w:ascii="Times New Roman"/>
          <w:spacing w:val="-4"/>
          <w:sz w:val="19"/>
          <w:vertAlign w:val="baseline"/>
        </w:rPr>
        <w:t> </w:t>
      </w:r>
      <w:r>
        <w:rPr>
          <w:rFonts w:ascii="Times New Roman"/>
          <w:sz w:val="19"/>
          <w:vertAlign w:val="baseline"/>
        </w:rPr>
        <w:t>in less developed countries: it</w:t>
      </w:r>
      <w:r>
        <w:rPr>
          <w:rFonts w:ascii="Times New Roman"/>
          <w:spacing w:val="-1"/>
          <w:sz w:val="19"/>
          <w:vertAlign w:val="baseline"/>
        </w:rPr>
        <w:t> </w:t>
      </w:r>
      <w:r>
        <w:rPr>
          <w:rFonts w:ascii="Times New Roman"/>
          <w:sz w:val="19"/>
          <w:vertAlign w:val="baseline"/>
        </w:rPr>
        <w:t>is</w:t>
      </w:r>
      <w:r>
        <w:rPr>
          <w:rFonts w:ascii="Times New Roman"/>
          <w:spacing w:val="-2"/>
          <w:sz w:val="19"/>
          <w:vertAlign w:val="baseline"/>
        </w:rPr>
        <w:t> </w:t>
      </w:r>
      <w:r>
        <w:rPr>
          <w:rFonts w:ascii="Times New Roman"/>
          <w:sz w:val="19"/>
          <w:vertAlign w:val="baseline"/>
        </w:rPr>
        <w:t>diverse</w:t>
      </w:r>
      <w:r>
        <w:rPr>
          <w:rFonts w:ascii="Times New Roman"/>
          <w:spacing w:val="-3"/>
          <w:sz w:val="19"/>
          <w:vertAlign w:val="baseline"/>
        </w:rPr>
        <w:t> </w:t>
      </w:r>
      <w:r>
        <w:rPr>
          <w:rFonts w:ascii="Times New Roman"/>
          <w:sz w:val="19"/>
          <w:vertAlign w:val="baseline"/>
        </w:rPr>
        <w:t>and includes street vendors, peasant farmers,</w:t>
      </w:r>
      <w:r>
        <w:rPr>
          <w:rFonts w:ascii="Times New Roman"/>
          <w:spacing w:val="-7"/>
          <w:sz w:val="19"/>
          <w:vertAlign w:val="baseline"/>
        </w:rPr>
        <w:t> </w:t>
      </w:r>
      <w:r>
        <w:rPr>
          <w:rFonts w:ascii="Times New Roman"/>
          <w:sz w:val="19"/>
          <w:vertAlign w:val="baseline"/>
        </w:rPr>
        <w:t>roadside</w:t>
      </w:r>
      <w:r>
        <w:rPr>
          <w:rFonts w:ascii="Times New Roman"/>
          <w:spacing w:val="34"/>
          <w:sz w:val="19"/>
          <w:vertAlign w:val="baseline"/>
        </w:rPr>
        <w:t> </w:t>
      </w:r>
      <w:r>
        <w:rPr>
          <w:rFonts w:ascii="Times New Roman"/>
          <w:sz w:val="19"/>
          <w:vertAlign w:val="baseline"/>
        </w:rPr>
        <w:t>mechanics</w:t>
      </w:r>
      <w:r>
        <w:rPr>
          <w:rFonts w:ascii="Times New Roman"/>
          <w:spacing w:val="-1"/>
          <w:sz w:val="19"/>
          <w:vertAlign w:val="baseline"/>
        </w:rPr>
        <w:t> </w:t>
      </w:r>
      <w:r>
        <w:rPr>
          <w:rFonts w:ascii="Times New Roman"/>
          <w:sz w:val="19"/>
          <w:vertAlign w:val="baseline"/>
        </w:rPr>
        <w:t>etc. whose</w:t>
      </w:r>
      <w:r>
        <w:rPr>
          <w:rFonts w:ascii="Times New Roman"/>
          <w:spacing w:val="-1"/>
          <w:sz w:val="19"/>
          <w:vertAlign w:val="baseline"/>
        </w:rPr>
        <w:t> </w:t>
      </w:r>
      <w:r>
        <w:rPr>
          <w:rFonts w:ascii="Times New Roman"/>
          <w:sz w:val="19"/>
          <w:vertAlign w:val="baseline"/>
        </w:rPr>
        <w:t>activities</w:t>
      </w:r>
      <w:r>
        <w:rPr>
          <w:rFonts w:ascii="Times New Roman"/>
          <w:spacing w:val="-6"/>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incomes</w:t>
      </w:r>
      <w:r>
        <w:rPr>
          <w:rFonts w:ascii="Times New Roman"/>
          <w:spacing w:val="-1"/>
          <w:sz w:val="19"/>
          <w:vertAlign w:val="baseline"/>
        </w:rPr>
        <w:t> </w:t>
      </w:r>
      <w:r>
        <w:rPr>
          <w:rFonts w:ascii="Times New Roman"/>
          <w:sz w:val="19"/>
          <w:vertAlign w:val="baseline"/>
        </w:rPr>
        <w:t>may</w:t>
      </w:r>
      <w:r>
        <w:rPr>
          <w:rFonts w:ascii="Times New Roman"/>
          <w:spacing w:val="-11"/>
          <w:sz w:val="19"/>
          <w:vertAlign w:val="baseline"/>
        </w:rPr>
        <w:t> </w:t>
      </w:r>
      <w:r>
        <w:rPr>
          <w:rFonts w:ascii="Times New Roman"/>
          <w:sz w:val="19"/>
          <w:vertAlign w:val="baseline"/>
        </w:rPr>
        <w:t>not be</w:t>
      </w:r>
      <w:r>
        <w:rPr>
          <w:rFonts w:ascii="Times New Roman"/>
          <w:spacing w:val="-6"/>
          <w:sz w:val="19"/>
          <w:vertAlign w:val="baseline"/>
        </w:rPr>
        <w:t> </w:t>
      </w:r>
      <w:r>
        <w:rPr>
          <w:rFonts w:ascii="Times New Roman"/>
          <w:sz w:val="19"/>
          <w:vertAlign w:val="baseline"/>
        </w:rPr>
        <w:t>monitored</w:t>
      </w:r>
      <w:r>
        <w:rPr>
          <w:rFonts w:ascii="Times New Roman"/>
          <w:spacing w:val="-6"/>
          <w:sz w:val="19"/>
          <w:vertAlign w:val="baseline"/>
        </w:rPr>
        <w:t> </w:t>
      </w:r>
      <w:r>
        <w:rPr>
          <w:rFonts w:ascii="Times New Roman"/>
          <w:sz w:val="19"/>
          <w:vertAlign w:val="baseline"/>
        </w:rPr>
        <w:t>by</w:t>
      </w:r>
      <w:r>
        <w:rPr>
          <w:rFonts w:ascii="Times New Roman"/>
          <w:spacing w:val="-11"/>
          <w:sz w:val="19"/>
          <w:vertAlign w:val="baseline"/>
        </w:rPr>
        <w:t> </w:t>
      </w:r>
      <w:r>
        <w:rPr>
          <w:rFonts w:ascii="Times New Roman"/>
          <w:sz w:val="19"/>
          <w:vertAlign w:val="baseline"/>
        </w:rPr>
        <w:t>government. In Nigerian situation ,enterprises</w:t>
      </w:r>
      <w:r>
        <w:rPr>
          <w:rFonts w:ascii="Times New Roman"/>
          <w:spacing w:val="-3"/>
          <w:sz w:val="19"/>
          <w:vertAlign w:val="baseline"/>
        </w:rPr>
        <w:t> </w:t>
      </w:r>
      <w:r>
        <w:rPr>
          <w:rFonts w:ascii="Times New Roman"/>
          <w:sz w:val="19"/>
          <w:vertAlign w:val="baseline"/>
        </w:rPr>
        <w:t>not created by</w:t>
      </w:r>
      <w:r>
        <w:rPr>
          <w:rFonts w:ascii="Times New Roman"/>
          <w:spacing w:val="-5"/>
          <w:sz w:val="19"/>
          <w:vertAlign w:val="baseline"/>
        </w:rPr>
        <w:t> </w:t>
      </w:r>
      <w:r>
        <w:rPr>
          <w:rFonts w:ascii="Times New Roman"/>
          <w:sz w:val="19"/>
          <w:vertAlign w:val="baseline"/>
        </w:rPr>
        <w:t>statutes or registered with</w:t>
      </w:r>
      <w:r>
        <w:rPr>
          <w:rFonts w:ascii="Times New Roman"/>
          <w:spacing w:val="40"/>
          <w:sz w:val="19"/>
          <w:vertAlign w:val="baseline"/>
        </w:rPr>
        <w:t> </w:t>
      </w:r>
      <w:r>
        <w:rPr>
          <w:rFonts w:ascii="Times New Roman"/>
          <w:sz w:val="19"/>
          <w:vertAlign w:val="baseline"/>
        </w:rPr>
        <w:t>C.A.C</w:t>
      </w:r>
      <w:r>
        <w:rPr>
          <w:rFonts w:ascii="Times New Roman"/>
          <w:spacing w:val="-3"/>
          <w:sz w:val="19"/>
          <w:vertAlign w:val="baseline"/>
        </w:rPr>
        <w:t> </w:t>
      </w:r>
      <w:r>
        <w:rPr>
          <w:rFonts w:ascii="Times New Roman"/>
          <w:sz w:val="19"/>
          <w:vertAlign w:val="baseline"/>
        </w:rPr>
        <w:t>are informal</w:t>
      </w:r>
      <w:r>
        <w:rPr>
          <w:rFonts w:ascii="Times New Roman"/>
          <w:spacing w:val="-1"/>
          <w:sz w:val="19"/>
          <w:vertAlign w:val="baseline"/>
        </w:rPr>
        <w:t> </w:t>
      </w:r>
      <w:r>
        <w:rPr>
          <w:rFonts w:ascii="Times New Roman"/>
          <w:sz w:val="19"/>
          <w:vertAlign w:val="baseline"/>
        </w:rPr>
        <w:t>and cannot be</w:t>
      </w:r>
      <w:r>
        <w:rPr>
          <w:rFonts w:ascii="Times New Roman"/>
          <w:spacing w:val="40"/>
          <w:sz w:val="19"/>
          <w:vertAlign w:val="baseline"/>
        </w:rPr>
        <w:t> </w:t>
      </w:r>
      <w:r>
        <w:rPr>
          <w:rFonts w:ascii="Times New Roman"/>
          <w:sz w:val="19"/>
          <w:vertAlign w:val="baseline"/>
        </w:rPr>
        <w:t>effectively monitored by Government</w:t>
      </w:r>
    </w:p>
    <w:p>
      <w:pPr>
        <w:spacing w:after="0" w:line="237" w:lineRule="auto"/>
        <w:jc w:val="left"/>
        <w:rPr>
          <w:rFonts w:ascii="Times New Roman"/>
          <w:sz w:val="19"/>
        </w:rPr>
        <w:sectPr>
          <w:pgSz w:w="12240" w:h="15840"/>
          <w:pgMar w:header="0" w:footer="1009" w:top="1240" w:bottom="1200" w:left="1680" w:right="1320"/>
        </w:sectPr>
      </w:pPr>
    </w:p>
    <w:p>
      <w:pPr>
        <w:pStyle w:val="BodyText"/>
        <w:spacing w:line="489" w:lineRule="auto" w:before="94"/>
        <w:ind w:left="1204" w:right="906"/>
        <w:jc w:val="both"/>
      </w:pPr>
      <w:r>
        <w:rPr/>
        <w:t>attention</w:t>
      </w:r>
      <w:r>
        <w:rPr>
          <w:spacing w:val="40"/>
        </w:rPr>
        <w:t> </w:t>
      </w:r>
      <w:r>
        <w:rPr/>
        <w:t>was</w:t>
      </w:r>
      <w:r>
        <w:rPr>
          <w:spacing w:val="40"/>
        </w:rPr>
        <w:t> </w:t>
      </w:r>
      <w:r>
        <w:rPr/>
        <w:t>not</w:t>
      </w:r>
      <w:r>
        <w:rPr>
          <w:spacing w:val="40"/>
        </w:rPr>
        <w:t> </w:t>
      </w:r>
      <w:r>
        <w:rPr/>
        <w:t>given</w:t>
      </w:r>
      <w:r>
        <w:rPr>
          <w:spacing w:val="40"/>
        </w:rPr>
        <w:t> </w:t>
      </w:r>
      <w:r>
        <w:rPr/>
        <w:t>to</w:t>
      </w:r>
      <w:r>
        <w:rPr>
          <w:spacing w:val="40"/>
        </w:rPr>
        <w:t> </w:t>
      </w:r>
      <w:r>
        <w:rPr/>
        <w:t>economic</w:t>
      </w:r>
      <w:r>
        <w:rPr>
          <w:spacing w:val="40"/>
        </w:rPr>
        <w:t> </w:t>
      </w:r>
      <w:r>
        <w:rPr/>
        <w:t>activities</w:t>
      </w:r>
      <w:r>
        <w:rPr>
          <w:spacing w:val="40"/>
        </w:rPr>
        <w:t> </w:t>
      </w:r>
      <w:r>
        <w:rPr/>
        <w:t>carried</w:t>
      </w:r>
      <w:r>
        <w:rPr>
          <w:spacing w:val="40"/>
        </w:rPr>
        <w:t> </w:t>
      </w:r>
      <w:r>
        <w:rPr/>
        <w:t>out</w:t>
      </w:r>
      <w:r>
        <w:rPr>
          <w:spacing w:val="40"/>
        </w:rPr>
        <w:t> </w:t>
      </w:r>
      <w:r>
        <w:rPr/>
        <w:t>outside the formal framework of the economy. Sociologists and anthropologists</w:t>
      </w:r>
      <w:r>
        <w:rPr>
          <w:spacing w:val="40"/>
        </w:rPr>
        <w:t> </w:t>
      </w:r>
      <w:r>
        <w:rPr/>
        <w:t>were</w:t>
      </w:r>
      <w:r>
        <w:rPr>
          <w:spacing w:val="40"/>
        </w:rPr>
        <w:t> </w:t>
      </w:r>
      <w:r>
        <w:rPr/>
        <w:t>the</w:t>
      </w:r>
      <w:r>
        <w:rPr>
          <w:spacing w:val="40"/>
        </w:rPr>
        <w:t> </w:t>
      </w:r>
      <w:r>
        <w:rPr/>
        <w:t>only</w:t>
      </w:r>
      <w:r>
        <w:rPr>
          <w:spacing w:val="40"/>
        </w:rPr>
        <w:t> </w:t>
      </w:r>
      <w:r>
        <w:rPr/>
        <w:t>ones</w:t>
      </w:r>
      <w:r>
        <w:rPr>
          <w:spacing w:val="40"/>
        </w:rPr>
        <w:t> </w:t>
      </w:r>
      <w:r>
        <w:rPr/>
        <w:t>who</w:t>
      </w:r>
      <w:r>
        <w:rPr>
          <w:spacing w:val="40"/>
        </w:rPr>
        <w:t> </w:t>
      </w:r>
      <w:r>
        <w:rPr/>
        <w:t>even</w:t>
      </w:r>
      <w:r>
        <w:rPr>
          <w:spacing w:val="40"/>
        </w:rPr>
        <w:t> </w:t>
      </w:r>
      <w:r>
        <w:rPr/>
        <w:t>seemed</w:t>
      </w:r>
      <w:r>
        <w:rPr>
          <w:spacing w:val="40"/>
        </w:rPr>
        <w:t> </w:t>
      </w:r>
      <w:r>
        <w:rPr/>
        <w:t>to</w:t>
      </w:r>
      <w:r>
        <w:rPr>
          <w:spacing w:val="40"/>
        </w:rPr>
        <w:t> </w:t>
      </w:r>
      <w:r>
        <w:rPr/>
        <w:t>consider the existence of such activities.</w:t>
      </w:r>
      <w:r>
        <w:rPr>
          <w:vertAlign w:val="superscript"/>
        </w:rPr>
        <w:t>6</w:t>
      </w:r>
      <w:r>
        <w:rPr>
          <w:vertAlign w:val="baseline"/>
        </w:rPr>
        <w:t> It was in the Third World countries that the informal sector was initially observed and studied and the academic thinking about the informal sector was really advanced by research about less developed and transition countries where the influence of</w:t>
      </w:r>
      <w:r>
        <w:rPr>
          <w:spacing w:val="40"/>
          <w:vertAlign w:val="baseline"/>
        </w:rPr>
        <w:t> </w:t>
      </w:r>
      <w:r>
        <w:rPr>
          <w:vertAlign w:val="baseline"/>
        </w:rPr>
        <w:t>the</w:t>
      </w:r>
      <w:r>
        <w:rPr>
          <w:spacing w:val="40"/>
          <w:vertAlign w:val="baseline"/>
        </w:rPr>
        <w:t> </w:t>
      </w:r>
      <w:r>
        <w:rPr>
          <w:vertAlign w:val="baseline"/>
        </w:rPr>
        <w:t>informal sector is much more significant than in other countries.</w:t>
      </w:r>
      <w:r>
        <w:rPr>
          <w:vertAlign w:val="superscript"/>
        </w:rPr>
        <w:t>7</w:t>
      </w:r>
      <w:r>
        <w:rPr>
          <w:vertAlign w:val="baseline"/>
        </w:rPr>
        <w:t> ILO has carried out research studies about the informal sector bringing new developments to the field and one of these developments was the recognition of the new aspect of the informal sector, which is its dynamism and potential for economic growth and employment.</w:t>
      </w:r>
      <w:r>
        <w:rPr>
          <w:vertAlign w:val="superscript"/>
        </w:rPr>
        <w:t>8</w:t>
      </w:r>
      <w:r>
        <w:rPr>
          <w:vertAlign w:val="baseline"/>
        </w:rPr>
        <w:t> Bringing this to the Nigerian context, the informal sector of the economy is a catalyst for employment and sustenance for a great number of people in the country. All</w:t>
      </w:r>
      <w:r>
        <w:rPr>
          <w:spacing w:val="40"/>
          <w:vertAlign w:val="baseline"/>
        </w:rPr>
        <w:t> </w:t>
      </w:r>
      <w:r>
        <w:rPr>
          <w:vertAlign w:val="baseline"/>
        </w:rPr>
        <w:t>employees in the informal sector of the economy have been given equal</w:t>
      </w:r>
      <w:r>
        <w:rPr>
          <w:spacing w:val="26"/>
          <w:vertAlign w:val="baseline"/>
        </w:rPr>
        <w:t> </w:t>
      </w:r>
      <w:r>
        <w:rPr>
          <w:vertAlign w:val="baseline"/>
        </w:rPr>
        <w:t>protection</w:t>
      </w:r>
      <w:r>
        <w:rPr>
          <w:spacing w:val="26"/>
          <w:vertAlign w:val="baseline"/>
        </w:rPr>
        <w:t> </w:t>
      </w:r>
      <w:r>
        <w:rPr>
          <w:vertAlign w:val="baseline"/>
        </w:rPr>
        <w:t>and</w:t>
      </w:r>
      <w:r>
        <w:rPr>
          <w:spacing w:val="31"/>
          <w:vertAlign w:val="baseline"/>
        </w:rPr>
        <w:t> </w:t>
      </w:r>
      <w:r>
        <w:rPr>
          <w:vertAlign w:val="baseline"/>
        </w:rPr>
        <w:t>welfare</w:t>
      </w:r>
      <w:r>
        <w:rPr>
          <w:spacing w:val="23"/>
          <w:vertAlign w:val="baseline"/>
        </w:rPr>
        <w:t> </w:t>
      </w:r>
      <w:r>
        <w:rPr>
          <w:vertAlign w:val="baseline"/>
        </w:rPr>
        <w:t>under</w:t>
      </w:r>
      <w:r>
        <w:rPr>
          <w:spacing w:val="33"/>
          <w:vertAlign w:val="baseline"/>
        </w:rPr>
        <w:t> </w:t>
      </w:r>
      <w:r>
        <w:rPr>
          <w:vertAlign w:val="baseline"/>
        </w:rPr>
        <w:t>the</w:t>
      </w:r>
      <w:r>
        <w:rPr>
          <w:spacing w:val="22"/>
          <w:vertAlign w:val="baseline"/>
        </w:rPr>
        <w:t> </w:t>
      </w:r>
      <w:r>
        <w:rPr>
          <w:vertAlign w:val="baseline"/>
        </w:rPr>
        <w:t>Act</w:t>
      </w:r>
      <w:r>
        <w:rPr>
          <w:spacing w:val="30"/>
          <w:vertAlign w:val="baseline"/>
        </w:rPr>
        <w:t> </w:t>
      </w:r>
      <w:r>
        <w:rPr>
          <w:vertAlign w:val="baseline"/>
        </w:rPr>
        <w:t>but</w:t>
      </w:r>
      <w:r>
        <w:rPr>
          <w:spacing w:val="25"/>
          <w:vertAlign w:val="baseline"/>
        </w:rPr>
        <w:t> </w:t>
      </w:r>
      <w:r>
        <w:rPr>
          <w:vertAlign w:val="baseline"/>
        </w:rPr>
        <w:t>one</w:t>
      </w:r>
      <w:r>
        <w:rPr>
          <w:spacing w:val="23"/>
          <w:vertAlign w:val="baseline"/>
        </w:rPr>
        <w:t> </w:t>
      </w:r>
      <w:r>
        <w:rPr>
          <w:vertAlign w:val="baseline"/>
        </w:rPr>
        <w:t>basic</w:t>
      </w:r>
      <w:r>
        <w:rPr>
          <w:spacing w:val="29"/>
          <w:vertAlign w:val="baseline"/>
        </w:rPr>
        <w:t> </w:t>
      </w:r>
      <w:r>
        <w:rPr>
          <w:vertAlign w:val="baseline"/>
        </w:rPr>
        <w:t>challenge is that of enforcement of</w:t>
      </w:r>
      <w:r>
        <w:rPr>
          <w:spacing w:val="39"/>
          <w:vertAlign w:val="baseline"/>
        </w:rPr>
        <w:t> </w:t>
      </w:r>
      <w:r>
        <w:rPr>
          <w:vertAlign w:val="baseline"/>
        </w:rPr>
        <w:t>the scheme within the informal</w:t>
      </w:r>
      <w:r>
        <w:rPr>
          <w:spacing w:val="37"/>
          <w:vertAlign w:val="baseline"/>
        </w:rPr>
        <w:t> </w:t>
      </w:r>
      <w:r>
        <w:rPr>
          <w:vertAlign w:val="baseline"/>
        </w:rPr>
        <w:t>sector of the economy. Informal sector has a characteristic of avoiding Government</w:t>
      </w:r>
      <w:r>
        <w:rPr>
          <w:spacing w:val="52"/>
          <w:w w:val="150"/>
          <w:vertAlign w:val="baseline"/>
        </w:rPr>
        <w:t> </w:t>
      </w:r>
      <w:r>
        <w:rPr>
          <w:vertAlign w:val="baseline"/>
        </w:rPr>
        <w:t>regulations</w:t>
      </w:r>
      <w:r>
        <w:rPr>
          <w:spacing w:val="50"/>
          <w:w w:val="150"/>
          <w:vertAlign w:val="baseline"/>
        </w:rPr>
        <w:t> </w:t>
      </w:r>
      <w:r>
        <w:rPr>
          <w:vertAlign w:val="baseline"/>
        </w:rPr>
        <w:t>because</w:t>
      </w:r>
      <w:r>
        <w:rPr>
          <w:spacing w:val="50"/>
          <w:w w:val="150"/>
          <w:vertAlign w:val="baseline"/>
        </w:rPr>
        <w:t> </w:t>
      </w:r>
      <w:r>
        <w:rPr>
          <w:vertAlign w:val="baseline"/>
        </w:rPr>
        <w:t>of</w:t>
      </w:r>
      <w:r>
        <w:rPr>
          <w:spacing w:val="56"/>
          <w:w w:val="150"/>
          <w:vertAlign w:val="baseline"/>
        </w:rPr>
        <w:t> </w:t>
      </w:r>
      <w:r>
        <w:rPr>
          <w:vertAlign w:val="baseline"/>
        </w:rPr>
        <w:t>its</w:t>
      </w:r>
      <w:r>
        <w:rPr>
          <w:spacing w:val="55"/>
          <w:w w:val="150"/>
          <w:vertAlign w:val="baseline"/>
        </w:rPr>
        <w:t> </w:t>
      </w:r>
      <w:r>
        <w:rPr>
          <w:vertAlign w:val="baseline"/>
        </w:rPr>
        <w:t>faceless</w:t>
      </w:r>
      <w:r>
        <w:rPr>
          <w:spacing w:val="54"/>
          <w:w w:val="150"/>
          <w:vertAlign w:val="baseline"/>
        </w:rPr>
        <w:t> </w:t>
      </w:r>
      <w:r>
        <w:rPr>
          <w:vertAlign w:val="baseline"/>
        </w:rPr>
        <w:t>nature</w:t>
      </w:r>
      <w:r>
        <w:rPr>
          <w:spacing w:val="51"/>
          <w:w w:val="150"/>
          <w:vertAlign w:val="baseline"/>
        </w:rPr>
        <w:t> </w:t>
      </w:r>
      <w:r>
        <w:rPr>
          <w:vertAlign w:val="baseline"/>
        </w:rPr>
        <w:t>in</w:t>
      </w:r>
      <w:r>
        <w:rPr>
          <w:spacing w:val="53"/>
          <w:w w:val="150"/>
          <w:vertAlign w:val="baseline"/>
        </w:rPr>
        <w:t> </w:t>
      </w:r>
      <w:r>
        <w:rPr>
          <w:spacing w:val="-4"/>
          <w:vertAlign w:val="baseline"/>
        </w:rPr>
        <w:t>most</w:t>
      </w:r>
    </w:p>
    <w:p>
      <w:pPr>
        <w:pStyle w:val="BodyText"/>
        <w:rPr>
          <w:sz w:val="20"/>
        </w:rPr>
      </w:pP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651840">
                <wp:simplePos x="0" y="0"/>
                <wp:positionH relativeFrom="page">
                  <wp:posOffset>1399032</wp:posOffset>
                </wp:positionH>
                <wp:positionV relativeFrom="paragraph">
                  <wp:posOffset>209045</wp:posOffset>
                </wp:positionV>
                <wp:extent cx="1719580" cy="3175"/>
                <wp:effectExtent l="0" t="0" r="0" b="0"/>
                <wp:wrapTopAndBottom/>
                <wp:docPr id="148" name="Graphic 148"/>
                <wp:cNvGraphicFramePr>
                  <a:graphicFrameLocks/>
                </wp:cNvGraphicFramePr>
                <a:graphic>
                  <a:graphicData uri="http://schemas.microsoft.com/office/word/2010/wordprocessingShape">
                    <wps:wsp>
                      <wps:cNvPr id="148" name="Graphic 148"/>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10.160004pt;margin-top:16.460312pt;width:135.360pt;height:.24pt;mso-position-horizontal-relative:page;mso-position-vertical-relative:paragraph;z-index:-15664640;mso-wrap-distance-left:0;mso-wrap-distance-right:0" id="docshape148" filled="true" fillcolor="#000000" stroked="false">
                <v:fill type="solid"/>
                <w10:wrap type="topAndBottom"/>
              </v:rect>
            </w:pict>
          </mc:Fallback>
        </mc:AlternateContent>
      </w:r>
    </w:p>
    <w:p>
      <w:pPr>
        <w:spacing w:line="237" w:lineRule="auto" w:before="98"/>
        <w:ind w:left="528" w:right="0" w:firstLine="0"/>
        <w:jc w:val="left"/>
        <w:rPr>
          <w:rFonts w:ascii="Times New Roman" w:hAnsi="Times New Roman"/>
          <w:sz w:val="19"/>
        </w:rPr>
      </w:pPr>
      <w:r>
        <w:rPr>
          <w:rFonts w:ascii="Times New Roman" w:hAnsi="Times New Roman"/>
          <w:sz w:val="19"/>
          <w:vertAlign w:val="superscript"/>
        </w:rPr>
        <w:t>6</w:t>
      </w:r>
      <w:r>
        <w:rPr>
          <w:rFonts w:ascii="Times New Roman" w:hAnsi="Times New Roman"/>
          <w:spacing w:val="-8"/>
          <w:sz w:val="19"/>
          <w:vertAlign w:val="baseline"/>
        </w:rPr>
        <w:t> </w:t>
      </w:r>
      <w:r>
        <w:rPr>
          <w:rFonts w:ascii="Times New Roman" w:hAnsi="Times New Roman"/>
          <w:sz w:val="19"/>
          <w:vertAlign w:val="baseline"/>
        </w:rPr>
        <w:t>Gerxhany,</w:t>
      </w:r>
      <w:r>
        <w:rPr>
          <w:rFonts w:ascii="Times New Roman" w:hAnsi="Times New Roman"/>
          <w:spacing w:val="-5"/>
          <w:sz w:val="19"/>
          <w:vertAlign w:val="baseline"/>
        </w:rPr>
        <w:t> </w:t>
      </w:r>
      <w:r>
        <w:rPr>
          <w:rFonts w:ascii="Times New Roman" w:hAnsi="Times New Roman"/>
          <w:sz w:val="19"/>
          <w:vertAlign w:val="baseline"/>
        </w:rPr>
        <w:t>K</w:t>
      </w:r>
      <w:r>
        <w:rPr>
          <w:rFonts w:ascii="Times New Roman" w:hAnsi="Times New Roman"/>
          <w:spacing w:val="-11"/>
          <w:sz w:val="19"/>
          <w:vertAlign w:val="baseline"/>
        </w:rPr>
        <w:t> </w:t>
      </w:r>
      <w:r>
        <w:rPr>
          <w:rFonts w:ascii="Times New Roman" w:hAnsi="Times New Roman"/>
          <w:sz w:val="19"/>
          <w:vertAlign w:val="baseline"/>
        </w:rPr>
        <w:t>T</w:t>
      </w:r>
      <w:r>
        <w:rPr>
          <w:rFonts w:ascii="Times New Roman" w:hAnsi="Times New Roman"/>
          <w:spacing w:val="-9"/>
          <w:sz w:val="19"/>
          <w:vertAlign w:val="baseline"/>
        </w:rPr>
        <w:t> </w:t>
      </w:r>
      <w:r>
        <w:rPr>
          <w:rFonts w:ascii="Times New Roman" w:hAnsi="Times New Roman"/>
          <w:sz w:val="19"/>
          <w:vertAlign w:val="baseline"/>
        </w:rPr>
        <w:t>‘Informal</w:t>
      </w:r>
      <w:r>
        <w:rPr>
          <w:rFonts w:ascii="Times New Roman" w:hAnsi="Times New Roman"/>
          <w:spacing w:val="-5"/>
          <w:sz w:val="19"/>
          <w:vertAlign w:val="baseline"/>
        </w:rPr>
        <w:t> </w:t>
      </w:r>
      <w:r>
        <w:rPr>
          <w:rFonts w:ascii="Times New Roman" w:hAnsi="Times New Roman"/>
          <w:sz w:val="19"/>
          <w:vertAlign w:val="baseline"/>
        </w:rPr>
        <w:t>Sector</w:t>
      </w:r>
      <w:r>
        <w:rPr>
          <w:rFonts w:ascii="Times New Roman" w:hAnsi="Times New Roman"/>
          <w:spacing w:val="30"/>
          <w:sz w:val="19"/>
          <w:vertAlign w:val="baseline"/>
        </w:rPr>
        <w:t> </w:t>
      </w:r>
      <w:r>
        <w:rPr>
          <w:rFonts w:ascii="Times New Roman" w:hAnsi="Times New Roman"/>
          <w:sz w:val="19"/>
          <w:vertAlign w:val="baseline"/>
        </w:rPr>
        <w:t>in</w:t>
      </w:r>
      <w:r>
        <w:rPr>
          <w:rFonts w:ascii="Times New Roman" w:hAnsi="Times New Roman"/>
          <w:spacing w:val="-8"/>
          <w:sz w:val="19"/>
          <w:vertAlign w:val="baseline"/>
        </w:rPr>
        <w:t> </w:t>
      </w:r>
      <w:r>
        <w:rPr>
          <w:rFonts w:ascii="Times New Roman" w:hAnsi="Times New Roman"/>
          <w:sz w:val="19"/>
          <w:vertAlign w:val="baseline"/>
        </w:rPr>
        <w:t>Developed</w:t>
      </w:r>
      <w:r>
        <w:rPr>
          <w:rFonts w:ascii="Times New Roman" w:hAnsi="Times New Roman"/>
          <w:spacing w:val="-4"/>
          <w:sz w:val="19"/>
          <w:vertAlign w:val="baseline"/>
        </w:rPr>
        <w:t> </w:t>
      </w:r>
      <w:r>
        <w:rPr>
          <w:rFonts w:ascii="Times New Roman" w:hAnsi="Times New Roman"/>
          <w:sz w:val="19"/>
          <w:vertAlign w:val="baseline"/>
        </w:rPr>
        <w:t>and</w:t>
      </w:r>
      <w:r>
        <w:rPr>
          <w:rFonts w:ascii="Times New Roman" w:hAnsi="Times New Roman"/>
          <w:spacing w:val="-12"/>
          <w:sz w:val="19"/>
          <w:vertAlign w:val="baseline"/>
        </w:rPr>
        <w:t> </w:t>
      </w:r>
      <w:r>
        <w:rPr>
          <w:rFonts w:ascii="Times New Roman" w:hAnsi="Times New Roman"/>
          <w:sz w:val="19"/>
          <w:vertAlign w:val="baseline"/>
        </w:rPr>
        <w:t>Less</w:t>
      </w:r>
      <w:r>
        <w:rPr>
          <w:rFonts w:ascii="Times New Roman" w:hAnsi="Times New Roman"/>
          <w:spacing w:val="-11"/>
          <w:sz w:val="19"/>
          <w:vertAlign w:val="baseline"/>
        </w:rPr>
        <w:t> </w:t>
      </w:r>
      <w:r>
        <w:rPr>
          <w:rFonts w:ascii="Times New Roman" w:hAnsi="Times New Roman"/>
          <w:sz w:val="19"/>
          <w:vertAlign w:val="baseline"/>
        </w:rPr>
        <w:t>Developed</w:t>
      </w:r>
      <w:r>
        <w:rPr>
          <w:rFonts w:ascii="Times New Roman" w:hAnsi="Times New Roman"/>
          <w:spacing w:val="-8"/>
          <w:sz w:val="19"/>
          <w:vertAlign w:val="baseline"/>
        </w:rPr>
        <w:t> </w:t>
      </w:r>
      <w:r>
        <w:rPr>
          <w:rFonts w:ascii="Times New Roman" w:hAnsi="Times New Roman"/>
          <w:sz w:val="19"/>
          <w:vertAlign w:val="baseline"/>
        </w:rPr>
        <w:t>Countries;</w:t>
      </w:r>
      <w:r>
        <w:rPr>
          <w:rFonts w:ascii="Times New Roman" w:hAnsi="Times New Roman"/>
          <w:spacing w:val="-9"/>
          <w:sz w:val="19"/>
          <w:vertAlign w:val="baseline"/>
        </w:rPr>
        <w:t> </w:t>
      </w:r>
      <w:r>
        <w:rPr>
          <w:rFonts w:ascii="Times New Roman" w:hAnsi="Times New Roman"/>
          <w:sz w:val="19"/>
          <w:vertAlign w:val="baseline"/>
        </w:rPr>
        <w:t>A</w:t>
      </w:r>
      <w:r>
        <w:rPr>
          <w:rFonts w:ascii="Times New Roman" w:hAnsi="Times New Roman"/>
          <w:spacing w:val="-11"/>
          <w:sz w:val="19"/>
          <w:vertAlign w:val="baseline"/>
        </w:rPr>
        <w:t> </w:t>
      </w:r>
      <w:r>
        <w:rPr>
          <w:rFonts w:ascii="Times New Roman" w:hAnsi="Times New Roman"/>
          <w:sz w:val="19"/>
          <w:vertAlign w:val="baseline"/>
        </w:rPr>
        <w:t>Literature</w:t>
      </w:r>
      <w:r>
        <w:rPr>
          <w:rFonts w:ascii="Times New Roman" w:hAnsi="Times New Roman"/>
          <w:spacing w:val="-11"/>
          <w:sz w:val="19"/>
          <w:vertAlign w:val="baseline"/>
        </w:rPr>
        <w:t> </w:t>
      </w:r>
      <w:r>
        <w:rPr>
          <w:rFonts w:ascii="Times New Roman" w:hAnsi="Times New Roman"/>
          <w:sz w:val="19"/>
          <w:vertAlign w:val="baseline"/>
        </w:rPr>
        <w:t>Survey’ </w:t>
      </w:r>
      <w:r>
        <w:rPr>
          <w:rFonts w:ascii="Times New Roman" w:hAnsi="Times New Roman"/>
          <w:color w:val="0000FF"/>
          <w:sz w:val="19"/>
          <w:u w:val="single" w:color="0000FF"/>
          <w:vertAlign w:val="baseline"/>
        </w:rPr>
        <w:t>www.ifwea.org/@bin/217843/gerxhani</w:t>
      </w:r>
      <w:r>
        <w:rPr>
          <w:rFonts w:ascii="Times New Roman" w:hAnsi="Times New Roman"/>
          <w:color w:val="0000FF"/>
          <w:sz w:val="19"/>
          <w:vertAlign w:val="baseline"/>
        </w:rPr>
        <w:t> </w:t>
      </w:r>
      <w:r>
        <w:rPr>
          <w:rFonts w:ascii="Times New Roman" w:hAnsi="Times New Roman"/>
          <w:sz w:val="19"/>
          <w:vertAlign w:val="baseline"/>
        </w:rPr>
        <w:t>retrieved on the 28th day</w:t>
      </w:r>
      <w:r>
        <w:rPr>
          <w:rFonts w:ascii="Times New Roman" w:hAnsi="Times New Roman"/>
          <w:spacing w:val="-1"/>
          <w:sz w:val="19"/>
          <w:vertAlign w:val="baseline"/>
        </w:rPr>
        <w:t> </w:t>
      </w:r>
      <w:r>
        <w:rPr>
          <w:rFonts w:ascii="Times New Roman" w:hAnsi="Times New Roman"/>
          <w:sz w:val="19"/>
          <w:vertAlign w:val="baseline"/>
        </w:rPr>
        <w:t>of January, 2013</w:t>
      </w:r>
    </w:p>
    <w:p>
      <w:pPr>
        <w:spacing w:line="215" w:lineRule="exact" w:before="0"/>
        <w:ind w:left="528" w:right="0" w:firstLine="0"/>
        <w:jc w:val="left"/>
        <w:rPr>
          <w:rFonts w:ascii="Times New Roman"/>
          <w:i/>
          <w:sz w:val="19"/>
        </w:rPr>
      </w:pPr>
      <w:r>
        <w:rPr>
          <w:rFonts w:ascii="Times New Roman"/>
          <w:sz w:val="19"/>
          <w:vertAlign w:val="superscript"/>
        </w:rPr>
        <w:t>7</w:t>
      </w:r>
      <w:r>
        <w:rPr>
          <w:rFonts w:ascii="Times New Roman"/>
          <w:spacing w:val="3"/>
          <w:sz w:val="19"/>
          <w:vertAlign w:val="baseline"/>
        </w:rPr>
        <w:t> </w:t>
      </w:r>
      <w:r>
        <w:rPr>
          <w:rFonts w:ascii="Times New Roman"/>
          <w:i/>
          <w:spacing w:val="-4"/>
          <w:sz w:val="19"/>
          <w:vertAlign w:val="baseline"/>
        </w:rPr>
        <w:t>Ibid</w:t>
      </w:r>
    </w:p>
    <w:p>
      <w:pPr>
        <w:spacing w:line="217" w:lineRule="exact" w:before="0"/>
        <w:ind w:left="528" w:right="0" w:firstLine="0"/>
        <w:jc w:val="left"/>
        <w:rPr>
          <w:rFonts w:ascii="Times New Roman"/>
          <w:i/>
          <w:sz w:val="19"/>
        </w:rPr>
      </w:pPr>
      <w:r>
        <w:rPr>
          <w:rFonts w:ascii="Times New Roman"/>
          <w:sz w:val="19"/>
          <w:vertAlign w:val="superscript"/>
        </w:rPr>
        <w:t>8</w:t>
      </w:r>
      <w:r>
        <w:rPr>
          <w:rFonts w:ascii="Times New Roman"/>
          <w:spacing w:val="3"/>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1204" w:right="903"/>
        <w:jc w:val="both"/>
      </w:pPr>
      <w:r>
        <w:rPr/>
        <w:t>instances.</w:t>
      </w:r>
      <w:r>
        <w:rPr>
          <w:vertAlign w:val="superscript"/>
        </w:rPr>
        <w:t>9</w:t>
      </w:r>
      <w:r>
        <w:rPr>
          <w:vertAlign w:val="baseline"/>
        </w:rPr>
        <w:t> The challenge of the Board in having effective</w:t>
      </w:r>
      <w:r>
        <w:rPr>
          <w:spacing w:val="80"/>
          <w:vertAlign w:val="baseline"/>
        </w:rPr>
        <w:t> </w:t>
      </w:r>
      <w:r>
        <w:rPr>
          <w:vertAlign w:val="baseline"/>
        </w:rPr>
        <w:t>transactions</w:t>
      </w:r>
      <w:r>
        <w:rPr>
          <w:spacing w:val="40"/>
          <w:vertAlign w:val="baseline"/>
        </w:rPr>
        <w:t> </w:t>
      </w:r>
      <w:r>
        <w:rPr>
          <w:vertAlign w:val="baseline"/>
        </w:rPr>
        <w:t>with the</w:t>
      </w:r>
      <w:r>
        <w:rPr>
          <w:spacing w:val="40"/>
          <w:vertAlign w:val="baseline"/>
        </w:rPr>
        <w:t> </w:t>
      </w:r>
      <w:r>
        <w:rPr>
          <w:vertAlign w:val="baseline"/>
        </w:rPr>
        <w:t>employers</w:t>
      </w:r>
      <w:r>
        <w:rPr>
          <w:spacing w:val="40"/>
          <w:vertAlign w:val="baseline"/>
        </w:rPr>
        <w:t> </w:t>
      </w:r>
      <w:r>
        <w:rPr>
          <w:vertAlign w:val="baseline"/>
        </w:rPr>
        <w:t>and</w:t>
      </w:r>
      <w:r>
        <w:rPr>
          <w:spacing w:val="40"/>
          <w:vertAlign w:val="baseline"/>
        </w:rPr>
        <w:t> </w:t>
      </w:r>
      <w:r>
        <w:rPr>
          <w:vertAlign w:val="baseline"/>
        </w:rPr>
        <w:t>employees</w:t>
      </w:r>
      <w:r>
        <w:rPr>
          <w:spacing w:val="40"/>
          <w:vertAlign w:val="baseline"/>
        </w:rPr>
        <w:t> </w:t>
      </w:r>
      <w:r>
        <w:rPr>
          <w:vertAlign w:val="baseline"/>
        </w:rPr>
        <w:t>at</w:t>
      </w:r>
      <w:r>
        <w:rPr>
          <w:spacing w:val="40"/>
          <w:vertAlign w:val="baseline"/>
        </w:rPr>
        <w:t> </w:t>
      </w:r>
      <w:r>
        <w:rPr>
          <w:vertAlign w:val="baseline"/>
        </w:rPr>
        <w:t>the informal sector of the economy is another big issue. For example, how will employers at the informal sector be traced, for the purpose of duties and obligations imposed</w:t>
      </w:r>
      <w:r>
        <w:rPr>
          <w:spacing w:val="31"/>
          <w:vertAlign w:val="baseline"/>
        </w:rPr>
        <w:t> </w:t>
      </w:r>
      <w:r>
        <w:rPr>
          <w:vertAlign w:val="baseline"/>
        </w:rPr>
        <w:t>by the Act? Also, where will the employers</w:t>
      </w:r>
      <w:r>
        <w:rPr>
          <w:spacing w:val="40"/>
          <w:vertAlign w:val="baseline"/>
        </w:rPr>
        <w:t> </w:t>
      </w:r>
      <w:r>
        <w:rPr>
          <w:vertAlign w:val="baseline"/>
        </w:rPr>
        <w:t>at</w:t>
      </w:r>
      <w:r>
        <w:rPr>
          <w:spacing w:val="40"/>
          <w:vertAlign w:val="baseline"/>
        </w:rPr>
        <w:t> </w:t>
      </w:r>
      <w:r>
        <w:rPr>
          <w:vertAlign w:val="baseline"/>
        </w:rPr>
        <w:t>the</w:t>
      </w:r>
      <w:r>
        <w:rPr>
          <w:spacing w:val="40"/>
          <w:vertAlign w:val="baseline"/>
        </w:rPr>
        <w:t> </w:t>
      </w:r>
      <w:r>
        <w:rPr>
          <w:vertAlign w:val="baseline"/>
        </w:rPr>
        <w:t>informal</w:t>
      </w:r>
      <w:r>
        <w:rPr>
          <w:spacing w:val="40"/>
          <w:vertAlign w:val="baseline"/>
        </w:rPr>
        <w:t> </w:t>
      </w:r>
      <w:r>
        <w:rPr>
          <w:vertAlign w:val="baseline"/>
        </w:rPr>
        <w:t>sector</w:t>
      </w:r>
      <w:r>
        <w:rPr>
          <w:spacing w:val="40"/>
          <w:vertAlign w:val="baseline"/>
        </w:rPr>
        <w:t> </w:t>
      </w:r>
      <w:r>
        <w:rPr>
          <w:vertAlign w:val="baseline"/>
        </w:rPr>
        <w:t>be</w:t>
      </w:r>
      <w:r>
        <w:rPr>
          <w:spacing w:val="40"/>
          <w:vertAlign w:val="baseline"/>
        </w:rPr>
        <w:t> </w:t>
      </w:r>
      <w:r>
        <w:rPr>
          <w:vertAlign w:val="baseline"/>
        </w:rPr>
        <w:t>traced</w:t>
      </w:r>
      <w:r>
        <w:rPr>
          <w:spacing w:val="40"/>
          <w:vertAlign w:val="baseline"/>
        </w:rPr>
        <w:t> </w:t>
      </w:r>
      <w:r>
        <w:rPr>
          <w:vertAlign w:val="baseline"/>
        </w:rPr>
        <w:t>for</w:t>
      </w:r>
      <w:r>
        <w:rPr>
          <w:spacing w:val="40"/>
          <w:vertAlign w:val="baseline"/>
        </w:rPr>
        <w:t> </w:t>
      </w:r>
      <w:r>
        <w:rPr>
          <w:vertAlign w:val="baseline"/>
        </w:rPr>
        <w:t>the</w:t>
      </w:r>
      <w:r>
        <w:rPr>
          <w:spacing w:val="40"/>
          <w:vertAlign w:val="baseline"/>
        </w:rPr>
        <w:t> </w:t>
      </w:r>
      <w:r>
        <w:rPr>
          <w:vertAlign w:val="baseline"/>
        </w:rPr>
        <w:t>purpose</w:t>
      </w:r>
      <w:r>
        <w:rPr>
          <w:spacing w:val="40"/>
          <w:vertAlign w:val="baseline"/>
        </w:rPr>
        <w:t> </w:t>
      </w:r>
      <w:r>
        <w:rPr>
          <w:vertAlign w:val="baseline"/>
        </w:rPr>
        <w:t>of</w:t>
      </w:r>
      <w:r>
        <w:rPr>
          <w:spacing w:val="40"/>
          <w:vertAlign w:val="baseline"/>
        </w:rPr>
        <w:t> </w:t>
      </w:r>
      <w:r>
        <w:rPr>
          <w:vertAlign w:val="baseline"/>
        </w:rPr>
        <w:t>sanctions imposed</w:t>
      </w:r>
      <w:r>
        <w:rPr>
          <w:spacing w:val="40"/>
          <w:vertAlign w:val="baseline"/>
        </w:rPr>
        <w:t> </w:t>
      </w:r>
      <w:r>
        <w:rPr>
          <w:vertAlign w:val="baseline"/>
        </w:rPr>
        <w:t>by the</w:t>
      </w:r>
      <w:r>
        <w:rPr>
          <w:spacing w:val="40"/>
          <w:vertAlign w:val="baseline"/>
        </w:rPr>
        <w:t> </w:t>
      </w:r>
      <w:r>
        <w:rPr>
          <w:vertAlign w:val="baseline"/>
        </w:rPr>
        <w:t>Act?</w:t>
      </w:r>
      <w:r>
        <w:rPr>
          <w:spacing w:val="40"/>
          <w:vertAlign w:val="baseline"/>
        </w:rPr>
        <w:t> </w:t>
      </w:r>
      <w:r>
        <w:rPr>
          <w:vertAlign w:val="baseline"/>
        </w:rPr>
        <w:t>De Soto</w:t>
      </w:r>
      <w:r>
        <w:rPr>
          <w:vertAlign w:val="superscript"/>
        </w:rPr>
        <w:t>10</w:t>
      </w:r>
      <w:r>
        <w:rPr>
          <w:vertAlign w:val="baseline"/>
        </w:rPr>
        <w:t> in his reputable research</w:t>
      </w:r>
      <w:r>
        <w:rPr>
          <w:spacing w:val="40"/>
          <w:vertAlign w:val="baseline"/>
        </w:rPr>
        <w:t> </w:t>
      </w:r>
      <w:r>
        <w:rPr>
          <w:vertAlign w:val="baseline"/>
        </w:rPr>
        <w:t>said</w:t>
      </w:r>
      <w:r>
        <w:rPr>
          <w:spacing w:val="40"/>
          <w:vertAlign w:val="baseline"/>
        </w:rPr>
        <w:t> </w:t>
      </w:r>
      <w:r>
        <w:rPr>
          <w:vertAlign w:val="baseline"/>
        </w:rPr>
        <w:t>the legal status is the main element distinguishing the formal from the informal activities and the implication of</w:t>
      </w:r>
      <w:r>
        <w:rPr>
          <w:spacing w:val="18"/>
          <w:vertAlign w:val="baseline"/>
        </w:rPr>
        <w:t> </w:t>
      </w:r>
      <w:r>
        <w:rPr>
          <w:vertAlign w:val="baseline"/>
        </w:rPr>
        <w:t>this in</w:t>
      </w:r>
      <w:r>
        <w:rPr>
          <w:spacing w:val="20"/>
          <w:vertAlign w:val="baseline"/>
        </w:rPr>
        <w:t> </w:t>
      </w:r>
      <w:r>
        <w:rPr>
          <w:vertAlign w:val="baseline"/>
        </w:rPr>
        <w:t>Nigeria</w:t>
      </w:r>
      <w:r>
        <w:rPr>
          <w:spacing w:val="18"/>
          <w:vertAlign w:val="baseline"/>
        </w:rPr>
        <w:t> </w:t>
      </w:r>
      <w:r>
        <w:rPr>
          <w:vertAlign w:val="baseline"/>
        </w:rPr>
        <w:t>is that where</w:t>
      </w:r>
      <w:r>
        <w:rPr>
          <w:spacing w:val="40"/>
          <w:vertAlign w:val="baseline"/>
        </w:rPr>
        <w:t> </w:t>
      </w:r>
      <w:r>
        <w:rPr>
          <w:vertAlign w:val="baseline"/>
        </w:rPr>
        <w:t>a place of employment or business is not established by an Act/ Law or not</w:t>
      </w:r>
      <w:r>
        <w:rPr>
          <w:spacing w:val="40"/>
          <w:vertAlign w:val="baseline"/>
        </w:rPr>
        <w:t> </w:t>
      </w:r>
      <w:r>
        <w:rPr>
          <w:vertAlign w:val="baseline"/>
        </w:rPr>
        <w:t>registered with Corporate Affairs Commission for the purpose of regulation, it</w:t>
      </w:r>
      <w:r>
        <w:rPr>
          <w:spacing w:val="40"/>
          <w:vertAlign w:val="baseline"/>
        </w:rPr>
        <w:t> </w:t>
      </w:r>
      <w:r>
        <w:rPr>
          <w:vertAlign w:val="baseline"/>
        </w:rPr>
        <w:t>assumes a faceless status(informal status) thereby making the enforcement of Government laws and regulations within the</w:t>
      </w:r>
      <w:r>
        <w:rPr>
          <w:spacing w:val="34"/>
          <w:vertAlign w:val="baseline"/>
        </w:rPr>
        <w:t> </w:t>
      </w:r>
      <w:r>
        <w:rPr>
          <w:vertAlign w:val="baseline"/>
        </w:rPr>
        <w:t>informal</w:t>
      </w:r>
      <w:r>
        <w:rPr>
          <w:spacing w:val="37"/>
          <w:vertAlign w:val="baseline"/>
        </w:rPr>
        <w:t> </w:t>
      </w:r>
      <w:r>
        <w:rPr>
          <w:vertAlign w:val="baseline"/>
        </w:rPr>
        <w:t>sector,</w:t>
      </w:r>
      <w:r>
        <w:rPr>
          <w:spacing w:val="40"/>
          <w:vertAlign w:val="baseline"/>
        </w:rPr>
        <w:t> </w:t>
      </w:r>
      <w:r>
        <w:rPr>
          <w:vertAlign w:val="baseline"/>
        </w:rPr>
        <w:t>a</w:t>
      </w:r>
      <w:r>
        <w:rPr>
          <w:spacing w:val="35"/>
          <w:vertAlign w:val="baseline"/>
        </w:rPr>
        <w:t> </w:t>
      </w:r>
      <w:r>
        <w:rPr>
          <w:vertAlign w:val="baseline"/>
        </w:rPr>
        <w:t>difficult</w:t>
      </w:r>
      <w:r>
        <w:rPr>
          <w:spacing w:val="37"/>
          <w:vertAlign w:val="baseline"/>
        </w:rPr>
        <w:t> </w:t>
      </w:r>
      <w:r>
        <w:rPr>
          <w:vertAlign w:val="baseline"/>
        </w:rPr>
        <w:t>if</w:t>
      </w:r>
      <w:r>
        <w:rPr>
          <w:spacing w:val="40"/>
          <w:vertAlign w:val="baseline"/>
        </w:rPr>
        <w:t> </w:t>
      </w:r>
      <w:r>
        <w:rPr>
          <w:vertAlign w:val="baseline"/>
        </w:rPr>
        <w:t>not</w:t>
      </w:r>
      <w:r>
        <w:rPr>
          <w:spacing w:val="37"/>
          <w:vertAlign w:val="baseline"/>
        </w:rPr>
        <w:t> </w:t>
      </w:r>
      <w:r>
        <w:rPr>
          <w:vertAlign w:val="baseline"/>
        </w:rPr>
        <w:t>an</w:t>
      </w:r>
      <w:r>
        <w:rPr>
          <w:spacing w:val="37"/>
          <w:vertAlign w:val="baseline"/>
        </w:rPr>
        <w:t> </w:t>
      </w:r>
      <w:r>
        <w:rPr>
          <w:vertAlign w:val="baseline"/>
        </w:rPr>
        <w:t>impossible</w:t>
      </w:r>
      <w:r>
        <w:rPr>
          <w:spacing w:val="34"/>
          <w:vertAlign w:val="baseline"/>
        </w:rPr>
        <w:t> </w:t>
      </w:r>
      <w:r>
        <w:rPr>
          <w:vertAlign w:val="baseline"/>
        </w:rPr>
        <w:t>task.</w:t>
      </w:r>
      <w:r>
        <w:rPr>
          <w:spacing w:val="39"/>
          <w:vertAlign w:val="baseline"/>
        </w:rPr>
        <w:t> </w:t>
      </w:r>
      <w:r>
        <w:rPr>
          <w:vertAlign w:val="baseline"/>
        </w:rPr>
        <w:t>Employers at the informal sector of the economy are susceptible to migration and</w:t>
      </w:r>
      <w:r>
        <w:rPr>
          <w:spacing w:val="40"/>
          <w:vertAlign w:val="baseline"/>
        </w:rPr>
        <w:t> </w:t>
      </w:r>
      <w:r>
        <w:rPr>
          <w:vertAlign w:val="baseline"/>
        </w:rPr>
        <w:t>in</w:t>
      </w:r>
      <w:r>
        <w:rPr>
          <w:spacing w:val="40"/>
          <w:vertAlign w:val="baseline"/>
        </w:rPr>
        <w:t> </w:t>
      </w:r>
      <w:r>
        <w:rPr>
          <w:vertAlign w:val="baseline"/>
        </w:rPr>
        <w:t>most</w:t>
      </w:r>
      <w:r>
        <w:rPr>
          <w:spacing w:val="40"/>
          <w:vertAlign w:val="baseline"/>
        </w:rPr>
        <w:t> </w:t>
      </w:r>
      <w:r>
        <w:rPr>
          <w:vertAlign w:val="baseline"/>
        </w:rPr>
        <w:t>cases</w:t>
      </w:r>
      <w:r>
        <w:rPr>
          <w:spacing w:val="40"/>
          <w:vertAlign w:val="baseline"/>
        </w:rPr>
        <w:t> </w:t>
      </w:r>
      <w:r>
        <w:rPr>
          <w:vertAlign w:val="baseline"/>
        </w:rPr>
        <w:t>do</w:t>
      </w:r>
      <w:r>
        <w:rPr>
          <w:spacing w:val="40"/>
          <w:vertAlign w:val="baseline"/>
        </w:rPr>
        <w:t> </w:t>
      </w:r>
      <w:r>
        <w:rPr>
          <w:vertAlign w:val="baseline"/>
        </w:rPr>
        <w:t>not</w:t>
      </w:r>
      <w:r>
        <w:rPr>
          <w:spacing w:val="40"/>
          <w:vertAlign w:val="baseline"/>
        </w:rPr>
        <w:t> </w:t>
      </w:r>
      <w:r>
        <w:rPr>
          <w:vertAlign w:val="baseline"/>
        </w:rPr>
        <w:t>have</w:t>
      </w:r>
      <w:r>
        <w:rPr>
          <w:spacing w:val="40"/>
          <w:vertAlign w:val="baseline"/>
        </w:rPr>
        <w:t> </w:t>
      </w:r>
      <w:r>
        <w:rPr>
          <w:vertAlign w:val="baseline"/>
        </w:rPr>
        <w:t>offices.</w:t>
      </w:r>
      <w:r>
        <w:rPr>
          <w:spacing w:val="40"/>
          <w:vertAlign w:val="baseline"/>
        </w:rPr>
        <w:t> </w:t>
      </w:r>
      <w:r>
        <w:rPr>
          <w:vertAlign w:val="baseline"/>
        </w:rPr>
        <w:t>Even</w:t>
      </w:r>
      <w:r>
        <w:rPr>
          <w:spacing w:val="40"/>
          <w:vertAlign w:val="baseline"/>
        </w:rPr>
        <w:t> </w:t>
      </w:r>
      <w:r>
        <w:rPr>
          <w:vertAlign w:val="baseline"/>
        </w:rPr>
        <w:t>where offices</w:t>
      </w:r>
      <w:r>
        <w:rPr>
          <w:spacing w:val="40"/>
          <w:vertAlign w:val="baseline"/>
        </w:rPr>
        <w:t> </w:t>
      </w:r>
      <w:r>
        <w:rPr>
          <w:vertAlign w:val="baseline"/>
        </w:rPr>
        <w:t>exist, most may not keep records for the purpose of smooth transactions with the Board.</w:t>
      </w:r>
    </w:p>
    <w:p>
      <w:pPr>
        <w:pStyle w:val="BodyText"/>
        <w:spacing w:before="20"/>
      </w:pPr>
    </w:p>
    <w:p>
      <w:pPr>
        <w:pStyle w:val="BodyText"/>
        <w:spacing w:before="1"/>
        <w:ind w:left="1204"/>
        <w:jc w:val="both"/>
      </w:pPr>
      <w:r>
        <w:rPr/>
        <w:t>The</w:t>
      </w:r>
      <w:r>
        <w:rPr>
          <w:spacing w:val="5"/>
        </w:rPr>
        <w:t> </w:t>
      </w:r>
      <w:r>
        <w:rPr/>
        <w:t>informal</w:t>
      </w:r>
      <w:r>
        <w:rPr>
          <w:spacing w:val="8"/>
        </w:rPr>
        <w:t> </w:t>
      </w:r>
      <w:r>
        <w:rPr/>
        <w:t>places</w:t>
      </w:r>
      <w:r>
        <w:rPr>
          <w:spacing w:val="9"/>
        </w:rPr>
        <w:t> </w:t>
      </w:r>
      <w:r>
        <w:rPr/>
        <w:t>of</w:t>
      </w:r>
      <w:r>
        <w:rPr>
          <w:spacing w:val="10"/>
        </w:rPr>
        <w:t> </w:t>
      </w:r>
      <w:r>
        <w:rPr/>
        <w:t>work</w:t>
      </w:r>
      <w:r>
        <w:rPr>
          <w:spacing w:val="7"/>
        </w:rPr>
        <w:t> </w:t>
      </w:r>
      <w:r>
        <w:rPr/>
        <w:t>may</w:t>
      </w:r>
      <w:r>
        <w:rPr>
          <w:spacing w:val="7"/>
        </w:rPr>
        <w:t> </w:t>
      </w:r>
      <w:r>
        <w:rPr/>
        <w:t>not</w:t>
      </w:r>
      <w:r>
        <w:rPr>
          <w:spacing w:val="8"/>
        </w:rPr>
        <w:t> </w:t>
      </w:r>
      <w:r>
        <w:rPr/>
        <w:t>necessarily</w:t>
      </w:r>
      <w:r>
        <w:rPr>
          <w:spacing w:val="11"/>
        </w:rPr>
        <w:t> </w:t>
      </w:r>
      <w:r>
        <w:rPr/>
        <w:t>have</w:t>
      </w:r>
      <w:r>
        <w:rPr>
          <w:spacing w:val="5"/>
        </w:rPr>
        <w:t> </w:t>
      </w:r>
      <w:r>
        <w:rPr/>
        <w:t>payrolls</w:t>
      </w:r>
      <w:r>
        <w:rPr>
          <w:spacing w:val="9"/>
        </w:rPr>
        <w:t> </w:t>
      </w:r>
      <w:r>
        <w:rPr>
          <w:spacing w:val="-2"/>
        </w:rPr>
        <w:t>which</w:t>
      </w:r>
    </w:p>
    <w:p>
      <w:pPr>
        <w:pStyle w:val="BodyText"/>
        <w:spacing w:line="560" w:lineRule="atLeast" w:before="11"/>
        <w:ind w:left="1204" w:right="907"/>
        <w:jc w:val="both"/>
      </w:pPr>
      <w:r>
        <w:rPr/>
        <w:t>will ser~u(qs indicators for assessments by the Board. There may</w:t>
      </w:r>
      <w:r>
        <w:rPr>
          <w:spacing w:val="40"/>
        </w:rPr>
        <w:t> </w:t>
      </w:r>
      <w:r>
        <w:rPr/>
        <w:t>also</w:t>
      </w:r>
      <w:r>
        <w:rPr>
          <w:spacing w:val="29"/>
        </w:rPr>
        <w:t> </w:t>
      </w:r>
      <w:r>
        <w:rPr/>
        <w:t>be</w:t>
      </w:r>
      <w:r>
        <w:rPr>
          <w:spacing w:val="28"/>
        </w:rPr>
        <w:t> </w:t>
      </w:r>
      <w:r>
        <w:rPr/>
        <w:t>the</w:t>
      </w:r>
      <w:r>
        <w:rPr>
          <w:spacing w:val="29"/>
        </w:rPr>
        <w:t> </w:t>
      </w:r>
      <w:r>
        <w:rPr/>
        <w:t>problem</w:t>
      </w:r>
      <w:r>
        <w:rPr>
          <w:spacing w:val="31"/>
        </w:rPr>
        <w:t> </w:t>
      </w:r>
      <w:r>
        <w:rPr/>
        <w:t>of</w:t>
      </w:r>
      <w:r>
        <w:rPr>
          <w:spacing w:val="34"/>
        </w:rPr>
        <w:t> </w:t>
      </w:r>
      <w:r>
        <w:rPr/>
        <w:t>how</w:t>
      </w:r>
      <w:r>
        <w:rPr>
          <w:spacing w:val="35"/>
        </w:rPr>
        <w:t> </w:t>
      </w:r>
      <w:r>
        <w:rPr/>
        <w:t>to</w:t>
      </w:r>
      <w:r>
        <w:rPr>
          <w:spacing w:val="29"/>
        </w:rPr>
        <w:t> </w:t>
      </w:r>
      <w:r>
        <w:rPr/>
        <w:t>always</w:t>
      </w:r>
      <w:r>
        <w:rPr>
          <w:spacing w:val="29"/>
        </w:rPr>
        <w:t> </w:t>
      </w:r>
      <w:r>
        <w:rPr/>
        <w:t>locate</w:t>
      </w:r>
      <w:r>
        <w:rPr>
          <w:spacing w:val="33"/>
        </w:rPr>
        <w:t> </w:t>
      </w:r>
      <w:r>
        <w:rPr/>
        <w:t>those</w:t>
      </w:r>
      <w:r>
        <w:rPr>
          <w:spacing w:val="29"/>
        </w:rPr>
        <w:t> </w:t>
      </w:r>
      <w:r>
        <w:rPr/>
        <w:t>at</w:t>
      </w:r>
      <w:r>
        <w:rPr>
          <w:spacing w:val="30"/>
        </w:rPr>
        <w:t> </w:t>
      </w:r>
      <w:r>
        <w:rPr/>
        <w:t>the</w:t>
      </w:r>
      <w:r>
        <w:rPr>
          <w:spacing w:val="28"/>
        </w:rPr>
        <w:t> </w:t>
      </w:r>
      <w:r>
        <w:rPr>
          <w:spacing w:val="-2"/>
        </w:rPr>
        <w:t>informal</w:t>
      </w:r>
    </w:p>
    <w:p>
      <w:pPr>
        <w:pStyle w:val="BodyText"/>
        <w:spacing w:before="8"/>
        <w:rPr>
          <w:sz w:val="17"/>
        </w:rPr>
      </w:pPr>
      <w:r>
        <w:rPr/>
        <mc:AlternateContent>
          <mc:Choice Requires="wps">
            <w:drawing>
              <wp:anchor distT="0" distB="0" distL="0" distR="0" allowOverlap="1" layoutInCell="1" locked="0" behindDoc="1" simplePos="0" relativeHeight="487652352">
                <wp:simplePos x="0" y="0"/>
                <wp:positionH relativeFrom="page">
                  <wp:posOffset>1399032</wp:posOffset>
                </wp:positionH>
                <wp:positionV relativeFrom="paragraph">
                  <wp:posOffset>150788</wp:posOffset>
                </wp:positionV>
                <wp:extent cx="1719580" cy="3175"/>
                <wp:effectExtent l="0" t="0" r="0" b="0"/>
                <wp:wrapTopAndBottom/>
                <wp:docPr id="149" name="Graphic 149"/>
                <wp:cNvGraphicFramePr>
                  <a:graphicFrameLocks/>
                </wp:cNvGraphicFramePr>
                <a:graphic>
                  <a:graphicData uri="http://schemas.microsoft.com/office/word/2010/wordprocessingShape">
                    <wps:wsp>
                      <wps:cNvPr id="149" name="Graphic 149"/>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10.160004pt;margin-top:11.873125pt;width:135.360pt;height:.24pt;mso-position-horizontal-relative:page;mso-position-vertical-relative:paragraph;z-index:-15664128;mso-wrap-distance-left:0;mso-wrap-distance-right:0" id="docshape149" filled="true" fillcolor="#000000" stroked="false">
                <v:fill type="solid"/>
                <w10:wrap type="topAndBottom"/>
              </v:rect>
            </w:pict>
          </mc:Fallback>
        </mc:AlternateContent>
      </w:r>
    </w:p>
    <w:p>
      <w:pPr>
        <w:spacing w:line="237" w:lineRule="auto" w:before="98"/>
        <w:ind w:left="528" w:right="1023" w:firstLine="0"/>
        <w:jc w:val="left"/>
        <w:rPr>
          <w:rFonts w:ascii="Times New Roman"/>
          <w:sz w:val="19"/>
        </w:rPr>
      </w:pPr>
      <w:r>
        <w:rPr>
          <w:rFonts w:ascii="Times New Roman"/>
          <w:sz w:val="19"/>
          <w:vertAlign w:val="superscript"/>
        </w:rPr>
        <w:t>9</w:t>
      </w:r>
      <w:r>
        <w:rPr>
          <w:rFonts w:ascii="Times New Roman"/>
          <w:spacing w:val="-7"/>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1972</w:t>
      </w:r>
      <w:r>
        <w:rPr>
          <w:rFonts w:ascii="Times New Roman"/>
          <w:spacing w:val="-12"/>
          <w:sz w:val="19"/>
          <w:vertAlign w:val="baseline"/>
        </w:rPr>
        <w:t> </w:t>
      </w:r>
      <w:r>
        <w:rPr>
          <w:rFonts w:ascii="Times New Roman"/>
          <w:sz w:val="19"/>
          <w:vertAlign w:val="baseline"/>
        </w:rPr>
        <w:t>report</w:t>
      </w:r>
      <w:r>
        <w:rPr>
          <w:rFonts w:ascii="Times New Roman"/>
          <w:spacing w:val="-11"/>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International</w:t>
      </w:r>
      <w:r>
        <w:rPr>
          <w:rFonts w:ascii="Times New Roman"/>
          <w:spacing w:val="34"/>
          <w:sz w:val="19"/>
          <w:vertAlign w:val="baseline"/>
        </w:rPr>
        <w:t> </w:t>
      </w:r>
      <w:r>
        <w:rPr>
          <w:rFonts w:ascii="Times New Roman"/>
          <w:sz w:val="19"/>
          <w:vertAlign w:val="baseline"/>
        </w:rPr>
        <w:t>Labour</w:t>
      </w:r>
      <w:r>
        <w:rPr>
          <w:rFonts w:ascii="Times New Roman"/>
          <w:spacing w:val="34"/>
          <w:sz w:val="19"/>
          <w:vertAlign w:val="baseline"/>
        </w:rPr>
        <w:t> </w:t>
      </w:r>
      <w:r>
        <w:rPr>
          <w:rFonts w:ascii="Times New Roman"/>
          <w:sz w:val="19"/>
          <w:vertAlign w:val="baseline"/>
        </w:rPr>
        <w:t>Office</w:t>
      </w:r>
      <w:r>
        <w:rPr>
          <w:rFonts w:ascii="Times New Roman"/>
          <w:spacing w:val="-9"/>
          <w:sz w:val="19"/>
          <w:vertAlign w:val="baseline"/>
        </w:rPr>
        <w:t> </w:t>
      </w:r>
      <w:r>
        <w:rPr>
          <w:rFonts w:ascii="Times New Roman"/>
          <w:sz w:val="19"/>
          <w:vertAlign w:val="baseline"/>
        </w:rPr>
        <w:t>on</w:t>
      </w:r>
      <w:r>
        <w:rPr>
          <w:rFonts w:ascii="Times New Roman"/>
          <w:spacing w:val="-2"/>
          <w:sz w:val="19"/>
          <w:vertAlign w:val="baseline"/>
        </w:rPr>
        <w:t> </w:t>
      </w:r>
      <w:r>
        <w:rPr>
          <w:rFonts w:ascii="Times New Roman"/>
          <w:sz w:val="19"/>
          <w:vertAlign w:val="baseline"/>
        </w:rPr>
        <w:t>employment</w:t>
      </w:r>
      <w:r>
        <w:rPr>
          <w:rFonts w:ascii="Times New Roman"/>
          <w:spacing w:val="-6"/>
          <w:sz w:val="19"/>
          <w:vertAlign w:val="baseline"/>
        </w:rPr>
        <w:t> </w:t>
      </w:r>
      <w:r>
        <w:rPr>
          <w:rFonts w:ascii="Times New Roman"/>
          <w:sz w:val="19"/>
          <w:vertAlign w:val="baseline"/>
        </w:rPr>
        <w:t>in</w:t>
      </w:r>
      <w:r>
        <w:rPr>
          <w:rFonts w:ascii="Times New Roman"/>
          <w:spacing w:val="-2"/>
          <w:sz w:val="19"/>
          <w:vertAlign w:val="baseline"/>
        </w:rPr>
        <w:t> </w:t>
      </w:r>
      <w:r>
        <w:rPr>
          <w:rFonts w:ascii="Times New Roman"/>
          <w:sz w:val="19"/>
          <w:vertAlign w:val="baseline"/>
        </w:rPr>
        <w:t>Kenya</w:t>
      </w:r>
      <w:r>
        <w:rPr>
          <w:rFonts w:ascii="Times New Roman"/>
          <w:spacing w:val="-9"/>
          <w:sz w:val="19"/>
          <w:vertAlign w:val="baseline"/>
        </w:rPr>
        <w:t> </w:t>
      </w:r>
      <w:r>
        <w:rPr>
          <w:rFonts w:ascii="Times New Roman"/>
          <w:sz w:val="19"/>
          <w:vertAlign w:val="baseline"/>
        </w:rPr>
        <w:t>revealed</w:t>
      </w:r>
      <w:r>
        <w:rPr>
          <w:rFonts w:ascii="Times New Roman"/>
          <w:spacing w:val="-6"/>
          <w:sz w:val="19"/>
          <w:vertAlign w:val="baseline"/>
        </w:rPr>
        <w:t> </w:t>
      </w:r>
      <w:r>
        <w:rPr>
          <w:rFonts w:ascii="Times New Roman"/>
          <w:sz w:val="19"/>
          <w:vertAlign w:val="baseline"/>
        </w:rPr>
        <w:t>that avoidance of</w:t>
      </w:r>
      <w:r>
        <w:rPr>
          <w:rFonts w:ascii="Times New Roman"/>
          <w:spacing w:val="-1"/>
          <w:sz w:val="19"/>
          <w:vertAlign w:val="baseline"/>
        </w:rPr>
        <w:t> </w:t>
      </w:r>
      <w:r>
        <w:rPr>
          <w:rFonts w:ascii="Times New Roman"/>
          <w:sz w:val="19"/>
          <w:vertAlign w:val="baseline"/>
        </w:rPr>
        <w:t>Government regulation is a characteristic of informal sector of the economy.</w:t>
      </w:r>
    </w:p>
    <w:p>
      <w:pPr>
        <w:spacing w:line="237" w:lineRule="auto" w:before="0"/>
        <w:ind w:left="528" w:right="1056" w:firstLine="0"/>
        <w:jc w:val="left"/>
        <w:rPr>
          <w:rFonts w:ascii="Times New Roman"/>
          <w:sz w:val="19"/>
        </w:rPr>
      </w:pPr>
      <w:r>
        <w:rPr>
          <w:rFonts w:ascii="Times New Roman"/>
          <w:sz w:val="19"/>
          <w:vertAlign w:val="superscript"/>
        </w:rPr>
        <w:t>10</w:t>
      </w:r>
      <w:r>
        <w:rPr>
          <w:rFonts w:ascii="Times New Roman"/>
          <w:spacing w:val="-6"/>
          <w:sz w:val="19"/>
          <w:vertAlign w:val="baseline"/>
        </w:rPr>
        <w:t> </w:t>
      </w:r>
      <w:r>
        <w:rPr>
          <w:rFonts w:ascii="Times New Roman"/>
          <w:sz w:val="19"/>
          <w:vertAlign w:val="baseline"/>
        </w:rPr>
        <w:t>De</w:t>
      </w:r>
      <w:r>
        <w:rPr>
          <w:rFonts w:ascii="Times New Roman"/>
          <w:spacing w:val="-4"/>
          <w:sz w:val="19"/>
          <w:vertAlign w:val="baseline"/>
        </w:rPr>
        <w:t> </w:t>
      </w:r>
      <w:r>
        <w:rPr>
          <w:rFonts w:ascii="Times New Roman"/>
          <w:sz w:val="19"/>
          <w:vertAlign w:val="baseline"/>
        </w:rPr>
        <w:t>Soto,</w:t>
      </w:r>
      <w:r>
        <w:rPr>
          <w:rFonts w:ascii="Times New Roman"/>
          <w:spacing w:val="-2"/>
          <w:sz w:val="19"/>
          <w:vertAlign w:val="baseline"/>
        </w:rPr>
        <w:t> </w:t>
      </w:r>
      <w:r>
        <w:rPr>
          <w:rFonts w:ascii="Times New Roman"/>
          <w:sz w:val="19"/>
          <w:vertAlign w:val="baseline"/>
        </w:rPr>
        <w:t>H</w:t>
      </w:r>
      <w:r>
        <w:rPr>
          <w:rFonts w:ascii="Times New Roman"/>
          <w:spacing w:val="-12"/>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other</w:t>
      </w:r>
      <w:r>
        <w:rPr>
          <w:rFonts w:ascii="Times New Roman"/>
          <w:spacing w:val="-8"/>
          <w:sz w:val="19"/>
          <w:vertAlign w:val="baseline"/>
        </w:rPr>
        <w:t> </w:t>
      </w:r>
      <w:r>
        <w:rPr>
          <w:rFonts w:ascii="Times New Roman"/>
          <w:sz w:val="19"/>
          <w:vertAlign w:val="baseline"/>
        </w:rPr>
        <w:t>Path;</w:t>
      </w:r>
      <w:r>
        <w:rPr>
          <w:rFonts w:ascii="Times New Roman"/>
          <w:spacing w:val="-11"/>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Invisible</w:t>
      </w:r>
      <w:r>
        <w:rPr>
          <w:rFonts w:ascii="Times New Roman"/>
          <w:spacing w:val="-4"/>
          <w:sz w:val="19"/>
          <w:vertAlign w:val="baseline"/>
        </w:rPr>
        <w:t> </w:t>
      </w:r>
      <w:r>
        <w:rPr>
          <w:rFonts w:ascii="Times New Roman"/>
          <w:sz w:val="19"/>
          <w:vertAlign w:val="baseline"/>
        </w:rPr>
        <w:t>Revolution</w:t>
      </w:r>
      <w:r>
        <w:rPr>
          <w:rFonts w:ascii="Times New Roman"/>
          <w:spacing w:val="-5"/>
          <w:sz w:val="19"/>
          <w:vertAlign w:val="baseline"/>
        </w:rPr>
        <w:t> </w:t>
      </w:r>
      <w:r>
        <w:rPr>
          <w:rFonts w:ascii="Times New Roman"/>
          <w:sz w:val="19"/>
          <w:vertAlign w:val="baseline"/>
        </w:rPr>
        <w:t>in</w:t>
      </w:r>
      <w:r>
        <w:rPr>
          <w:rFonts w:ascii="Times New Roman"/>
          <w:spacing w:val="-6"/>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Third</w:t>
      </w:r>
      <w:r>
        <w:rPr>
          <w:rFonts w:ascii="Times New Roman"/>
          <w:spacing w:val="-9"/>
          <w:sz w:val="19"/>
          <w:vertAlign w:val="baseline"/>
        </w:rPr>
        <w:t> </w:t>
      </w:r>
      <w:r>
        <w:rPr>
          <w:rFonts w:ascii="Times New Roman"/>
          <w:sz w:val="19"/>
          <w:vertAlign w:val="baseline"/>
        </w:rPr>
        <w:t>World,</w:t>
      </w:r>
      <w:r>
        <w:rPr>
          <w:rFonts w:ascii="Times New Roman"/>
          <w:spacing w:val="-6"/>
          <w:sz w:val="19"/>
          <w:vertAlign w:val="baseline"/>
        </w:rPr>
        <w:t> </w:t>
      </w:r>
      <w:r>
        <w:rPr>
          <w:rFonts w:ascii="Times New Roman"/>
          <w:sz w:val="19"/>
          <w:vertAlign w:val="baseline"/>
        </w:rPr>
        <w:t>Harper</w:t>
      </w:r>
      <w:r>
        <w:rPr>
          <w:rFonts w:ascii="Times New Roman"/>
          <w:spacing w:val="-8"/>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Row,</w:t>
      </w:r>
      <w:r>
        <w:rPr>
          <w:rFonts w:ascii="Times New Roman"/>
          <w:spacing w:val="-2"/>
          <w:sz w:val="19"/>
          <w:vertAlign w:val="baseline"/>
        </w:rPr>
        <w:t> </w:t>
      </w:r>
      <w:r>
        <w:rPr>
          <w:rFonts w:ascii="Times New Roman"/>
          <w:sz w:val="19"/>
          <w:vertAlign w:val="baseline"/>
        </w:rPr>
        <w:t>New York (1989)</w:t>
      </w:r>
    </w:p>
    <w:p>
      <w:pPr>
        <w:spacing w:after="0" w:line="237" w:lineRule="auto"/>
        <w:jc w:val="left"/>
        <w:rPr>
          <w:rFonts w:ascii="Times New Roman"/>
          <w:sz w:val="19"/>
        </w:rPr>
        <w:sectPr>
          <w:pgSz w:w="12240" w:h="15840"/>
          <w:pgMar w:header="0" w:footer="1009" w:top="1240" w:bottom="1200" w:left="1680" w:right="1320"/>
        </w:sectPr>
      </w:pPr>
    </w:p>
    <w:p>
      <w:pPr>
        <w:pStyle w:val="BodyText"/>
        <w:spacing w:line="489" w:lineRule="auto" w:before="94"/>
        <w:ind w:left="1204" w:right="904"/>
        <w:jc w:val="both"/>
      </w:pPr>
      <w:r>
        <w:rPr/>
        <w:t>sector since they do not have registered offices for the purposes of transaction and are prone to frequent migration. Those at the informal sector are in most cases without any formal data and there</w:t>
      </w:r>
      <w:r>
        <w:rPr>
          <w:spacing w:val="40"/>
        </w:rPr>
        <w:t> </w:t>
      </w:r>
      <w:r>
        <w:rPr/>
        <w:t>is hardly any parameter</w:t>
      </w:r>
      <w:r>
        <w:rPr>
          <w:spacing w:val="40"/>
        </w:rPr>
        <w:t> </w:t>
      </w:r>
      <w:r>
        <w:rPr/>
        <w:t>to determine</w:t>
      </w:r>
      <w:r>
        <w:rPr>
          <w:spacing w:val="40"/>
        </w:rPr>
        <w:t> </w:t>
      </w:r>
      <w:r>
        <w:rPr/>
        <w:t>their income.</w:t>
      </w:r>
      <w:r>
        <w:rPr>
          <w:spacing w:val="40"/>
        </w:rPr>
        <w:t> </w:t>
      </w:r>
      <w:r>
        <w:rPr/>
        <w:t>Perhaps reference</w:t>
      </w:r>
      <w:r>
        <w:rPr>
          <w:spacing w:val="40"/>
        </w:rPr>
        <w:t> </w:t>
      </w:r>
      <w:r>
        <w:rPr/>
        <w:t>to</w:t>
      </w:r>
      <w:r>
        <w:rPr>
          <w:spacing w:val="40"/>
        </w:rPr>
        <w:t> </w:t>
      </w:r>
      <w:r>
        <w:rPr/>
        <w:t>the</w:t>
      </w:r>
      <w:r>
        <w:rPr>
          <w:spacing w:val="40"/>
        </w:rPr>
        <w:t> </w:t>
      </w:r>
      <w:r>
        <w:rPr/>
        <w:t>number</w:t>
      </w:r>
      <w:r>
        <w:rPr>
          <w:spacing w:val="40"/>
        </w:rPr>
        <w:t> </w:t>
      </w:r>
      <w:r>
        <w:rPr/>
        <w:t>of</w:t>
      </w:r>
      <w:r>
        <w:rPr>
          <w:spacing w:val="40"/>
        </w:rPr>
        <w:t> </w:t>
      </w:r>
      <w:r>
        <w:rPr/>
        <w:t>employees</w:t>
      </w:r>
      <w:r>
        <w:rPr>
          <w:spacing w:val="40"/>
        </w:rPr>
        <w:t> </w:t>
      </w:r>
      <w:r>
        <w:rPr/>
        <w:t>at</w:t>
      </w:r>
      <w:r>
        <w:rPr>
          <w:spacing w:val="40"/>
        </w:rPr>
        <w:t> </w:t>
      </w:r>
      <w:r>
        <w:rPr/>
        <w:t>the</w:t>
      </w:r>
      <w:r>
        <w:rPr>
          <w:spacing w:val="40"/>
        </w:rPr>
        <w:t> </w:t>
      </w:r>
      <w:r>
        <w:rPr/>
        <w:t>informal</w:t>
      </w:r>
      <w:r>
        <w:rPr>
          <w:spacing w:val="40"/>
        </w:rPr>
        <w:t> </w:t>
      </w:r>
      <w:r>
        <w:rPr/>
        <w:t>places</w:t>
      </w:r>
      <w:r>
        <w:rPr>
          <w:spacing w:val="40"/>
        </w:rPr>
        <w:t> </w:t>
      </w:r>
      <w:r>
        <w:rPr/>
        <w:t>of work</w:t>
      </w:r>
      <w:r>
        <w:rPr>
          <w:spacing w:val="36"/>
        </w:rPr>
        <w:t> </w:t>
      </w:r>
      <w:r>
        <w:rPr/>
        <w:t>may</w:t>
      </w:r>
      <w:r>
        <w:rPr>
          <w:spacing w:val="30"/>
        </w:rPr>
        <w:t> </w:t>
      </w:r>
      <w:r>
        <w:rPr/>
        <w:t>serve</w:t>
      </w:r>
      <w:r>
        <w:rPr>
          <w:spacing w:val="33"/>
        </w:rPr>
        <w:t> </w:t>
      </w:r>
      <w:r>
        <w:rPr/>
        <w:t>as</w:t>
      </w:r>
      <w:r>
        <w:rPr>
          <w:spacing w:val="32"/>
        </w:rPr>
        <w:t> </w:t>
      </w:r>
      <w:r>
        <w:rPr/>
        <w:t>indicators</w:t>
      </w:r>
      <w:r>
        <w:rPr>
          <w:spacing w:val="32"/>
        </w:rPr>
        <w:t> </w:t>
      </w:r>
      <w:r>
        <w:rPr/>
        <w:t>for</w:t>
      </w:r>
      <w:r>
        <w:rPr>
          <w:spacing w:val="33"/>
        </w:rPr>
        <w:t> </w:t>
      </w:r>
      <w:r>
        <w:rPr/>
        <w:t>assessment.</w:t>
      </w:r>
      <w:r>
        <w:rPr>
          <w:spacing w:val="32"/>
        </w:rPr>
        <w:t> </w:t>
      </w:r>
      <w:r>
        <w:rPr/>
        <w:t>Also,</w:t>
      </w:r>
      <w:r>
        <w:rPr>
          <w:spacing w:val="38"/>
        </w:rPr>
        <w:t> </w:t>
      </w:r>
      <w:r>
        <w:rPr/>
        <w:t>the</w:t>
      </w:r>
      <w:r>
        <w:rPr>
          <w:spacing w:val="33"/>
        </w:rPr>
        <w:t> </w:t>
      </w:r>
      <w:r>
        <w:rPr/>
        <w:t>risk</w:t>
      </w:r>
      <w:r>
        <w:rPr>
          <w:spacing w:val="30"/>
        </w:rPr>
        <w:t> </w:t>
      </w:r>
      <w:r>
        <w:rPr/>
        <w:t>factors in various places of informal sector may serve as indicator for assessment by the Board. The Board should adopt flat amount of money as assessment for employers at the informal sector and</w:t>
      </w:r>
      <w:r>
        <w:rPr>
          <w:spacing w:val="80"/>
        </w:rPr>
        <w:t> </w:t>
      </w:r>
      <w:r>
        <w:rPr/>
        <w:t>should</w:t>
      </w:r>
      <w:r>
        <w:rPr>
          <w:spacing w:val="40"/>
        </w:rPr>
        <w:t> </w:t>
      </w:r>
      <w:r>
        <w:rPr/>
        <w:t>vary</w:t>
      </w:r>
      <w:r>
        <w:rPr>
          <w:spacing w:val="40"/>
        </w:rPr>
        <w:t> </w:t>
      </w:r>
      <w:r>
        <w:rPr/>
        <w:t>same</w:t>
      </w:r>
      <w:r>
        <w:rPr>
          <w:spacing w:val="40"/>
        </w:rPr>
        <w:t> </w:t>
      </w:r>
      <w:r>
        <w:rPr/>
        <w:t>depending</w:t>
      </w:r>
      <w:r>
        <w:rPr>
          <w:spacing w:val="40"/>
        </w:rPr>
        <w:t> </w:t>
      </w:r>
      <w:r>
        <w:rPr/>
        <w:t>on</w:t>
      </w:r>
      <w:r>
        <w:rPr>
          <w:spacing w:val="40"/>
        </w:rPr>
        <w:t> </w:t>
      </w:r>
      <w:r>
        <w:rPr/>
        <w:t>the risk</w:t>
      </w:r>
      <w:r>
        <w:rPr>
          <w:spacing w:val="40"/>
        </w:rPr>
        <w:t> </w:t>
      </w:r>
      <w:r>
        <w:rPr/>
        <w:t>factors</w:t>
      </w:r>
      <w:r>
        <w:rPr>
          <w:spacing w:val="40"/>
        </w:rPr>
        <w:t> </w:t>
      </w:r>
      <w:r>
        <w:rPr/>
        <w:t>in</w:t>
      </w:r>
      <w:r>
        <w:rPr>
          <w:spacing w:val="40"/>
        </w:rPr>
        <w:t> </w:t>
      </w:r>
      <w:r>
        <w:rPr/>
        <w:t>places</w:t>
      </w:r>
      <w:r>
        <w:rPr>
          <w:spacing w:val="40"/>
        </w:rPr>
        <w:t> </w:t>
      </w:r>
      <w:r>
        <w:rPr/>
        <w:t>of</w:t>
      </w:r>
      <w:r>
        <w:rPr>
          <w:spacing w:val="40"/>
        </w:rPr>
        <w:t> </w:t>
      </w:r>
      <w:r>
        <w:rPr/>
        <w:t>work and the number of employees at each place of employment so that instead of reference being made to non-existent payrolls at the informal sector, reference is made to the number of employees and the risk factor in the place of work. The higher the risk, the higher</w:t>
      </w:r>
      <w:r>
        <w:rPr>
          <w:spacing w:val="80"/>
        </w:rPr>
        <w:t> </w:t>
      </w:r>
      <w:r>
        <w:rPr/>
        <w:t>the amount of assessment, while, the higher the number of employees,</w:t>
      </w:r>
      <w:r>
        <w:rPr>
          <w:spacing w:val="40"/>
        </w:rPr>
        <w:t> </w:t>
      </w:r>
      <w:r>
        <w:rPr/>
        <w:t>the higher</w:t>
      </w:r>
      <w:r>
        <w:rPr>
          <w:spacing w:val="40"/>
        </w:rPr>
        <w:t> </w:t>
      </w:r>
      <w:r>
        <w:rPr/>
        <w:t>the</w:t>
      </w:r>
      <w:r>
        <w:rPr>
          <w:spacing w:val="40"/>
        </w:rPr>
        <w:t> </w:t>
      </w:r>
      <w:r>
        <w:rPr/>
        <w:t>amount</w:t>
      </w:r>
      <w:r>
        <w:rPr>
          <w:spacing w:val="40"/>
        </w:rPr>
        <w:t> </w:t>
      </w:r>
      <w:r>
        <w:rPr/>
        <w:t>of</w:t>
      </w:r>
      <w:r>
        <w:rPr>
          <w:spacing w:val="40"/>
        </w:rPr>
        <w:t> </w:t>
      </w:r>
      <w:r>
        <w:rPr/>
        <w:t>assessment</w:t>
      </w:r>
      <w:r>
        <w:rPr>
          <w:spacing w:val="40"/>
        </w:rPr>
        <w:t> </w:t>
      </w:r>
      <w:r>
        <w:rPr/>
        <w:t>and</w:t>
      </w:r>
      <w:r>
        <w:rPr>
          <w:spacing w:val="40"/>
        </w:rPr>
        <w:t> </w:t>
      </w:r>
      <w:r>
        <w:rPr/>
        <w:t>vice</w:t>
      </w:r>
      <w:r>
        <w:rPr>
          <w:spacing w:val="40"/>
        </w:rPr>
        <w:t> </w:t>
      </w:r>
      <w:r>
        <w:rPr/>
        <w:t>versa. The</w:t>
      </w:r>
      <w:r>
        <w:rPr>
          <w:spacing w:val="40"/>
        </w:rPr>
        <w:t> </w:t>
      </w:r>
      <w:r>
        <w:rPr/>
        <w:t>International</w:t>
      </w:r>
      <w:r>
        <w:rPr>
          <w:spacing w:val="40"/>
        </w:rPr>
        <w:t> </w:t>
      </w:r>
      <w:r>
        <w:rPr/>
        <w:t>Labour</w:t>
      </w:r>
      <w:r>
        <w:rPr>
          <w:spacing w:val="40"/>
        </w:rPr>
        <w:t> </w:t>
      </w:r>
      <w:r>
        <w:rPr/>
        <w:t>Organisation</w:t>
      </w:r>
      <w:r>
        <w:rPr>
          <w:spacing w:val="40"/>
        </w:rPr>
        <w:t> </w:t>
      </w:r>
      <w:r>
        <w:rPr/>
        <w:t>gave</w:t>
      </w:r>
      <w:r>
        <w:rPr>
          <w:spacing w:val="40"/>
        </w:rPr>
        <w:t> </w:t>
      </w:r>
      <w:r>
        <w:rPr/>
        <w:t>a</w:t>
      </w:r>
      <w:r>
        <w:rPr>
          <w:spacing w:val="40"/>
        </w:rPr>
        <w:t> </w:t>
      </w:r>
      <w:r>
        <w:rPr/>
        <w:t>policy</w:t>
      </w:r>
      <w:r>
        <w:rPr>
          <w:spacing w:val="40"/>
        </w:rPr>
        <w:t> </w:t>
      </w:r>
      <w:r>
        <w:rPr/>
        <w:t>advice</w:t>
      </w:r>
      <w:r>
        <w:rPr>
          <w:spacing w:val="40"/>
        </w:rPr>
        <w:t> </w:t>
      </w:r>
      <w:r>
        <w:rPr/>
        <w:t>that</w:t>
      </w:r>
      <w:r>
        <w:rPr>
          <w:spacing w:val="40"/>
        </w:rPr>
        <w:t> </w:t>
      </w:r>
      <w:r>
        <w:rPr/>
        <w:t>if the productive potential of informal sector is to be unleashed and workers’</w:t>
      </w:r>
      <w:r>
        <w:rPr>
          <w:spacing w:val="40"/>
        </w:rPr>
        <w:t> </w:t>
      </w:r>
      <w:r>
        <w:rPr/>
        <w:t>protection</w:t>
      </w:r>
      <w:r>
        <w:rPr>
          <w:spacing w:val="40"/>
        </w:rPr>
        <w:t> </w:t>
      </w:r>
      <w:r>
        <w:rPr/>
        <w:t>guaranteed,</w:t>
      </w:r>
      <w:r>
        <w:rPr>
          <w:spacing w:val="40"/>
        </w:rPr>
        <w:t> </w:t>
      </w:r>
      <w:r>
        <w:rPr/>
        <w:t>an</w:t>
      </w:r>
      <w:r>
        <w:rPr>
          <w:spacing w:val="40"/>
        </w:rPr>
        <w:t> </w:t>
      </w:r>
      <w:r>
        <w:rPr/>
        <w:t>enabling</w:t>
      </w:r>
      <w:r>
        <w:rPr>
          <w:spacing w:val="40"/>
        </w:rPr>
        <w:t> </w:t>
      </w:r>
      <w:r>
        <w:rPr/>
        <w:t>and</w:t>
      </w:r>
      <w:r>
        <w:rPr>
          <w:spacing w:val="40"/>
        </w:rPr>
        <w:t> </w:t>
      </w:r>
      <w:r>
        <w:rPr/>
        <w:t>supportive</w:t>
      </w:r>
      <w:r>
        <w:rPr>
          <w:spacing w:val="40"/>
        </w:rPr>
        <w:t> </w:t>
      </w:r>
      <w:r>
        <w:rPr/>
        <w:t>legal and policy environment must exist. </w:t>
      </w:r>
      <w:r>
        <w:rPr>
          <w:vertAlign w:val="superscript"/>
        </w:rPr>
        <w:t>11</w:t>
      </w:r>
      <w:r>
        <w:rPr>
          <w:vertAlign w:val="baseline"/>
        </w:rPr>
        <w:t> Also, as part of the economic and social objectives of the Federal Republic of Nigeria enshrined in its</w:t>
      </w:r>
      <w:r>
        <w:rPr>
          <w:spacing w:val="52"/>
          <w:vertAlign w:val="baseline"/>
        </w:rPr>
        <w:t> </w:t>
      </w:r>
      <w:r>
        <w:rPr>
          <w:vertAlign w:val="baseline"/>
        </w:rPr>
        <w:t>Constitution,</w:t>
      </w:r>
      <w:r>
        <w:rPr>
          <w:spacing w:val="56"/>
          <w:vertAlign w:val="baseline"/>
        </w:rPr>
        <w:t> </w:t>
      </w:r>
      <w:r>
        <w:rPr>
          <w:vertAlign w:val="baseline"/>
        </w:rPr>
        <w:t>the</w:t>
      </w:r>
      <w:r>
        <w:rPr>
          <w:spacing w:val="52"/>
          <w:vertAlign w:val="baseline"/>
        </w:rPr>
        <w:t> </w:t>
      </w:r>
      <w:r>
        <w:rPr>
          <w:vertAlign w:val="baseline"/>
        </w:rPr>
        <w:t>Government</w:t>
      </w:r>
      <w:r>
        <w:rPr>
          <w:spacing w:val="49"/>
          <w:vertAlign w:val="baseline"/>
        </w:rPr>
        <w:t> </w:t>
      </w:r>
      <w:r>
        <w:rPr>
          <w:vertAlign w:val="baseline"/>
        </w:rPr>
        <w:t>is</w:t>
      </w:r>
      <w:r>
        <w:rPr>
          <w:spacing w:val="52"/>
          <w:vertAlign w:val="baseline"/>
        </w:rPr>
        <w:t> </w:t>
      </w:r>
      <w:r>
        <w:rPr>
          <w:vertAlign w:val="baseline"/>
        </w:rPr>
        <w:t>to</w:t>
      </w:r>
      <w:r>
        <w:rPr>
          <w:spacing w:val="48"/>
          <w:vertAlign w:val="baseline"/>
        </w:rPr>
        <w:t> </w:t>
      </w:r>
      <w:r>
        <w:rPr>
          <w:vertAlign w:val="baseline"/>
        </w:rPr>
        <w:t>protect</w:t>
      </w:r>
      <w:r>
        <w:rPr>
          <w:spacing w:val="49"/>
          <w:vertAlign w:val="baseline"/>
        </w:rPr>
        <w:t> </w:t>
      </w:r>
      <w:r>
        <w:rPr>
          <w:vertAlign w:val="baseline"/>
        </w:rPr>
        <w:t>the</w:t>
      </w:r>
      <w:r>
        <w:rPr>
          <w:spacing w:val="52"/>
          <w:vertAlign w:val="baseline"/>
        </w:rPr>
        <w:t> </w:t>
      </w:r>
      <w:r>
        <w:rPr>
          <w:vertAlign w:val="baseline"/>
        </w:rPr>
        <w:t>rights</w:t>
      </w:r>
      <w:r>
        <w:rPr>
          <w:spacing w:val="52"/>
          <w:vertAlign w:val="baseline"/>
        </w:rPr>
        <w:t> </w:t>
      </w:r>
      <w:r>
        <w:rPr>
          <w:vertAlign w:val="baseline"/>
        </w:rPr>
        <w:t>of</w:t>
      </w:r>
      <w:r>
        <w:rPr>
          <w:spacing w:val="53"/>
          <w:vertAlign w:val="baseline"/>
        </w:rPr>
        <w:t> </w:t>
      </w:r>
      <w:r>
        <w:rPr>
          <w:spacing w:val="-2"/>
          <w:vertAlign w:val="baseline"/>
        </w:rPr>
        <w:t>every</w:t>
      </w:r>
    </w:p>
    <w:p>
      <w:pPr>
        <w:pStyle w:val="BodyText"/>
        <w:spacing w:before="2"/>
        <w:rPr>
          <w:sz w:val="7"/>
        </w:rPr>
      </w:pPr>
      <w:r>
        <w:rPr/>
        <mc:AlternateContent>
          <mc:Choice Requires="wps">
            <w:drawing>
              <wp:anchor distT="0" distB="0" distL="0" distR="0" allowOverlap="1" layoutInCell="1" locked="0" behindDoc="1" simplePos="0" relativeHeight="487652864">
                <wp:simplePos x="0" y="0"/>
                <wp:positionH relativeFrom="page">
                  <wp:posOffset>1399032</wp:posOffset>
                </wp:positionH>
                <wp:positionV relativeFrom="paragraph">
                  <wp:posOffset>70701</wp:posOffset>
                </wp:positionV>
                <wp:extent cx="1719580" cy="6350"/>
                <wp:effectExtent l="0" t="0" r="0" b="0"/>
                <wp:wrapTopAndBottom/>
                <wp:docPr id="150" name="Graphic 150"/>
                <wp:cNvGraphicFramePr>
                  <a:graphicFrameLocks/>
                </wp:cNvGraphicFramePr>
                <a:graphic>
                  <a:graphicData uri="http://schemas.microsoft.com/office/word/2010/wordprocessingShape">
                    <wps:wsp>
                      <wps:cNvPr id="150" name="Graphic 150"/>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10.160004pt;margin-top:5.567031pt;width:135.360pt;height:.48pt;mso-position-horizontal-relative:page;mso-position-vertical-relative:paragraph;z-index:-15663616;mso-wrap-distance-left:0;mso-wrap-distance-right:0" id="docshape150" filled="true" fillcolor="#000000" stroked="false">
                <v:fill type="solid"/>
                <w10:wrap type="topAndBottom"/>
              </v:rect>
            </w:pict>
          </mc:Fallback>
        </mc:AlternateContent>
      </w:r>
    </w:p>
    <w:p>
      <w:pPr>
        <w:spacing w:line="237" w:lineRule="auto" w:before="93"/>
        <w:ind w:left="528" w:right="563" w:firstLine="0"/>
        <w:jc w:val="left"/>
        <w:rPr>
          <w:rFonts w:ascii="Times New Roman"/>
          <w:sz w:val="19"/>
        </w:rPr>
      </w:pPr>
      <w:r>
        <w:rPr>
          <w:rFonts w:ascii="Times New Roman"/>
          <w:sz w:val="19"/>
          <w:vertAlign w:val="superscript"/>
        </w:rPr>
        <w:t>11</w:t>
      </w:r>
      <w:r>
        <w:rPr>
          <w:rFonts w:ascii="Times New Roman"/>
          <w:spacing w:val="-12"/>
          <w:sz w:val="19"/>
          <w:vertAlign w:val="baseline"/>
        </w:rPr>
        <w:t> </w:t>
      </w:r>
      <w:hyperlink r:id="rId29">
        <w:r>
          <w:rPr>
            <w:rFonts w:ascii="Times New Roman"/>
            <w:color w:val="0000FF"/>
            <w:sz w:val="19"/>
            <w:u w:val="single" w:color="0000FF"/>
            <w:vertAlign w:val="baseline"/>
          </w:rPr>
          <w:t>www.ilo.org/public/english/standards/relm/gb/../esp-i-i</w:t>
        </w:r>
      </w:hyperlink>
      <w:r>
        <w:rPr>
          <w:rFonts w:ascii="Times New Roman"/>
          <w:color w:val="0000FF"/>
          <w:spacing w:val="-12"/>
          <w:sz w:val="19"/>
          <w:vertAlign w:val="baseline"/>
        </w:rPr>
        <w:t> </w:t>
      </w:r>
      <w:r>
        <w:rPr>
          <w:rFonts w:ascii="Times New Roman"/>
          <w:sz w:val="19"/>
          <w:vertAlign w:val="baseline"/>
        </w:rPr>
        <w:t>retrieved</w:t>
      </w:r>
      <w:r>
        <w:rPr>
          <w:rFonts w:ascii="Times New Roman"/>
          <w:spacing w:val="-12"/>
          <w:sz w:val="19"/>
          <w:vertAlign w:val="baseline"/>
        </w:rPr>
        <w:t> </w:t>
      </w:r>
      <w:r>
        <w:rPr>
          <w:rFonts w:ascii="Times New Roman"/>
          <w:sz w:val="19"/>
          <w:vertAlign w:val="baseline"/>
        </w:rPr>
        <w:t>on</w:t>
      </w:r>
      <w:r>
        <w:rPr>
          <w:rFonts w:ascii="Times New Roman"/>
          <w:spacing w:val="-9"/>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31st</w:t>
      </w:r>
      <w:r>
        <w:rPr>
          <w:rFonts w:ascii="Times New Roman"/>
          <w:spacing w:val="-12"/>
          <w:sz w:val="19"/>
          <w:vertAlign w:val="baseline"/>
        </w:rPr>
        <w:t> </w:t>
      </w:r>
      <w:r>
        <w:rPr>
          <w:rFonts w:ascii="Times New Roman"/>
          <w:sz w:val="19"/>
          <w:vertAlign w:val="baseline"/>
        </w:rPr>
        <w:t>day</w:t>
      </w:r>
      <w:r>
        <w:rPr>
          <w:rFonts w:ascii="Times New Roman"/>
          <w:spacing w:val="-12"/>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January,</w:t>
      </w:r>
      <w:r>
        <w:rPr>
          <w:rFonts w:ascii="Times New Roman"/>
          <w:spacing w:val="-10"/>
          <w:sz w:val="19"/>
          <w:vertAlign w:val="baseline"/>
        </w:rPr>
        <w:t> </w:t>
      </w:r>
      <w:r>
        <w:rPr>
          <w:rFonts w:ascii="Times New Roman"/>
          <w:sz w:val="19"/>
          <w:vertAlign w:val="baseline"/>
        </w:rPr>
        <w:t>2013</w:t>
      </w:r>
      <w:r>
        <w:rPr>
          <w:rFonts w:ascii="Times New Roman"/>
          <w:spacing w:val="-12"/>
          <w:sz w:val="19"/>
          <w:vertAlign w:val="baseline"/>
        </w:rPr>
        <w:t> </w:t>
      </w:r>
      <w:r>
        <w:rPr>
          <w:rFonts w:ascii="Times New Roman"/>
          <w:sz w:val="19"/>
          <w:vertAlign w:val="baseline"/>
        </w:rPr>
        <w:t>at </w:t>
      </w:r>
      <w:r>
        <w:rPr>
          <w:rFonts w:ascii="Times New Roman"/>
          <w:spacing w:val="-2"/>
          <w:sz w:val="19"/>
          <w:vertAlign w:val="baseline"/>
        </w:rPr>
        <w:t>1:20pm</w:t>
      </w:r>
    </w:p>
    <w:p>
      <w:pPr>
        <w:spacing w:after="0" w:line="237" w:lineRule="auto"/>
        <w:jc w:val="left"/>
        <w:rPr>
          <w:rFonts w:ascii="Times New Roman"/>
          <w:sz w:val="19"/>
        </w:rPr>
        <w:sectPr>
          <w:pgSz w:w="12240" w:h="15840"/>
          <w:pgMar w:header="0" w:footer="1009" w:top="1260" w:bottom="1200" w:left="1680" w:right="1320"/>
        </w:sectPr>
      </w:pPr>
    </w:p>
    <w:p>
      <w:pPr>
        <w:pStyle w:val="BodyText"/>
        <w:spacing w:line="489" w:lineRule="auto" w:before="94"/>
        <w:ind w:left="1204" w:right="900"/>
        <w:jc w:val="both"/>
      </w:pPr>
      <w:r>
        <w:rPr/>
        <w:t>citizen to engage in any economic activities outside the major sector of the economy and Government is to direct its policy towards ensuring that the health, safety and welfare of all persons in employment are safeguarded and not endangered or abused.</w:t>
      </w:r>
      <w:r>
        <w:rPr>
          <w:vertAlign w:val="superscript"/>
        </w:rPr>
        <w:t>12</w:t>
      </w:r>
      <w:r>
        <w:rPr>
          <w:vertAlign w:val="baseline"/>
        </w:rPr>
        <w:t> This perhaps may be part of the reasons why the Act adopts a non- discriminatory</w:t>
      </w:r>
      <w:r>
        <w:rPr>
          <w:spacing w:val="40"/>
          <w:vertAlign w:val="baseline"/>
        </w:rPr>
        <w:t> </w:t>
      </w:r>
      <w:r>
        <w:rPr>
          <w:vertAlign w:val="baseline"/>
        </w:rPr>
        <w:t>approach</w:t>
      </w:r>
      <w:r>
        <w:rPr>
          <w:spacing w:val="40"/>
          <w:vertAlign w:val="baseline"/>
        </w:rPr>
        <w:t> </w:t>
      </w:r>
      <w:r>
        <w:rPr>
          <w:vertAlign w:val="baseline"/>
        </w:rPr>
        <w:t>in</w:t>
      </w:r>
      <w:r>
        <w:rPr>
          <w:spacing w:val="40"/>
          <w:vertAlign w:val="baseline"/>
        </w:rPr>
        <w:t> </w:t>
      </w:r>
      <w:r>
        <w:rPr>
          <w:vertAlign w:val="baseline"/>
        </w:rPr>
        <w:t>protecting</w:t>
      </w:r>
      <w:r>
        <w:rPr>
          <w:spacing w:val="40"/>
          <w:vertAlign w:val="baseline"/>
        </w:rPr>
        <w:t> </w:t>
      </w:r>
      <w:r>
        <w:rPr>
          <w:vertAlign w:val="baseline"/>
        </w:rPr>
        <w:t>employees</w:t>
      </w:r>
      <w:r>
        <w:rPr>
          <w:spacing w:val="40"/>
          <w:vertAlign w:val="baseline"/>
        </w:rPr>
        <w:t> </w:t>
      </w:r>
      <w:r>
        <w:rPr>
          <w:vertAlign w:val="baseline"/>
        </w:rPr>
        <w:t>even</w:t>
      </w:r>
      <w:r>
        <w:rPr>
          <w:spacing w:val="40"/>
          <w:vertAlign w:val="baseline"/>
        </w:rPr>
        <w:t> </w:t>
      </w:r>
      <w:r>
        <w:rPr>
          <w:vertAlign w:val="baseline"/>
        </w:rPr>
        <w:t>at</w:t>
      </w:r>
      <w:r>
        <w:rPr>
          <w:spacing w:val="40"/>
          <w:vertAlign w:val="baseline"/>
        </w:rPr>
        <w:t> </w:t>
      </w:r>
      <w:r>
        <w:rPr>
          <w:vertAlign w:val="baseline"/>
        </w:rPr>
        <w:t>the informal sector of the economy. Also, compensation for job-related risks is humanitarian issue hence the necessity of not exempting the informal</w:t>
      </w:r>
      <w:r>
        <w:rPr>
          <w:spacing w:val="21"/>
          <w:vertAlign w:val="baseline"/>
        </w:rPr>
        <w:t> </w:t>
      </w:r>
      <w:r>
        <w:rPr>
          <w:vertAlign w:val="baseline"/>
        </w:rPr>
        <w:t>sector</w:t>
      </w:r>
      <w:r>
        <w:rPr>
          <w:spacing w:val="30"/>
          <w:vertAlign w:val="baseline"/>
        </w:rPr>
        <w:t> </w:t>
      </w:r>
      <w:r>
        <w:rPr>
          <w:vertAlign w:val="baseline"/>
        </w:rPr>
        <w:t>from</w:t>
      </w:r>
      <w:r>
        <w:rPr>
          <w:spacing w:val="22"/>
          <w:vertAlign w:val="baseline"/>
        </w:rPr>
        <w:t> </w:t>
      </w:r>
      <w:r>
        <w:rPr>
          <w:vertAlign w:val="baseline"/>
        </w:rPr>
        <w:t>the</w:t>
      </w:r>
      <w:r>
        <w:rPr>
          <w:spacing w:val="23"/>
          <w:vertAlign w:val="baseline"/>
        </w:rPr>
        <w:t> </w:t>
      </w:r>
      <w:r>
        <w:rPr>
          <w:vertAlign w:val="baseline"/>
        </w:rPr>
        <w:t>scheme.</w:t>
      </w:r>
      <w:r>
        <w:rPr>
          <w:spacing w:val="23"/>
          <w:vertAlign w:val="baseline"/>
        </w:rPr>
        <w:t> </w:t>
      </w:r>
      <w:r>
        <w:rPr>
          <w:vertAlign w:val="baseline"/>
        </w:rPr>
        <w:t>The</w:t>
      </w:r>
      <w:r>
        <w:rPr>
          <w:spacing w:val="80"/>
          <w:vertAlign w:val="baseline"/>
        </w:rPr>
        <w:t> </w:t>
      </w:r>
      <w:r>
        <w:rPr>
          <w:vertAlign w:val="baseline"/>
        </w:rPr>
        <w:t>ability</w:t>
      </w:r>
      <w:r>
        <w:rPr>
          <w:spacing w:val="20"/>
          <w:vertAlign w:val="baseline"/>
        </w:rPr>
        <w:t> </w:t>
      </w:r>
      <w:r>
        <w:rPr>
          <w:vertAlign w:val="baseline"/>
        </w:rPr>
        <w:t>of</w:t>
      </w:r>
      <w:r>
        <w:rPr>
          <w:spacing w:val="30"/>
          <w:vertAlign w:val="baseline"/>
        </w:rPr>
        <w:t> </w:t>
      </w:r>
      <w:r>
        <w:rPr>
          <w:vertAlign w:val="baseline"/>
        </w:rPr>
        <w:t>employees</w:t>
      </w:r>
      <w:r>
        <w:rPr>
          <w:spacing w:val="23"/>
          <w:vertAlign w:val="baseline"/>
        </w:rPr>
        <w:t> </w:t>
      </w:r>
      <w:r>
        <w:rPr>
          <w:vertAlign w:val="baseline"/>
        </w:rPr>
        <w:t>to</w:t>
      </w:r>
      <w:r>
        <w:rPr>
          <w:spacing w:val="24"/>
          <w:vertAlign w:val="baseline"/>
        </w:rPr>
        <w:t> </w:t>
      </w:r>
      <w:r>
        <w:rPr>
          <w:vertAlign w:val="baseline"/>
        </w:rPr>
        <w:t>work is their surest security and where such ability is affected out of or in the</w:t>
      </w:r>
      <w:r>
        <w:rPr>
          <w:spacing w:val="40"/>
          <w:vertAlign w:val="baseline"/>
        </w:rPr>
        <w:t> </w:t>
      </w:r>
      <w:r>
        <w:rPr>
          <w:vertAlign w:val="baseline"/>
        </w:rPr>
        <w:t>course</w:t>
      </w:r>
      <w:r>
        <w:rPr>
          <w:spacing w:val="40"/>
          <w:vertAlign w:val="baseline"/>
        </w:rPr>
        <w:t> </w:t>
      </w:r>
      <w:r>
        <w:rPr>
          <w:vertAlign w:val="baseline"/>
        </w:rPr>
        <w:t>of</w:t>
      </w:r>
      <w:r>
        <w:rPr>
          <w:spacing w:val="40"/>
          <w:vertAlign w:val="baseline"/>
        </w:rPr>
        <w:t> </w:t>
      </w:r>
      <w:r>
        <w:rPr>
          <w:vertAlign w:val="baseline"/>
        </w:rPr>
        <w:t>employment</w:t>
      </w:r>
      <w:r>
        <w:rPr>
          <w:spacing w:val="40"/>
          <w:vertAlign w:val="baseline"/>
        </w:rPr>
        <w:t> </w:t>
      </w:r>
      <w:r>
        <w:rPr>
          <w:vertAlign w:val="baseline"/>
        </w:rPr>
        <w:t>such</w:t>
      </w:r>
      <w:r>
        <w:rPr>
          <w:spacing w:val="40"/>
          <w:vertAlign w:val="baseline"/>
        </w:rPr>
        <w:t> </w:t>
      </w:r>
      <w:r>
        <w:rPr>
          <w:vertAlign w:val="baseline"/>
        </w:rPr>
        <w:t>an</w:t>
      </w:r>
      <w:r>
        <w:rPr>
          <w:spacing w:val="40"/>
          <w:vertAlign w:val="baseline"/>
        </w:rPr>
        <w:t> </w:t>
      </w:r>
      <w:r>
        <w:rPr>
          <w:vertAlign w:val="baseline"/>
        </w:rPr>
        <w:t>employee</w:t>
      </w:r>
      <w:r>
        <w:rPr>
          <w:spacing w:val="40"/>
          <w:vertAlign w:val="baseline"/>
        </w:rPr>
        <w:t> </w:t>
      </w:r>
      <w:r>
        <w:rPr>
          <w:vertAlign w:val="baseline"/>
        </w:rPr>
        <w:t>deserves compensation or health care or both.</w:t>
      </w:r>
    </w:p>
    <w:p>
      <w:pPr>
        <w:pStyle w:val="BodyText"/>
        <w:spacing w:before="20"/>
      </w:pPr>
    </w:p>
    <w:p>
      <w:pPr>
        <w:pStyle w:val="BodyText"/>
        <w:spacing w:line="489" w:lineRule="auto"/>
        <w:ind w:left="1204" w:right="905"/>
        <w:jc w:val="both"/>
      </w:pPr>
      <w:r>
        <w:rPr/>
        <w:t>The scheme has done well in covering employees and employers within the informal sector of the economy but by its very nature, informality seems to rob employees at the informal sector of the economy of the benefits, protection and welfare ushered in by the present Employees’ Compensation Act. Good economic development and low level of illiteracy in Nigeria may take the country to the desired</w:t>
      </w:r>
      <w:r>
        <w:rPr>
          <w:spacing w:val="29"/>
        </w:rPr>
        <w:t> </w:t>
      </w:r>
      <w:r>
        <w:rPr/>
        <w:t>level</w:t>
      </w:r>
      <w:r>
        <w:rPr>
          <w:spacing w:val="29"/>
        </w:rPr>
        <w:t> </w:t>
      </w:r>
      <w:r>
        <w:rPr/>
        <w:t>as</w:t>
      </w:r>
      <w:r>
        <w:rPr>
          <w:spacing w:val="30"/>
        </w:rPr>
        <w:t> </w:t>
      </w:r>
      <w:r>
        <w:rPr/>
        <w:t>it</w:t>
      </w:r>
      <w:r>
        <w:rPr>
          <w:spacing w:val="28"/>
        </w:rPr>
        <w:t> </w:t>
      </w:r>
      <w:r>
        <w:rPr/>
        <w:t>relates</w:t>
      </w:r>
      <w:r>
        <w:rPr>
          <w:spacing w:val="26"/>
        </w:rPr>
        <w:t> </w:t>
      </w:r>
      <w:r>
        <w:rPr/>
        <w:t>to</w:t>
      </w:r>
      <w:r>
        <w:rPr>
          <w:spacing w:val="27"/>
        </w:rPr>
        <w:t> </w:t>
      </w:r>
      <w:r>
        <w:rPr/>
        <w:t>the</w:t>
      </w:r>
      <w:r>
        <w:rPr>
          <w:spacing w:val="26"/>
        </w:rPr>
        <w:t> </w:t>
      </w:r>
      <w:r>
        <w:rPr/>
        <w:t>cover</w:t>
      </w:r>
      <w:r>
        <w:rPr>
          <w:spacing w:val="32"/>
        </w:rPr>
        <w:t> </w:t>
      </w:r>
      <w:r>
        <w:rPr/>
        <w:t>it</w:t>
      </w:r>
      <w:r>
        <w:rPr>
          <w:spacing w:val="28"/>
        </w:rPr>
        <w:t> </w:t>
      </w:r>
      <w:r>
        <w:rPr/>
        <w:t>seeks</w:t>
      </w:r>
      <w:r>
        <w:rPr>
          <w:spacing w:val="30"/>
        </w:rPr>
        <w:t> </w:t>
      </w:r>
      <w:r>
        <w:rPr/>
        <w:t>to</w:t>
      </w:r>
      <w:r>
        <w:rPr>
          <w:spacing w:val="27"/>
        </w:rPr>
        <w:t> </w:t>
      </w:r>
      <w:r>
        <w:rPr/>
        <w:t>afford</w:t>
      </w:r>
      <w:r>
        <w:rPr>
          <w:spacing w:val="29"/>
        </w:rPr>
        <w:t> </w:t>
      </w:r>
      <w:r>
        <w:rPr/>
        <w:t>employees at</w:t>
      </w:r>
      <w:r>
        <w:rPr>
          <w:spacing w:val="38"/>
        </w:rPr>
        <w:t> </w:t>
      </w:r>
      <w:r>
        <w:rPr/>
        <w:t>the</w:t>
      </w:r>
      <w:r>
        <w:rPr>
          <w:spacing w:val="40"/>
        </w:rPr>
        <w:t> </w:t>
      </w:r>
      <w:r>
        <w:rPr/>
        <w:t>informal</w:t>
      </w:r>
      <w:r>
        <w:rPr>
          <w:spacing w:val="39"/>
        </w:rPr>
        <w:t> </w:t>
      </w:r>
      <w:r>
        <w:rPr/>
        <w:t>sector.</w:t>
      </w:r>
      <w:r>
        <w:rPr>
          <w:spacing w:val="36"/>
        </w:rPr>
        <w:t> </w:t>
      </w:r>
      <w:r>
        <w:rPr/>
        <w:t>It</w:t>
      </w:r>
      <w:r>
        <w:rPr>
          <w:spacing w:val="38"/>
        </w:rPr>
        <w:t> </w:t>
      </w:r>
      <w:r>
        <w:rPr/>
        <w:t>is</w:t>
      </w:r>
      <w:r>
        <w:rPr>
          <w:spacing w:val="40"/>
        </w:rPr>
        <w:t> </w:t>
      </w:r>
      <w:r>
        <w:rPr/>
        <w:t>suggested</w:t>
      </w:r>
      <w:r>
        <w:rPr>
          <w:spacing w:val="40"/>
        </w:rPr>
        <w:t> </w:t>
      </w:r>
      <w:r>
        <w:rPr/>
        <w:t>that</w:t>
      </w:r>
      <w:r>
        <w:rPr>
          <w:spacing w:val="40"/>
        </w:rPr>
        <w:t> </w:t>
      </w:r>
      <w:r>
        <w:rPr/>
        <w:t>in</w:t>
      </w:r>
      <w:r>
        <w:rPr>
          <w:spacing w:val="39"/>
        </w:rPr>
        <w:t> </w:t>
      </w:r>
      <w:r>
        <w:rPr/>
        <w:t>order</w:t>
      </w:r>
      <w:r>
        <w:rPr>
          <w:spacing w:val="40"/>
        </w:rPr>
        <w:t> </w:t>
      </w:r>
      <w:r>
        <w:rPr/>
        <w:t>to</w:t>
      </w:r>
      <w:r>
        <w:rPr>
          <w:spacing w:val="38"/>
        </w:rPr>
        <w:t> </w:t>
      </w:r>
      <w:r>
        <w:rPr/>
        <w:t>lift</w:t>
      </w:r>
      <w:r>
        <w:rPr>
          <w:spacing w:val="38"/>
        </w:rPr>
        <w:t> </w:t>
      </w:r>
      <w:r>
        <w:rPr/>
        <w:t>the</w:t>
      </w:r>
      <w:r>
        <w:rPr>
          <w:spacing w:val="37"/>
        </w:rPr>
        <w:t> </w:t>
      </w:r>
      <w:r>
        <w:rPr/>
        <w:t>veil that</w:t>
      </w:r>
      <w:r>
        <w:rPr>
          <w:spacing w:val="39"/>
        </w:rPr>
        <w:t> </w:t>
      </w:r>
      <w:r>
        <w:rPr/>
        <w:t>in</w:t>
      </w:r>
      <w:r>
        <w:rPr>
          <w:spacing w:val="40"/>
        </w:rPr>
        <w:t> </w:t>
      </w:r>
      <w:r>
        <w:rPr/>
        <w:t>most</w:t>
      </w:r>
      <w:r>
        <w:rPr>
          <w:spacing w:val="40"/>
        </w:rPr>
        <w:t> </w:t>
      </w:r>
      <w:r>
        <w:rPr/>
        <w:t>cases</w:t>
      </w:r>
      <w:r>
        <w:rPr>
          <w:spacing w:val="42"/>
        </w:rPr>
        <w:t> </w:t>
      </w:r>
      <w:r>
        <w:rPr/>
        <w:t>covers</w:t>
      </w:r>
      <w:r>
        <w:rPr>
          <w:spacing w:val="37"/>
        </w:rPr>
        <w:t> </w:t>
      </w:r>
      <w:r>
        <w:rPr/>
        <w:t>the</w:t>
      </w:r>
      <w:r>
        <w:rPr>
          <w:spacing w:val="39"/>
        </w:rPr>
        <w:t> </w:t>
      </w:r>
      <w:r>
        <w:rPr/>
        <w:t>employers</w:t>
      </w:r>
      <w:r>
        <w:rPr>
          <w:spacing w:val="38"/>
        </w:rPr>
        <w:t> </w:t>
      </w:r>
      <w:r>
        <w:rPr/>
        <w:t>at</w:t>
      </w:r>
      <w:r>
        <w:rPr>
          <w:spacing w:val="39"/>
        </w:rPr>
        <w:t> </w:t>
      </w:r>
      <w:r>
        <w:rPr/>
        <w:t>the</w:t>
      </w:r>
      <w:r>
        <w:rPr>
          <w:spacing w:val="39"/>
        </w:rPr>
        <w:t> </w:t>
      </w:r>
      <w:r>
        <w:rPr/>
        <w:t>informal</w:t>
      </w:r>
      <w:r>
        <w:rPr>
          <w:spacing w:val="40"/>
        </w:rPr>
        <w:t> </w:t>
      </w:r>
      <w:r>
        <w:rPr/>
        <w:t>sector</w:t>
      </w:r>
      <w:r>
        <w:rPr>
          <w:spacing w:val="39"/>
        </w:rPr>
        <w:t> </w:t>
      </w:r>
      <w:r>
        <w:rPr>
          <w:spacing w:val="-5"/>
        </w:rPr>
        <w:t>of</w:t>
      </w:r>
    </w:p>
    <w:p>
      <w:pPr>
        <w:pStyle w:val="BodyText"/>
        <w:spacing w:before="114"/>
        <w:rPr>
          <w:sz w:val="20"/>
        </w:rPr>
      </w:pPr>
      <w:r>
        <w:rPr/>
        <mc:AlternateContent>
          <mc:Choice Requires="wps">
            <w:drawing>
              <wp:anchor distT="0" distB="0" distL="0" distR="0" allowOverlap="1" layoutInCell="1" locked="0" behindDoc="1" simplePos="0" relativeHeight="487653376">
                <wp:simplePos x="0" y="0"/>
                <wp:positionH relativeFrom="page">
                  <wp:posOffset>1399032</wp:posOffset>
                </wp:positionH>
                <wp:positionV relativeFrom="paragraph">
                  <wp:posOffset>241339</wp:posOffset>
                </wp:positionV>
                <wp:extent cx="1719580" cy="6350"/>
                <wp:effectExtent l="0" t="0" r="0" b="0"/>
                <wp:wrapTopAndBottom/>
                <wp:docPr id="151" name="Graphic 151"/>
                <wp:cNvGraphicFramePr>
                  <a:graphicFrameLocks/>
                </wp:cNvGraphicFramePr>
                <a:graphic>
                  <a:graphicData uri="http://schemas.microsoft.com/office/word/2010/wordprocessingShape">
                    <wps:wsp>
                      <wps:cNvPr id="151" name="Graphic 151"/>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10.160004pt;margin-top:19.003124pt;width:135.360pt;height:.48pt;mso-position-horizontal-relative:page;mso-position-vertical-relative:paragraph;z-index:-15663104;mso-wrap-distance-left:0;mso-wrap-distance-right:0" id="docshape151" filled="true" fillcolor="#000000" stroked="false">
                <v:fill type="solid"/>
                <w10:wrap type="topAndBottom"/>
              </v:rect>
            </w:pict>
          </mc:Fallback>
        </mc:AlternateContent>
      </w:r>
    </w:p>
    <w:p>
      <w:pPr>
        <w:spacing w:line="237" w:lineRule="auto" w:before="93"/>
        <w:ind w:left="528" w:right="569" w:firstLine="0"/>
        <w:jc w:val="left"/>
        <w:rPr>
          <w:rFonts w:ascii="Times New Roman"/>
          <w:sz w:val="19"/>
        </w:rPr>
      </w:pPr>
      <w:r>
        <w:rPr>
          <w:rFonts w:ascii="Times New Roman"/>
          <w:sz w:val="19"/>
          <w:vertAlign w:val="superscript"/>
        </w:rPr>
        <w:t>12</w:t>
      </w:r>
      <w:r>
        <w:rPr>
          <w:rFonts w:ascii="Times New Roman"/>
          <w:spacing w:val="-6"/>
          <w:sz w:val="19"/>
          <w:vertAlign w:val="baseline"/>
        </w:rPr>
        <w:t> </w:t>
      </w:r>
      <w:r>
        <w:rPr>
          <w:rFonts w:ascii="Times New Roman"/>
          <w:sz w:val="19"/>
          <w:vertAlign w:val="baseline"/>
        </w:rPr>
        <w:t>See</w:t>
      </w:r>
      <w:r>
        <w:rPr>
          <w:rFonts w:ascii="Times New Roman"/>
          <w:spacing w:val="-9"/>
          <w:sz w:val="19"/>
          <w:vertAlign w:val="baseline"/>
        </w:rPr>
        <w:t> </w:t>
      </w:r>
      <w:r>
        <w:rPr>
          <w:rFonts w:ascii="Times New Roman"/>
          <w:sz w:val="19"/>
          <w:vertAlign w:val="baseline"/>
        </w:rPr>
        <w:t>sections</w:t>
      </w:r>
      <w:r>
        <w:rPr>
          <w:rFonts w:ascii="Times New Roman"/>
          <w:spacing w:val="-9"/>
          <w:sz w:val="19"/>
          <w:vertAlign w:val="baseline"/>
        </w:rPr>
        <w:t> </w:t>
      </w:r>
      <w:r>
        <w:rPr>
          <w:rFonts w:ascii="Times New Roman"/>
          <w:sz w:val="19"/>
          <w:vertAlign w:val="baseline"/>
        </w:rPr>
        <w:t>16(1)(d)</w:t>
      </w:r>
      <w:r>
        <w:rPr>
          <w:rFonts w:ascii="Times New Roman"/>
          <w:spacing w:val="-11"/>
          <w:sz w:val="19"/>
          <w:vertAlign w:val="baseline"/>
        </w:rPr>
        <w:t> </w:t>
      </w:r>
      <w:r>
        <w:rPr>
          <w:rFonts w:ascii="Times New Roman"/>
          <w:sz w:val="19"/>
          <w:vertAlign w:val="baseline"/>
        </w:rPr>
        <w:t>and</w:t>
      </w:r>
      <w:r>
        <w:rPr>
          <w:rFonts w:ascii="Times New Roman"/>
          <w:spacing w:val="-10"/>
          <w:sz w:val="19"/>
          <w:vertAlign w:val="baseline"/>
        </w:rPr>
        <w:t> </w:t>
      </w:r>
      <w:r>
        <w:rPr>
          <w:rFonts w:ascii="Times New Roman"/>
          <w:sz w:val="19"/>
          <w:vertAlign w:val="baseline"/>
        </w:rPr>
        <w:t>17(3)(C)</w:t>
      </w:r>
      <w:r>
        <w:rPr>
          <w:rFonts w:ascii="Times New Roman"/>
          <w:spacing w:val="-4"/>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the</w:t>
      </w:r>
      <w:r>
        <w:rPr>
          <w:rFonts w:ascii="Times New Roman"/>
          <w:spacing w:val="-9"/>
          <w:sz w:val="19"/>
          <w:vertAlign w:val="baseline"/>
        </w:rPr>
        <w:t> </w:t>
      </w:r>
      <w:r>
        <w:rPr>
          <w:rFonts w:ascii="Times New Roman"/>
          <w:sz w:val="19"/>
          <w:vertAlign w:val="baseline"/>
        </w:rPr>
        <w:t>Constitution</w:t>
      </w:r>
      <w:r>
        <w:rPr>
          <w:rFonts w:ascii="Times New Roman"/>
          <w:spacing w:val="-6"/>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Federal</w:t>
      </w:r>
      <w:r>
        <w:rPr>
          <w:rFonts w:ascii="Times New Roman"/>
          <w:spacing w:val="-3"/>
          <w:sz w:val="19"/>
          <w:vertAlign w:val="baseline"/>
        </w:rPr>
        <w:t> </w:t>
      </w:r>
      <w:r>
        <w:rPr>
          <w:rFonts w:ascii="Times New Roman"/>
          <w:sz w:val="19"/>
          <w:vertAlign w:val="baseline"/>
        </w:rPr>
        <w:t>Republic</w:t>
      </w:r>
      <w:r>
        <w:rPr>
          <w:rFonts w:ascii="Times New Roman"/>
          <w:spacing w:val="-9"/>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Nigeria</w:t>
      </w:r>
      <w:r>
        <w:rPr>
          <w:rFonts w:ascii="Times New Roman"/>
          <w:spacing w:val="-9"/>
          <w:sz w:val="19"/>
          <w:vertAlign w:val="baseline"/>
        </w:rPr>
        <w:t> </w:t>
      </w:r>
      <w:r>
        <w:rPr>
          <w:rFonts w:ascii="Times New Roman"/>
          <w:sz w:val="19"/>
          <w:vertAlign w:val="baseline"/>
        </w:rPr>
        <w:t>1999(as </w:t>
      </w:r>
      <w:r>
        <w:rPr>
          <w:rFonts w:ascii="Times New Roman"/>
          <w:spacing w:val="-2"/>
          <w:sz w:val="19"/>
          <w:vertAlign w:val="baseline"/>
        </w:rPr>
        <w:t>amended)</w:t>
      </w:r>
    </w:p>
    <w:p>
      <w:pPr>
        <w:spacing w:after="0" w:line="237" w:lineRule="auto"/>
        <w:jc w:val="left"/>
        <w:rPr>
          <w:rFonts w:ascii="Times New Roman"/>
          <w:sz w:val="19"/>
        </w:rPr>
        <w:sectPr>
          <w:pgSz w:w="12240" w:h="15840"/>
          <w:pgMar w:header="0" w:footer="1009" w:top="1260" w:bottom="1200" w:left="1680" w:right="1320"/>
        </w:sectPr>
      </w:pPr>
    </w:p>
    <w:p>
      <w:pPr>
        <w:pStyle w:val="BodyText"/>
        <w:spacing w:line="489" w:lineRule="auto" w:before="94"/>
        <w:ind w:left="1204" w:right="909"/>
        <w:jc w:val="both"/>
      </w:pPr>
      <w:r>
        <w:rPr/>
        <w:t>the economy, the Board should work in partnership with the various village</w:t>
      </w:r>
      <w:r>
        <w:rPr>
          <w:spacing w:val="40"/>
        </w:rPr>
        <w:t> </w:t>
      </w:r>
      <w:r>
        <w:rPr/>
        <w:t>and</w:t>
      </w:r>
      <w:r>
        <w:rPr>
          <w:spacing w:val="40"/>
        </w:rPr>
        <w:t> </w:t>
      </w:r>
      <w:r>
        <w:rPr/>
        <w:t>district</w:t>
      </w:r>
      <w:r>
        <w:rPr>
          <w:spacing w:val="40"/>
        </w:rPr>
        <w:t> </w:t>
      </w:r>
      <w:r>
        <w:rPr/>
        <w:t>heads</w:t>
      </w:r>
      <w:r>
        <w:rPr>
          <w:spacing w:val="40"/>
        </w:rPr>
        <w:t> </w:t>
      </w:r>
      <w:r>
        <w:rPr/>
        <w:t>in</w:t>
      </w:r>
      <w:r>
        <w:rPr>
          <w:spacing w:val="40"/>
        </w:rPr>
        <w:t> </w:t>
      </w:r>
      <w:r>
        <w:rPr/>
        <w:t>order</w:t>
      </w:r>
      <w:r>
        <w:rPr>
          <w:spacing w:val="40"/>
        </w:rPr>
        <w:t> </w:t>
      </w:r>
      <w:r>
        <w:rPr/>
        <w:t>to</w:t>
      </w:r>
      <w:r>
        <w:rPr>
          <w:spacing w:val="40"/>
        </w:rPr>
        <w:t> </w:t>
      </w:r>
      <w:r>
        <w:rPr/>
        <w:t>know</w:t>
      </w:r>
      <w:r>
        <w:rPr>
          <w:spacing w:val="40"/>
        </w:rPr>
        <w:t> </w:t>
      </w:r>
      <w:r>
        <w:rPr/>
        <w:t>more</w:t>
      </w:r>
      <w:r>
        <w:rPr>
          <w:spacing w:val="40"/>
        </w:rPr>
        <w:t> </w:t>
      </w:r>
      <w:r>
        <w:rPr/>
        <w:t>about</w:t>
      </w:r>
      <w:r>
        <w:rPr>
          <w:spacing w:val="40"/>
        </w:rPr>
        <w:t> </w:t>
      </w:r>
      <w:r>
        <w:rPr/>
        <w:t>the employers within the sector. This is however, not a panacea</w:t>
      </w:r>
      <w:r>
        <w:rPr>
          <w:spacing w:val="80"/>
        </w:rPr>
        <w:t> </w:t>
      </w:r>
      <w:r>
        <w:rPr/>
        <w:t>or a cure-all to the inherent problems posed by the level of the country’s underdevelopment as it relates to effective enforcement of the scheme within the informal sector.</w:t>
      </w:r>
    </w:p>
    <w:p>
      <w:pPr>
        <w:spacing w:after="0" w:line="489" w:lineRule="auto"/>
        <w:jc w:val="both"/>
        <w:sectPr>
          <w:pgSz w:w="12240" w:h="15840"/>
          <w:pgMar w:header="0" w:footer="1009" w:top="1260" w:bottom="1200" w:left="1680" w:right="1320"/>
        </w:sectPr>
      </w:pPr>
    </w:p>
    <w:p>
      <w:pPr>
        <w:pStyle w:val="Heading2"/>
        <w:spacing w:line="489" w:lineRule="auto" w:before="89"/>
        <w:ind w:left="2078" w:right="2408" w:firstLine="1483"/>
      </w:pPr>
      <w:bookmarkStart w:name="_TOC_250001" w:id="29"/>
      <w:bookmarkEnd w:id="29"/>
      <w:r>
        <w:rPr/>
        <w:t>CHAPTER FIVE CONCLUSION AND RECOMMENDATIONS</w:t>
      </w:r>
    </w:p>
    <w:p>
      <w:pPr>
        <w:pStyle w:val="Heading3"/>
        <w:numPr>
          <w:ilvl w:val="1"/>
          <w:numId w:val="22"/>
        </w:numPr>
        <w:tabs>
          <w:tab w:pos="863" w:val="left" w:leader="none"/>
        </w:tabs>
        <w:spacing w:line="240" w:lineRule="auto" w:before="5" w:after="0"/>
        <w:ind w:left="863" w:right="0" w:hanging="676"/>
        <w:jc w:val="left"/>
      </w:pPr>
      <w:r>
        <w:rPr>
          <w:spacing w:val="-2"/>
        </w:rPr>
        <w:t>Summary</w:t>
      </w:r>
    </w:p>
    <w:p>
      <w:pPr>
        <w:pStyle w:val="BodyText"/>
        <w:spacing w:before="11"/>
        <w:rPr>
          <w:b/>
        </w:rPr>
      </w:pPr>
    </w:p>
    <w:p>
      <w:pPr>
        <w:pStyle w:val="BodyText"/>
        <w:spacing w:line="489" w:lineRule="auto"/>
        <w:ind w:left="864" w:right="562"/>
        <w:jc w:val="both"/>
      </w:pPr>
      <w:r>
        <w:rPr/>
        <w:t>As it has already been discussed, the history of compensation for bodily injury dates back to antiquity and that over the years, laws have evolved ways of compensating employees who suffer job-related risks and disabilities.</w:t>
      </w:r>
      <w:r>
        <w:rPr>
          <w:spacing w:val="40"/>
        </w:rPr>
        <w:t> </w:t>
      </w:r>
      <w:r>
        <w:rPr/>
        <w:t>Laws generally</w:t>
      </w:r>
      <w:r>
        <w:rPr>
          <w:spacing w:val="40"/>
        </w:rPr>
        <w:t> </w:t>
      </w:r>
      <w:r>
        <w:rPr/>
        <w:t>have made attempts and indeed</w:t>
      </w:r>
      <w:r>
        <w:rPr>
          <w:spacing w:val="40"/>
        </w:rPr>
        <w:t> </w:t>
      </w:r>
      <w:r>
        <w:rPr/>
        <w:t>improved</w:t>
      </w:r>
      <w:r>
        <w:rPr>
          <w:spacing w:val="40"/>
        </w:rPr>
        <w:t> </w:t>
      </w:r>
      <w:r>
        <w:rPr/>
        <w:t>on the compensation schedules of antiquity and at present, compensation for work-related risks and disabilities is basically on humanitarian ground. The first statute in Nigeria on workmen’s compensation was enacted in 1942 following</w:t>
      </w:r>
      <w:r>
        <w:rPr>
          <w:spacing w:val="40"/>
        </w:rPr>
        <w:t> </w:t>
      </w:r>
      <w:r>
        <w:rPr/>
        <w:t>the</w:t>
      </w:r>
      <w:r>
        <w:rPr>
          <w:spacing w:val="40"/>
        </w:rPr>
        <w:t> </w:t>
      </w:r>
      <w:r>
        <w:rPr/>
        <w:t>English</w:t>
      </w:r>
      <w:r>
        <w:rPr>
          <w:spacing w:val="40"/>
        </w:rPr>
        <w:t> </w:t>
      </w:r>
      <w:r>
        <w:rPr/>
        <w:t>statute</w:t>
      </w:r>
      <w:r>
        <w:rPr>
          <w:spacing w:val="40"/>
        </w:rPr>
        <w:t> </w:t>
      </w:r>
      <w:r>
        <w:rPr/>
        <w:t>of</w:t>
      </w:r>
      <w:r>
        <w:rPr>
          <w:spacing w:val="40"/>
        </w:rPr>
        <w:t> </w:t>
      </w:r>
      <w:r>
        <w:rPr/>
        <w:t>1925.</w:t>
      </w:r>
      <w:r>
        <w:rPr>
          <w:vertAlign w:val="superscript"/>
        </w:rPr>
        <w:t>1</w:t>
      </w:r>
      <w:r>
        <w:rPr>
          <w:spacing w:val="40"/>
          <w:vertAlign w:val="baseline"/>
        </w:rPr>
        <w:t> </w:t>
      </w:r>
      <w:r>
        <w:rPr>
          <w:vertAlign w:val="baseline"/>
        </w:rPr>
        <w:t>This</w:t>
      </w:r>
      <w:r>
        <w:rPr>
          <w:spacing w:val="40"/>
          <w:vertAlign w:val="baseline"/>
        </w:rPr>
        <w:t> </w:t>
      </w:r>
      <w:r>
        <w:rPr>
          <w:vertAlign w:val="baseline"/>
        </w:rPr>
        <w:t>first</w:t>
      </w:r>
      <w:r>
        <w:rPr>
          <w:spacing w:val="40"/>
          <w:vertAlign w:val="baseline"/>
        </w:rPr>
        <w:t> </w:t>
      </w:r>
      <w:r>
        <w:rPr>
          <w:vertAlign w:val="baseline"/>
        </w:rPr>
        <w:t>Act</w:t>
      </w:r>
      <w:r>
        <w:rPr>
          <w:spacing w:val="40"/>
          <w:vertAlign w:val="baseline"/>
        </w:rPr>
        <w:t> </w:t>
      </w:r>
      <w:r>
        <w:rPr>
          <w:vertAlign w:val="baseline"/>
        </w:rPr>
        <w:t>in</w:t>
      </w:r>
      <w:r>
        <w:rPr>
          <w:spacing w:val="40"/>
          <w:vertAlign w:val="baseline"/>
        </w:rPr>
        <w:t> </w:t>
      </w:r>
      <w:r>
        <w:rPr>
          <w:vertAlign w:val="baseline"/>
        </w:rPr>
        <w:t>Nigeria</w:t>
      </w:r>
      <w:r>
        <w:rPr>
          <w:spacing w:val="40"/>
          <w:vertAlign w:val="baseline"/>
        </w:rPr>
        <w:t> </w:t>
      </w:r>
      <w:r>
        <w:rPr>
          <w:vertAlign w:val="baseline"/>
        </w:rPr>
        <w:t>was repealed by Workmen’s Compensation Act 1987.</w:t>
      </w:r>
      <w:r>
        <w:rPr>
          <w:vertAlign w:val="superscript"/>
        </w:rPr>
        <w:t>2</w:t>
      </w:r>
      <w:r>
        <w:rPr>
          <w:vertAlign w:val="baseline"/>
        </w:rPr>
        <w:t> This was because, the</w:t>
      </w:r>
      <w:r>
        <w:rPr>
          <w:spacing w:val="80"/>
          <w:vertAlign w:val="baseline"/>
        </w:rPr>
        <w:t> </w:t>
      </w:r>
      <w:r>
        <w:rPr>
          <w:vertAlign w:val="baseline"/>
        </w:rPr>
        <w:t>first Act in Nigeria suffered many criticisms. One of the major criticisms of the</w:t>
      </w:r>
      <w:r>
        <w:rPr>
          <w:spacing w:val="40"/>
          <w:vertAlign w:val="baseline"/>
        </w:rPr>
        <w:t> </w:t>
      </w:r>
      <w:r>
        <w:rPr>
          <w:vertAlign w:val="baseline"/>
        </w:rPr>
        <w:t>first</w:t>
      </w:r>
      <w:r>
        <w:rPr>
          <w:spacing w:val="40"/>
          <w:vertAlign w:val="baseline"/>
        </w:rPr>
        <w:t> </w:t>
      </w:r>
      <w:r>
        <w:rPr>
          <w:vertAlign w:val="baseline"/>
        </w:rPr>
        <w:t>Act</w:t>
      </w:r>
      <w:r>
        <w:rPr>
          <w:spacing w:val="40"/>
          <w:vertAlign w:val="baseline"/>
        </w:rPr>
        <w:t> </w:t>
      </w:r>
      <w:r>
        <w:rPr>
          <w:vertAlign w:val="baseline"/>
        </w:rPr>
        <w:t>was</w:t>
      </w:r>
      <w:r>
        <w:rPr>
          <w:spacing w:val="40"/>
          <w:vertAlign w:val="baseline"/>
        </w:rPr>
        <w:t> </w:t>
      </w:r>
      <w:r>
        <w:rPr>
          <w:vertAlign w:val="baseline"/>
        </w:rPr>
        <w:t>that</w:t>
      </w:r>
      <w:r>
        <w:rPr>
          <w:spacing w:val="40"/>
          <w:vertAlign w:val="baseline"/>
        </w:rPr>
        <w:t> </w:t>
      </w:r>
      <w:r>
        <w:rPr>
          <w:vertAlign w:val="baseline"/>
        </w:rPr>
        <w:t>it</w:t>
      </w:r>
      <w:r>
        <w:rPr>
          <w:spacing w:val="40"/>
          <w:vertAlign w:val="baseline"/>
        </w:rPr>
        <w:t> </w:t>
      </w:r>
      <w:r>
        <w:rPr>
          <w:vertAlign w:val="baseline"/>
        </w:rPr>
        <w:t>restricted</w:t>
      </w:r>
      <w:r>
        <w:rPr>
          <w:spacing w:val="40"/>
          <w:vertAlign w:val="baseline"/>
        </w:rPr>
        <w:t> </w:t>
      </w:r>
      <w:r>
        <w:rPr>
          <w:vertAlign w:val="baseline"/>
        </w:rPr>
        <w:t>the</w:t>
      </w:r>
      <w:r>
        <w:rPr>
          <w:spacing w:val="40"/>
          <w:vertAlign w:val="baseline"/>
        </w:rPr>
        <w:t> </w:t>
      </w:r>
      <w:r>
        <w:rPr>
          <w:vertAlign w:val="baseline"/>
        </w:rPr>
        <w:t>categories</w:t>
      </w:r>
      <w:r>
        <w:rPr>
          <w:spacing w:val="40"/>
          <w:vertAlign w:val="baseline"/>
        </w:rPr>
        <w:t> </w:t>
      </w:r>
      <w:r>
        <w:rPr>
          <w:vertAlign w:val="baseline"/>
        </w:rPr>
        <w:t>of</w:t>
      </w:r>
      <w:r>
        <w:rPr>
          <w:spacing w:val="40"/>
          <w:vertAlign w:val="baseline"/>
        </w:rPr>
        <w:t> </w:t>
      </w:r>
      <w:r>
        <w:rPr>
          <w:vertAlign w:val="baseline"/>
        </w:rPr>
        <w:t>workmen</w:t>
      </w:r>
      <w:r>
        <w:rPr>
          <w:spacing w:val="40"/>
          <w:vertAlign w:val="baseline"/>
        </w:rPr>
        <w:t> </w:t>
      </w:r>
      <w:r>
        <w:rPr>
          <w:vertAlign w:val="baseline"/>
        </w:rPr>
        <w:t>to</w:t>
      </w:r>
      <w:r>
        <w:rPr>
          <w:spacing w:val="40"/>
          <w:vertAlign w:val="baseline"/>
        </w:rPr>
        <w:t> </w:t>
      </w:r>
      <w:r>
        <w:rPr>
          <w:vertAlign w:val="baseline"/>
        </w:rPr>
        <w:t>those whose earnings do not exceed N1,600 per annum. Therefore, a non-</w:t>
      </w:r>
      <w:r>
        <w:rPr>
          <w:spacing w:val="80"/>
          <w:vertAlign w:val="baseline"/>
        </w:rPr>
        <w:t> </w:t>
      </w:r>
      <w:r>
        <w:rPr>
          <w:vertAlign w:val="baseline"/>
        </w:rPr>
        <w:t>manual worker earning more than N1,600 per annum was unable to claim compensation under the first Act.</w:t>
      </w:r>
      <w:r>
        <w:rPr>
          <w:vertAlign w:val="superscript"/>
        </w:rPr>
        <w:t>3</w:t>
      </w:r>
      <w:r>
        <w:rPr>
          <w:vertAlign w:val="baseline"/>
        </w:rPr>
        <w:t> The Act was under severe criticisms on account</w:t>
      </w:r>
      <w:r>
        <w:rPr>
          <w:spacing w:val="40"/>
          <w:vertAlign w:val="baseline"/>
        </w:rPr>
        <w:t> </w:t>
      </w:r>
      <w:r>
        <w:rPr>
          <w:vertAlign w:val="baseline"/>
        </w:rPr>
        <w:t>that</w:t>
      </w:r>
      <w:r>
        <w:rPr>
          <w:spacing w:val="40"/>
          <w:vertAlign w:val="baseline"/>
        </w:rPr>
        <w:t> </w:t>
      </w:r>
      <w:r>
        <w:rPr>
          <w:vertAlign w:val="baseline"/>
        </w:rPr>
        <w:t>it</w:t>
      </w:r>
      <w:r>
        <w:rPr>
          <w:spacing w:val="40"/>
          <w:vertAlign w:val="baseline"/>
        </w:rPr>
        <w:t> </w:t>
      </w:r>
      <w:r>
        <w:rPr>
          <w:vertAlign w:val="baseline"/>
        </w:rPr>
        <w:t>was outdated and</w:t>
      </w:r>
      <w:r>
        <w:rPr>
          <w:spacing w:val="40"/>
          <w:vertAlign w:val="baseline"/>
        </w:rPr>
        <w:t> </w:t>
      </w:r>
      <w:r>
        <w:rPr>
          <w:vertAlign w:val="baseline"/>
        </w:rPr>
        <w:t>irrelevant to modern industrial needs.</w:t>
      </w:r>
      <w:r>
        <w:rPr>
          <w:vertAlign w:val="superscript"/>
        </w:rPr>
        <w:t>4</w:t>
      </w:r>
      <w:r>
        <w:rPr>
          <w:vertAlign w:val="baseline"/>
        </w:rPr>
        <w:t> The</w:t>
      </w:r>
      <w:r>
        <w:rPr>
          <w:spacing w:val="40"/>
          <w:vertAlign w:val="baseline"/>
        </w:rPr>
        <w:t> </w:t>
      </w:r>
      <w:r>
        <w:rPr>
          <w:vertAlign w:val="baseline"/>
        </w:rPr>
        <w:t>1987</w:t>
      </w:r>
      <w:r>
        <w:rPr>
          <w:spacing w:val="40"/>
          <w:vertAlign w:val="baseline"/>
        </w:rPr>
        <w:t> </w:t>
      </w:r>
      <w:r>
        <w:rPr>
          <w:vertAlign w:val="baseline"/>
        </w:rPr>
        <w:t>Act</w:t>
      </w:r>
      <w:r>
        <w:rPr>
          <w:spacing w:val="40"/>
          <w:vertAlign w:val="baseline"/>
        </w:rPr>
        <w:t> </w:t>
      </w:r>
      <w:r>
        <w:rPr>
          <w:vertAlign w:val="baseline"/>
        </w:rPr>
        <w:t>which</w:t>
      </w:r>
      <w:r>
        <w:rPr>
          <w:spacing w:val="40"/>
          <w:vertAlign w:val="baseline"/>
        </w:rPr>
        <w:t> </w:t>
      </w:r>
      <w:r>
        <w:rPr>
          <w:vertAlign w:val="baseline"/>
        </w:rPr>
        <w:t>came</w:t>
      </w:r>
      <w:r>
        <w:rPr>
          <w:spacing w:val="40"/>
          <w:vertAlign w:val="baseline"/>
        </w:rPr>
        <w:t> </w:t>
      </w:r>
      <w:r>
        <w:rPr>
          <w:vertAlign w:val="baseline"/>
        </w:rPr>
        <w:t>to</w:t>
      </w:r>
      <w:r>
        <w:rPr>
          <w:spacing w:val="40"/>
          <w:vertAlign w:val="baseline"/>
        </w:rPr>
        <w:t> </w:t>
      </w:r>
      <w:r>
        <w:rPr>
          <w:vertAlign w:val="baseline"/>
        </w:rPr>
        <w:t>correct</w:t>
      </w:r>
      <w:r>
        <w:rPr>
          <w:spacing w:val="36"/>
          <w:vertAlign w:val="baseline"/>
        </w:rPr>
        <w:t> </w:t>
      </w:r>
      <w:r>
        <w:rPr>
          <w:vertAlign w:val="baseline"/>
        </w:rPr>
        <w:t>some</w:t>
      </w:r>
      <w:r>
        <w:rPr>
          <w:spacing w:val="39"/>
          <w:vertAlign w:val="baseline"/>
        </w:rPr>
        <w:t> </w:t>
      </w:r>
      <w:r>
        <w:rPr>
          <w:vertAlign w:val="baseline"/>
        </w:rPr>
        <w:t>of</w:t>
      </w:r>
      <w:r>
        <w:rPr>
          <w:spacing w:val="39"/>
          <w:vertAlign w:val="baseline"/>
        </w:rPr>
        <w:t> </w:t>
      </w:r>
      <w:r>
        <w:rPr>
          <w:vertAlign w:val="baseline"/>
        </w:rPr>
        <w:t>the</w:t>
      </w:r>
      <w:r>
        <w:rPr>
          <w:spacing w:val="39"/>
          <w:vertAlign w:val="baseline"/>
        </w:rPr>
        <w:t> </w:t>
      </w:r>
      <w:r>
        <w:rPr>
          <w:vertAlign w:val="baseline"/>
        </w:rPr>
        <w:t>deficiencies</w:t>
      </w:r>
      <w:r>
        <w:rPr>
          <w:spacing w:val="40"/>
          <w:vertAlign w:val="baseline"/>
        </w:rPr>
        <w:t> </w:t>
      </w:r>
      <w:r>
        <w:rPr>
          <w:vertAlign w:val="baseline"/>
        </w:rPr>
        <w:t>of</w:t>
      </w:r>
      <w:r>
        <w:rPr>
          <w:spacing w:val="39"/>
          <w:vertAlign w:val="baseline"/>
        </w:rPr>
        <w:t> </w:t>
      </w:r>
      <w:r>
        <w:rPr>
          <w:vertAlign w:val="baseline"/>
        </w:rPr>
        <w:t>the</w:t>
      </w:r>
      <w:r>
        <w:rPr>
          <w:spacing w:val="40"/>
          <w:vertAlign w:val="baseline"/>
        </w:rPr>
        <w:t> </w:t>
      </w:r>
      <w:r>
        <w:rPr>
          <w:vertAlign w:val="baseline"/>
        </w:rPr>
        <w:t>old law,</w:t>
      </w:r>
      <w:r>
        <w:rPr>
          <w:spacing w:val="65"/>
          <w:vertAlign w:val="baseline"/>
        </w:rPr>
        <w:t> </w:t>
      </w:r>
      <w:r>
        <w:rPr>
          <w:vertAlign w:val="baseline"/>
        </w:rPr>
        <w:t>also</w:t>
      </w:r>
      <w:r>
        <w:rPr>
          <w:spacing w:val="63"/>
          <w:vertAlign w:val="baseline"/>
        </w:rPr>
        <w:t> </w:t>
      </w:r>
      <w:r>
        <w:rPr>
          <w:vertAlign w:val="baseline"/>
        </w:rPr>
        <w:t>suffered</w:t>
      </w:r>
      <w:r>
        <w:rPr>
          <w:spacing w:val="60"/>
          <w:vertAlign w:val="baseline"/>
        </w:rPr>
        <w:t> </w:t>
      </w:r>
      <w:r>
        <w:rPr>
          <w:vertAlign w:val="baseline"/>
        </w:rPr>
        <w:t>so</w:t>
      </w:r>
      <w:r>
        <w:rPr>
          <w:spacing w:val="63"/>
          <w:vertAlign w:val="baseline"/>
        </w:rPr>
        <w:t> </w:t>
      </w:r>
      <w:r>
        <w:rPr>
          <w:vertAlign w:val="baseline"/>
        </w:rPr>
        <w:t>many</w:t>
      </w:r>
      <w:r>
        <w:rPr>
          <w:spacing w:val="58"/>
          <w:vertAlign w:val="baseline"/>
        </w:rPr>
        <w:t> </w:t>
      </w:r>
      <w:r>
        <w:rPr>
          <w:vertAlign w:val="baseline"/>
        </w:rPr>
        <w:t>criticisms</w:t>
      </w:r>
      <w:r>
        <w:rPr>
          <w:spacing w:val="69"/>
          <w:vertAlign w:val="baseline"/>
        </w:rPr>
        <w:t> </w:t>
      </w:r>
      <w:r>
        <w:rPr>
          <w:vertAlign w:val="baseline"/>
        </w:rPr>
        <w:t>on</w:t>
      </w:r>
      <w:r>
        <w:rPr>
          <w:spacing w:val="69"/>
          <w:vertAlign w:val="baseline"/>
        </w:rPr>
        <w:t> </w:t>
      </w:r>
      <w:r>
        <w:rPr>
          <w:vertAlign w:val="baseline"/>
        </w:rPr>
        <w:t>account</w:t>
      </w:r>
      <w:r>
        <w:rPr>
          <w:spacing w:val="63"/>
          <w:vertAlign w:val="baseline"/>
        </w:rPr>
        <w:t> </w:t>
      </w:r>
      <w:r>
        <w:rPr>
          <w:vertAlign w:val="baseline"/>
        </w:rPr>
        <w:t>of</w:t>
      </w:r>
      <w:r>
        <w:rPr>
          <w:spacing w:val="61"/>
          <w:vertAlign w:val="baseline"/>
        </w:rPr>
        <w:t> </w:t>
      </w:r>
      <w:r>
        <w:rPr>
          <w:vertAlign w:val="baseline"/>
        </w:rPr>
        <w:t>inadequacies.</w:t>
      </w:r>
      <w:r>
        <w:rPr>
          <w:spacing w:val="66"/>
          <w:vertAlign w:val="baseline"/>
        </w:rPr>
        <w:t> </w:t>
      </w:r>
      <w:r>
        <w:rPr>
          <w:spacing w:val="-5"/>
          <w:vertAlign w:val="baseline"/>
        </w:rPr>
        <w:t>The</w:t>
      </w:r>
    </w:p>
    <w:p>
      <w:pPr>
        <w:pStyle w:val="BodyText"/>
        <w:rPr>
          <w:sz w:val="20"/>
        </w:rPr>
      </w:pP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653888">
                <wp:simplePos x="0" y="0"/>
                <wp:positionH relativeFrom="page">
                  <wp:posOffset>1185672</wp:posOffset>
                </wp:positionH>
                <wp:positionV relativeFrom="paragraph">
                  <wp:posOffset>209112</wp:posOffset>
                </wp:positionV>
                <wp:extent cx="1719580" cy="3175"/>
                <wp:effectExtent l="0" t="0" r="0" b="0"/>
                <wp:wrapTopAndBottom/>
                <wp:docPr id="152" name="Graphic 152"/>
                <wp:cNvGraphicFramePr>
                  <a:graphicFrameLocks/>
                </wp:cNvGraphicFramePr>
                <a:graphic>
                  <a:graphicData uri="http://schemas.microsoft.com/office/word/2010/wordprocessingShape">
                    <wps:wsp>
                      <wps:cNvPr id="152" name="Graphic 152"/>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6.465548pt;width:135.360pt;height:.24pt;mso-position-horizontal-relative:page;mso-position-vertical-relative:paragraph;z-index:-15662592;mso-wrap-distance-left:0;mso-wrap-distance-right:0" id="docshape152" filled="true" fillcolor="#000000" stroked="false">
                <v:fill type="solid"/>
                <w10:wrap type="topAndBottom"/>
              </v:rect>
            </w:pict>
          </mc:Fallback>
        </mc:AlternateContent>
      </w:r>
    </w:p>
    <w:p>
      <w:pPr>
        <w:spacing w:line="217" w:lineRule="exact" w:before="96"/>
        <w:ind w:left="187" w:right="0" w:firstLine="0"/>
        <w:jc w:val="left"/>
        <w:rPr>
          <w:rFonts w:ascii="Times New Roman"/>
          <w:sz w:val="19"/>
        </w:rPr>
      </w:pPr>
      <w:r>
        <w:rPr>
          <w:rFonts w:ascii="Times New Roman"/>
          <w:sz w:val="19"/>
          <w:vertAlign w:val="superscript"/>
        </w:rPr>
        <w:t>1</w:t>
      </w:r>
      <w:r>
        <w:rPr>
          <w:rFonts w:ascii="Times New Roman"/>
          <w:spacing w:val="-12"/>
          <w:sz w:val="19"/>
          <w:vertAlign w:val="baseline"/>
        </w:rPr>
        <w:t> </w:t>
      </w:r>
      <w:r>
        <w:rPr>
          <w:rFonts w:ascii="Times New Roman"/>
          <w:sz w:val="19"/>
          <w:vertAlign w:val="baseline"/>
        </w:rPr>
        <w:t>Emiola,</w:t>
      </w:r>
      <w:r>
        <w:rPr>
          <w:rFonts w:ascii="Times New Roman"/>
          <w:spacing w:val="-12"/>
          <w:sz w:val="19"/>
          <w:vertAlign w:val="baseline"/>
        </w:rPr>
        <w:t> </w:t>
      </w:r>
      <w:r>
        <w:rPr>
          <w:rFonts w:ascii="Times New Roman"/>
          <w:sz w:val="19"/>
          <w:vertAlign w:val="baseline"/>
        </w:rPr>
        <w:t>A.</w:t>
      </w:r>
      <w:r>
        <w:rPr>
          <w:rFonts w:ascii="Times New Roman"/>
          <w:spacing w:val="-12"/>
          <w:sz w:val="19"/>
          <w:vertAlign w:val="baseline"/>
        </w:rPr>
        <w:t> </w:t>
      </w:r>
      <w:r>
        <w:rPr>
          <w:rFonts w:ascii="Times New Roman"/>
          <w:sz w:val="19"/>
          <w:u w:val="single"/>
          <w:vertAlign w:val="baseline"/>
        </w:rPr>
        <w:t>Nigerian</w:t>
      </w:r>
      <w:r>
        <w:rPr>
          <w:rFonts w:ascii="Times New Roman"/>
          <w:spacing w:val="-10"/>
          <w:sz w:val="19"/>
          <w:u w:val="single"/>
          <w:vertAlign w:val="baseline"/>
        </w:rPr>
        <w:t> </w:t>
      </w:r>
      <w:r>
        <w:rPr>
          <w:rFonts w:ascii="Times New Roman"/>
          <w:sz w:val="19"/>
          <w:u w:val="single"/>
          <w:vertAlign w:val="baseline"/>
        </w:rPr>
        <w:t>Labour</w:t>
      </w:r>
      <w:r>
        <w:rPr>
          <w:rFonts w:ascii="Times New Roman"/>
          <w:spacing w:val="-8"/>
          <w:sz w:val="19"/>
          <w:u w:val="single"/>
          <w:vertAlign w:val="baseline"/>
        </w:rPr>
        <w:t> </w:t>
      </w:r>
      <w:r>
        <w:rPr>
          <w:rFonts w:ascii="Times New Roman"/>
          <w:sz w:val="19"/>
          <w:u w:val="single"/>
          <w:vertAlign w:val="baseline"/>
        </w:rPr>
        <w:t>Law,</w:t>
      </w:r>
      <w:r>
        <w:rPr>
          <w:rFonts w:ascii="Times New Roman"/>
          <w:spacing w:val="-8"/>
          <w:sz w:val="19"/>
          <w:vertAlign w:val="baseline"/>
        </w:rPr>
        <w:t> </w:t>
      </w:r>
      <w:r>
        <w:rPr>
          <w:rFonts w:ascii="Times New Roman"/>
          <w:sz w:val="19"/>
          <w:vertAlign w:val="baseline"/>
        </w:rPr>
        <w:t>4</w:t>
      </w:r>
      <w:r>
        <w:rPr>
          <w:rFonts w:ascii="Times New Roman"/>
          <w:sz w:val="19"/>
          <w:vertAlign w:val="superscript"/>
        </w:rPr>
        <w:t>th</w:t>
      </w:r>
      <w:r>
        <w:rPr>
          <w:rFonts w:ascii="Times New Roman"/>
          <w:spacing w:val="-11"/>
          <w:sz w:val="19"/>
          <w:vertAlign w:val="baseline"/>
        </w:rPr>
        <w:t> </w:t>
      </w:r>
      <w:r>
        <w:rPr>
          <w:rFonts w:ascii="Times New Roman"/>
          <w:sz w:val="19"/>
          <w:vertAlign w:val="baseline"/>
        </w:rPr>
        <w:t>Edition,</w:t>
      </w:r>
      <w:r>
        <w:rPr>
          <w:rFonts w:ascii="Times New Roman"/>
          <w:spacing w:val="-11"/>
          <w:sz w:val="19"/>
          <w:vertAlign w:val="baseline"/>
        </w:rPr>
        <w:t> </w:t>
      </w:r>
      <w:r>
        <w:rPr>
          <w:rFonts w:ascii="Times New Roman"/>
          <w:sz w:val="19"/>
          <w:vertAlign w:val="baseline"/>
        </w:rPr>
        <w:t>Emiola</w:t>
      </w:r>
      <w:r>
        <w:rPr>
          <w:rFonts w:ascii="Times New Roman"/>
          <w:spacing w:val="-11"/>
          <w:sz w:val="19"/>
          <w:vertAlign w:val="baseline"/>
        </w:rPr>
        <w:t> </w:t>
      </w:r>
      <w:r>
        <w:rPr>
          <w:rFonts w:ascii="Times New Roman"/>
          <w:sz w:val="19"/>
          <w:vertAlign w:val="baseline"/>
        </w:rPr>
        <w:t>(Publishers)</w:t>
      </w:r>
      <w:r>
        <w:rPr>
          <w:rFonts w:ascii="Times New Roman"/>
          <w:spacing w:val="-8"/>
          <w:sz w:val="19"/>
          <w:vertAlign w:val="baseline"/>
        </w:rPr>
        <w:t> </w:t>
      </w:r>
      <w:r>
        <w:rPr>
          <w:rFonts w:ascii="Times New Roman"/>
          <w:sz w:val="19"/>
          <w:vertAlign w:val="baseline"/>
        </w:rPr>
        <w:t>Ltd,</w:t>
      </w:r>
      <w:r>
        <w:rPr>
          <w:rFonts w:ascii="Times New Roman"/>
          <w:spacing w:val="-8"/>
          <w:sz w:val="19"/>
          <w:vertAlign w:val="baseline"/>
        </w:rPr>
        <w:t> </w:t>
      </w:r>
      <w:r>
        <w:rPr>
          <w:rFonts w:ascii="Times New Roman"/>
          <w:sz w:val="19"/>
          <w:vertAlign w:val="baseline"/>
        </w:rPr>
        <w:t>Ogbomosho,</w:t>
      </w:r>
      <w:r>
        <w:rPr>
          <w:rFonts w:ascii="Times New Roman"/>
          <w:spacing w:val="-8"/>
          <w:sz w:val="19"/>
          <w:vertAlign w:val="baseline"/>
        </w:rPr>
        <w:t> </w:t>
      </w:r>
      <w:r>
        <w:rPr>
          <w:rFonts w:ascii="Times New Roman"/>
          <w:sz w:val="19"/>
          <w:vertAlign w:val="baseline"/>
        </w:rPr>
        <w:t>Nigeria</w:t>
      </w:r>
      <w:r>
        <w:rPr>
          <w:rFonts w:ascii="Times New Roman"/>
          <w:spacing w:val="-12"/>
          <w:sz w:val="19"/>
          <w:vertAlign w:val="baseline"/>
        </w:rPr>
        <w:t> </w:t>
      </w:r>
      <w:r>
        <w:rPr>
          <w:rFonts w:ascii="Times New Roman"/>
          <w:sz w:val="19"/>
          <w:vertAlign w:val="baseline"/>
        </w:rPr>
        <w:t>(2008)</w:t>
      </w:r>
      <w:r>
        <w:rPr>
          <w:rFonts w:ascii="Times New Roman"/>
          <w:spacing w:val="-12"/>
          <w:sz w:val="19"/>
          <w:vertAlign w:val="baseline"/>
        </w:rPr>
        <w:t> </w:t>
      </w:r>
      <w:r>
        <w:rPr>
          <w:rFonts w:ascii="Times New Roman"/>
          <w:sz w:val="19"/>
          <w:vertAlign w:val="baseline"/>
        </w:rPr>
        <w:t>p.</w:t>
      </w:r>
      <w:r>
        <w:rPr>
          <w:rFonts w:ascii="Times New Roman"/>
          <w:spacing w:val="-12"/>
          <w:sz w:val="19"/>
          <w:vertAlign w:val="baseline"/>
        </w:rPr>
        <w:t> </w:t>
      </w:r>
      <w:r>
        <w:rPr>
          <w:rFonts w:ascii="Times New Roman"/>
          <w:spacing w:val="-5"/>
          <w:sz w:val="19"/>
          <w:vertAlign w:val="baseline"/>
        </w:rPr>
        <w:t>302</w:t>
      </w:r>
    </w:p>
    <w:p>
      <w:pPr>
        <w:spacing w:line="216" w:lineRule="exact" w:before="0"/>
        <w:ind w:left="187" w:right="0" w:firstLine="0"/>
        <w:jc w:val="left"/>
        <w:rPr>
          <w:rFonts w:ascii="Times New Roman"/>
          <w:sz w:val="19"/>
        </w:rPr>
      </w:pPr>
      <w:r>
        <w:rPr>
          <w:rFonts w:ascii="Times New Roman"/>
          <w:sz w:val="19"/>
          <w:vertAlign w:val="superscript"/>
        </w:rPr>
        <w:t>2</w:t>
      </w:r>
      <w:r>
        <w:rPr>
          <w:rFonts w:ascii="Times New Roman"/>
          <w:spacing w:val="-2"/>
          <w:sz w:val="19"/>
          <w:vertAlign w:val="baseline"/>
        </w:rPr>
        <w:t> </w:t>
      </w:r>
      <w:r>
        <w:rPr>
          <w:rFonts w:ascii="Times New Roman"/>
          <w:sz w:val="19"/>
          <w:vertAlign w:val="baseline"/>
        </w:rPr>
        <w:t>Cap</w:t>
      </w:r>
      <w:r>
        <w:rPr>
          <w:rFonts w:ascii="Times New Roman"/>
          <w:spacing w:val="-9"/>
          <w:sz w:val="19"/>
          <w:vertAlign w:val="baseline"/>
        </w:rPr>
        <w:t> </w:t>
      </w:r>
      <w:r>
        <w:rPr>
          <w:rFonts w:ascii="Times New Roman"/>
          <w:sz w:val="19"/>
          <w:vertAlign w:val="baseline"/>
        </w:rPr>
        <w:t>W&gt;</w:t>
      </w:r>
      <w:r>
        <w:rPr>
          <w:rFonts w:ascii="Times New Roman"/>
          <w:spacing w:val="-12"/>
          <w:sz w:val="19"/>
          <w:vertAlign w:val="baseline"/>
        </w:rPr>
        <w:t> </w:t>
      </w:r>
      <w:r>
        <w:rPr>
          <w:rFonts w:ascii="Times New Roman"/>
          <w:sz w:val="19"/>
          <w:vertAlign w:val="baseline"/>
        </w:rPr>
        <w:t>lqws</w:t>
      </w:r>
      <w:r>
        <w:rPr>
          <w:rFonts w:ascii="Times New Roman"/>
          <w:spacing w:val="-8"/>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the</w:t>
      </w:r>
      <w:r>
        <w:rPr>
          <w:rFonts w:ascii="Times New Roman"/>
          <w:spacing w:val="-4"/>
          <w:sz w:val="19"/>
          <w:vertAlign w:val="baseline"/>
        </w:rPr>
        <w:t> </w:t>
      </w:r>
      <w:r>
        <w:rPr>
          <w:rFonts w:ascii="Times New Roman"/>
          <w:sz w:val="19"/>
          <w:vertAlign w:val="baseline"/>
        </w:rPr>
        <w:t>Federation</w:t>
      </w:r>
      <w:r>
        <w:rPr>
          <w:rFonts w:ascii="Times New Roman"/>
          <w:spacing w:val="-6"/>
          <w:sz w:val="19"/>
          <w:vertAlign w:val="baseline"/>
        </w:rPr>
        <w:t> </w:t>
      </w:r>
      <w:r>
        <w:rPr>
          <w:rFonts w:ascii="Times New Roman"/>
          <w:sz w:val="19"/>
          <w:vertAlign w:val="baseline"/>
        </w:rPr>
        <w:t>of</w:t>
      </w:r>
      <w:r>
        <w:rPr>
          <w:rFonts w:ascii="Times New Roman"/>
          <w:spacing w:val="-8"/>
          <w:sz w:val="19"/>
          <w:vertAlign w:val="baseline"/>
        </w:rPr>
        <w:t> </w:t>
      </w:r>
      <w:r>
        <w:rPr>
          <w:rFonts w:ascii="Times New Roman"/>
          <w:sz w:val="19"/>
          <w:vertAlign w:val="baseline"/>
        </w:rPr>
        <w:t>Nigeria </w:t>
      </w:r>
      <w:r>
        <w:rPr>
          <w:rFonts w:ascii="Times New Roman"/>
          <w:spacing w:val="-4"/>
          <w:sz w:val="19"/>
          <w:vertAlign w:val="baseline"/>
        </w:rPr>
        <w:t>2004</w:t>
      </w:r>
    </w:p>
    <w:p>
      <w:pPr>
        <w:spacing w:line="216" w:lineRule="exact" w:before="0"/>
        <w:ind w:left="187" w:right="0" w:firstLine="0"/>
        <w:jc w:val="left"/>
        <w:rPr>
          <w:rFonts w:ascii="Times New Roman"/>
          <w:sz w:val="19"/>
        </w:rPr>
      </w:pPr>
      <w:r>
        <w:rPr>
          <w:rFonts w:ascii="Times New Roman"/>
          <w:sz w:val="19"/>
          <w:vertAlign w:val="superscript"/>
        </w:rPr>
        <w:t>3</w:t>
      </w:r>
      <w:r>
        <w:rPr>
          <w:rFonts w:ascii="Times New Roman"/>
          <w:spacing w:val="-12"/>
          <w:sz w:val="19"/>
          <w:vertAlign w:val="baseline"/>
        </w:rPr>
        <w:t> </w:t>
      </w:r>
      <w:r>
        <w:rPr>
          <w:rFonts w:ascii="Times New Roman"/>
          <w:sz w:val="19"/>
          <w:vertAlign w:val="baseline"/>
        </w:rPr>
        <w:t>Oguniyi,</w:t>
      </w:r>
      <w:r>
        <w:rPr>
          <w:rFonts w:ascii="Times New Roman"/>
          <w:spacing w:val="-12"/>
          <w:sz w:val="19"/>
          <w:vertAlign w:val="baseline"/>
        </w:rPr>
        <w:t> </w:t>
      </w:r>
      <w:r>
        <w:rPr>
          <w:rFonts w:ascii="Times New Roman"/>
          <w:sz w:val="19"/>
          <w:vertAlign w:val="baseline"/>
        </w:rPr>
        <w:t>O.</w:t>
      </w:r>
      <w:r>
        <w:rPr>
          <w:rFonts w:ascii="Times New Roman"/>
          <w:spacing w:val="-7"/>
          <w:sz w:val="19"/>
          <w:vertAlign w:val="baseline"/>
        </w:rPr>
        <w:t> </w:t>
      </w:r>
      <w:r>
        <w:rPr>
          <w:rFonts w:ascii="Times New Roman"/>
          <w:sz w:val="19"/>
          <w:u w:val="single"/>
          <w:vertAlign w:val="baseline"/>
        </w:rPr>
        <w:t>Labour</w:t>
      </w:r>
      <w:r>
        <w:rPr>
          <w:rFonts w:ascii="Times New Roman"/>
          <w:spacing w:val="-11"/>
          <w:sz w:val="19"/>
          <w:u w:val="single"/>
          <w:vertAlign w:val="baseline"/>
        </w:rPr>
        <w:t> </w:t>
      </w:r>
      <w:r>
        <w:rPr>
          <w:rFonts w:ascii="Times New Roman"/>
          <w:sz w:val="19"/>
          <w:u w:val="single"/>
          <w:vertAlign w:val="baseline"/>
        </w:rPr>
        <w:t>and</w:t>
      </w:r>
      <w:r>
        <w:rPr>
          <w:rFonts w:ascii="Times New Roman"/>
          <w:spacing w:val="-12"/>
          <w:sz w:val="19"/>
          <w:u w:val="single"/>
          <w:vertAlign w:val="baseline"/>
        </w:rPr>
        <w:t> </w:t>
      </w:r>
      <w:r>
        <w:rPr>
          <w:rFonts w:ascii="Times New Roman"/>
          <w:sz w:val="19"/>
          <w:u w:val="single"/>
          <w:vertAlign w:val="baseline"/>
        </w:rPr>
        <w:t>Employment</w:t>
      </w:r>
      <w:r>
        <w:rPr>
          <w:rFonts w:ascii="Times New Roman"/>
          <w:spacing w:val="-10"/>
          <w:sz w:val="19"/>
          <w:u w:val="single"/>
          <w:vertAlign w:val="baseline"/>
        </w:rPr>
        <w:t> </w:t>
      </w:r>
      <w:r>
        <w:rPr>
          <w:rFonts w:ascii="Times New Roman"/>
          <w:sz w:val="19"/>
          <w:u w:val="single"/>
          <w:vertAlign w:val="baseline"/>
        </w:rPr>
        <w:t>Law</w:t>
      </w:r>
      <w:r>
        <w:rPr>
          <w:rFonts w:ascii="Times New Roman"/>
          <w:spacing w:val="-12"/>
          <w:sz w:val="19"/>
          <w:u w:val="single"/>
          <w:vertAlign w:val="baseline"/>
        </w:rPr>
        <w:t> </w:t>
      </w:r>
      <w:r>
        <w:rPr>
          <w:rFonts w:ascii="Times New Roman"/>
          <w:sz w:val="19"/>
          <w:u w:val="single"/>
          <w:vertAlign w:val="baseline"/>
        </w:rPr>
        <w:t>in</w:t>
      </w:r>
      <w:r>
        <w:rPr>
          <w:rFonts w:ascii="Times New Roman"/>
          <w:spacing w:val="-9"/>
          <w:sz w:val="19"/>
          <w:u w:val="single"/>
          <w:vertAlign w:val="baseline"/>
        </w:rPr>
        <w:t> </w:t>
      </w:r>
      <w:r>
        <w:rPr>
          <w:rFonts w:ascii="Times New Roman"/>
          <w:sz w:val="19"/>
          <w:u w:val="single"/>
          <w:vertAlign w:val="baseline"/>
        </w:rPr>
        <w:t>Perspective,</w:t>
      </w:r>
      <w:r>
        <w:rPr>
          <w:rFonts w:ascii="Times New Roman"/>
          <w:spacing w:val="-6"/>
          <w:sz w:val="19"/>
          <w:vertAlign w:val="baseline"/>
        </w:rPr>
        <w:t> </w:t>
      </w:r>
      <w:r>
        <w:rPr>
          <w:rFonts w:ascii="Times New Roman"/>
          <w:sz w:val="19"/>
          <w:vertAlign w:val="baseline"/>
        </w:rPr>
        <w:t>Folio,</w:t>
      </w:r>
      <w:r>
        <w:rPr>
          <w:rFonts w:ascii="Times New Roman"/>
          <w:spacing w:val="-11"/>
          <w:sz w:val="19"/>
          <w:vertAlign w:val="baseline"/>
        </w:rPr>
        <w:t> </w:t>
      </w:r>
      <w:r>
        <w:rPr>
          <w:rFonts w:ascii="Times New Roman"/>
          <w:sz w:val="19"/>
          <w:vertAlign w:val="baseline"/>
        </w:rPr>
        <w:t>Publishers</w:t>
      </w:r>
      <w:r>
        <w:rPr>
          <w:rFonts w:ascii="Times New Roman"/>
          <w:spacing w:val="-11"/>
          <w:sz w:val="19"/>
          <w:vertAlign w:val="baseline"/>
        </w:rPr>
        <w:t> </w:t>
      </w:r>
      <w:r>
        <w:rPr>
          <w:rFonts w:ascii="Times New Roman"/>
          <w:sz w:val="19"/>
          <w:vertAlign w:val="baseline"/>
        </w:rPr>
        <w:t>Ltd,</w:t>
      </w:r>
      <w:r>
        <w:rPr>
          <w:rFonts w:ascii="Times New Roman"/>
          <w:spacing w:val="-10"/>
          <w:sz w:val="19"/>
          <w:vertAlign w:val="baseline"/>
        </w:rPr>
        <w:t> </w:t>
      </w:r>
      <w:r>
        <w:rPr>
          <w:rFonts w:ascii="Times New Roman"/>
          <w:sz w:val="19"/>
          <w:vertAlign w:val="baseline"/>
        </w:rPr>
        <w:t>Ikeja,</w:t>
      </w:r>
      <w:r>
        <w:rPr>
          <w:rFonts w:ascii="Times New Roman"/>
          <w:spacing w:val="-12"/>
          <w:sz w:val="19"/>
          <w:vertAlign w:val="baseline"/>
        </w:rPr>
        <w:t> </w:t>
      </w:r>
      <w:r>
        <w:rPr>
          <w:rFonts w:ascii="Times New Roman"/>
          <w:sz w:val="19"/>
          <w:vertAlign w:val="baseline"/>
        </w:rPr>
        <w:t>Lagos</w:t>
      </w:r>
      <w:r>
        <w:rPr>
          <w:rFonts w:ascii="Times New Roman"/>
          <w:spacing w:val="-8"/>
          <w:sz w:val="19"/>
          <w:vertAlign w:val="baseline"/>
        </w:rPr>
        <w:t> </w:t>
      </w:r>
      <w:r>
        <w:rPr>
          <w:rFonts w:ascii="Times New Roman"/>
          <w:sz w:val="19"/>
          <w:vertAlign w:val="baseline"/>
        </w:rPr>
        <w:t>(1991)</w:t>
      </w:r>
      <w:r>
        <w:rPr>
          <w:rFonts w:ascii="Times New Roman"/>
          <w:spacing w:val="-12"/>
          <w:sz w:val="19"/>
          <w:vertAlign w:val="baseline"/>
        </w:rPr>
        <w:t> </w:t>
      </w:r>
      <w:r>
        <w:rPr>
          <w:rFonts w:ascii="Times New Roman"/>
          <w:sz w:val="19"/>
          <w:vertAlign w:val="baseline"/>
        </w:rPr>
        <w:t>p.</w:t>
      </w:r>
      <w:r>
        <w:rPr>
          <w:rFonts w:ascii="Times New Roman"/>
          <w:spacing w:val="-6"/>
          <w:sz w:val="19"/>
          <w:vertAlign w:val="baseline"/>
        </w:rPr>
        <w:t> </w:t>
      </w:r>
      <w:r>
        <w:rPr>
          <w:rFonts w:ascii="Times New Roman"/>
          <w:spacing w:val="-5"/>
          <w:sz w:val="19"/>
          <w:vertAlign w:val="baseline"/>
        </w:rPr>
        <w:t>126</w:t>
      </w:r>
    </w:p>
    <w:p>
      <w:pPr>
        <w:spacing w:line="217" w:lineRule="exact" w:before="0"/>
        <w:ind w:left="187" w:right="0" w:firstLine="0"/>
        <w:jc w:val="left"/>
        <w:rPr>
          <w:rFonts w:ascii="Times New Roman"/>
          <w:i/>
          <w:sz w:val="19"/>
        </w:rPr>
      </w:pPr>
      <w:r>
        <w:rPr>
          <w:rFonts w:ascii="Times New Roman"/>
          <w:sz w:val="19"/>
          <w:vertAlign w:val="superscript"/>
        </w:rPr>
        <w:t>4</w:t>
      </w:r>
      <w:r>
        <w:rPr>
          <w:rFonts w:ascii="Times New Roman"/>
          <w:spacing w:val="7"/>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864" w:right="559"/>
        <w:jc w:val="both"/>
      </w:pPr>
      <w:r>
        <w:rPr/>
        <w:t>1987 was faulty in several respects.</w:t>
      </w:r>
      <w:r>
        <w:rPr>
          <w:vertAlign w:val="superscript"/>
        </w:rPr>
        <w:t>5</w:t>
      </w:r>
      <w:r>
        <w:rPr>
          <w:vertAlign w:val="baseline"/>
        </w:rPr>
        <w:t> For example, it was considered too narrow</w:t>
      </w:r>
      <w:r>
        <w:rPr>
          <w:spacing w:val="40"/>
          <w:vertAlign w:val="baseline"/>
        </w:rPr>
        <w:t> </w:t>
      </w:r>
      <w:r>
        <w:rPr>
          <w:vertAlign w:val="baseline"/>
        </w:rPr>
        <w:t>that</w:t>
      </w:r>
      <w:r>
        <w:rPr>
          <w:spacing w:val="40"/>
          <w:vertAlign w:val="baseline"/>
        </w:rPr>
        <w:t> </w:t>
      </w:r>
      <w:r>
        <w:rPr>
          <w:vertAlign w:val="baseline"/>
        </w:rPr>
        <w:t>it</w:t>
      </w:r>
      <w:r>
        <w:rPr>
          <w:spacing w:val="40"/>
          <w:vertAlign w:val="baseline"/>
        </w:rPr>
        <w:t> </w:t>
      </w:r>
      <w:r>
        <w:rPr>
          <w:vertAlign w:val="baseline"/>
        </w:rPr>
        <w:t>covered</w:t>
      </w:r>
      <w:r>
        <w:rPr>
          <w:spacing w:val="40"/>
          <w:vertAlign w:val="baseline"/>
        </w:rPr>
        <w:t> </w:t>
      </w:r>
      <w:r>
        <w:rPr>
          <w:vertAlign w:val="baseline"/>
        </w:rPr>
        <w:t>only</w:t>
      </w:r>
      <w:r>
        <w:rPr>
          <w:spacing w:val="40"/>
          <w:vertAlign w:val="baseline"/>
        </w:rPr>
        <w:t> </w:t>
      </w:r>
      <w:r>
        <w:rPr>
          <w:vertAlign w:val="baseline"/>
        </w:rPr>
        <w:t>employees</w:t>
      </w:r>
      <w:r>
        <w:rPr>
          <w:spacing w:val="40"/>
          <w:vertAlign w:val="baseline"/>
        </w:rPr>
        <w:t> </w:t>
      </w:r>
      <w:r>
        <w:rPr>
          <w:vertAlign w:val="baseline"/>
        </w:rPr>
        <w:t>engaged</w:t>
      </w:r>
      <w:r>
        <w:rPr>
          <w:spacing w:val="40"/>
          <w:vertAlign w:val="baseline"/>
        </w:rPr>
        <w:t> </w:t>
      </w:r>
      <w:r>
        <w:rPr>
          <w:vertAlign w:val="baseline"/>
        </w:rPr>
        <w:t>in</w:t>
      </w:r>
      <w:r>
        <w:rPr>
          <w:spacing w:val="40"/>
          <w:vertAlign w:val="baseline"/>
        </w:rPr>
        <w:t> </w:t>
      </w:r>
      <w:r>
        <w:rPr>
          <w:vertAlign w:val="baseline"/>
        </w:rPr>
        <w:t>manual</w:t>
      </w:r>
      <w:r>
        <w:rPr>
          <w:spacing w:val="40"/>
          <w:vertAlign w:val="baseline"/>
        </w:rPr>
        <w:t> </w:t>
      </w:r>
      <w:r>
        <w:rPr>
          <w:vertAlign w:val="baseline"/>
        </w:rPr>
        <w:t>labour</w:t>
      </w:r>
      <w:r>
        <w:rPr>
          <w:spacing w:val="40"/>
          <w:vertAlign w:val="baseline"/>
        </w:rPr>
        <w:t> </w:t>
      </w:r>
      <w:r>
        <w:rPr>
          <w:vertAlign w:val="baseline"/>
        </w:rPr>
        <w:t>or clerical work or otherwise and had been repeatedly interpreted to exclude professionals.</w:t>
      </w:r>
      <w:r>
        <w:rPr>
          <w:vertAlign w:val="superscript"/>
        </w:rPr>
        <w:t>6</w:t>
      </w:r>
      <w:r>
        <w:rPr>
          <w:vertAlign w:val="baseline"/>
        </w:rPr>
        <w:t> It limited compensable injuries to injuries that had been the result of accident at the workplace leaving other injuries with no compensation.</w:t>
      </w:r>
      <w:r>
        <w:rPr>
          <w:vertAlign w:val="superscript"/>
        </w:rPr>
        <w:t>7</w:t>
      </w:r>
      <w:r>
        <w:rPr>
          <w:vertAlign w:val="baseline"/>
        </w:rPr>
        <w:t> Also, the heads of compensation under Workmen’s Compensation Act were limited to compensation in fatal cases,</w:t>
      </w:r>
      <w:r>
        <w:rPr>
          <w:spacing w:val="40"/>
          <w:vertAlign w:val="baseline"/>
        </w:rPr>
        <w:t> </w:t>
      </w:r>
      <w:r>
        <w:rPr>
          <w:vertAlign w:val="baseline"/>
        </w:rPr>
        <w:t>compensation in the case of permanent total incapacity and</w:t>
      </w:r>
      <w:r>
        <w:rPr>
          <w:spacing w:val="40"/>
          <w:vertAlign w:val="baseline"/>
        </w:rPr>
        <w:t> </w:t>
      </w:r>
      <w:r>
        <w:rPr>
          <w:vertAlign w:val="baseline"/>
        </w:rPr>
        <w:t>case of temporary incapacity.</w:t>
      </w:r>
      <w:r>
        <w:rPr>
          <w:vertAlign w:val="superscript"/>
        </w:rPr>
        <w:t>8</w:t>
      </w:r>
    </w:p>
    <w:p>
      <w:pPr>
        <w:pStyle w:val="BodyText"/>
        <w:spacing w:before="10"/>
      </w:pPr>
    </w:p>
    <w:p>
      <w:pPr>
        <w:pStyle w:val="BodyText"/>
        <w:spacing w:line="489" w:lineRule="auto" w:before="1"/>
        <w:ind w:left="864" w:right="567"/>
        <w:jc w:val="both"/>
      </w:pPr>
      <w:r>
        <w:rPr/>
        <w:t>The 2010 Act makes provision for payment of compensation to employees who</w:t>
      </w:r>
      <w:r>
        <w:rPr>
          <w:spacing w:val="38"/>
        </w:rPr>
        <w:t> </w:t>
      </w:r>
      <w:r>
        <w:rPr/>
        <w:t>suffer</w:t>
      </w:r>
      <w:r>
        <w:rPr>
          <w:spacing w:val="40"/>
        </w:rPr>
        <w:t> </w:t>
      </w:r>
      <w:r>
        <w:rPr/>
        <w:t>occupational</w:t>
      </w:r>
      <w:r>
        <w:rPr>
          <w:spacing w:val="40"/>
        </w:rPr>
        <w:t> </w:t>
      </w:r>
      <w:r>
        <w:rPr/>
        <w:t>diseases</w:t>
      </w:r>
      <w:r>
        <w:rPr>
          <w:spacing w:val="40"/>
        </w:rPr>
        <w:t> </w:t>
      </w:r>
      <w:r>
        <w:rPr/>
        <w:t>or</w:t>
      </w:r>
      <w:r>
        <w:rPr>
          <w:spacing w:val="38"/>
        </w:rPr>
        <w:t> </w:t>
      </w:r>
      <w:r>
        <w:rPr/>
        <w:t>sustain</w:t>
      </w:r>
      <w:r>
        <w:rPr>
          <w:spacing w:val="40"/>
        </w:rPr>
        <w:t> </w:t>
      </w:r>
      <w:r>
        <w:rPr/>
        <w:t>injuries</w:t>
      </w:r>
      <w:r>
        <w:rPr>
          <w:spacing w:val="37"/>
        </w:rPr>
        <w:t> </w:t>
      </w:r>
      <w:r>
        <w:rPr/>
        <w:t>arising</w:t>
      </w:r>
      <w:r>
        <w:rPr>
          <w:spacing w:val="40"/>
        </w:rPr>
        <w:t> </w:t>
      </w:r>
      <w:r>
        <w:rPr/>
        <w:t>from</w:t>
      </w:r>
      <w:r>
        <w:rPr>
          <w:spacing w:val="40"/>
        </w:rPr>
        <w:t> </w:t>
      </w:r>
      <w:r>
        <w:rPr/>
        <w:t>accident at workplace or in the course of employment. There are basically five grounds of compensation under the Act viz mental stress, occupational disease,</w:t>
      </w:r>
      <w:r>
        <w:rPr>
          <w:spacing w:val="30"/>
        </w:rPr>
        <w:t> </w:t>
      </w:r>
      <w:r>
        <w:rPr/>
        <w:t>injury,</w:t>
      </w:r>
      <w:r>
        <w:rPr>
          <w:spacing w:val="30"/>
        </w:rPr>
        <w:t> </w:t>
      </w:r>
      <w:r>
        <w:rPr/>
        <w:t>hearing</w:t>
      </w:r>
      <w:r>
        <w:rPr>
          <w:spacing w:val="29"/>
        </w:rPr>
        <w:t> </w:t>
      </w:r>
      <w:r>
        <w:rPr/>
        <w:t>impairment</w:t>
      </w:r>
      <w:r>
        <w:rPr>
          <w:spacing w:val="27"/>
        </w:rPr>
        <w:t> </w:t>
      </w:r>
      <w:r>
        <w:rPr/>
        <w:t>and</w:t>
      </w:r>
      <w:r>
        <w:rPr>
          <w:spacing w:val="29"/>
        </w:rPr>
        <w:t> </w:t>
      </w:r>
      <w:r>
        <w:rPr/>
        <w:t>death.</w:t>
      </w:r>
      <w:r>
        <w:rPr>
          <w:vertAlign w:val="superscript"/>
        </w:rPr>
        <w:t>9</w:t>
      </w:r>
      <w:r>
        <w:rPr>
          <w:spacing w:val="25"/>
          <w:vertAlign w:val="baseline"/>
        </w:rPr>
        <w:t> </w:t>
      </w:r>
      <w:r>
        <w:rPr>
          <w:vertAlign w:val="baseline"/>
        </w:rPr>
        <w:t>The</w:t>
      </w:r>
      <w:r>
        <w:rPr>
          <w:spacing w:val="26"/>
          <w:vertAlign w:val="baseline"/>
        </w:rPr>
        <w:t> </w:t>
      </w:r>
      <w:r>
        <w:rPr>
          <w:vertAlign w:val="baseline"/>
        </w:rPr>
        <w:t>Act uses</w:t>
      </w:r>
      <w:r>
        <w:rPr>
          <w:spacing w:val="25"/>
          <w:vertAlign w:val="baseline"/>
        </w:rPr>
        <w:t> </w:t>
      </w:r>
      <w:r>
        <w:rPr>
          <w:vertAlign w:val="baseline"/>
        </w:rPr>
        <w:t>some</w:t>
      </w:r>
      <w:r>
        <w:rPr>
          <w:spacing w:val="25"/>
          <w:vertAlign w:val="baseline"/>
        </w:rPr>
        <w:t> </w:t>
      </w:r>
      <w:r>
        <w:rPr>
          <w:vertAlign w:val="baseline"/>
        </w:rPr>
        <w:t>scales in order</w:t>
      </w:r>
      <w:r>
        <w:rPr>
          <w:spacing w:val="26"/>
          <w:vertAlign w:val="baseline"/>
        </w:rPr>
        <w:t> </w:t>
      </w:r>
      <w:r>
        <w:rPr>
          <w:vertAlign w:val="baseline"/>
        </w:rPr>
        <w:t>to measure</w:t>
      </w:r>
      <w:r>
        <w:rPr>
          <w:spacing w:val="25"/>
          <w:vertAlign w:val="baseline"/>
        </w:rPr>
        <w:t> </w:t>
      </w:r>
      <w:r>
        <w:rPr>
          <w:vertAlign w:val="baseline"/>
        </w:rPr>
        <w:t>the</w:t>
      </w:r>
      <w:r>
        <w:rPr>
          <w:spacing w:val="25"/>
          <w:vertAlign w:val="baseline"/>
        </w:rPr>
        <w:t> </w:t>
      </w:r>
      <w:r>
        <w:rPr>
          <w:vertAlign w:val="baseline"/>
        </w:rPr>
        <w:t>amount of</w:t>
      </w:r>
      <w:r>
        <w:rPr>
          <w:spacing w:val="26"/>
          <w:vertAlign w:val="baseline"/>
        </w:rPr>
        <w:t> </w:t>
      </w:r>
      <w:r>
        <w:rPr>
          <w:vertAlign w:val="baseline"/>
        </w:rPr>
        <w:t>compensation.</w:t>
      </w:r>
      <w:r>
        <w:rPr>
          <w:spacing w:val="30"/>
          <w:vertAlign w:val="baseline"/>
        </w:rPr>
        <w:t> </w:t>
      </w:r>
      <w:r>
        <w:rPr>
          <w:vertAlign w:val="baseline"/>
        </w:rPr>
        <w:t>These scales</w:t>
      </w:r>
      <w:r>
        <w:rPr>
          <w:spacing w:val="25"/>
          <w:vertAlign w:val="baseline"/>
        </w:rPr>
        <w:t> </w:t>
      </w:r>
      <w:r>
        <w:rPr>
          <w:vertAlign w:val="baseline"/>
        </w:rPr>
        <w:t>are</w:t>
      </w:r>
      <w:r>
        <w:rPr>
          <w:spacing w:val="25"/>
          <w:vertAlign w:val="baseline"/>
        </w:rPr>
        <w:t> </w:t>
      </w:r>
      <w:r>
        <w:rPr>
          <w:vertAlign w:val="baseline"/>
        </w:rPr>
        <w:t>scales of compensation for temporary partial disability, temporary total disability, permanent partial disability or disfigurement, permanent total disability,</w:t>
      </w:r>
      <w:r>
        <w:rPr>
          <w:spacing w:val="80"/>
          <w:vertAlign w:val="baseline"/>
        </w:rPr>
        <w:t> </w:t>
      </w:r>
      <w:r>
        <w:rPr>
          <w:vertAlign w:val="baseline"/>
        </w:rPr>
        <w:t>fatal cases and enemy war-like actions.</w:t>
      </w:r>
      <w:r>
        <w:rPr>
          <w:vertAlign w:val="superscript"/>
        </w:rPr>
        <w:t>10</w:t>
      </w:r>
      <w:r>
        <w:rPr>
          <w:vertAlign w:val="baseline"/>
        </w:rPr>
        <w:t> The Act also provides for</w:t>
      </w:r>
      <w:r>
        <w:rPr>
          <w:spacing w:val="40"/>
          <w:vertAlign w:val="baseline"/>
        </w:rPr>
        <w:t> </w:t>
      </w:r>
      <w:r>
        <w:rPr>
          <w:vertAlign w:val="baseline"/>
        </w:rPr>
        <w:t>vocational</w:t>
      </w:r>
      <w:r>
        <w:rPr>
          <w:spacing w:val="78"/>
          <w:vertAlign w:val="baseline"/>
        </w:rPr>
        <w:t> </w:t>
      </w:r>
      <w:r>
        <w:rPr>
          <w:vertAlign w:val="baseline"/>
        </w:rPr>
        <w:t>rehabilitation</w:t>
      </w:r>
      <w:r>
        <w:rPr>
          <w:spacing w:val="78"/>
          <w:vertAlign w:val="baseline"/>
        </w:rPr>
        <w:t> </w:t>
      </w:r>
      <w:r>
        <w:rPr>
          <w:vertAlign w:val="baseline"/>
        </w:rPr>
        <w:t>as</w:t>
      </w:r>
      <w:r>
        <w:rPr>
          <w:spacing w:val="75"/>
          <w:vertAlign w:val="baseline"/>
        </w:rPr>
        <w:t> </w:t>
      </w:r>
      <w:r>
        <w:rPr>
          <w:vertAlign w:val="baseline"/>
        </w:rPr>
        <w:t>a</w:t>
      </w:r>
      <w:r>
        <w:rPr>
          <w:spacing w:val="44"/>
          <w:w w:val="150"/>
          <w:vertAlign w:val="baseline"/>
        </w:rPr>
        <w:t> </w:t>
      </w:r>
      <w:r>
        <w:rPr>
          <w:vertAlign w:val="baseline"/>
        </w:rPr>
        <w:t>form</w:t>
      </w:r>
      <w:r>
        <w:rPr>
          <w:spacing w:val="78"/>
          <w:vertAlign w:val="baseline"/>
        </w:rPr>
        <w:t> </w:t>
      </w:r>
      <w:r>
        <w:rPr>
          <w:vertAlign w:val="baseline"/>
        </w:rPr>
        <w:t>of</w:t>
      </w:r>
      <w:r>
        <w:rPr>
          <w:spacing w:val="45"/>
          <w:w w:val="150"/>
          <w:vertAlign w:val="baseline"/>
        </w:rPr>
        <w:t> </w:t>
      </w:r>
      <w:r>
        <w:rPr>
          <w:vertAlign w:val="baseline"/>
        </w:rPr>
        <w:t>compensation</w:t>
      </w:r>
      <w:r>
        <w:rPr>
          <w:spacing w:val="46"/>
          <w:w w:val="150"/>
          <w:vertAlign w:val="baseline"/>
        </w:rPr>
        <w:t> </w:t>
      </w:r>
      <w:r>
        <w:rPr>
          <w:vertAlign w:val="baseline"/>
        </w:rPr>
        <w:t>in</w:t>
      </w:r>
      <w:r>
        <w:rPr>
          <w:spacing w:val="78"/>
          <w:vertAlign w:val="baseline"/>
        </w:rPr>
        <w:t> </w:t>
      </w:r>
      <w:r>
        <w:rPr>
          <w:vertAlign w:val="baseline"/>
        </w:rPr>
        <w:t>order</w:t>
      </w:r>
      <w:r>
        <w:rPr>
          <w:spacing w:val="44"/>
          <w:w w:val="150"/>
          <w:vertAlign w:val="baseline"/>
        </w:rPr>
        <w:t> </w:t>
      </w:r>
      <w:r>
        <w:rPr>
          <w:vertAlign w:val="baseline"/>
        </w:rPr>
        <w:t>to</w:t>
      </w:r>
      <w:r>
        <w:rPr>
          <w:spacing w:val="77"/>
          <w:vertAlign w:val="baseline"/>
        </w:rPr>
        <w:t> </w:t>
      </w:r>
      <w:r>
        <w:rPr>
          <w:spacing w:val="-2"/>
          <w:vertAlign w:val="baseline"/>
        </w:rPr>
        <w:t>bring</w:t>
      </w:r>
    </w:p>
    <w:p>
      <w:pPr>
        <w:pStyle w:val="BodyText"/>
        <w:spacing w:before="3"/>
        <w:rPr>
          <w:sz w:val="16"/>
        </w:rPr>
      </w:pPr>
      <w:r>
        <w:rPr/>
        <mc:AlternateContent>
          <mc:Choice Requires="wps">
            <w:drawing>
              <wp:anchor distT="0" distB="0" distL="0" distR="0" allowOverlap="1" layoutInCell="1" locked="0" behindDoc="1" simplePos="0" relativeHeight="487654400">
                <wp:simplePos x="0" y="0"/>
                <wp:positionH relativeFrom="page">
                  <wp:posOffset>1185672</wp:posOffset>
                </wp:positionH>
                <wp:positionV relativeFrom="paragraph">
                  <wp:posOffset>140297</wp:posOffset>
                </wp:positionV>
                <wp:extent cx="1719580" cy="6350"/>
                <wp:effectExtent l="0" t="0" r="0" b="0"/>
                <wp:wrapTopAndBottom/>
                <wp:docPr id="153" name="Graphic 153"/>
                <wp:cNvGraphicFramePr>
                  <a:graphicFrameLocks/>
                </wp:cNvGraphicFramePr>
                <a:graphic>
                  <a:graphicData uri="http://schemas.microsoft.com/office/word/2010/wordprocessingShape">
                    <wps:wsp>
                      <wps:cNvPr id="153" name="Graphic 153"/>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047031pt;width:135.360pt;height:.48pt;mso-position-horizontal-relative:page;mso-position-vertical-relative:paragraph;z-index:-15662080;mso-wrap-distance-left:0;mso-wrap-distance-right:0" id="docshape153" filled="true" fillcolor="#000000" stroked="false">
                <v:fill type="solid"/>
                <w10:wrap type="topAndBottom"/>
              </v:rect>
            </w:pict>
          </mc:Fallback>
        </mc:AlternateContent>
      </w:r>
    </w:p>
    <w:p>
      <w:pPr>
        <w:spacing w:line="237" w:lineRule="auto" w:before="98"/>
        <w:ind w:left="187" w:right="0" w:firstLine="0"/>
        <w:jc w:val="left"/>
        <w:rPr>
          <w:rFonts w:ascii="Times New Roman" w:hAnsi="Times New Roman"/>
          <w:sz w:val="19"/>
        </w:rPr>
      </w:pPr>
      <w:r>
        <w:rPr>
          <w:rFonts w:ascii="Times New Roman" w:hAnsi="Times New Roman"/>
          <w:sz w:val="19"/>
          <w:vertAlign w:val="superscript"/>
        </w:rPr>
        <w:t>5</w:t>
      </w:r>
      <w:r>
        <w:rPr>
          <w:rFonts w:ascii="Times New Roman" w:hAnsi="Times New Roman"/>
          <w:spacing w:val="-12"/>
          <w:sz w:val="19"/>
          <w:vertAlign w:val="baseline"/>
        </w:rPr>
        <w:t> </w:t>
      </w:r>
      <w:r>
        <w:rPr>
          <w:rFonts w:ascii="Times New Roman" w:hAnsi="Times New Roman"/>
          <w:sz w:val="19"/>
          <w:vertAlign w:val="baseline"/>
        </w:rPr>
        <w:t>Oladele,K</w:t>
      </w:r>
      <w:r>
        <w:rPr>
          <w:rFonts w:ascii="Times New Roman" w:hAnsi="Times New Roman"/>
          <w:spacing w:val="-12"/>
          <w:sz w:val="19"/>
          <w:vertAlign w:val="baseline"/>
        </w:rPr>
        <w:t> </w:t>
      </w:r>
      <w:r>
        <w:rPr>
          <w:rFonts w:ascii="Times New Roman" w:hAnsi="Times New Roman"/>
          <w:sz w:val="19"/>
          <w:vertAlign w:val="baseline"/>
        </w:rPr>
        <w:t>‘Reforming</w:t>
      </w:r>
      <w:r>
        <w:rPr>
          <w:rFonts w:ascii="Times New Roman" w:hAnsi="Times New Roman"/>
          <w:spacing w:val="-12"/>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Nigerian</w:t>
      </w:r>
      <w:r>
        <w:rPr>
          <w:rFonts w:ascii="Times New Roman" w:hAnsi="Times New Roman"/>
          <w:spacing w:val="-12"/>
          <w:sz w:val="19"/>
          <w:vertAlign w:val="baseline"/>
        </w:rPr>
        <w:t> </w:t>
      </w:r>
      <w:r>
        <w:rPr>
          <w:rFonts w:ascii="Times New Roman" w:hAnsi="Times New Roman"/>
          <w:sz w:val="19"/>
          <w:vertAlign w:val="baseline"/>
        </w:rPr>
        <w:t>Workmen’s</w:t>
      </w:r>
      <w:r>
        <w:rPr>
          <w:rFonts w:ascii="Times New Roman" w:hAnsi="Times New Roman"/>
          <w:spacing w:val="-12"/>
          <w:sz w:val="19"/>
          <w:vertAlign w:val="baseline"/>
        </w:rPr>
        <w:t> </w:t>
      </w:r>
      <w:r>
        <w:rPr>
          <w:rFonts w:ascii="Times New Roman" w:hAnsi="Times New Roman"/>
          <w:sz w:val="19"/>
          <w:vertAlign w:val="baseline"/>
        </w:rPr>
        <w:t>and</w:t>
      </w:r>
      <w:r>
        <w:rPr>
          <w:rFonts w:ascii="Times New Roman" w:hAnsi="Times New Roman"/>
          <w:spacing w:val="-12"/>
          <w:sz w:val="19"/>
          <w:vertAlign w:val="baseline"/>
        </w:rPr>
        <w:t> </w:t>
      </w:r>
      <w:r>
        <w:rPr>
          <w:rFonts w:ascii="Times New Roman" w:hAnsi="Times New Roman"/>
          <w:sz w:val="19"/>
          <w:vertAlign w:val="baseline"/>
        </w:rPr>
        <w:t>Factory</w:t>
      </w:r>
      <w:r>
        <w:rPr>
          <w:rFonts w:ascii="Times New Roman" w:hAnsi="Times New Roman"/>
          <w:spacing w:val="-11"/>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z w:val="19"/>
          <w:vertAlign w:val="baseline"/>
        </w:rPr>
        <w:t>http:\www.nigeriavillagesquare.com\articles 21\03\2012 at 5;33pm</w:t>
      </w:r>
    </w:p>
    <w:p>
      <w:pPr>
        <w:spacing w:line="237" w:lineRule="auto" w:before="4"/>
        <w:ind w:left="187" w:right="1083" w:firstLine="0"/>
        <w:jc w:val="left"/>
        <w:rPr>
          <w:rFonts w:ascii="Times New Roman" w:hAnsi="Times New Roman"/>
          <w:sz w:val="19"/>
        </w:rPr>
      </w:pPr>
      <w:r>
        <w:rPr>
          <w:rFonts w:ascii="Times New Roman" w:hAnsi="Times New Roman"/>
          <w:sz w:val="19"/>
          <w:vertAlign w:val="superscript"/>
        </w:rPr>
        <w:t>6</w:t>
      </w:r>
      <w:r>
        <w:rPr>
          <w:rFonts w:ascii="Times New Roman" w:hAnsi="Times New Roman"/>
          <w:sz w:val="19"/>
          <w:vertAlign w:val="baseline"/>
        </w:rPr>
        <w:t> Olaniwun , A.L.P ‘Employer and Employee Relations:The</w:t>
      </w:r>
      <w:r>
        <w:rPr>
          <w:rFonts w:ascii="Times New Roman" w:hAnsi="Times New Roman"/>
          <w:spacing w:val="-10"/>
          <w:sz w:val="19"/>
          <w:vertAlign w:val="baseline"/>
        </w:rPr>
        <w:t> </w:t>
      </w:r>
      <w:r>
        <w:rPr>
          <w:rFonts w:ascii="Times New Roman" w:hAnsi="Times New Roman"/>
          <w:sz w:val="19"/>
          <w:vertAlign w:val="baseline"/>
        </w:rPr>
        <w:t>Employees’ Compensation Act 2010’ </w:t>
      </w:r>
      <w:r>
        <w:rPr>
          <w:rFonts w:ascii="Times New Roman" w:hAnsi="Times New Roman"/>
          <w:color w:val="0000FF"/>
          <w:spacing w:val="-2"/>
          <w:sz w:val="19"/>
          <w:u w:val="single" w:color="0000FF"/>
          <w:vertAlign w:val="baseline"/>
        </w:rPr>
        <w:t>http://www.olaniwunajayi.net\clientalert\employees’compensationactnewsletter-</w:t>
      </w:r>
      <w:r>
        <w:rPr>
          <w:rFonts w:ascii="Times New Roman" w:hAnsi="Times New Roman"/>
          <w:color w:val="0000FF"/>
          <w:spacing w:val="40"/>
          <w:sz w:val="19"/>
          <w:vertAlign w:val="baseline"/>
        </w:rPr>
        <w:t> </w:t>
      </w:r>
      <w:r>
        <w:rPr>
          <w:rFonts w:ascii="Times New Roman" w:hAnsi="Times New Roman"/>
          <w:spacing w:val="-2"/>
          <w:sz w:val="19"/>
          <w:vertAlign w:val="baseline"/>
        </w:rPr>
        <w:t>Accessed May 22, 2012</w:t>
      </w:r>
    </w:p>
    <w:p>
      <w:pPr>
        <w:spacing w:line="210" w:lineRule="exact" w:before="0"/>
        <w:ind w:left="187" w:right="0" w:firstLine="0"/>
        <w:jc w:val="left"/>
        <w:rPr>
          <w:rFonts w:ascii="Times New Roman"/>
          <w:i/>
          <w:sz w:val="19"/>
        </w:rPr>
      </w:pPr>
      <w:r>
        <w:rPr>
          <w:rFonts w:ascii="Times New Roman"/>
          <w:sz w:val="19"/>
          <w:vertAlign w:val="superscript"/>
        </w:rPr>
        <w:t>7</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8</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hAnsi="Times New Roman"/>
          <w:sz w:val="19"/>
        </w:rPr>
      </w:pPr>
      <w:r>
        <w:rPr>
          <w:rFonts w:ascii="Times New Roman" w:hAnsi="Times New Roman"/>
          <w:sz w:val="19"/>
          <w:vertAlign w:val="superscript"/>
        </w:rPr>
        <w:t>9</w:t>
      </w:r>
      <w:r>
        <w:rPr>
          <w:rFonts w:ascii="Times New Roman" w:hAnsi="Times New Roman"/>
          <w:sz w:val="19"/>
          <w:vertAlign w:val="baseline"/>
        </w:rPr>
        <w:t>Sections</w:t>
      </w:r>
      <w:r>
        <w:rPr>
          <w:rFonts w:ascii="Times New Roman" w:hAnsi="Times New Roman"/>
          <w:spacing w:val="-12"/>
          <w:sz w:val="19"/>
          <w:vertAlign w:val="baseline"/>
        </w:rPr>
        <w:t> </w:t>
      </w:r>
      <w:r>
        <w:rPr>
          <w:rFonts w:ascii="Times New Roman" w:hAnsi="Times New Roman"/>
          <w:sz w:val="19"/>
          <w:vertAlign w:val="baseline"/>
        </w:rPr>
        <w:t>7,8,9</w:t>
      </w:r>
      <w:r>
        <w:rPr>
          <w:rFonts w:ascii="Times New Roman" w:hAnsi="Times New Roman"/>
          <w:spacing w:val="-12"/>
          <w:sz w:val="19"/>
          <w:vertAlign w:val="baseline"/>
        </w:rPr>
        <w:t> </w:t>
      </w:r>
      <w:r>
        <w:rPr>
          <w:rFonts w:ascii="Times New Roman" w:hAnsi="Times New Roman"/>
          <w:sz w:val="19"/>
          <w:vertAlign w:val="baseline"/>
        </w:rPr>
        <w:t>and10</w:t>
      </w:r>
      <w:r>
        <w:rPr>
          <w:rFonts w:ascii="Times New Roman" w:hAnsi="Times New Roman"/>
          <w:spacing w:val="-12"/>
          <w:sz w:val="19"/>
          <w:vertAlign w:val="baseline"/>
        </w:rPr>
        <w:t> </w:t>
      </w:r>
      <w:r>
        <w:rPr>
          <w:rFonts w:ascii="Times New Roman" w:hAnsi="Times New Roman"/>
          <w:sz w:val="19"/>
          <w:vertAlign w:val="baseline"/>
        </w:rPr>
        <w:t>of</w:t>
      </w:r>
      <w:r>
        <w:rPr>
          <w:rFonts w:ascii="Times New Roman" w:hAnsi="Times New Roman"/>
          <w:spacing w:val="-12"/>
          <w:sz w:val="19"/>
          <w:vertAlign w:val="baseline"/>
        </w:rPr>
        <w:t> </w:t>
      </w:r>
      <w:r>
        <w:rPr>
          <w:rFonts w:ascii="Times New Roman" w:hAnsi="Times New Roman"/>
          <w:sz w:val="19"/>
          <w:vertAlign w:val="baseline"/>
        </w:rPr>
        <w:t>Employees’</w:t>
      </w:r>
      <w:r>
        <w:rPr>
          <w:rFonts w:ascii="Times New Roman" w:hAnsi="Times New Roman"/>
          <w:spacing w:val="-12"/>
          <w:sz w:val="19"/>
          <w:vertAlign w:val="baseline"/>
        </w:rPr>
        <w:t> </w:t>
      </w:r>
      <w:r>
        <w:rPr>
          <w:rFonts w:ascii="Times New Roman" w:hAnsi="Times New Roman"/>
          <w:sz w:val="19"/>
          <w:vertAlign w:val="baseline"/>
        </w:rPr>
        <w:t>Compensation</w:t>
      </w:r>
      <w:r>
        <w:rPr>
          <w:rFonts w:ascii="Times New Roman" w:hAnsi="Times New Roman"/>
          <w:spacing w:val="-12"/>
          <w:sz w:val="19"/>
          <w:vertAlign w:val="baseline"/>
        </w:rPr>
        <w:t> </w:t>
      </w:r>
      <w:r>
        <w:rPr>
          <w:rFonts w:ascii="Times New Roman" w:hAnsi="Times New Roman"/>
          <w:sz w:val="19"/>
          <w:vertAlign w:val="baseline"/>
        </w:rPr>
        <w:t>Act</w:t>
      </w:r>
      <w:r>
        <w:rPr>
          <w:rFonts w:ascii="Times New Roman" w:hAnsi="Times New Roman"/>
          <w:spacing w:val="-12"/>
          <w:sz w:val="19"/>
          <w:vertAlign w:val="baseline"/>
        </w:rPr>
        <w:t> </w:t>
      </w:r>
      <w:r>
        <w:rPr>
          <w:rFonts w:ascii="Times New Roman" w:hAnsi="Times New Roman"/>
          <w:spacing w:val="-2"/>
          <w:sz w:val="19"/>
          <w:vertAlign w:val="baseline"/>
        </w:rPr>
        <w:t>No.13,2010</w:t>
      </w:r>
    </w:p>
    <w:p>
      <w:pPr>
        <w:spacing w:line="217" w:lineRule="exact" w:before="0"/>
        <w:ind w:left="187" w:right="0" w:firstLine="0"/>
        <w:jc w:val="left"/>
        <w:rPr>
          <w:rFonts w:ascii="Times New Roman"/>
          <w:sz w:val="19"/>
        </w:rPr>
      </w:pPr>
      <w:r>
        <w:rPr>
          <w:rFonts w:ascii="Times New Roman"/>
          <w:sz w:val="19"/>
          <w:vertAlign w:val="superscript"/>
        </w:rPr>
        <w:t>10</w:t>
      </w:r>
      <w:r>
        <w:rPr>
          <w:rFonts w:ascii="Times New Roman"/>
          <w:sz w:val="19"/>
          <w:vertAlign w:val="baseline"/>
        </w:rPr>
        <w:t>Sections</w:t>
      </w:r>
      <w:r>
        <w:rPr>
          <w:rFonts w:ascii="Times New Roman"/>
          <w:spacing w:val="-9"/>
          <w:sz w:val="19"/>
          <w:vertAlign w:val="baseline"/>
        </w:rPr>
        <w:t> </w:t>
      </w:r>
      <w:r>
        <w:rPr>
          <w:rFonts w:ascii="Times New Roman"/>
          <w:sz w:val="19"/>
          <w:vertAlign w:val="baseline"/>
        </w:rPr>
        <w:t>25,24,22,21,17</w:t>
      </w:r>
      <w:r>
        <w:rPr>
          <w:rFonts w:ascii="Times New Roman"/>
          <w:spacing w:val="-9"/>
          <w:sz w:val="19"/>
          <w:vertAlign w:val="baseline"/>
        </w:rPr>
        <w:t> </w:t>
      </w:r>
      <w:r>
        <w:rPr>
          <w:rFonts w:ascii="Times New Roman"/>
          <w:sz w:val="19"/>
          <w:vertAlign w:val="baseline"/>
        </w:rPr>
        <w:t>and</w:t>
      </w:r>
      <w:r>
        <w:rPr>
          <w:rFonts w:ascii="Times New Roman"/>
          <w:spacing w:val="-10"/>
          <w:sz w:val="19"/>
          <w:vertAlign w:val="baseline"/>
        </w:rPr>
        <w:t> </w:t>
      </w:r>
      <w:r>
        <w:rPr>
          <w:rFonts w:ascii="Times New Roman"/>
          <w:sz w:val="19"/>
          <w:vertAlign w:val="baseline"/>
        </w:rPr>
        <w:t>18</w:t>
      </w:r>
      <w:r>
        <w:rPr>
          <w:rFonts w:ascii="Times New Roman"/>
          <w:spacing w:val="35"/>
          <w:sz w:val="19"/>
          <w:vertAlign w:val="baseline"/>
        </w:rPr>
        <w:t> </w:t>
      </w:r>
      <w:r>
        <w:rPr>
          <w:rFonts w:ascii="Times New Roman"/>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864" w:right="565"/>
        <w:jc w:val="both"/>
      </w:pPr>
      <w:r>
        <w:rPr/>
        <w:t>injured employees back to work by providing any medical treatment or</w:t>
      </w:r>
      <w:r>
        <w:rPr>
          <w:spacing w:val="80"/>
        </w:rPr>
        <w:t> </w:t>
      </w:r>
      <w:r>
        <w:rPr/>
        <w:t>other care that are necessary to alleviate or relieve the injured employee from the effect of the injury. </w:t>
      </w:r>
      <w:r>
        <w:rPr>
          <w:vertAlign w:val="superscript"/>
        </w:rPr>
        <w:t>11</w:t>
      </w:r>
      <w:r>
        <w:rPr>
          <w:vertAlign w:val="baseline"/>
        </w:rPr>
        <w:t>However, members of the armed forces, except those employed in civilian capacity are excluded in terms of </w:t>
      </w:r>
      <w:r>
        <w:rPr>
          <w:spacing w:val="-2"/>
          <w:vertAlign w:val="baseline"/>
        </w:rPr>
        <w:t>coverage.</w:t>
      </w:r>
      <w:r>
        <w:rPr>
          <w:spacing w:val="-2"/>
          <w:vertAlign w:val="superscript"/>
        </w:rPr>
        <w:t>12</w:t>
      </w:r>
    </w:p>
    <w:p>
      <w:pPr>
        <w:pStyle w:val="BodyText"/>
        <w:spacing w:before="10"/>
      </w:pPr>
    </w:p>
    <w:p>
      <w:pPr>
        <w:pStyle w:val="BodyText"/>
        <w:spacing w:line="489" w:lineRule="auto"/>
        <w:ind w:left="864" w:right="564"/>
        <w:jc w:val="both"/>
      </w:pPr>
      <w:r>
        <w:rPr/>
        <w:t>The 2010 Act establishes contributory Pension Fund called “the Fund” into which shall be credited all monies, funds or contributions by employers for adequate compensation to employees or their dependants for any death, injury, disability or disease arising out of or in the course of employment. The Fund established is managed by the Nigeria Social Insurance Trust</w:t>
      </w:r>
      <w:r>
        <w:rPr>
          <w:spacing w:val="80"/>
        </w:rPr>
        <w:t> </w:t>
      </w:r>
      <w:r>
        <w:rPr/>
        <w:t>Fund</w:t>
      </w:r>
      <w:r>
        <w:rPr>
          <w:spacing w:val="40"/>
        </w:rPr>
        <w:t> </w:t>
      </w:r>
      <w:r>
        <w:rPr/>
        <w:t>Management</w:t>
      </w:r>
      <w:r>
        <w:rPr>
          <w:spacing w:val="40"/>
        </w:rPr>
        <w:t> </w:t>
      </w:r>
      <w:r>
        <w:rPr/>
        <w:t>Board</w:t>
      </w:r>
      <w:r>
        <w:rPr>
          <w:spacing w:val="40"/>
        </w:rPr>
        <w:t> </w:t>
      </w:r>
      <w:r>
        <w:rPr/>
        <w:t>called</w:t>
      </w:r>
      <w:r>
        <w:rPr>
          <w:spacing w:val="40"/>
        </w:rPr>
        <w:t> </w:t>
      </w:r>
      <w:r>
        <w:rPr/>
        <w:t>‘the</w:t>
      </w:r>
      <w:r>
        <w:rPr>
          <w:spacing w:val="40"/>
        </w:rPr>
        <w:t> </w:t>
      </w:r>
      <w:r>
        <w:rPr/>
        <w:t>Board’.</w:t>
      </w:r>
      <w:r>
        <w:rPr>
          <w:spacing w:val="40"/>
        </w:rPr>
        <w:t> </w:t>
      </w:r>
      <w:r>
        <w:rPr/>
        <w:t>The</w:t>
      </w:r>
      <w:r>
        <w:rPr>
          <w:spacing w:val="40"/>
        </w:rPr>
        <w:t> </w:t>
      </w:r>
      <w:r>
        <w:rPr/>
        <w:t>Fund</w:t>
      </w:r>
      <w:r>
        <w:rPr>
          <w:spacing w:val="40"/>
        </w:rPr>
        <w:t> </w:t>
      </w:r>
      <w:r>
        <w:rPr/>
        <w:t>here</w:t>
      </w:r>
      <w:r>
        <w:rPr>
          <w:spacing w:val="40"/>
        </w:rPr>
        <w:t> </w:t>
      </w:r>
      <w:r>
        <w:rPr/>
        <w:t>consists</w:t>
      </w:r>
      <w:r>
        <w:rPr>
          <w:spacing w:val="40"/>
        </w:rPr>
        <w:t> </w:t>
      </w:r>
      <w:r>
        <w:rPr/>
        <w:t>of take-off grant from the Federal Government, contributions by employers pursuant to the Act, fees and assessments charged on employers, the proceeds of investments of the funds, gifts or grants from any national or international organisations, and other monies that may accrue to the Fund from any other source.</w:t>
      </w:r>
      <w:r>
        <w:rPr>
          <w:vertAlign w:val="superscript"/>
        </w:rPr>
        <w:t>13</w:t>
      </w:r>
      <w:r>
        <w:rPr>
          <w:vertAlign w:val="baseline"/>
        </w:rPr>
        <w:t> Employees are prohibited from contributing to the Fund</w:t>
      </w:r>
      <w:r>
        <w:rPr>
          <w:spacing w:val="40"/>
          <w:vertAlign w:val="baseline"/>
        </w:rPr>
        <w:t> </w:t>
      </w:r>
      <w:r>
        <w:rPr>
          <w:vertAlign w:val="baseline"/>
        </w:rPr>
        <w:t>as</w:t>
      </w:r>
      <w:r>
        <w:rPr>
          <w:spacing w:val="40"/>
          <w:vertAlign w:val="baseline"/>
        </w:rPr>
        <w:t> </w:t>
      </w:r>
      <w:r>
        <w:rPr>
          <w:vertAlign w:val="baseline"/>
        </w:rPr>
        <w:t>the</w:t>
      </w:r>
      <w:r>
        <w:rPr>
          <w:spacing w:val="40"/>
          <w:vertAlign w:val="baseline"/>
        </w:rPr>
        <w:t> </w:t>
      </w:r>
      <w:r>
        <w:rPr>
          <w:vertAlign w:val="baseline"/>
        </w:rPr>
        <w:t>Act</w:t>
      </w:r>
      <w:r>
        <w:rPr>
          <w:spacing w:val="40"/>
          <w:vertAlign w:val="baseline"/>
        </w:rPr>
        <w:t> </w:t>
      </w:r>
      <w:r>
        <w:rPr>
          <w:vertAlign w:val="baseline"/>
        </w:rPr>
        <w:t>imposes</w:t>
      </w:r>
      <w:r>
        <w:rPr>
          <w:spacing w:val="40"/>
          <w:vertAlign w:val="baseline"/>
        </w:rPr>
        <w:t> </w:t>
      </w:r>
      <w:r>
        <w:rPr>
          <w:vertAlign w:val="baseline"/>
        </w:rPr>
        <w:t>sanction</w:t>
      </w:r>
      <w:r>
        <w:rPr>
          <w:spacing w:val="40"/>
          <w:vertAlign w:val="baseline"/>
        </w:rPr>
        <w:t> </w:t>
      </w:r>
      <w:r>
        <w:rPr>
          <w:vertAlign w:val="baseline"/>
        </w:rPr>
        <w:t>against</w:t>
      </w:r>
      <w:r>
        <w:rPr>
          <w:spacing w:val="40"/>
          <w:vertAlign w:val="baseline"/>
        </w:rPr>
        <w:t> </w:t>
      </w:r>
      <w:r>
        <w:rPr>
          <w:vertAlign w:val="baseline"/>
        </w:rPr>
        <w:t>employers</w:t>
      </w:r>
      <w:r>
        <w:rPr>
          <w:spacing w:val="40"/>
          <w:vertAlign w:val="baseline"/>
        </w:rPr>
        <w:t> </w:t>
      </w:r>
      <w:r>
        <w:rPr>
          <w:vertAlign w:val="baseline"/>
        </w:rPr>
        <w:t>who</w:t>
      </w:r>
      <w:r>
        <w:rPr>
          <w:spacing w:val="40"/>
          <w:vertAlign w:val="baseline"/>
        </w:rPr>
        <w:t> </w:t>
      </w:r>
      <w:r>
        <w:rPr>
          <w:vertAlign w:val="baseline"/>
        </w:rPr>
        <w:t>attempt</w:t>
      </w:r>
      <w:r>
        <w:rPr>
          <w:spacing w:val="40"/>
          <w:vertAlign w:val="baseline"/>
        </w:rPr>
        <w:t> </w:t>
      </w:r>
      <w:r>
        <w:rPr>
          <w:vertAlign w:val="baseline"/>
        </w:rPr>
        <w:t>to deduct</w:t>
      </w:r>
      <w:r>
        <w:rPr>
          <w:spacing w:val="34"/>
          <w:vertAlign w:val="baseline"/>
        </w:rPr>
        <w:t> </w:t>
      </w:r>
      <w:r>
        <w:rPr>
          <w:vertAlign w:val="baseline"/>
        </w:rPr>
        <w:t>assessments</w:t>
      </w:r>
      <w:r>
        <w:rPr>
          <w:spacing w:val="40"/>
          <w:vertAlign w:val="baseline"/>
        </w:rPr>
        <w:t> </w:t>
      </w:r>
      <w:r>
        <w:rPr>
          <w:vertAlign w:val="baseline"/>
        </w:rPr>
        <w:t>that</w:t>
      </w:r>
      <w:r>
        <w:rPr>
          <w:spacing w:val="39"/>
          <w:vertAlign w:val="baseline"/>
        </w:rPr>
        <w:t> </w:t>
      </w:r>
      <w:r>
        <w:rPr>
          <w:vertAlign w:val="baseline"/>
        </w:rPr>
        <w:t>are</w:t>
      </w:r>
      <w:r>
        <w:rPr>
          <w:spacing w:val="37"/>
          <w:vertAlign w:val="baseline"/>
        </w:rPr>
        <w:t> </w:t>
      </w:r>
      <w:r>
        <w:rPr>
          <w:vertAlign w:val="baseline"/>
        </w:rPr>
        <w:t>payable</w:t>
      </w:r>
      <w:r>
        <w:rPr>
          <w:spacing w:val="37"/>
          <w:vertAlign w:val="baseline"/>
        </w:rPr>
        <w:t> </w:t>
      </w:r>
      <w:r>
        <w:rPr>
          <w:vertAlign w:val="baseline"/>
        </w:rPr>
        <w:t>to</w:t>
      </w:r>
      <w:r>
        <w:rPr>
          <w:spacing w:val="38"/>
          <w:vertAlign w:val="baseline"/>
        </w:rPr>
        <w:t> </w:t>
      </w:r>
      <w:r>
        <w:rPr>
          <w:vertAlign w:val="baseline"/>
        </w:rPr>
        <w:t>the</w:t>
      </w:r>
      <w:r>
        <w:rPr>
          <w:spacing w:val="37"/>
          <w:vertAlign w:val="baseline"/>
        </w:rPr>
        <w:t> </w:t>
      </w:r>
      <w:r>
        <w:rPr>
          <w:vertAlign w:val="baseline"/>
        </w:rPr>
        <w:t>Fund</w:t>
      </w:r>
      <w:r>
        <w:rPr>
          <w:spacing w:val="40"/>
          <w:vertAlign w:val="baseline"/>
        </w:rPr>
        <w:t> </w:t>
      </w:r>
      <w:r>
        <w:rPr>
          <w:vertAlign w:val="baseline"/>
        </w:rPr>
        <w:t>from</w:t>
      </w:r>
      <w:r>
        <w:rPr>
          <w:spacing w:val="40"/>
          <w:vertAlign w:val="baseline"/>
        </w:rPr>
        <w:t> </w:t>
      </w:r>
      <w:r>
        <w:rPr>
          <w:vertAlign w:val="baseline"/>
        </w:rPr>
        <w:t>the</w:t>
      </w:r>
      <w:r>
        <w:rPr>
          <w:spacing w:val="37"/>
          <w:vertAlign w:val="baseline"/>
        </w:rPr>
        <w:t> </w:t>
      </w:r>
      <w:r>
        <w:rPr>
          <w:vertAlign w:val="baseline"/>
        </w:rPr>
        <w:t>remuneration of employees.</w:t>
      </w:r>
      <w:r>
        <w:rPr>
          <w:vertAlign w:val="superscript"/>
        </w:rPr>
        <w:t>14</w:t>
      </w:r>
    </w:p>
    <w:p>
      <w:pPr>
        <w:pStyle w:val="BodyText"/>
        <w:rPr>
          <w:sz w:val="20"/>
        </w:rPr>
      </w:pPr>
    </w:p>
    <w:p>
      <w:pPr>
        <w:pStyle w:val="BodyText"/>
        <w:rPr>
          <w:sz w:val="20"/>
        </w:rPr>
      </w:pPr>
    </w:p>
    <w:p>
      <w:pPr>
        <w:pStyle w:val="BodyText"/>
        <w:rPr>
          <w:sz w:val="20"/>
        </w:rPr>
      </w:pPr>
    </w:p>
    <w:p>
      <w:pPr>
        <w:pStyle w:val="BodyText"/>
        <w:spacing w:before="101"/>
        <w:rPr>
          <w:sz w:val="20"/>
        </w:rPr>
      </w:pPr>
      <w:r>
        <w:rPr/>
        <mc:AlternateContent>
          <mc:Choice Requires="wps">
            <w:drawing>
              <wp:anchor distT="0" distB="0" distL="0" distR="0" allowOverlap="1" layoutInCell="1" locked="0" behindDoc="1" simplePos="0" relativeHeight="487654912">
                <wp:simplePos x="0" y="0"/>
                <wp:positionH relativeFrom="page">
                  <wp:posOffset>1185672</wp:posOffset>
                </wp:positionH>
                <wp:positionV relativeFrom="paragraph">
                  <wp:posOffset>232741</wp:posOffset>
                </wp:positionV>
                <wp:extent cx="1719580" cy="3175"/>
                <wp:effectExtent l="0" t="0" r="0" b="0"/>
                <wp:wrapTopAndBottom/>
                <wp:docPr id="154" name="Graphic 154"/>
                <wp:cNvGraphicFramePr>
                  <a:graphicFrameLocks/>
                </wp:cNvGraphicFramePr>
                <a:graphic>
                  <a:graphicData uri="http://schemas.microsoft.com/office/word/2010/wordprocessingShape">
                    <wps:wsp>
                      <wps:cNvPr id="154" name="Graphic 154"/>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8.326094pt;width:135.360pt;height:.24pt;mso-position-horizontal-relative:page;mso-position-vertical-relative:paragraph;z-index:-15661568;mso-wrap-distance-left:0;mso-wrap-distance-right:0" id="docshape154" filled="true" fillcolor="#000000" stroked="false">
                <v:fill type="solid"/>
                <w10:wrap type="topAndBottom"/>
              </v:rect>
            </w:pict>
          </mc:Fallback>
        </mc:AlternateContent>
      </w:r>
    </w:p>
    <w:p>
      <w:pPr>
        <w:spacing w:line="217" w:lineRule="exact" w:before="96"/>
        <w:ind w:left="187" w:right="0" w:firstLine="0"/>
        <w:jc w:val="left"/>
        <w:rPr>
          <w:rFonts w:ascii="Times New Roman"/>
          <w:i/>
          <w:sz w:val="19"/>
        </w:rPr>
      </w:pPr>
      <w:r>
        <w:rPr>
          <w:rFonts w:ascii="Times New Roman"/>
          <w:sz w:val="19"/>
          <w:vertAlign w:val="superscript"/>
        </w:rPr>
        <w:t>11</w:t>
      </w:r>
      <w:r>
        <w:rPr>
          <w:rFonts w:ascii="Times New Roman"/>
          <w:spacing w:val="-4"/>
          <w:sz w:val="19"/>
          <w:vertAlign w:val="baseline"/>
        </w:rPr>
        <w:t> </w:t>
      </w:r>
      <w:r>
        <w:rPr>
          <w:rFonts w:ascii="Times New Roman"/>
          <w:sz w:val="19"/>
          <w:vertAlign w:val="baseline"/>
        </w:rPr>
        <w:t>Sections</w:t>
      </w:r>
      <w:r>
        <w:rPr>
          <w:rFonts w:ascii="Times New Roman"/>
          <w:spacing w:val="-5"/>
          <w:sz w:val="19"/>
          <w:vertAlign w:val="baseline"/>
        </w:rPr>
        <w:t> </w:t>
      </w:r>
      <w:r>
        <w:rPr>
          <w:rFonts w:ascii="Times New Roman"/>
          <w:sz w:val="19"/>
          <w:vertAlign w:val="baseline"/>
        </w:rPr>
        <w:t>16</w:t>
      </w:r>
      <w:r>
        <w:rPr>
          <w:rFonts w:ascii="Times New Roman"/>
          <w:spacing w:val="-10"/>
          <w:sz w:val="19"/>
          <w:vertAlign w:val="baseline"/>
        </w:rPr>
        <w:t> </w:t>
      </w:r>
      <w:r>
        <w:rPr>
          <w:rFonts w:ascii="Times New Roman"/>
          <w:sz w:val="19"/>
          <w:vertAlign w:val="baseline"/>
        </w:rPr>
        <w:t>and</w:t>
      </w:r>
      <w:r>
        <w:rPr>
          <w:rFonts w:ascii="Times New Roman"/>
          <w:spacing w:val="-10"/>
          <w:sz w:val="19"/>
          <w:vertAlign w:val="baseline"/>
        </w:rPr>
        <w:t> </w:t>
      </w:r>
      <w:r>
        <w:rPr>
          <w:rFonts w:ascii="Times New Roman"/>
          <w:sz w:val="19"/>
          <w:vertAlign w:val="baseline"/>
        </w:rPr>
        <w:t>26(1)(8)(9)</w:t>
      </w:r>
      <w:r>
        <w:rPr>
          <w:rFonts w:ascii="Times New Roman"/>
          <w:spacing w:val="-12"/>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12</w:t>
      </w:r>
      <w:r>
        <w:rPr>
          <w:rFonts w:ascii="Times New Roman"/>
          <w:sz w:val="19"/>
          <w:vertAlign w:val="baseline"/>
        </w:rPr>
        <w:t> See</w:t>
      </w:r>
      <w:r>
        <w:rPr>
          <w:rFonts w:ascii="Times New Roman"/>
          <w:spacing w:val="-2"/>
          <w:sz w:val="19"/>
          <w:vertAlign w:val="baseline"/>
        </w:rPr>
        <w:t> </w:t>
      </w:r>
      <w:r>
        <w:rPr>
          <w:rFonts w:ascii="Times New Roman"/>
          <w:sz w:val="19"/>
          <w:vertAlign w:val="baseline"/>
        </w:rPr>
        <w:t>Sections</w:t>
      </w:r>
      <w:r>
        <w:rPr>
          <w:rFonts w:ascii="Times New Roman"/>
          <w:spacing w:val="-7"/>
          <w:sz w:val="19"/>
          <w:vertAlign w:val="baseline"/>
        </w:rPr>
        <w:t> </w:t>
      </w:r>
      <w:r>
        <w:rPr>
          <w:rFonts w:ascii="Times New Roman"/>
          <w:sz w:val="19"/>
          <w:vertAlign w:val="baseline"/>
        </w:rPr>
        <w:t>1</w:t>
      </w:r>
      <w:r>
        <w:rPr>
          <w:rFonts w:ascii="Times New Roman"/>
          <w:spacing w:val="-4"/>
          <w:sz w:val="19"/>
          <w:vertAlign w:val="baseline"/>
        </w:rPr>
        <w:t> </w:t>
      </w:r>
      <w:r>
        <w:rPr>
          <w:rFonts w:ascii="Times New Roman"/>
          <w:sz w:val="19"/>
          <w:vertAlign w:val="baseline"/>
        </w:rPr>
        <w:t>and</w:t>
      </w:r>
      <w:r>
        <w:rPr>
          <w:rFonts w:ascii="Times New Roman"/>
          <w:spacing w:val="-7"/>
          <w:sz w:val="19"/>
          <w:vertAlign w:val="baseline"/>
        </w:rPr>
        <w:t> </w:t>
      </w:r>
      <w:r>
        <w:rPr>
          <w:rFonts w:ascii="Times New Roman"/>
          <w:sz w:val="19"/>
          <w:vertAlign w:val="baseline"/>
        </w:rPr>
        <w:t>3</w:t>
      </w:r>
      <w:r>
        <w:rPr>
          <w:rFonts w:ascii="Times New Roman"/>
          <w:spacing w:val="-8"/>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13</w:t>
      </w:r>
      <w:r>
        <w:rPr>
          <w:rFonts w:ascii="Times New Roman"/>
          <w:spacing w:val="1"/>
          <w:sz w:val="19"/>
          <w:vertAlign w:val="baseline"/>
        </w:rPr>
        <w:t> </w:t>
      </w:r>
      <w:r>
        <w:rPr>
          <w:rFonts w:ascii="Times New Roman"/>
          <w:sz w:val="19"/>
          <w:vertAlign w:val="baseline"/>
        </w:rPr>
        <w:t>Sections</w:t>
      </w:r>
      <w:r>
        <w:rPr>
          <w:rFonts w:ascii="Times New Roman"/>
          <w:spacing w:val="-2"/>
          <w:sz w:val="19"/>
          <w:vertAlign w:val="baseline"/>
        </w:rPr>
        <w:t> </w:t>
      </w:r>
      <w:r>
        <w:rPr>
          <w:rFonts w:ascii="Times New Roman"/>
          <w:sz w:val="19"/>
          <w:vertAlign w:val="baseline"/>
        </w:rPr>
        <w:t>31</w:t>
      </w:r>
      <w:r>
        <w:rPr>
          <w:rFonts w:ascii="Times New Roman"/>
          <w:spacing w:val="-7"/>
          <w:sz w:val="19"/>
          <w:vertAlign w:val="baseline"/>
        </w:rPr>
        <w:t> </w:t>
      </w:r>
      <w:r>
        <w:rPr>
          <w:rFonts w:ascii="Times New Roman"/>
          <w:sz w:val="19"/>
          <w:vertAlign w:val="baseline"/>
        </w:rPr>
        <w:t>&amp;</w:t>
      </w:r>
      <w:r>
        <w:rPr>
          <w:rFonts w:ascii="Times New Roman"/>
          <w:spacing w:val="-3"/>
          <w:sz w:val="19"/>
          <w:vertAlign w:val="baseline"/>
        </w:rPr>
        <w:t> </w:t>
      </w:r>
      <w:r>
        <w:rPr>
          <w:rFonts w:ascii="Times New Roman"/>
          <w:sz w:val="19"/>
          <w:vertAlign w:val="baseline"/>
        </w:rPr>
        <w:t>33</w:t>
      </w:r>
      <w:r>
        <w:rPr>
          <w:rFonts w:ascii="Times New Roman"/>
          <w:spacing w:val="-7"/>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14</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14</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70"/>
        <w:jc w:val="both"/>
      </w:pPr>
      <w:r>
        <w:rPr/>
        <w:t>The Act prohibits waiver of the benefits or rights of employees or dependants to compensation through any agreement made between the employer and employee. Agreements that are made with the aim to waive the</w:t>
      </w:r>
      <w:r>
        <w:rPr>
          <w:spacing w:val="40"/>
        </w:rPr>
        <w:t> </w:t>
      </w:r>
      <w:r>
        <w:rPr/>
        <w:t>employees’</w:t>
      </w:r>
      <w:r>
        <w:rPr>
          <w:spacing w:val="40"/>
        </w:rPr>
        <w:t> </w:t>
      </w:r>
      <w:r>
        <w:rPr/>
        <w:t>right</w:t>
      </w:r>
      <w:r>
        <w:rPr>
          <w:spacing w:val="40"/>
        </w:rPr>
        <w:t> </w:t>
      </w:r>
      <w:r>
        <w:rPr/>
        <w:t>to</w:t>
      </w:r>
      <w:r>
        <w:rPr>
          <w:spacing w:val="40"/>
        </w:rPr>
        <w:t> </w:t>
      </w:r>
      <w:r>
        <w:rPr/>
        <w:t>compensation</w:t>
      </w:r>
      <w:r>
        <w:rPr>
          <w:spacing w:val="40"/>
        </w:rPr>
        <w:t> </w:t>
      </w:r>
      <w:r>
        <w:rPr/>
        <w:t>are</w:t>
      </w:r>
      <w:r>
        <w:rPr>
          <w:spacing w:val="40"/>
        </w:rPr>
        <w:t> </w:t>
      </w:r>
      <w:r>
        <w:rPr/>
        <w:t>rendered</w:t>
      </w:r>
      <w:r>
        <w:rPr>
          <w:spacing w:val="40"/>
        </w:rPr>
        <w:t> </w:t>
      </w:r>
      <w:r>
        <w:rPr/>
        <w:t>void</w:t>
      </w:r>
      <w:r>
        <w:rPr>
          <w:spacing w:val="40"/>
        </w:rPr>
        <w:t> </w:t>
      </w:r>
      <w:r>
        <w:rPr/>
        <w:t>and </w:t>
      </w:r>
      <w:r>
        <w:rPr>
          <w:spacing w:val="-2"/>
        </w:rPr>
        <w:t>unenforceable.</w:t>
      </w:r>
    </w:p>
    <w:p>
      <w:pPr>
        <w:pStyle w:val="BodyText"/>
        <w:spacing w:before="10"/>
      </w:pPr>
    </w:p>
    <w:p>
      <w:pPr>
        <w:pStyle w:val="BodyText"/>
        <w:spacing w:line="489" w:lineRule="auto"/>
        <w:ind w:left="864" w:right="563"/>
        <w:jc w:val="both"/>
      </w:pPr>
      <w:r>
        <w:rPr/>
        <w:t>The Employees’ Compensation scheme now recognises new categories of workplace injuries such as mental stress resulting from exceptional circumstances in the course of employment.</w:t>
      </w:r>
      <w:r>
        <w:rPr>
          <w:vertAlign w:val="superscript"/>
        </w:rPr>
        <w:t>15</w:t>
      </w:r>
      <w:r>
        <w:rPr>
          <w:vertAlign w:val="baseline"/>
        </w:rPr>
        <w:t> This is only if the mental stress is an acute reaction to a sudden and unexpected traumatic event arising out of or in the course of the employees’ employment or diagnosed by an accredited medical practitioner as a mental or physical condition amounting to mental stress arising out of the nature of work or the occurrence of any event in the course of the employees’ employment.</w:t>
      </w:r>
      <w:r>
        <w:rPr>
          <w:vertAlign w:val="superscript"/>
        </w:rPr>
        <w:t>16</w:t>
      </w:r>
      <w:r>
        <w:rPr>
          <w:vertAlign w:val="baseline"/>
        </w:rPr>
        <w:t> Where the mental stress is caused as a result of the decision of the</w:t>
      </w:r>
      <w:r>
        <w:rPr>
          <w:spacing w:val="40"/>
          <w:vertAlign w:val="baseline"/>
        </w:rPr>
        <w:t> </w:t>
      </w:r>
      <w:r>
        <w:rPr>
          <w:vertAlign w:val="baseline"/>
        </w:rPr>
        <w:t>employer</w:t>
      </w:r>
      <w:r>
        <w:rPr>
          <w:spacing w:val="33"/>
          <w:vertAlign w:val="baseline"/>
        </w:rPr>
        <w:t> </w:t>
      </w:r>
      <w:r>
        <w:rPr>
          <w:vertAlign w:val="baseline"/>
        </w:rPr>
        <w:t>to</w:t>
      </w:r>
      <w:r>
        <w:rPr>
          <w:spacing w:val="33"/>
          <w:vertAlign w:val="baseline"/>
        </w:rPr>
        <w:t> </w:t>
      </w:r>
      <w:r>
        <w:rPr>
          <w:vertAlign w:val="baseline"/>
        </w:rPr>
        <w:t>change</w:t>
      </w:r>
      <w:r>
        <w:rPr>
          <w:spacing w:val="32"/>
          <w:vertAlign w:val="baseline"/>
        </w:rPr>
        <w:t> </w:t>
      </w:r>
      <w:r>
        <w:rPr>
          <w:vertAlign w:val="baseline"/>
        </w:rPr>
        <w:t>the</w:t>
      </w:r>
      <w:r>
        <w:rPr>
          <w:spacing w:val="26"/>
          <w:vertAlign w:val="baseline"/>
        </w:rPr>
        <w:t> </w:t>
      </w:r>
      <w:r>
        <w:rPr>
          <w:vertAlign w:val="baseline"/>
        </w:rPr>
        <w:t>work,</w:t>
      </w:r>
      <w:r>
        <w:rPr>
          <w:spacing w:val="26"/>
          <w:vertAlign w:val="baseline"/>
        </w:rPr>
        <w:t> </w:t>
      </w:r>
      <w:r>
        <w:rPr>
          <w:vertAlign w:val="baseline"/>
        </w:rPr>
        <w:t>the</w:t>
      </w:r>
      <w:r>
        <w:rPr>
          <w:spacing w:val="27"/>
          <w:vertAlign w:val="baseline"/>
        </w:rPr>
        <w:t> </w:t>
      </w:r>
      <w:r>
        <w:rPr>
          <w:vertAlign w:val="baseline"/>
        </w:rPr>
        <w:t>working</w:t>
      </w:r>
      <w:r>
        <w:rPr>
          <w:spacing w:val="35"/>
          <w:vertAlign w:val="baseline"/>
        </w:rPr>
        <w:t> </w:t>
      </w:r>
      <w:r>
        <w:rPr>
          <w:vertAlign w:val="baseline"/>
        </w:rPr>
        <w:t>condition</w:t>
      </w:r>
      <w:r>
        <w:rPr>
          <w:spacing w:val="29"/>
          <w:vertAlign w:val="baseline"/>
        </w:rPr>
        <w:t> </w:t>
      </w:r>
      <w:r>
        <w:rPr>
          <w:vertAlign w:val="baseline"/>
        </w:rPr>
        <w:t>of</w:t>
      </w:r>
      <w:r>
        <w:rPr>
          <w:spacing w:val="33"/>
          <w:vertAlign w:val="baseline"/>
        </w:rPr>
        <w:t> </w:t>
      </w:r>
      <w:r>
        <w:rPr>
          <w:vertAlign w:val="baseline"/>
        </w:rPr>
        <w:t>work</w:t>
      </w:r>
      <w:r>
        <w:rPr>
          <w:spacing w:val="34"/>
          <w:vertAlign w:val="baseline"/>
        </w:rPr>
        <w:t> </w:t>
      </w:r>
      <w:r>
        <w:rPr>
          <w:vertAlign w:val="baseline"/>
        </w:rPr>
        <w:t>organisation in such a way as to unfairly exceed the work ability and capacity of the employee thereby leading to mental stress, such situation shall be liable to compensation to the degree as may be determined under any regulation made by the Board. </w:t>
      </w:r>
      <w:r>
        <w:rPr>
          <w:vertAlign w:val="superscript"/>
        </w:rPr>
        <w:t>17</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5"/>
        <w:rPr>
          <w:sz w:val="20"/>
        </w:rPr>
      </w:pPr>
      <w:r>
        <w:rPr/>
        <mc:AlternateContent>
          <mc:Choice Requires="wps">
            <w:drawing>
              <wp:anchor distT="0" distB="0" distL="0" distR="0" allowOverlap="1" layoutInCell="1" locked="0" behindDoc="1" simplePos="0" relativeHeight="487655424">
                <wp:simplePos x="0" y="0"/>
                <wp:positionH relativeFrom="page">
                  <wp:posOffset>1185672</wp:posOffset>
                </wp:positionH>
                <wp:positionV relativeFrom="paragraph">
                  <wp:posOffset>216608</wp:posOffset>
                </wp:positionV>
                <wp:extent cx="1719580" cy="6350"/>
                <wp:effectExtent l="0" t="0" r="0" b="0"/>
                <wp:wrapTopAndBottom/>
                <wp:docPr id="155" name="Graphic 155"/>
                <wp:cNvGraphicFramePr>
                  <a:graphicFrameLocks/>
                </wp:cNvGraphicFramePr>
                <a:graphic>
                  <a:graphicData uri="http://schemas.microsoft.com/office/word/2010/wordprocessingShape">
                    <wps:wsp>
                      <wps:cNvPr id="155" name="Graphic 155"/>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7.055780pt;width:135.360pt;height:.48pt;mso-position-horizontal-relative:page;mso-position-vertical-relative:paragraph;z-index:-15661056;mso-wrap-distance-left:0;mso-wrap-distance-right:0" id="docshape155"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15</w:t>
      </w:r>
      <w:r>
        <w:rPr>
          <w:rFonts w:ascii="Times New Roman"/>
          <w:sz w:val="19"/>
          <w:vertAlign w:val="baseline"/>
        </w:rPr>
        <w:t> Section</w:t>
      </w:r>
      <w:r>
        <w:rPr>
          <w:rFonts w:ascii="Times New Roman"/>
          <w:spacing w:val="1"/>
          <w:sz w:val="19"/>
          <w:vertAlign w:val="baseline"/>
        </w:rPr>
        <w:t> </w:t>
      </w:r>
      <w:r>
        <w:rPr>
          <w:rFonts w:ascii="Times New Roman"/>
          <w:sz w:val="19"/>
          <w:vertAlign w:val="baseline"/>
        </w:rPr>
        <w:t>8</w:t>
      </w:r>
      <w:r>
        <w:rPr>
          <w:rFonts w:ascii="Times New Roman"/>
          <w:spacing w:val="-7"/>
          <w:sz w:val="19"/>
          <w:vertAlign w:val="baseline"/>
        </w:rPr>
        <w:t> </w:t>
      </w:r>
      <w:r>
        <w:rPr>
          <w:rFonts w:ascii="Times New Roman"/>
          <w:i/>
          <w:spacing w:val="-4"/>
          <w:sz w:val="19"/>
          <w:vertAlign w:val="baseline"/>
        </w:rPr>
        <w:t>ibid</w:t>
      </w:r>
    </w:p>
    <w:p>
      <w:pPr>
        <w:spacing w:line="216" w:lineRule="exact" w:before="0"/>
        <w:ind w:left="187" w:right="0" w:firstLine="0"/>
        <w:jc w:val="left"/>
        <w:rPr>
          <w:rFonts w:ascii="Times New Roman"/>
          <w:i/>
          <w:sz w:val="19"/>
        </w:rPr>
      </w:pPr>
      <w:r>
        <w:rPr>
          <w:rFonts w:ascii="Times New Roman"/>
          <w:sz w:val="19"/>
          <w:vertAlign w:val="superscript"/>
        </w:rPr>
        <w:t>16</w:t>
      </w:r>
      <w:r>
        <w:rPr>
          <w:rFonts w:ascii="Times New Roman"/>
          <w:spacing w:val="9"/>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17</w:t>
      </w:r>
      <w:r>
        <w:rPr>
          <w:rFonts w:ascii="Times New Roman"/>
          <w:spacing w:val="9"/>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94"/>
        <w:ind w:left="864" w:right="566"/>
        <w:jc w:val="both"/>
      </w:pPr>
      <w:r>
        <w:rPr/>
        <w:t>Payment of compensation under the Act does not affect the employees’ retirement benefits payable under the Pension Reform Act.</w:t>
      </w:r>
      <w:r>
        <w:rPr>
          <w:vertAlign w:val="superscript"/>
        </w:rPr>
        <w:t>18</w:t>
      </w:r>
      <w:r>
        <w:rPr>
          <w:vertAlign w:val="baseline"/>
        </w:rPr>
        <w:t> The scheme has the effect of easing the burden on employers who will not be required</w:t>
      </w:r>
      <w:r>
        <w:rPr>
          <w:spacing w:val="40"/>
          <w:vertAlign w:val="baseline"/>
        </w:rPr>
        <w:t> </w:t>
      </w:r>
      <w:r>
        <w:rPr>
          <w:vertAlign w:val="baseline"/>
        </w:rPr>
        <w:t>to contribute further to the welfare of an injured employee in the event of</w:t>
      </w:r>
      <w:r>
        <w:rPr>
          <w:spacing w:val="40"/>
          <w:vertAlign w:val="baseline"/>
        </w:rPr>
        <w:t> </w:t>
      </w:r>
      <w:r>
        <w:rPr>
          <w:vertAlign w:val="baseline"/>
        </w:rPr>
        <w:t>an accident or injury, no matter the amount of liability involved.</w:t>
      </w:r>
    </w:p>
    <w:p>
      <w:pPr>
        <w:pStyle w:val="BodyText"/>
        <w:spacing w:before="10"/>
      </w:pPr>
    </w:p>
    <w:p>
      <w:pPr>
        <w:pStyle w:val="BodyText"/>
        <w:spacing w:line="489" w:lineRule="auto"/>
        <w:ind w:left="864" w:right="564" w:firstLine="72"/>
        <w:jc w:val="both"/>
      </w:pPr>
      <w:r>
        <w:rPr/>
        <w:t>As a general rule, an employee or his dependant is entitled to apply to the Board for</w:t>
      </w:r>
      <w:r>
        <w:rPr>
          <w:spacing w:val="40"/>
        </w:rPr>
        <w:t> </w:t>
      </w:r>
      <w:r>
        <w:rPr/>
        <w:t>compensation</w:t>
      </w:r>
      <w:r>
        <w:rPr>
          <w:spacing w:val="40"/>
        </w:rPr>
        <w:t> </w:t>
      </w:r>
      <w:r>
        <w:rPr/>
        <w:t>within</w:t>
      </w:r>
      <w:r>
        <w:rPr>
          <w:spacing w:val="40"/>
        </w:rPr>
        <w:t> </w:t>
      </w:r>
      <w:r>
        <w:rPr/>
        <w:t>one</w:t>
      </w:r>
      <w:r>
        <w:rPr>
          <w:spacing w:val="40"/>
        </w:rPr>
        <w:t> </w:t>
      </w:r>
      <w:r>
        <w:rPr/>
        <w:t>year</w:t>
      </w:r>
      <w:r>
        <w:rPr>
          <w:spacing w:val="40"/>
        </w:rPr>
        <w:t> </w:t>
      </w:r>
      <w:r>
        <w:rPr/>
        <w:t>after</w:t>
      </w:r>
      <w:r>
        <w:rPr>
          <w:spacing w:val="40"/>
        </w:rPr>
        <w:t> </w:t>
      </w:r>
      <w:r>
        <w:rPr/>
        <w:t>the date</w:t>
      </w:r>
      <w:r>
        <w:rPr>
          <w:spacing w:val="40"/>
        </w:rPr>
        <w:t> </w:t>
      </w:r>
      <w:r>
        <w:rPr/>
        <w:t>of</w:t>
      </w:r>
      <w:r>
        <w:rPr>
          <w:spacing w:val="40"/>
        </w:rPr>
        <w:t> </w:t>
      </w:r>
      <w:r>
        <w:rPr/>
        <w:t>the death</w:t>
      </w:r>
      <w:r>
        <w:rPr>
          <w:spacing w:val="40"/>
        </w:rPr>
        <w:t> </w:t>
      </w:r>
      <w:r>
        <w:rPr/>
        <w:t>or injury or disease or disability arising from a occupational accident or</w:t>
      </w:r>
      <w:r>
        <w:rPr>
          <w:spacing w:val="80"/>
        </w:rPr>
        <w:t> </w:t>
      </w:r>
      <w:r>
        <w:rPr/>
        <w:t>disease.</w:t>
      </w:r>
      <w:r>
        <w:rPr>
          <w:spacing w:val="40"/>
        </w:rPr>
        <w:t> </w:t>
      </w:r>
      <w:r>
        <w:rPr/>
        <w:t>Where</w:t>
      </w:r>
      <w:r>
        <w:rPr>
          <w:spacing w:val="40"/>
        </w:rPr>
        <w:t> </w:t>
      </w:r>
      <w:r>
        <w:rPr/>
        <w:t>special</w:t>
      </w:r>
      <w:r>
        <w:rPr>
          <w:spacing w:val="40"/>
        </w:rPr>
        <w:t> </w:t>
      </w:r>
      <w:r>
        <w:rPr/>
        <w:t>circumstances</w:t>
      </w:r>
      <w:r>
        <w:rPr>
          <w:spacing w:val="40"/>
        </w:rPr>
        <w:t> </w:t>
      </w:r>
      <w:r>
        <w:rPr/>
        <w:t>exist,</w:t>
      </w:r>
      <w:r>
        <w:rPr>
          <w:spacing w:val="40"/>
        </w:rPr>
        <w:t> </w:t>
      </w:r>
      <w:r>
        <w:rPr/>
        <w:t>an</w:t>
      </w:r>
      <w:r>
        <w:rPr>
          <w:spacing w:val="40"/>
        </w:rPr>
        <w:t> </w:t>
      </w:r>
      <w:r>
        <w:rPr/>
        <w:t>application</w:t>
      </w:r>
      <w:r>
        <w:rPr>
          <w:spacing w:val="40"/>
        </w:rPr>
        <w:t> </w:t>
      </w:r>
      <w:r>
        <w:rPr/>
        <w:t>for compensation may be made within three years of the occurrence of the accident or injury, or injury, or disease for which a claim is being made.</w:t>
      </w:r>
      <w:r>
        <w:rPr>
          <w:vertAlign w:val="superscript"/>
        </w:rPr>
        <w:t>19</w:t>
      </w:r>
      <w:r>
        <w:rPr>
          <w:vertAlign w:val="baseline"/>
        </w:rPr>
        <w:t> Anybody</w:t>
      </w:r>
      <w:r>
        <w:rPr>
          <w:spacing w:val="40"/>
          <w:vertAlign w:val="baseline"/>
        </w:rPr>
        <w:t> </w:t>
      </w:r>
      <w:r>
        <w:rPr>
          <w:vertAlign w:val="baseline"/>
        </w:rPr>
        <w:t>that</w:t>
      </w:r>
      <w:r>
        <w:rPr>
          <w:spacing w:val="40"/>
          <w:vertAlign w:val="baseline"/>
        </w:rPr>
        <w:t> </w:t>
      </w:r>
      <w:r>
        <w:rPr>
          <w:vertAlign w:val="baseline"/>
        </w:rPr>
        <w:t>is</w:t>
      </w:r>
      <w:r>
        <w:rPr>
          <w:spacing w:val="40"/>
          <w:vertAlign w:val="baseline"/>
        </w:rPr>
        <w:t> </w:t>
      </w:r>
      <w:r>
        <w:rPr>
          <w:vertAlign w:val="baseline"/>
        </w:rPr>
        <w:t>dissatisfied</w:t>
      </w:r>
      <w:r>
        <w:rPr>
          <w:spacing w:val="40"/>
          <w:vertAlign w:val="baseline"/>
        </w:rPr>
        <w:t> </w:t>
      </w:r>
      <w:r>
        <w:rPr>
          <w:vertAlign w:val="baseline"/>
        </w:rPr>
        <w:t>with</w:t>
      </w:r>
      <w:r>
        <w:rPr>
          <w:spacing w:val="40"/>
          <w:vertAlign w:val="baseline"/>
        </w:rPr>
        <w:t> </w:t>
      </w:r>
      <w:r>
        <w:rPr>
          <w:vertAlign w:val="baseline"/>
        </w:rPr>
        <w:t>the</w:t>
      </w:r>
      <w:r>
        <w:rPr>
          <w:spacing w:val="40"/>
          <w:vertAlign w:val="baseline"/>
        </w:rPr>
        <w:t> </w:t>
      </w:r>
      <w:r>
        <w:rPr>
          <w:vertAlign w:val="baseline"/>
        </w:rPr>
        <w:t>decision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on compensation may appeal to the Board for a review of such decision and it</w:t>
      </w:r>
      <w:r>
        <w:rPr>
          <w:spacing w:val="40"/>
          <w:vertAlign w:val="baseline"/>
        </w:rPr>
        <w:t> </w:t>
      </w:r>
      <w:r>
        <w:rPr>
          <w:vertAlign w:val="baseline"/>
        </w:rPr>
        <w:t>is only upon further dissatisfaction with the review that one can approach the National Industrial Court. </w:t>
      </w:r>
      <w:r>
        <w:rPr>
          <w:vertAlign w:val="superscript"/>
        </w:rPr>
        <w:t>20</w:t>
      </w:r>
      <w:r>
        <w:rPr>
          <w:vertAlign w:val="baseline"/>
        </w:rPr>
        <w:t> Where anybody is dissatisfied with the first decision of the Board, he/she must appeal to the same Board for a review within 180 days otherwise, the person shall lose his or her right to appeal the decision.</w:t>
      </w:r>
      <w:r>
        <w:rPr>
          <w:vertAlign w:val="superscript"/>
        </w:rPr>
        <w:t>21</w:t>
      </w:r>
      <w:r>
        <w:rPr>
          <w:vertAlign w:val="baseline"/>
        </w:rPr>
        <w:t> Except appeals on questions of fundamental rights as contained</w:t>
      </w:r>
      <w:r>
        <w:rPr>
          <w:spacing w:val="40"/>
          <w:vertAlign w:val="baseline"/>
        </w:rPr>
        <w:t> </w:t>
      </w:r>
      <w:r>
        <w:rPr>
          <w:vertAlign w:val="baseline"/>
        </w:rPr>
        <w:t>in</w:t>
      </w:r>
      <w:r>
        <w:rPr>
          <w:spacing w:val="40"/>
          <w:vertAlign w:val="baseline"/>
        </w:rPr>
        <w:t> </w:t>
      </w:r>
      <w:r>
        <w:rPr>
          <w:vertAlign w:val="baseline"/>
        </w:rPr>
        <w:t>chapter</w:t>
      </w:r>
      <w:r>
        <w:rPr>
          <w:spacing w:val="40"/>
          <w:vertAlign w:val="baseline"/>
        </w:rPr>
        <w:t> </w:t>
      </w:r>
      <w:r>
        <w:rPr>
          <w:vertAlign w:val="baseline"/>
        </w:rPr>
        <w:t>iv</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Constitution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Federal</w:t>
      </w:r>
      <w:r>
        <w:rPr>
          <w:spacing w:val="40"/>
          <w:vertAlign w:val="baseline"/>
        </w:rPr>
        <w:t> </w:t>
      </w:r>
      <w:r>
        <w:rPr>
          <w:vertAlign w:val="baseline"/>
        </w:rPr>
        <w:t>Republic</w:t>
      </w:r>
      <w:r>
        <w:rPr>
          <w:spacing w:val="40"/>
          <w:vertAlign w:val="baseline"/>
        </w:rPr>
        <w:t> </w:t>
      </w:r>
      <w:r>
        <w:rPr>
          <w:vertAlign w:val="baseline"/>
        </w:rPr>
        <w:t>of Nigeria</w:t>
      </w:r>
      <w:r>
        <w:rPr>
          <w:spacing w:val="40"/>
          <w:vertAlign w:val="baseline"/>
        </w:rPr>
        <w:t> </w:t>
      </w:r>
      <w:r>
        <w:rPr>
          <w:vertAlign w:val="baseline"/>
        </w:rPr>
        <w:t>as</w:t>
      </w:r>
      <w:r>
        <w:rPr>
          <w:spacing w:val="39"/>
          <w:vertAlign w:val="baseline"/>
        </w:rPr>
        <w:t> </w:t>
      </w:r>
      <w:r>
        <w:rPr>
          <w:vertAlign w:val="baseline"/>
        </w:rPr>
        <w:t>it</w:t>
      </w:r>
      <w:r>
        <w:rPr>
          <w:spacing w:val="36"/>
          <w:vertAlign w:val="baseline"/>
        </w:rPr>
        <w:t> </w:t>
      </w:r>
      <w:r>
        <w:rPr>
          <w:vertAlign w:val="baseline"/>
        </w:rPr>
        <w:t>relates</w:t>
      </w:r>
      <w:r>
        <w:rPr>
          <w:spacing w:val="43"/>
          <w:vertAlign w:val="baseline"/>
        </w:rPr>
        <w:t> </w:t>
      </w:r>
      <w:r>
        <w:rPr>
          <w:vertAlign w:val="baseline"/>
        </w:rPr>
        <w:t>to</w:t>
      </w:r>
      <w:r>
        <w:rPr>
          <w:spacing w:val="36"/>
          <w:vertAlign w:val="baseline"/>
        </w:rPr>
        <w:t> </w:t>
      </w:r>
      <w:r>
        <w:rPr>
          <w:vertAlign w:val="baseline"/>
        </w:rPr>
        <w:t>matters</w:t>
      </w:r>
      <w:r>
        <w:rPr>
          <w:spacing w:val="43"/>
          <w:vertAlign w:val="baseline"/>
        </w:rPr>
        <w:t> </w:t>
      </w:r>
      <w:r>
        <w:rPr>
          <w:vertAlign w:val="baseline"/>
        </w:rPr>
        <w:t>upon</w:t>
      </w:r>
      <w:r>
        <w:rPr>
          <w:spacing w:val="41"/>
          <w:vertAlign w:val="baseline"/>
        </w:rPr>
        <w:t> </w:t>
      </w:r>
      <w:r>
        <w:rPr>
          <w:vertAlign w:val="baseline"/>
        </w:rPr>
        <w:t>which</w:t>
      </w:r>
      <w:r>
        <w:rPr>
          <w:spacing w:val="41"/>
          <w:vertAlign w:val="baseline"/>
        </w:rPr>
        <w:t> </w:t>
      </w:r>
      <w:r>
        <w:rPr>
          <w:vertAlign w:val="baseline"/>
        </w:rPr>
        <w:t>the</w:t>
      </w:r>
      <w:r>
        <w:rPr>
          <w:spacing w:val="40"/>
          <w:vertAlign w:val="baseline"/>
        </w:rPr>
        <w:t> </w:t>
      </w:r>
      <w:r>
        <w:rPr>
          <w:vertAlign w:val="baseline"/>
        </w:rPr>
        <w:t>National</w:t>
      </w:r>
      <w:r>
        <w:rPr>
          <w:spacing w:val="42"/>
          <w:vertAlign w:val="baseline"/>
        </w:rPr>
        <w:t> </w:t>
      </w:r>
      <w:r>
        <w:rPr>
          <w:vertAlign w:val="baseline"/>
        </w:rPr>
        <w:t>Industrial</w:t>
      </w:r>
      <w:r>
        <w:rPr>
          <w:spacing w:val="41"/>
          <w:vertAlign w:val="baseline"/>
        </w:rPr>
        <w:t> </w:t>
      </w:r>
      <w:r>
        <w:rPr>
          <w:spacing w:val="-2"/>
          <w:vertAlign w:val="baseline"/>
        </w:rPr>
        <w:t>Court</w:t>
      </w:r>
    </w:p>
    <w:p>
      <w:pPr>
        <w:pStyle w:val="BodyText"/>
        <w:spacing w:before="16"/>
        <w:ind w:left="864"/>
        <w:jc w:val="both"/>
      </w:pPr>
      <w:r>
        <w:rPr/>
        <w:t>has</w:t>
      </w:r>
      <w:r>
        <w:rPr>
          <w:spacing w:val="30"/>
        </w:rPr>
        <w:t>  </w:t>
      </w:r>
      <w:r>
        <w:rPr/>
        <w:t>jurisdiction,</w:t>
      </w:r>
      <w:r>
        <w:rPr>
          <w:spacing w:val="30"/>
        </w:rPr>
        <w:t>  </w:t>
      </w:r>
      <w:r>
        <w:rPr/>
        <w:t>employees</w:t>
      </w:r>
      <w:r>
        <w:rPr>
          <w:spacing w:val="30"/>
        </w:rPr>
        <w:t>  </w:t>
      </w:r>
      <w:r>
        <w:rPr/>
        <w:t>compensation</w:t>
      </w:r>
      <w:r>
        <w:rPr>
          <w:spacing w:val="32"/>
        </w:rPr>
        <w:t>  </w:t>
      </w:r>
      <w:r>
        <w:rPr/>
        <w:t>matters</w:t>
      </w:r>
      <w:r>
        <w:rPr>
          <w:spacing w:val="30"/>
        </w:rPr>
        <w:t>  </w:t>
      </w:r>
      <w:r>
        <w:rPr/>
        <w:t>terminate</w:t>
      </w:r>
      <w:r>
        <w:rPr>
          <w:spacing w:val="33"/>
        </w:rPr>
        <w:t>  </w:t>
      </w:r>
      <w:r>
        <w:rPr/>
        <w:t>at</w:t>
      </w:r>
      <w:r>
        <w:rPr>
          <w:spacing w:val="34"/>
        </w:rPr>
        <w:t>  </w:t>
      </w:r>
      <w:r>
        <w:rPr>
          <w:spacing w:val="-5"/>
        </w:rPr>
        <w:t>the</w:t>
      </w:r>
    </w:p>
    <w:p>
      <w:pPr>
        <w:pStyle w:val="BodyText"/>
        <w:spacing w:before="1"/>
        <w:rPr>
          <w:sz w:val="17"/>
        </w:rPr>
      </w:pPr>
      <w:r>
        <w:rPr/>
        <mc:AlternateContent>
          <mc:Choice Requires="wps">
            <w:drawing>
              <wp:anchor distT="0" distB="0" distL="0" distR="0" allowOverlap="1" layoutInCell="1" locked="0" behindDoc="1" simplePos="0" relativeHeight="487655936">
                <wp:simplePos x="0" y="0"/>
                <wp:positionH relativeFrom="page">
                  <wp:posOffset>1185672</wp:posOffset>
                </wp:positionH>
                <wp:positionV relativeFrom="paragraph">
                  <wp:posOffset>146548</wp:posOffset>
                </wp:positionV>
                <wp:extent cx="1719580" cy="3175"/>
                <wp:effectExtent l="0" t="0" r="0" b="0"/>
                <wp:wrapTopAndBottom/>
                <wp:docPr id="156" name="Graphic 156"/>
                <wp:cNvGraphicFramePr>
                  <a:graphicFrameLocks/>
                </wp:cNvGraphicFramePr>
                <a:graphic>
                  <a:graphicData uri="http://schemas.microsoft.com/office/word/2010/wordprocessingShape">
                    <wps:wsp>
                      <wps:cNvPr id="156" name="Graphic 156"/>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539219pt;width:135.360pt;height:.24pt;mso-position-horizontal-relative:page;mso-position-vertical-relative:paragraph;z-index:-15660544;mso-wrap-distance-left:0;mso-wrap-distance-right:0" id="docshape156" filled="true" fillcolor="#000000" stroked="false">
                <v:fill type="solid"/>
                <w10:wrap type="topAndBottom"/>
              </v:rect>
            </w:pict>
          </mc:Fallback>
        </mc:AlternateContent>
      </w:r>
    </w:p>
    <w:p>
      <w:pPr>
        <w:spacing w:line="217" w:lineRule="exact" w:before="96"/>
        <w:ind w:left="187" w:right="0" w:firstLine="0"/>
        <w:jc w:val="left"/>
        <w:rPr>
          <w:rFonts w:ascii="Times New Roman"/>
          <w:sz w:val="19"/>
        </w:rPr>
      </w:pPr>
      <w:r>
        <w:rPr>
          <w:rFonts w:ascii="Times New Roman"/>
          <w:sz w:val="19"/>
          <w:vertAlign w:val="superscript"/>
        </w:rPr>
        <w:t>18</w:t>
      </w:r>
      <w:r>
        <w:rPr>
          <w:rFonts w:ascii="Times New Roman"/>
          <w:spacing w:val="1"/>
          <w:sz w:val="19"/>
          <w:vertAlign w:val="baseline"/>
        </w:rPr>
        <w:t> </w:t>
      </w:r>
      <w:r>
        <w:rPr>
          <w:rFonts w:ascii="Times New Roman"/>
          <w:sz w:val="19"/>
          <w:vertAlign w:val="baseline"/>
        </w:rPr>
        <w:t>No.</w:t>
      </w:r>
      <w:r>
        <w:rPr>
          <w:rFonts w:ascii="Times New Roman"/>
          <w:spacing w:val="-3"/>
          <w:sz w:val="19"/>
          <w:vertAlign w:val="baseline"/>
        </w:rPr>
        <w:t> </w:t>
      </w:r>
      <w:r>
        <w:rPr>
          <w:rFonts w:ascii="Times New Roman"/>
          <w:sz w:val="19"/>
          <w:vertAlign w:val="baseline"/>
        </w:rPr>
        <w:t>2,</w:t>
      </w:r>
      <w:r>
        <w:rPr>
          <w:rFonts w:ascii="Times New Roman"/>
          <w:spacing w:val="1"/>
          <w:sz w:val="19"/>
          <w:vertAlign w:val="baseline"/>
        </w:rPr>
        <w:t> </w:t>
      </w:r>
      <w:r>
        <w:rPr>
          <w:rFonts w:ascii="Times New Roman"/>
          <w:spacing w:val="-4"/>
          <w:sz w:val="19"/>
          <w:vertAlign w:val="baseline"/>
        </w:rPr>
        <w:t>2005</w:t>
      </w:r>
    </w:p>
    <w:p>
      <w:pPr>
        <w:spacing w:line="216" w:lineRule="exact" w:before="0"/>
        <w:ind w:left="187" w:right="0" w:firstLine="0"/>
        <w:jc w:val="left"/>
        <w:rPr>
          <w:rFonts w:ascii="Times New Roman" w:hAnsi="Times New Roman"/>
          <w:i/>
          <w:sz w:val="19"/>
        </w:rPr>
      </w:pPr>
      <w:r>
        <w:rPr>
          <w:rFonts w:ascii="Times New Roman" w:hAnsi="Times New Roman"/>
          <w:sz w:val="19"/>
          <w:vertAlign w:val="superscript"/>
        </w:rPr>
        <w:t>19</w:t>
      </w:r>
      <w:r>
        <w:rPr>
          <w:rFonts w:ascii="Times New Roman" w:hAnsi="Times New Roman"/>
          <w:spacing w:val="-6"/>
          <w:sz w:val="19"/>
          <w:vertAlign w:val="baseline"/>
        </w:rPr>
        <w:t> </w:t>
      </w:r>
      <w:r>
        <w:rPr>
          <w:rFonts w:ascii="Times New Roman" w:hAnsi="Times New Roman"/>
          <w:sz w:val="19"/>
          <w:vertAlign w:val="baseline"/>
        </w:rPr>
        <w:t>Section</w:t>
      </w:r>
      <w:r>
        <w:rPr>
          <w:rFonts w:ascii="Times New Roman" w:hAnsi="Times New Roman"/>
          <w:spacing w:val="-5"/>
          <w:sz w:val="19"/>
          <w:vertAlign w:val="baseline"/>
        </w:rPr>
        <w:t> </w:t>
      </w:r>
      <w:r>
        <w:rPr>
          <w:rFonts w:ascii="Times New Roman" w:hAnsi="Times New Roman"/>
          <w:sz w:val="19"/>
          <w:vertAlign w:val="baseline"/>
        </w:rPr>
        <w:t>6</w:t>
      </w:r>
      <w:r>
        <w:rPr>
          <w:rFonts w:ascii="Times New Roman" w:hAnsi="Times New Roman"/>
          <w:spacing w:val="-12"/>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Employees’</w:t>
      </w:r>
      <w:r>
        <w:rPr>
          <w:rFonts w:ascii="Times New Roman" w:hAnsi="Times New Roman"/>
          <w:spacing w:val="-10"/>
          <w:sz w:val="19"/>
          <w:vertAlign w:val="baseline"/>
        </w:rPr>
        <w:t> </w:t>
      </w:r>
      <w:r>
        <w:rPr>
          <w:rFonts w:ascii="Times New Roman" w:hAnsi="Times New Roman"/>
          <w:sz w:val="19"/>
          <w:vertAlign w:val="baseline"/>
        </w:rPr>
        <w:t>Compensation</w:t>
      </w:r>
      <w:r>
        <w:rPr>
          <w:rFonts w:ascii="Times New Roman" w:hAnsi="Times New Roman"/>
          <w:spacing w:val="-5"/>
          <w:sz w:val="19"/>
          <w:vertAlign w:val="baseline"/>
        </w:rPr>
        <w:t> </w:t>
      </w:r>
      <w:r>
        <w:rPr>
          <w:rFonts w:ascii="Times New Roman" w:hAnsi="Times New Roman"/>
          <w:sz w:val="19"/>
          <w:vertAlign w:val="baseline"/>
        </w:rPr>
        <w:t>Act</w:t>
      </w:r>
      <w:r>
        <w:rPr>
          <w:rFonts w:ascii="Times New Roman" w:hAnsi="Times New Roman"/>
          <w:spacing w:val="-10"/>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line="216" w:lineRule="exact" w:before="0"/>
        <w:ind w:left="187" w:right="0" w:firstLine="0"/>
        <w:jc w:val="left"/>
        <w:rPr>
          <w:rFonts w:ascii="Times New Roman"/>
          <w:sz w:val="19"/>
        </w:rPr>
      </w:pPr>
      <w:r>
        <w:rPr>
          <w:rFonts w:ascii="Times New Roman"/>
          <w:sz w:val="19"/>
          <w:vertAlign w:val="superscript"/>
        </w:rPr>
        <w:t>20</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55(1)</w:t>
      </w:r>
      <w:r>
        <w:rPr>
          <w:rFonts w:ascii="Times New Roman"/>
          <w:spacing w:val="-9"/>
          <w:sz w:val="19"/>
          <w:vertAlign w:val="baseline"/>
        </w:rPr>
        <w:t> </w:t>
      </w:r>
      <w:r>
        <w:rPr>
          <w:rFonts w:ascii="Times New Roman"/>
          <w:spacing w:val="-4"/>
          <w:sz w:val="19"/>
          <w:vertAlign w:val="baseline"/>
        </w:rPr>
        <w:t>ibid</w:t>
      </w:r>
    </w:p>
    <w:p>
      <w:pPr>
        <w:pStyle w:val="ListParagraph"/>
        <w:numPr>
          <w:ilvl w:val="0"/>
          <w:numId w:val="23"/>
        </w:numPr>
        <w:tabs>
          <w:tab w:pos="383" w:val="left" w:leader="none"/>
        </w:tabs>
        <w:spacing w:line="217" w:lineRule="exact" w:before="0" w:after="0"/>
        <w:ind w:left="383" w:right="0" w:hanging="196"/>
        <w:jc w:val="left"/>
        <w:rPr>
          <w:rFonts w:ascii="Times New Roman" w:hAnsi="Times New Roman"/>
          <w:i/>
          <w:sz w:val="19"/>
        </w:rPr>
      </w:pPr>
      <w:r>
        <w:rPr>
          <w:rFonts w:ascii="Times New Roman" w:hAnsi="Times New Roman"/>
          <w:sz w:val="19"/>
        </w:rPr>
        <w:t>Section</w:t>
      </w:r>
      <w:r>
        <w:rPr>
          <w:rFonts w:ascii="Times New Roman" w:hAnsi="Times New Roman"/>
          <w:spacing w:val="-9"/>
          <w:sz w:val="19"/>
        </w:rPr>
        <w:t> </w:t>
      </w:r>
      <w:r>
        <w:rPr>
          <w:rFonts w:ascii="Times New Roman" w:hAnsi="Times New Roman"/>
          <w:sz w:val="19"/>
        </w:rPr>
        <w:t>55</w:t>
      </w:r>
      <w:r>
        <w:rPr>
          <w:rFonts w:ascii="Times New Roman" w:hAnsi="Times New Roman"/>
          <w:spacing w:val="-12"/>
          <w:sz w:val="19"/>
        </w:rPr>
        <w:t> </w:t>
      </w:r>
      <w:r>
        <w:rPr>
          <w:rFonts w:ascii="Times New Roman" w:hAnsi="Times New Roman"/>
          <w:sz w:val="19"/>
        </w:rPr>
        <w:t>(2)(3)</w:t>
      </w:r>
      <w:r>
        <w:rPr>
          <w:rFonts w:ascii="Times New Roman" w:hAnsi="Times New Roman"/>
          <w:spacing w:val="-10"/>
          <w:sz w:val="19"/>
        </w:rPr>
        <w:t> </w:t>
      </w:r>
      <w:r>
        <w:rPr>
          <w:rFonts w:ascii="Times New Roman" w:hAnsi="Times New Roman"/>
          <w:i/>
          <w:spacing w:val="-4"/>
          <w:sz w:val="19"/>
        </w:rPr>
        <w:t>ibid</w:t>
      </w:r>
    </w:p>
    <w:p>
      <w:pPr>
        <w:spacing w:after="0" w:line="217" w:lineRule="exact"/>
        <w:jc w:val="left"/>
        <w:rPr>
          <w:rFonts w:ascii="Times New Roman" w:hAnsi="Times New Roman"/>
          <w:sz w:val="19"/>
        </w:rPr>
        <w:sectPr>
          <w:pgSz w:w="12240" w:h="15840"/>
          <w:pgMar w:header="0" w:footer="1009" w:top="1260" w:bottom="1200" w:left="1680" w:right="1320"/>
        </w:sectPr>
      </w:pPr>
    </w:p>
    <w:p>
      <w:pPr>
        <w:pStyle w:val="BodyText"/>
        <w:spacing w:line="489" w:lineRule="auto" w:before="114"/>
        <w:ind w:left="864" w:right="567"/>
        <w:jc w:val="both"/>
      </w:pPr>
      <w:r>
        <w:rPr/>
        <w:t>National Industrial Court.</w:t>
      </w:r>
      <w:r>
        <w:rPr>
          <w:vertAlign w:val="superscript"/>
        </w:rPr>
        <w:t>22</w:t>
      </w:r>
      <w:r>
        <w:rPr>
          <w:vertAlign w:val="baseline"/>
        </w:rPr>
        <w:t> Also except on criminal causes and matters arising from any cause or matter of which jurisdiction is conferred on National Industrial Court, the decision of the Court of Appeal in respect of any</w:t>
      </w:r>
      <w:r>
        <w:rPr>
          <w:spacing w:val="40"/>
          <w:vertAlign w:val="baseline"/>
        </w:rPr>
        <w:t> </w:t>
      </w:r>
      <w:r>
        <w:rPr>
          <w:vertAlign w:val="baseline"/>
        </w:rPr>
        <w:t>appeal</w:t>
      </w:r>
      <w:r>
        <w:rPr>
          <w:spacing w:val="40"/>
          <w:vertAlign w:val="baseline"/>
        </w:rPr>
        <w:t> </w:t>
      </w:r>
      <w:r>
        <w:rPr>
          <w:vertAlign w:val="baseline"/>
        </w:rPr>
        <w:t>arising</w:t>
      </w:r>
      <w:r>
        <w:rPr>
          <w:spacing w:val="40"/>
          <w:vertAlign w:val="baseline"/>
        </w:rPr>
        <w:t> </w:t>
      </w:r>
      <w:r>
        <w:rPr>
          <w:vertAlign w:val="baseline"/>
        </w:rPr>
        <w:t>from</w:t>
      </w:r>
      <w:r>
        <w:rPr>
          <w:spacing w:val="40"/>
          <w:vertAlign w:val="baseline"/>
        </w:rPr>
        <w:t> </w:t>
      </w:r>
      <w:r>
        <w:rPr>
          <w:vertAlign w:val="baseline"/>
        </w:rPr>
        <w:t>any</w:t>
      </w:r>
      <w:r>
        <w:rPr>
          <w:spacing w:val="40"/>
          <w:vertAlign w:val="baseline"/>
        </w:rPr>
        <w:t> </w:t>
      </w:r>
      <w:r>
        <w:rPr>
          <w:vertAlign w:val="baseline"/>
        </w:rPr>
        <w:t>civil</w:t>
      </w:r>
      <w:r>
        <w:rPr>
          <w:spacing w:val="40"/>
          <w:vertAlign w:val="baseline"/>
        </w:rPr>
        <w:t> </w:t>
      </w:r>
      <w:r>
        <w:rPr>
          <w:vertAlign w:val="baseline"/>
        </w:rPr>
        <w:t>jurisdiction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National</w:t>
      </w:r>
      <w:r>
        <w:rPr>
          <w:spacing w:val="40"/>
          <w:vertAlign w:val="baseline"/>
        </w:rPr>
        <w:t> </w:t>
      </w:r>
      <w:r>
        <w:rPr>
          <w:vertAlign w:val="baseline"/>
        </w:rPr>
        <w:t>Industrial Court shall be final.</w:t>
      </w:r>
    </w:p>
    <w:p>
      <w:pPr>
        <w:pStyle w:val="BodyText"/>
        <w:spacing w:before="10"/>
      </w:pPr>
    </w:p>
    <w:p>
      <w:pPr>
        <w:pStyle w:val="BodyText"/>
        <w:spacing w:line="491" w:lineRule="auto"/>
        <w:ind w:left="864" w:right="570"/>
        <w:jc w:val="both"/>
      </w:pPr>
      <w:r>
        <w:rPr/>
        <w:t>Aside</w:t>
      </w:r>
      <w:r>
        <w:rPr>
          <w:spacing w:val="40"/>
        </w:rPr>
        <w:t> </w:t>
      </w:r>
      <w:r>
        <w:rPr/>
        <w:t>the</w:t>
      </w:r>
      <w:r>
        <w:rPr>
          <w:spacing w:val="40"/>
        </w:rPr>
        <w:t> </w:t>
      </w:r>
      <w:r>
        <w:rPr/>
        <w:t>doctrinal</w:t>
      </w:r>
      <w:r>
        <w:rPr>
          <w:spacing w:val="40"/>
        </w:rPr>
        <w:t> </w:t>
      </w:r>
      <w:r>
        <w:rPr/>
        <w:t>approach</w:t>
      </w:r>
      <w:r>
        <w:rPr>
          <w:spacing w:val="40"/>
        </w:rPr>
        <w:t> </w:t>
      </w:r>
      <w:r>
        <w:rPr/>
        <w:t>adopted</w:t>
      </w:r>
      <w:r>
        <w:rPr>
          <w:spacing w:val="40"/>
        </w:rPr>
        <w:t> </w:t>
      </w:r>
      <w:r>
        <w:rPr/>
        <w:t>by</w:t>
      </w:r>
      <w:r>
        <w:rPr>
          <w:spacing w:val="40"/>
        </w:rPr>
        <w:t> </w:t>
      </w:r>
      <w:r>
        <w:rPr/>
        <w:t>this</w:t>
      </w:r>
      <w:r>
        <w:rPr>
          <w:spacing w:val="40"/>
        </w:rPr>
        <w:t> </w:t>
      </w:r>
      <w:r>
        <w:rPr/>
        <w:t>research,</w:t>
      </w:r>
      <w:r>
        <w:rPr>
          <w:spacing w:val="40"/>
        </w:rPr>
        <w:t> </w:t>
      </w:r>
      <w:r>
        <w:rPr/>
        <w:t>empirical</w:t>
      </w:r>
      <w:r>
        <w:rPr>
          <w:spacing w:val="40"/>
        </w:rPr>
        <w:t> </w:t>
      </w:r>
      <w:r>
        <w:rPr/>
        <w:t>method by way of interview was adopted in order to unravel certain facts which</w:t>
      </w:r>
      <w:r>
        <w:rPr>
          <w:spacing w:val="40"/>
        </w:rPr>
        <w:t> </w:t>
      </w:r>
      <w:r>
        <w:rPr/>
        <w:t>form part of the statement of the research problem. The revelations here</w:t>
      </w:r>
      <w:r>
        <w:rPr>
          <w:spacing w:val="40"/>
        </w:rPr>
        <w:t> </w:t>
      </w:r>
      <w:r>
        <w:rPr/>
        <w:t>are captured in chapter four and also in the findings of this research.</w:t>
      </w:r>
    </w:p>
    <w:p>
      <w:pPr>
        <w:pStyle w:val="BodyText"/>
      </w:pPr>
    </w:p>
    <w:p>
      <w:pPr>
        <w:pStyle w:val="Heading3"/>
        <w:numPr>
          <w:ilvl w:val="1"/>
          <w:numId w:val="22"/>
        </w:numPr>
        <w:tabs>
          <w:tab w:pos="863" w:val="left" w:leader="none"/>
        </w:tabs>
        <w:spacing w:line="240" w:lineRule="auto" w:before="0" w:after="0"/>
        <w:ind w:left="863" w:right="0" w:hanging="676"/>
        <w:jc w:val="left"/>
      </w:pPr>
      <w:r>
        <w:rPr>
          <w:spacing w:val="-2"/>
        </w:rPr>
        <w:t>Findings</w:t>
      </w:r>
    </w:p>
    <w:p>
      <w:pPr>
        <w:pStyle w:val="BodyText"/>
        <w:spacing w:before="11"/>
        <w:rPr>
          <w:b/>
        </w:rPr>
      </w:pPr>
    </w:p>
    <w:p>
      <w:pPr>
        <w:pStyle w:val="BodyText"/>
        <w:ind w:left="864"/>
        <w:jc w:val="both"/>
      </w:pPr>
      <w:r>
        <w:rPr/>
        <w:t>From</w:t>
      </w:r>
      <w:r>
        <w:rPr>
          <w:spacing w:val="5"/>
        </w:rPr>
        <w:t> </w:t>
      </w:r>
      <w:r>
        <w:rPr/>
        <w:t>the</w:t>
      </w:r>
      <w:r>
        <w:rPr>
          <w:spacing w:val="8"/>
        </w:rPr>
        <w:t> </w:t>
      </w:r>
      <w:r>
        <w:rPr/>
        <w:t>foregoing,</w:t>
      </w:r>
      <w:r>
        <w:rPr>
          <w:spacing w:val="12"/>
        </w:rPr>
        <w:t> </w:t>
      </w:r>
      <w:r>
        <w:rPr/>
        <w:t>the</w:t>
      </w:r>
      <w:r>
        <w:rPr>
          <w:spacing w:val="4"/>
        </w:rPr>
        <w:t> </w:t>
      </w:r>
      <w:r>
        <w:rPr/>
        <w:t>following</w:t>
      </w:r>
      <w:r>
        <w:rPr>
          <w:spacing w:val="7"/>
        </w:rPr>
        <w:t> </w:t>
      </w:r>
      <w:r>
        <w:rPr/>
        <w:t>findings</w:t>
      </w:r>
      <w:r>
        <w:rPr>
          <w:spacing w:val="3"/>
        </w:rPr>
        <w:t> </w:t>
      </w:r>
      <w:r>
        <w:rPr/>
        <w:t>were</w:t>
      </w:r>
      <w:r>
        <w:rPr>
          <w:spacing w:val="4"/>
        </w:rPr>
        <w:t> </w:t>
      </w:r>
      <w:r>
        <w:rPr>
          <w:spacing w:val="-2"/>
        </w:rPr>
        <w:t>made:</w:t>
      </w:r>
    </w:p>
    <w:p>
      <w:pPr>
        <w:pStyle w:val="BodyText"/>
        <w:spacing w:before="11"/>
      </w:pPr>
    </w:p>
    <w:p>
      <w:pPr>
        <w:pStyle w:val="ListParagraph"/>
        <w:numPr>
          <w:ilvl w:val="2"/>
          <w:numId w:val="22"/>
        </w:numPr>
        <w:tabs>
          <w:tab w:pos="1537" w:val="left" w:leader="none"/>
          <w:tab w:pos="1627" w:val="left" w:leader="none"/>
        </w:tabs>
        <w:spacing w:line="489" w:lineRule="auto" w:before="0" w:after="0"/>
        <w:ind w:left="1627" w:right="566" w:hanging="764"/>
        <w:jc w:val="both"/>
        <w:rPr>
          <w:sz w:val="23"/>
        </w:rPr>
      </w:pPr>
      <w:r>
        <w:rPr>
          <w:sz w:val="23"/>
        </w:rPr>
        <w:t>The findings in this research have revealed that enforcement of the scheme within the informal sector will be difficult because of the</w:t>
      </w:r>
      <w:r>
        <w:rPr>
          <w:spacing w:val="40"/>
          <w:sz w:val="23"/>
        </w:rPr>
        <w:t> </w:t>
      </w:r>
      <w:r>
        <w:rPr>
          <w:sz w:val="23"/>
        </w:rPr>
        <w:t>level of the country’s level of development. The Board, in the interview granted, admitted this fact. The informal places of work may not necessarily have payrolls which will serve as indicators for assessments by the Board.</w:t>
      </w:r>
      <w:r>
        <w:rPr>
          <w:spacing w:val="27"/>
          <w:sz w:val="23"/>
        </w:rPr>
        <w:t> </w:t>
      </w:r>
      <w:r>
        <w:rPr>
          <w:sz w:val="23"/>
        </w:rPr>
        <w:t>There may also be the problem</w:t>
      </w:r>
      <w:r>
        <w:rPr>
          <w:spacing w:val="26"/>
          <w:sz w:val="23"/>
        </w:rPr>
        <w:t> </w:t>
      </w:r>
      <w:r>
        <w:rPr>
          <w:sz w:val="23"/>
        </w:rPr>
        <w:t>of</w:t>
      </w:r>
      <w:r>
        <w:rPr>
          <w:spacing w:val="28"/>
          <w:sz w:val="23"/>
        </w:rPr>
        <w:t> </w:t>
      </w:r>
      <w:r>
        <w:rPr>
          <w:sz w:val="23"/>
        </w:rPr>
        <w:t>how to always locate those at the informal sector since they do not have registered offices for the purposes of transaction and are prone to frequent migration. Informal sector has a characteristic of avoiding Government</w:t>
      </w:r>
      <w:r>
        <w:rPr>
          <w:spacing w:val="75"/>
          <w:sz w:val="23"/>
        </w:rPr>
        <w:t> </w:t>
      </w:r>
      <w:r>
        <w:rPr>
          <w:sz w:val="23"/>
        </w:rPr>
        <w:t>regulations</w:t>
      </w:r>
      <w:r>
        <w:rPr>
          <w:spacing w:val="47"/>
          <w:w w:val="150"/>
          <w:sz w:val="23"/>
        </w:rPr>
        <w:t> </w:t>
      </w:r>
      <w:r>
        <w:rPr>
          <w:sz w:val="23"/>
        </w:rPr>
        <w:t>because</w:t>
      </w:r>
      <w:r>
        <w:rPr>
          <w:spacing w:val="78"/>
          <w:sz w:val="23"/>
        </w:rPr>
        <w:t> </w:t>
      </w:r>
      <w:r>
        <w:rPr>
          <w:sz w:val="23"/>
        </w:rPr>
        <w:t>of</w:t>
      </w:r>
      <w:r>
        <w:rPr>
          <w:spacing w:val="44"/>
          <w:w w:val="150"/>
          <w:sz w:val="23"/>
        </w:rPr>
        <w:t> </w:t>
      </w:r>
      <w:r>
        <w:rPr>
          <w:sz w:val="23"/>
        </w:rPr>
        <w:t>its</w:t>
      </w:r>
      <w:r>
        <w:rPr>
          <w:spacing w:val="78"/>
          <w:sz w:val="23"/>
        </w:rPr>
        <w:t> </w:t>
      </w:r>
      <w:r>
        <w:rPr>
          <w:sz w:val="23"/>
        </w:rPr>
        <w:t>faceless</w:t>
      </w:r>
      <w:r>
        <w:rPr>
          <w:spacing w:val="73"/>
          <w:sz w:val="23"/>
        </w:rPr>
        <w:t> </w:t>
      </w:r>
      <w:r>
        <w:rPr>
          <w:sz w:val="23"/>
        </w:rPr>
        <w:t>nature</w:t>
      </w:r>
      <w:r>
        <w:rPr>
          <w:spacing w:val="74"/>
          <w:sz w:val="23"/>
        </w:rPr>
        <w:t> </w:t>
      </w:r>
      <w:r>
        <w:rPr>
          <w:sz w:val="23"/>
        </w:rPr>
        <w:t>in</w:t>
      </w:r>
      <w:r>
        <w:rPr>
          <w:spacing w:val="44"/>
          <w:w w:val="150"/>
          <w:sz w:val="23"/>
        </w:rPr>
        <w:t> </w:t>
      </w:r>
      <w:r>
        <w:rPr>
          <w:spacing w:val="-4"/>
          <w:sz w:val="23"/>
        </w:rPr>
        <w:t>most</w:t>
      </w:r>
    </w:p>
    <w:p>
      <w:pPr>
        <w:pStyle w:val="BodyText"/>
        <w:spacing w:before="5"/>
        <w:rPr>
          <w:sz w:val="6"/>
        </w:rPr>
      </w:pPr>
      <w:r>
        <w:rPr/>
        <mc:AlternateContent>
          <mc:Choice Requires="wps">
            <w:drawing>
              <wp:anchor distT="0" distB="0" distL="0" distR="0" allowOverlap="1" layoutInCell="1" locked="0" behindDoc="1" simplePos="0" relativeHeight="487656448">
                <wp:simplePos x="0" y="0"/>
                <wp:positionH relativeFrom="page">
                  <wp:posOffset>1185672</wp:posOffset>
                </wp:positionH>
                <wp:positionV relativeFrom="paragraph">
                  <wp:posOffset>64484</wp:posOffset>
                </wp:positionV>
                <wp:extent cx="1719580" cy="6350"/>
                <wp:effectExtent l="0" t="0" r="0" b="0"/>
                <wp:wrapTopAndBottom/>
                <wp:docPr id="157" name="Graphic 157"/>
                <wp:cNvGraphicFramePr>
                  <a:graphicFrameLocks/>
                </wp:cNvGraphicFramePr>
                <a:graphic>
                  <a:graphicData uri="http://schemas.microsoft.com/office/word/2010/wordprocessingShape">
                    <wps:wsp>
                      <wps:cNvPr id="157" name="Graphic 157"/>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5.0775pt;width:135.360pt;height:.48pt;mso-position-horizontal-relative:page;mso-position-vertical-relative:paragraph;z-index:-15660032;mso-wrap-distance-left:0;mso-wrap-distance-right:0" id="docshape157" filled="true" fillcolor="#000000" stroked="false">
                <v:fill type="solid"/>
                <w10:wrap type="topAndBottom"/>
              </v:rect>
            </w:pict>
          </mc:Fallback>
        </mc:AlternateContent>
      </w:r>
    </w:p>
    <w:p>
      <w:pPr>
        <w:spacing w:line="237" w:lineRule="auto" w:before="93"/>
        <w:ind w:left="187" w:right="563" w:firstLine="0"/>
        <w:jc w:val="left"/>
        <w:rPr>
          <w:rFonts w:ascii="Times New Roman" w:hAnsi="Times New Roman"/>
          <w:sz w:val="19"/>
        </w:rPr>
      </w:pPr>
      <w:r>
        <w:rPr>
          <w:rFonts w:ascii="Times New Roman" w:hAnsi="Times New Roman"/>
          <w:sz w:val="19"/>
          <w:vertAlign w:val="superscript"/>
        </w:rPr>
        <w:t>22</w:t>
      </w:r>
      <w:r>
        <w:rPr>
          <w:rFonts w:ascii="Times New Roman" w:hAnsi="Times New Roman"/>
          <w:sz w:val="19"/>
          <w:vertAlign w:val="baseline"/>
        </w:rPr>
        <w:t> Sections</w:t>
      </w:r>
      <w:r>
        <w:rPr>
          <w:rFonts w:ascii="Times New Roman" w:hAnsi="Times New Roman"/>
          <w:spacing w:val="-3"/>
          <w:sz w:val="19"/>
          <w:vertAlign w:val="baseline"/>
        </w:rPr>
        <w:t> </w:t>
      </w:r>
      <w:r>
        <w:rPr>
          <w:rFonts w:ascii="Times New Roman" w:hAnsi="Times New Roman"/>
          <w:sz w:val="19"/>
          <w:vertAlign w:val="baseline"/>
        </w:rPr>
        <w:t>243</w:t>
      </w:r>
      <w:r>
        <w:rPr>
          <w:rFonts w:ascii="Times New Roman" w:hAnsi="Times New Roman"/>
          <w:spacing w:val="-4"/>
          <w:sz w:val="19"/>
          <w:vertAlign w:val="baseline"/>
        </w:rPr>
        <w:t> </w:t>
      </w:r>
      <w:r>
        <w:rPr>
          <w:rFonts w:ascii="Times New Roman" w:hAnsi="Times New Roman"/>
          <w:sz w:val="19"/>
          <w:vertAlign w:val="baseline"/>
        </w:rPr>
        <w:t>“(2)</w:t>
      </w:r>
      <w:r>
        <w:rPr>
          <w:rFonts w:ascii="Times New Roman" w:hAnsi="Times New Roman"/>
          <w:spacing w:val="-6"/>
          <w:sz w:val="19"/>
          <w:vertAlign w:val="baseline"/>
        </w:rPr>
        <w:t> </w:t>
      </w:r>
      <w:r>
        <w:rPr>
          <w:rFonts w:ascii="Times New Roman" w:hAnsi="Times New Roman"/>
          <w:sz w:val="19"/>
          <w:vertAlign w:val="baseline"/>
        </w:rPr>
        <w:t>–</w:t>
      </w:r>
      <w:r>
        <w:rPr>
          <w:rFonts w:ascii="Times New Roman" w:hAnsi="Times New Roman"/>
          <w:spacing w:val="-4"/>
          <w:sz w:val="19"/>
          <w:vertAlign w:val="baseline"/>
        </w:rPr>
        <w:t> </w:t>
      </w:r>
      <w:r>
        <w:rPr>
          <w:rFonts w:ascii="Times New Roman" w:hAnsi="Times New Roman"/>
          <w:sz w:val="19"/>
          <w:vertAlign w:val="baseline"/>
        </w:rPr>
        <w:t>(4),”</w:t>
      </w:r>
      <w:r>
        <w:rPr>
          <w:rFonts w:ascii="Times New Roman" w:hAnsi="Times New Roman"/>
          <w:spacing w:val="-7"/>
          <w:sz w:val="19"/>
          <w:vertAlign w:val="baseline"/>
        </w:rPr>
        <w:t> </w:t>
      </w:r>
      <w:r>
        <w:rPr>
          <w:rFonts w:ascii="Times New Roman" w:hAnsi="Times New Roman"/>
          <w:sz w:val="19"/>
          <w:vertAlign w:val="baseline"/>
        </w:rPr>
        <w:t>254</w:t>
      </w:r>
      <w:r>
        <w:rPr>
          <w:rFonts w:ascii="Times New Roman" w:hAnsi="Times New Roman"/>
          <w:spacing w:val="-8"/>
          <w:sz w:val="19"/>
          <w:vertAlign w:val="baseline"/>
        </w:rPr>
        <w:t> </w:t>
      </w:r>
      <w:r>
        <w:rPr>
          <w:rFonts w:ascii="Times New Roman" w:hAnsi="Times New Roman"/>
          <w:sz w:val="19"/>
          <w:vertAlign w:val="baseline"/>
        </w:rPr>
        <w:t>C(5)</w:t>
      </w:r>
      <w:r>
        <w:rPr>
          <w:rFonts w:ascii="Times New Roman" w:hAnsi="Times New Roman"/>
          <w:spacing w:val="-6"/>
          <w:sz w:val="19"/>
          <w:vertAlign w:val="baseline"/>
        </w:rPr>
        <w:t> </w:t>
      </w:r>
      <w:r>
        <w:rPr>
          <w:rFonts w:ascii="Times New Roman" w:hAnsi="Times New Roman"/>
          <w:sz w:val="19"/>
          <w:vertAlign w:val="baseline"/>
        </w:rPr>
        <w:t>of</w:t>
      </w:r>
      <w:r>
        <w:rPr>
          <w:rFonts w:ascii="Times New Roman" w:hAnsi="Times New Roman"/>
          <w:spacing w:val="-10"/>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Constitution</w:t>
      </w:r>
      <w:r>
        <w:rPr>
          <w:rFonts w:ascii="Times New Roman" w:hAnsi="Times New Roman"/>
          <w:spacing w:val="-4"/>
          <w:sz w:val="19"/>
          <w:vertAlign w:val="baseline"/>
        </w:rPr>
        <w:t> </w:t>
      </w:r>
      <w:r>
        <w:rPr>
          <w:rFonts w:ascii="Times New Roman" w:hAnsi="Times New Roman"/>
          <w:sz w:val="19"/>
          <w:vertAlign w:val="baseline"/>
        </w:rPr>
        <w:t>of</w:t>
      </w:r>
      <w:r>
        <w:rPr>
          <w:rFonts w:ascii="Times New Roman" w:hAnsi="Times New Roman"/>
          <w:spacing w:val="-6"/>
          <w:sz w:val="19"/>
          <w:vertAlign w:val="baseline"/>
        </w:rPr>
        <w:t> </w:t>
      </w:r>
      <w:r>
        <w:rPr>
          <w:rFonts w:ascii="Times New Roman" w:hAnsi="Times New Roman"/>
          <w:sz w:val="19"/>
          <w:vertAlign w:val="baseline"/>
        </w:rPr>
        <w:t>the</w:t>
      </w:r>
      <w:r>
        <w:rPr>
          <w:rFonts w:ascii="Times New Roman" w:hAnsi="Times New Roman"/>
          <w:spacing w:val="-12"/>
          <w:sz w:val="19"/>
          <w:vertAlign w:val="baseline"/>
        </w:rPr>
        <w:t> </w:t>
      </w:r>
      <w:r>
        <w:rPr>
          <w:rFonts w:ascii="Times New Roman" w:hAnsi="Times New Roman"/>
          <w:sz w:val="19"/>
          <w:vertAlign w:val="baseline"/>
        </w:rPr>
        <w:t>Federal</w:t>
      </w:r>
      <w:r>
        <w:rPr>
          <w:rFonts w:ascii="Times New Roman" w:hAnsi="Times New Roman"/>
          <w:spacing w:val="-5"/>
          <w:sz w:val="19"/>
          <w:vertAlign w:val="baseline"/>
        </w:rPr>
        <w:t> </w:t>
      </w:r>
      <w:r>
        <w:rPr>
          <w:rFonts w:ascii="Times New Roman" w:hAnsi="Times New Roman"/>
          <w:sz w:val="19"/>
          <w:vertAlign w:val="baseline"/>
        </w:rPr>
        <w:t>Republic</w:t>
      </w:r>
      <w:r>
        <w:rPr>
          <w:rFonts w:ascii="Times New Roman" w:hAnsi="Times New Roman"/>
          <w:spacing w:val="-7"/>
          <w:sz w:val="19"/>
          <w:vertAlign w:val="baseline"/>
        </w:rPr>
        <w:t> </w:t>
      </w:r>
      <w:r>
        <w:rPr>
          <w:rFonts w:ascii="Times New Roman" w:hAnsi="Times New Roman"/>
          <w:sz w:val="19"/>
          <w:vertAlign w:val="baseline"/>
        </w:rPr>
        <w:t>of</w:t>
      </w:r>
      <w:r>
        <w:rPr>
          <w:rFonts w:ascii="Times New Roman" w:hAnsi="Times New Roman"/>
          <w:spacing w:val="-6"/>
          <w:sz w:val="19"/>
          <w:vertAlign w:val="baseline"/>
        </w:rPr>
        <w:t> </w:t>
      </w:r>
      <w:r>
        <w:rPr>
          <w:rFonts w:ascii="Times New Roman" w:hAnsi="Times New Roman"/>
          <w:sz w:val="19"/>
          <w:vertAlign w:val="baseline"/>
        </w:rPr>
        <w:t>Nigeria</w:t>
      </w:r>
      <w:r>
        <w:rPr>
          <w:rFonts w:ascii="Times New Roman" w:hAnsi="Times New Roman"/>
          <w:spacing w:val="-7"/>
          <w:sz w:val="19"/>
          <w:vertAlign w:val="baseline"/>
        </w:rPr>
        <w:t> </w:t>
      </w:r>
      <w:r>
        <w:rPr>
          <w:rFonts w:ascii="Times New Roman" w:hAnsi="Times New Roman"/>
          <w:sz w:val="19"/>
          <w:vertAlign w:val="baseline"/>
        </w:rPr>
        <w:t>1999</w:t>
      </w:r>
      <w:r>
        <w:rPr>
          <w:rFonts w:ascii="Times New Roman" w:hAnsi="Times New Roman"/>
          <w:spacing w:val="-8"/>
          <w:sz w:val="19"/>
          <w:vertAlign w:val="baseline"/>
        </w:rPr>
        <w:t> </w:t>
      </w:r>
      <w:r>
        <w:rPr>
          <w:rFonts w:ascii="Times New Roman" w:hAnsi="Times New Roman"/>
          <w:sz w:val="19"/>
          <w:vertAlign w:val="baseline"/>
        </w:rPr>
        <w:t>(as</w:t>
      </w:r>
      <w:r>
        <w:rPr>
          <w:rFonts w:ascii="Times New Roman" w:hAnsi="Times New Roman"/>
          <w:spacing w:val="-11"/>
          <w:sz w:val="19"/>
          <w:vertAlign w:val="baseline"/>
        </w:rPr>
        <w:t> </w:t>
      </w:r>
      <w:r>
        <w:rPr>
          <w:rFonts w:ascii="Times New Roman" w:hAnsi="Times New Roman"/>
          <w:sz w:val="19"/>
          <w:vertAlign w:val="baseline"/>
        </w:rPr>
        <w:t>amended), see also section 9 of the National Industrial Court Act, No. 1</w:t>
      </w:r>
      <w:r>
        <w:rPr>
          <w:rFonts w:ascii="Times New Roman" w:hAnsi="Times New Roman"/>
          <w:spacing w:val="-3"/>
          <w:sz w:val="19"/>
          <w:vertAlign w:val="baseline"/>
        </w:rPr>
        <w:t> </w:t>
      </w:r>
      <w:r>
        <w:rPr>
          <w:rFonts w:ascii="Times New Roman" w:hAnsi="Times New Roman"/>
          <w:sz w:val="19"/>
          <w:vertAlign w:val="baseline"/>
        </w:rPr>
        <w:t>2006</w:t>
      </w:r>
    </w:p>
    <w:p>
      <w:pPr>
        <w:spacing w:after="0" w:line="237" w:lineRule="auto"/>
        <w:jc w:val="left"/>
        <w:rPr>
          <w:rFonts w:ascii="Times New Roman" w:hAnsi="Times New Roman"/>
          <w:sz w:val="19"/>
        </w:rPr>
        <w:sectPr>
          <w:pgSz w:w="12240" w:h="15840"/>
          <w:pgMar w:header="0" w:footer="1009" w:top="1240" w:bottom="1200" w:left="1680" w:right="1320"/>
        </w:sectPr>
      </w:pPr>
    </w:p>
    <w:p>
      <w:pPr>
        <w:pStyle w:val="BodyText"/>
        <w:spacing w:line="489" w:lineRule="auto" w:before="114"/>
        <w:ind w:left="1627" w:right="567"/>
        <w:jc w:val="both"/>
      </w:pPr>
      <w:r>
        <w:rPr/>
        <w:t>instances.</w:t>
      </w:r>
      <w:r>
        <w:rPr>
          <w:vertAlign w:val="superscript"/>
        </w:rPr>
        <w:t>23</w:t>
      </w:r>
      <w:r>
        <w:rPr>
          <w:vertAlign w:val="baseline"/>
        </w:rPr>
        <w:t> The challenge of the Board in having effective transactions with the employers and employees at the informal</w:t>
      </w:r>
      <w:r>
        <w:rPr>
          <w:spacing w:val="40"/>
          <w:vertAlign w:val="baseline"/>
        </w:rPr>
        <w:t> </w:t>
      </w:r>
      <w:r>
        <w:rPr>
          <w:vertAlign w:val="baseline"/>
        </w:rPr>
        <w:t>sector of the economy is another big issue. For example, how will employers</w:t>
      </w:r>
      <w:r>
        <w:rPr>
          <w:spacing w:val="40"/>
          <w:vertAlign w:val="baseline"/>
        </w:rPr>
        <w:t> </w:t>
      </w:r>
      <w:r>
        <w:rPr>
          <w:vertAlign w:val="baseline"/>
        </w:rPr>
        <w:t>at</w:t>
      </w:r>
      <w:r>
        <w:rPr>
          <w:spacing w:val="40"/>
          <w:vertAlign w:val="baseline"/>
        </w:rPr>
        <w:t> </w:t>
      </w:r>
      <w:r>
        <w:rPr>
          <w:vertAlign w:val="baseline"/>
        </w:rPr>
        <w:t>the</w:t>
      </w:r>
      <w:r>
        <w:rPr>
          <w:spacing w:val="40"/>
          <w:vertAlign w:val="baseline"/>
        </w:rPr>
        <w:t> </w:t>
      </w:r>
      <w:r>
        <w:rPr>
          <w:vertAlign w:val="baseline"/>
        </w:rPr>
        <w:t>informal</w:t>
      </w:r>
      <w:r>
        <w:rPr>
          <w:spacing w:val="40"/>
          <w:vertAlign w:val="baseline"/>
        </w:rPr>
        <w:t> </w:t>
      </w:r>
      <w:r>
        <w:rPr>
          <w:vertAlign w:val="baseline"/>
        </w:rPr>
        <w:t>sector</w:t>
      </w:r>
      <w:r>
        <w:rPr>
          <w:spacing w:val="40"/>
          <w:vertAlign w:val="baseline"/>
        </w:rPr>
        <w:t> </w:t>
      </w:r>
      <w:r>
        <w:rPr>
          <w:vertAlign w:val="baseline"/>
        </w:rPr>
        <w:t>be</w:t>
      </w:r>
      <w:r>
        <w:rPr>
          <w:spacing w:val="40"/>
          <w:vertAlign w:val="baseline"/>
        </w:rPr>
        <w:t> </w:t>
      </w:r>
      <w:r>
        <w:rPr>
          <w:vertAlign w:val="baseline"/>
        </w:rPr>
        <w:t>traced</w:t>
      </w:r>
      <w:r>
        <w:rPr>
          <w:spacing w:val="40"/>
          <w:vertAlign w:val="baseline"/>
        </w:rPr>
        <w:t> </w:t>
      </w:r>
      <w:r>
        <w:rPr>
          <w:vertAlign w:val="baseline"/>
        </w:rPr>
        <w:t>for</w:t>
      </w:r>
      <w:r>
        <w:rPr>
          <w:spacing w:val="40"/>
          <w:vertAlign w:val="baseline"/>
        </w:rPr>
        <w:t> </w:t>
      </w:r>
      <w:r>
        <w:rPr>
          <w:vertAlign w:val="baseline"/>
        </w:rPr>
        <w:t>the</w:t>
      </w:r>
      <w:r>
        <w:rPr>
          <w:spacing w:val="40"/>
          <w:vertAlign w:val="baseline"/>
        </w:rPr>
        <w:t> </w:t>
      </w:r>
      <w:r>
        <w:rPr>
          <w:vertAlign w:val="baseline"/>
        </w:rPr>
        <w:t>purpose</w:t>
      </w:r>
      <w:r>
        <w:rPr>
          <w:spacing w:val="40"/>
          <w:vertAlign w:val="baseline"/>
        </w:rPr>
        <w:t> </w:t>
      </w:r>
      <w:r>
        <w:rPr>
          <w:vertAlign w:val="baseline"/>
        </w:rPr>
        <w:t>of duties and obligations imposed by the Act? Also, where will the employers at the informal sector be traced for the purpose of sanctions imposed by the Act?</w:t>
      </w:r>
    </w:p>
    <w:p>
      <w:pPr>
        <w:pStyle w:val="ListParagraph"/>
        <w:numPr>
          <w:ilvl w:val="2"/>
          <w:numId w:val="22"/>
        </w:numPr>
        <w:tabs>
          <w:tab w:pos="1537" w:val="left" w:leader="none"/>
          <w:tab w:pos="1540" w:val="left" w:leader="none"/>
        </w:tabs>
        <w:spacing w:line="484" w:lineRule="auto" w:before="5" w:after="0"/>
        <w:ind w:left="1540" w:right="571" w:hanging="677"/>
        <w:jc w:val="both"/>
        <w:rPr>
          <w:sz w:val="23"/>
        </w:rPr>
      </w:pPr>
      <w:r>
        <w:rPr>
          <w:sz w:val="23"/>
        </w:rPr>
        <w:t>The Act says members of the family of employers who are employed as</w:t>
      </w:r>
      <w:r>
        <w:rPr>
          <w:spacing w:val="80"/>
          <w:w w:val="150"/>
          <w:sz w:val="23"/>
        </w:rPr>
        <w:t>  </w:t>
      </w:r>
      <w:r>
        <w:rPr>
          <w:sz w:val="23"/>
        </w:rPr>
        <w:t>domestic</w:t>
      </w:r>
      <w:r>
        <w:rPr>
          <w:spacing w:val="40"/>
          <w:sz w:val="23"/>
        </w:rPr>
        <w:t> </w:t>
      </w:r>
      <w:r>
        <w:rPr>
          <w:sz w:val="23"/>
        </w:rPr>
        <w:t>servants</w:t>
      </w:r>
      <w:r>
        <w:rPr>
          <w:spacing w:val="40"/>
          <w:sz w:val="23"/>
        </w:rPr>
        <w:t> </w:t>
      </w:r>
      <w:r>
        <w:rPr>
          <w:sz w:val="23"/>
        </w:rPr>
        <w:t>are</w:t>
      </w:r>
      <w:r>
        <w:rPr>
          <w:spacing w:val="40"/>
          <w:sz w:val="23"/>
        </w:rPr>
        <w:t> </w:t>
      </w:r>
      <w:r>
        <w:rPr>
          <w:sz w:val="23"/>
        </w:rPr>
        <w:t>not</w:t>
      </w:r>
      <w:r>
        <w:rPr>
          <w:spacing w:val="40"/>
          <w:sz w:val="23"/>
        </w:rPr>
        <w:t> </w:t>
      </w:r>
      <w:r>
        <w:rPr>
          <w:sz w:val="23"/>
        </w:rPr>
        <w:t>employees</w:t>
      </w:r>
      <w:r>
        <w:rPr>
          <w:spacing w:val="40"/>
          <w:sz w:val="23"/>
        </w:rPr>
        <w:t> </w:t>
      </w:r>
      <w:r>
        <w:rPr>
          <w:sz w:val="23"/>
        </w:rPr>
        <w:t>and therefore</w:t>
      </w:r>
      <w:r>
        <w:rPr>
          <w:spacing w:val="40"/>
          <w:sz w:val="23"/>
        </w:rPr>
        <w:t> </w:t>
      </w:r>
      <w:r>
        <w:rPr>
          <w:sz w:val="23"/>
        </w:rPr>
        <w:t>not covered by</w:t>
      </w:r>
      <w:r>
        <w:rPr>
          <w:spacing w:val="40"/>
          <w:sz w:val="23"/>
        </w:rPr>
        <w:t> </w:t>
      </w:r>
      <w:r>
        <w:rPr>
          <w:sz w:val="23"/>
        </w:rPr>
        <w:t>the</w:t>
      </w:r>
      <w:r>
        <w:rPr>
          <w:spacing w:val="40"/>
          <w:sz w:val="23"/>
        </w:rPr>
        <w:t> </w:t>
      </w:r>
      <w:r>
        <w:rPr>
          <w:sz w:val="23"/>
        </w:rPr>
        <w:t>Act,</w:t>
      </w:r>
      <w:r>
        <w:rPr>
          <w:spacing w:val="40"/>
          <w:sz w:val="23"/>
        </w:rPr>
        <w:t> </w:t>
      </w:r>
      <w:r>
        <w:rPr>
          <w:sz w:val="23"/>
        </w:rPr>
        <w:t>and without defining who</w:t>
      </w:r>
      <w:r>
        <w:rPr>
          <w:spacing w:val="40"/>
          <w:sz w:val="23"/>
        </w:rPr>
        <w:t> </w:t>
      </w:r>
      <w:r>
        <w:rPr>
          <w:sz w:val="23"/>
        </w:rPr>
        <w:t>“members of</w:t>
      </w:r>
      <w:r>
        <w:rPr>
          <w:spacing w:val="40"/>
          <w:sz w:val="23"/>
        </w:rPr>
        <w:t> </w:t>
      </w:r>
      <w:r>
        <w:rPr>
          <w:sz w:val="23"/>
        </w:rPr>
        <w:t>the family of employers”</w:t>
      </w:r>
      <w:r>
        <w:rPr>
          <w:sz w:val="23"/>
          <w:vertAlign w:val="superscript"/>
        </w:rPr>
        <w:t>24</w:t>
      </w:r>
      <w:r>
        <w:rPr>
          <w:sz w:val="23"/>
          <w:vertAlign w:val="baseline"/>
        </w:rPr>
        <w:t> are .This </w:t>
      </w:r>
      <w:r>
        <w:rPr>
          <w:rFonts w:ascii="Verdana" w:hAnsi="Verdana"/>
          <w:i/>
          <w:sz w:val="24"/>
          <w:vertAlign w:val="baseline"/>
        </w:rPr>
        <w:t>lacuna </w:t>
      </w:r>
      <w:r>
        <w:rPr>
          <w:sz w:val="23"/>
          <w:vertAlign w:val="baseline"/>
        </w:rPr>
        <w:t>will cause a great problem</w:t>
      </w:r>
      <w:r>
        <w:rPr>
          <w:spacing w:val="40"/>
          <w:sz w:val="23"/>
          <w:vertAlign w:val="baseline"/>
        </w:rPr>
        <w:t> </w:t>
      </w:r>
      <w:r>
        <w:rPr>
          <w:sz w:val="23"/>
          <w:vertAlign w:val="baseline"/>
        </w:rPr>
        <w:t>for interpretation.</w:t>
      </w:r>
    </w:p>
    <w:p>
      <w:pPr>
        <w:pStyle w:val="ListParagraph"/>
        <w:numPr>
          <w:ilvl w:val="2"/>
          <w:numId w:val="22"/>
        </w:numPr>
        <w:tabs>
          <w:tab w:pos="1537" w:val="left" w:leader="none"/>
          <w:tab w:pos="1540" w:val="left" w:leader="none"/>
        </w:tabs>
        <w:spacing w:line="489" w:lineRule="auto" w:before="4" w:after="0"/>
        <w:ind w:left="1540" w:right="566" w:hanging="677"/>
        <w:jc w:val="both"/>
        <w:rPr>
          <w:sz w:val="23"/>
        </w:rPr>
      </w:pPr>
      <w:r>
        <w:rPr>
          <w:sz w:val="23"/>
        </w:rPr>
        <w:t>The Act gives the Board power to fix the terms and conditions of service including remuneration of employees of the Fund. This may create conflict of interests because, the employees of the Fund are employees of the Board and since the Board is the trustee of the Fund, this position of</w:t>
      </w:r>
      <w:r>
        <w:rPr>
          <w:spacing w:val="40"/>
          <w:sz w:val="23"/>
        </w:rPr>
        <w:t> </w:t>
      </w:r>
      <w:r>
        <w:rPr>
          <w:sz w:val="23"/>
        </w:rPr>
        <w:t>the law will create a situation where the</w:t>
      </w:r>
      <w:r>
        <w:rPr>
          <w:spacing w:val="40"/>
          <w:sz w:val="23"/>
        </w:rPr>
        <w:t> </w:t>
      </w:r>
      <w:r>
        <w:rPr>
          <w:sz w:val="23"/>
        </w:rPr>
        <w:t>interest of the trustee will conflict with the interest of the</w:t>
      </w:r>
      <w:r>
        <w:rPr>
          <w:spacing w:val="40"/>
          <w:sz w:val="23"/>
        </w:rPr>
        <w:t> </w:t>
      </w:r>
      <w:r>
        <w:rPr>
          <w:sz w:val="23"/>
        </w:rPr>
        <w:t>beneficiaries who are the employees.</w:t>
      </w:r>
      <w:r>
        <w:rPr>
          <w:sz w:val="23"/>
          <w:vertAlign w:val="superscript"/>
        </w:rPr>
        <w:t>25</w:t>
      </w:r>
      <w:r>
        <w:rPr>
          <w:sz w:val="23"/>
          <w:vertAlign w:val="baseline"/>
        </w:rPr>
        <w:t>The National Assembly should</w:t>
      </w:r>
    </w:p>
    <w:p>
      <w:pPr>
        <w:pStyle w:val="BodyText"/>
        <w:rPr>
          <w:sz w:val="20"/>
        </w:rPr>
      </w:pPr>
    </w:p>
    <w:p>
      <w:pPr>
        <w:pStyle w:val="BodyText"/>
        <w:rPr>
          <w:sz w:val="20"/>
        </w:rPr>
      </w:pPr>
    </w:p>
    <w:p>
      <w:pPr>
        <w:pStyle w:val="BodyText"/>
        <w:spacing w:before="183"/>
        <w:rPr>
          <w:sz w:val="20"/>
        </w:rPr>
      </w:pPr>
      <w:r>
        <w:rPr/>
        <mc:AlternateContent>
          <mc:Choice Requires="wps">
            <w:drawing>
              <wp:anchor distT="0" distB="0" distL="0" distR="0" allowOverlap="1" layoutInCell="1" locked="0" behindDoc="1" simplePos="0" relativeHeight="487656960">
                <wp:simplePos x="0" y="0"/>
                <wp:positionH relativeFrom="page">
                  <wp:posOffset>1185672</wp:posOffset>
                </wp:positionH>
                <wp:positionV relativeFrom="paragraph">
                  <wp:posOffset>285179</wp:posOffset>
                </wp:positionV>
                <wp:extent cx="1719580" cy="6350"/>
                <wp:effectExtent l="0" t="0" r="0" b="0"/>
                <wp:wrapTopAndBottom/>
                <wp:docPr id="158" name="Graphic 158"/>
                <wp:cNvGraphicFramePr>
                  <a:graphicFrameLocks/>
                </wp:cNvGraphicFramePr>
                <a:graphic>
                  <a:graphicData uri="http://schemas.microsoft.com/office/word/2010/wordprocessingShape">
                    <wps:wsp>
                      <wps:cNvPr id="158" name="Graphic 158"/>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2.45504pt;width:135.360pt;height:.48pt;mso-position-horizontal-relative:page;mso-position-vertical-relative:paragraph;z-index:-15659520;mso-wrap-distance-left:0;mso-wrap-distance-right:0" id="docshape158" filled="true" fillcolor="#000000" stroked="false">
                <v:fill type="solid"/>
                <w10:wrap type="topAndBottom"/>
              </v:rect>
            </w:pict>
          </mc:Fallback>
        </mc:AlternateContent>
      </w:r>
    </w:p>
    <w:p>
      <w:pPr>
        <w:spacing w:line="237" w:lineRule="auto" w:before="102"/>
        <w:ind w:left="187" w:right="123" w:firstLine="0"/>
        <w:jc w:val="left"/>
        <w:rPr>
          <w:rFonts w:ascii="Times New Roman"/>
          <w:sz w:val="19"/>
        </w:rPr>
      </w:pPr>
      <w:r>
        <w:rPr>
          <w:rFonts w:ascii="Times New Roman"/>
          <w:sz w:val="19"/>
          <w:vertAlign w:val="superscript"/>
        </w:rPr>
        <w:t>23</w:t>
      </w:r>
      <w:r>
        <w:rPr>
          <w:rFonts w:ascii="Times New Roman"/>
          <w:spacing w:val="-2"/>
          <w:sz w:val="19"/>
          <w:vertAlign w:val="baseline"/>
        </w:rPr>
        <w:t> </w:t>
      </w:r>
      <w:r>
        <w:rPr>
          <w:rFonts w:ascii="Times New Roman"/>
          <w:sz w:val="19"/>
          <w:vertAlign w:val="baseline"/>
        </w:rPr>
        <w:t>The</w:t>
      </w:r>
      <w:r>
        <w:rPr>
          <w:rFonts w:ascii="Times New Roman"/>
          <w:spacing w:val="-12"/>
          <w:sz w:val="19"/>
          <w:vertAlign w:val="baseline"/>
        </w:rPr>
        <w:t> </w:t>
      </w:r>
      <w:r>
        <w:rPr>
          <w:rFonts w:ascii="Times New Roman"/>
          <w:sz w:val="19"/>
          <w:vertAlign w:val="baseline"/>
        </w:rPr>
        <w:t>1997</w:t>
      </w:r>
      <w:r>
        <w:rPr>
          <w:rFonts w:ascii="Times New Roman"/>
          <w:spacing w:val="-9"/>
          <w:sz w:val="19"/>
          <w:vertAlign w:val="baseline"/>
        </w:rPr>
        <w:t> </w:t>
      </w:r>
      <w:r>
        <w:rPr>
          <w:rFonts w:ascii="Times New Roman"/>
          <w:sz w:val="19"/>
          <w:vertAlign w:val="baseline"/>
        </w:rPr>
        <w:t>report</w:t>
      </w:r>
      <w:r>
        <w:rPr>
          <w:rFonts w:ascii="Times New Roman"/>
          <w:spacing w:val="-7"/>
          <w:sz w:val="19"/>
          <w:vertAlign w:val="baseline"/>
        </w:rPr>
        <w:t> </w:t>
      </w:r>
      <w:r>
        <w:rPr>
          <w:rFonts w:ascii="Times New Roman"/>
          <w:sz w:val="19"/>
          <w:vertAlign w:val="baseline"/>
        </w:rPr>
        <w:t>of</w:t>
      </w:r>
      <w:r>
        <w:rPr>
          <w:rFonts w:ascii="Times New Roman"/>
          <w:spacing w:val="-11"/>
          <w:sz w:val="19"/>
          <w:vertAlign w:val="baseline"/>
        </w:rPr>
        <w:t> </w:t>
      </w:r>
      <w:r>
        <w:rPr>
          <w:rFonts w:ascii="Times New Roman"/>
          <w:sz w:val="19"/>
          <w:vertAlign w:val="baseline"/>
        </w:rPr>
        <w:t>the</w:t>
      </w:r>
      <w:r>
        <w:rPr>
          <w:rFonts w:ascii="Times New Roman"/>
          <w:spacing w:val="-4"/>
          <w:sz w:val="19"/>
          <w:vertAlign w:val="baseline"/>
        </w:rPr>
        <w:t> </w:t>
      </w:r>
      <w:r>
        <w:rPr>
          <w:rFonts w:ascii="Times New Roman"/>
          <w:sz w:val="19"/>
          <w:vertAlign w:val="baseline"/>
        </w:rPr>
        <w:t>International</w:t>
      </w:r>
      <w:r>
        <w:rPr>
          <w:rFonts w:ascii="Times New Roman"/>
          <w:spacing w:val="35"/>
          <w:sz w:val="19"/>
          <w:vertAlign w:val="baseline"/>
        </w:rPr>
        <w:t> </w:t>
      </w:r>
      <w:r>
        <w:rPr>
          <w:rFonts w:ascii="Times New Roman"/>
          <w:sz w:val="19"/>
          <w:vertAlign w:val="baseline"/>
        </w:rPr>
        <w:t>Labour</w:t>
      </w:r>
      <w:r>
        <w:rPr>
          <w:rFonts w:ascii="Times New Roman"/>
          <w:spacing w:val="38"/>
          <w:sz w:val="19"/>
          <w:vertAlign w:val="baseline"/>
        </w:rPr>
        <w:t> </w:t>
      </w:r>
      <w:r>
        <w:rPr>
          <w:rFonts w:ascii="Times New Roman"/>
          <w:sz w:val="19"/>
          <w:vertAlign w:val="baseline"/>
        </w:rPr>
        <w:t>Office</w:t>
      </w:r>
      <w:r>
        <w:rPr>
          <w:rFonts w:ascii="Times New Roman"/>
          <w:spacing w:val="-9"/>
          <w:sz w:val="19"/>
          <w:vertAlign w:val="baseline"/>
        </w:rPr>
        <w:t> </w:t>
      </w:r>
      <w:r>
        <w:rPr>
          <w:rFonts w:ascii="Times New Roman"/>
          <w:sz w:val="19"/>
          <w:vertAlign w:val="baseline"/>
        </w:rPr>
        <w:t>on</w:t>
      </w:r>
      <w:r>
        <w:rPr>
          <w:rFonts w:ascii="Times New Roman"/>
          <w:spacing w:val="-1"/>
          <w:sz w:val="19"/>
          <w:vertAlign w:val="baseline"/>
        </w:rPr>
        <w:t> </w:t>
      </w:r>
      <w:r>
        <w:rPr>
          <w:rFonts w:ascii="Times New Roman"/>
          <w:sz w:val="19"/>
          <w:vertAlign w:val="baseline"/>
        </w:rPr>
        <w:t>employment</w:t>
      </w:r>
      <w:r>
        <w:rPr>
          <w:rFonts w:ascii="Times New Roman"/>
          <w:spacing w:val="-7"/>
          <w:sz w:val="19"/>
          <w:vertAlign w:val="baseline"/>
        </w:rPr>
        <w:t> </w:t>
      </w:r>
      <w:r>
        <w:rPr>
          <w:rFonts w:ascii="Times New Roman"/>
          <w:sz w:val="19"/>
          <w:vertAlign w:val="baseline"/>
        </w:rPr>
        <w:t>in</w:t>
      </w:r>
      <w:r>
        <w:rPr>
          <w:rFonts w:ascii="Times New Roman"/>
          <w:spacing w:val="-6"/>
          <w:sz w:val="19"/>
          <w:vertAlign w:val="baseline"/>
        </w:rPr>
        <w:t> </w:t>
      </w:r>
      <w:r>
        <w:rPr>
          <w:rFonts w:ascii="Times New Roman"/>
          <w:sz w:val="19"/>
          <w:vertAlign w:val="baseline"/>
        </w:rPr>
        <w:t>Kenya</w:t>
      </w:r>
      <w:r>
        <w:rPr>
          <w:rFonts w:ascii="Times New Roman"/>
          <w:spacing w:val="-8"/>
          <w:sz w:val="19"/>
          <w:vertAlign w:val="baseline"/>
        </w:rPr>
        <w:t> </w:t>
      </w:r>
      <w:r>
        <w:rPr>
          <w:rFonts w:ascii="Times New Roman"/>
          <w:sz w:val="19"/>
          <w:vertAlign w:val="baseline"/>
        </w:rPr>
        <w:t>revealed</w:t>
      </w:r>
      <w:r>
        <w:rPr>
          <w:rFonts w:ascii="Times New Roman"/>
          <w:spacing w:val="-6"/>
          <w:sz w:val="19"/>
          <w:vertAlign w:val="baseline"/>
        </w:rPr>
        <w:t> </w:t>
      </w:r>
      <w:r>
        <w:rPr>
          <w:rFonts w:ascii="Times New Roman"/>
          <w:sz w:val="19"/>
          <w:vertAlign w:val="baseline"/>
        </w:rPr>
        <w:t>that</w:t>
      </w:r>
      <w:r>
        <w:rPr>
          <w:rFonts w:ascii="Times New Roman"/>
          <w:spacing w:val="35"/>
          <w:sz w:val="19"/>
          <w:vertAlign w:val="baseline"/>
        </w:rPr>
        <w:t> </w:t>
      </w:r>
      <w:r>
        <w:rPr>
          <w:rFonts w:ascii="Times New Roman"/>
          <w:sz w:val="19"/>
          <w:vertAlign w:val="baseline"/>
        </w:rPr>
        <w:t>avoidance</w:t>
      </w:r>
      <w:r>
        <w:rPr>
          <w:rFonts w:ascii="Times New Roman"/>
          <w:spacing w:val="-8"/>
          <w:sz w:val="19"/>
          <w:vertAlign w:val="baseline"/>
        </w:rPr>
        <w:t> </w:t>
      </w:r>
      <w:r>
        <w:rPr>
          <w:rFonts w:ascii="Times New Roman"/>
          <w:sz w:val="19"/>
          <w:vertAlign w:val="baseline"/>
        </w:rPr>
        <w:t>of Government regulation is a characteristic of informal sector of the</w:t>
      </w:r>
      <w:r>
        <w:rPr>
          <w:rFonts w:ascii="Times New Roman"/>
          <w:spacing w:val="-1"/>
          <w:sz w:val="19"/>
          <w:vertAlign w:val="baseline"/>
        </w:rPr>
        <w:t> </w:t>
      </w:r>
      <w:r>
        <w:rPr>
          <w:rFonts w:ascii="Times New Roman"/>
          <w:sz w:val="19"/>
          <w:vertAlign w:val="baseline"/>
        </w:rPr>
        <w:t>economy.</w:t>
      </w:r>
    </w:p>
    <w:p>
      <w:pPr>
        <w:spacing w:line="237" w:lineRule="auto" w:before="0"/>
        <w:ind w:left="187" w:right="563" w:firstLine="0"/>
        <w:jc w:val="left"/>
        <w:rPr>
          <w:rFonts w:ascii="Times New Roman" w:hAnsi="Times New Roman"/>
          <w:sz w:val="19"/>
        </w:rPr>
      </w:pPr>
      <w:r>
        <w:rPr>
          <w:rFonts w:ascii="Times New Roman" w:hAnsi="Times New Roman"/>
          <w:sz w:val="19"/>
          <w:vertAlign w:val="superscript"/>
        </w:rPr>
        <w:t>24</w:t>
      </w:r>
      <w:r>
        <w:rPr>
          <w:rFonts w:ascii="Times New Roman" w:hAnsi="Times New Roman"/>
          <w:spacing w:val="-1"/>
          <w:sz w:val="19"/>
          <w:vertAlign w:val="baseline"/>
        </w:rPr>
        <w:t> </w:t>
      </w:r>
      <w:r>
        <w:rPr>
          <w:rFonts w:ascii="Times New Roman" w:hAnsi="Times New Roman"/>
          <w:sz w:val="19"/>
          <w:vertAlign w:val="baseline"/>
        </w:rPr>
        <w:t>See</w:t>
      </w:r>
      <w:r>
        <w:rPr>
          <w:rFonts w:ascii="Times New Roman" w:hAnsi="Times New Roman"/>
          <w:spacing w:val="-3"/>
          <w:sz w:val="19"/>
          <w:vertAlign w:val="baseline"/>
        </w:rPr>
        <w:t> </w:t>
      </w:r>
      <w:r>
        <w:rPr>
          <w:rFonts w:ascii="Times New Roman" w:hAnsi="Times New Roman"/>
          <w:sz w:val="19"/>
          <w:vertAlign w:val="baseline"/>
        </w:rPr>
        <w:t>section</w:t>
      </w:r>
      <w:r>
        <w:rPr>
          <w:rFonts w:ascii="Times New Roman" w:hAnsi="Times New Roman"/>
          <w:spacing w:val="-1"/>
          <w:sz w:val="19"/>
          <w:vertAlign w:val="baseline"/>
        </w:rPr>
        <w:t> </w:t>
      </w:r>
      <w:r>
        <w:rPr>
          <w:rFonts w:ascii="Times New Roman" w:hAnsi="Times New Roman"/>
          <w:sz w:val="19"/>
          <w:vertAlign w:val="baseline"/>
        </w:rPr>
        <w:t>73</w:t>
      </w:r>
      <w:r>
        <w:rPr>
          <w:rFonts w:ascii="Times New Roman" w:hAnsi="Times New Roman"/>
          <w:spacing w:val="-9"/>
          <w:sz w:val="19"/>
          <w:vertAlign w:val="baseline"/>
        </w:rPr>
        <w:t> </w:t>
      </w:r>
      <w:r>
        <w:rPr>
          <w:rFonts w:ascii="Times New Roman" w:hAnsi="Times New Roman"/>
          <w:sz w:val="19"/>
          <w:vertAlign w:val="baseline"/>
        </w:rPr>
        <w:t>of</w:t>
      </w:r>
      <w:r>
        <w:rPr>
          <w:rFonts w:ascii="Times New Roman" w:hAnsi="Times New Roman"/>
          <w:spacing w:val="-7"/>
          <w:sz w:val="19"/>
          <w:vertAlign w:val="baseline"/>
        </w:rPr>
        <w:t> </w:t>
      </w:r>
      <w:r>
        <w:rPr>
          <w:rFonts w:ascii="Times New Roman" w:hAnsi="Times New Roman"/>
          <w:sz w:val="19"/>
          <w:vertAlign w:val="baseline"/>
        </w:rPr>
        <w:t>the</w:t>
      </w:r>
      <w:r>
        <w:rPr>
          <w:rFonts w:ascii="Times New Roman" w:hAnsi="Times New Roman"/>
          <w:spacing w:val="-8"/>
          <w:sz w:val="19"/>
          <w:vertAlign w:val="baseline"/>
        </w:rPr>
        <w:t> </w:t>
      </w:r>
      <w:r>
        <w:rPr>
          <w:rFonts w:ascii="Times New Roman" w:hAnsi="Times New Roman"/>
          <w:sz w:val="19"/>
          <w:vertAlign w:val="baseline"/>
        </w:rPr>
        <w:t>Act</w:t>
      </w:r>
      <w:r>
        <w:rPr>
          <w:rFonts w:ascii="Times New Roman" w:hAnsi="Times New Roman"/>
          <w:spacing w:val="-6"/>
          <w:sz w:val="19"/>
          <w:vertAlign w:val="baseline"/>
        </w:rPr>
        <w:t> </w:t>
      </w:r>
      <w:r>
        <w:rPr>
          <w:rFonts w:ascii="Times New Roman" w:hAnsi="Times New Roman"/>
          <w:i/>
          <w:sz w:val="19"/>
          <w:vertAlign w:val="baseline"/>
        </w:rPr>
        <w:t>op</w:t>
      </w:r>
      <w:r>
        <w:rPr>
          <w:rFonts w:ascii="Times New Roman" w:hAnsi="Times New Roman"/>
          <w:i/>
          <w:spacing w:val="-9"/>
          <w:sz w:val="19"/>
          <w:vertAlign w:val="baseline"/>
        </w:rPr>
        <w:t> </w:t>
      </w:r>
      <w:r>
        <w:rPr>
          <w:rFonts w:ascii="Times New Roman" w:hAnsi="Times New Roman"/>
          <w:i/>
          <w:sz w:val="19"/>
          <w:vertAlign w:val="baseline"/>
        </w:rPr>
        <w:t>cit</w:t>
      </w:r>
      <w:r>
        <w:rPr>
          <w:rFonts w:ascii="Times New Roman" w:hAnsi="Times New Roman"/>
          <w:i/>
          <w:spacing w:val="-2"/>
          <w:sz w:val="19"/>
          <w:vertAlign w:val="baseline"/>
        </w:rPr>
        <w:t> </w:t>
      </w:r>
      <w:r>
        <w:rPr>
          <w:rFonts w:ascii="Times New Roman" w:hAnsi="Times New Roman"/>
          <w:sz w:val="19"/>
          <w:vertAlign w:val="baseline"/>
        </w:rPr>
        <w:t>which</w:t>
      </w:r>
      <w:r>
        <w:rPr>
          <w:rFonts w:ascii="Times New Roman" w:hAnsi="Times New Roman"/>
          <w:spacing w:val="-1"/>
          <w:sz w:val="19"/>
          <w:vertAlign w:val="baseline"/>
        </w:rPr>
        <w:t> </w:t>
      </w:r>
      <w:r>
        <w:rPr>
          <w:rFonts w:ascii="Times New Roman" w:hAnsi="Times New Roman"/>
          <w:sz w:val="19"/>
          <w:vertAlign w:val="baseline"/>
        </w:rPr>
        <w:t>defines</w:t>
      </w:r>
      <w:r>
        <w:rPr>
          <w:rFonts w:ascii="Times New Roman" w:hAnsi="Times New Roman"/>
          <w:spacing w:val="-8"/>
          <w:sz w:val="19"/>
          <w:vertAlign w:val="baseline"/>
        </w:rPr>
        <w:t> </w:t>
      </w:r>
      <w:r>
        <w:rPr>
          <w:rFonts w:ascii="Times New Roman" w:hAnsi="Times New Roman"/>
          <w:sz w:val="19"/>
          <w:vertAlign w:val="baseline"/>
        </w:rPr>
        <w:t>the</w:t>
      </w:r>
      <w:r>
        <w:rPr>
          <w:rFonts w:ascii="Times New Roman" w:hAnsi="Times New Roman"/>
          <w:spacing w:val="-8"/>
          <w:sz w:val="19"/>
          <w:vertAlign w:val="baseline"/>
        </w:rPr>
        <w:t> </w:t>
      </w:r>
      <w:r>
        <w:rPr>
          <w:rFonts w:ascii="Times New Roman" w:hAnsi="Times New Roman"/>
          <w:sz w:val="19"/>
          <w:vertAlign w:val="baseline"/>
        </w:rPr>
        <w:t>term</w:t>
      </w:r>
      <w:r>
        <w:rPr>
          <w:rFonts w:ascii="Times New Roman" w:hAnsi="Times New Roman"/>
          <w:spacing w:val="-5"/>
          <w:sz w:val="19"/>
          <w:vertAlign w:val="baseline"/>
        </w:rPr>
        <w:t> </w:t>
      </w:r>
      <w:r>
        <w:rPr>
          <w:rFonts w:ascii="Times New Roman" w:hAnsi="Times New Roman"/>
          <w:sz w:val="19"/>
          <w:vertAlign w:val="baseline"/>
        </w:rPr>
        <w:t>“employee”</w:t>
      </w:r>
      <w:r>
        <w:rPr>
          <w:rFonts w:ascii="Times New Roman" w:hAnsi="Times New Roman"/>
          <w:spacing w:val="-3"/>
          <w:sz w:val="19"/>
          <w:vertAlign w:val="baseline"/>
        </w:rPr>
        <w:t> </w:t>
      </w:r>
      <w:r>
        <w:rPr>
          <w:rFonts w:ascii="Times New Roman" w:hAnsi="Times New Roman"/>
          <w:sz w:val="19"/>
          <w:vertAlign w:val="baseline"/>
        </w:rPr>
        <w:t>to</w:t>
      </w:r>
      <w:r>
        <w:rPr>
          <w:rFonts w:ascii="Times New Roman" w:hAnsi="Times New Roman"/>
          <w:spacing w:val="-9"/>
          <w:sz w:val="19"/>
          <w:vertAlign w:val="baseline"/>
        </w:rPr>
        <w:t> </w:t>
      </w:r>
      <w:r>
        <w:rPr>
          <w:rFonts w:ascii="Times New Roman" w:hAnsi="Times New Roman"/>
          <w:sz w:val="19"/>
          <w:vertAlign w:val="baseline"/>
        </w:rPr>
        <w:t>include</w:t>
      </w:r>
      <w:r>
        <w:rPr>
          <w:rFonts w:ascii="Times New Roman" w:hAnsi="Times New Roman"/>
          <w:spacing w:val="-12"/>
          <w:sz w:val="19"/>
          <w:vertAlign w:val="baseline"/>
        </w:rPr>
        <w:t> </w:t>
      </w:r>
      <w:r>
        <w:rPr>
          <w:rFonts w:ascii="Times New Roman" w:hAnsi="Times New Roman"/>
          <w:sz w:val="19"/>
          <w:vertAlign w:val="baseline"/>
        </w:rPr>
        <w:t>a</w:t>
      </w:r>
      <w:r>
        <w:rPr>
          <w:rFonts w:ascii="Times New Roman" w:hAnsi="Times New Roman"/>
          <w:spacing w:val="-4"/>
          <w:sz w:val="19"/>
          <w:vertAlign w:val="baseline"/>
        </w:rPr>
        <w:t> </w:t>
      </w:r>
      <w:r>
        <w:rPr>
          <w:rFonts w:ascii="Times New Roman" w:hAnsi="Times New Roman"/>
          <w:sz w:val="19"/>
          <w:vertAlign w:val="baseline"/>
        </w:rPr>
        <w:t>domestic</w:t>
      </w:r>
      <w:r>
        <w:rPr>
          <w:rFonts w:ascii="Times New Roman" w:hAnsi="Times New Roman"/>
          <w:spacing w:val="-3"/>
          <w:sz w:val="19"/>
          <w:vertAlign w:val="baseline"/>
        </w:rPr>
        <w:t> </w:t>
      </w:r>
      <w:r>
        <w:rPr>
          <w:rFonts w:ascii="Times New Roman" w:hAnsi="Times New Roman"/>
          <w:sz w:val="19"/>
          <w:vertAlign w:val="baseline"/>
        </w:rPr>
        <w:t>servant</w:t>
      </w:r>
      <w:r>
        <w:rPr>
          <w:rFonts w:ascii="Times New Roman" w:hAnsi="Times New Roman"/>
          <w:spacing w:val="-6"/>
          <w:sz w:val="19"/>
          <w:vertAlign w:val="baseline"/>
        </w:rPr>
        <w:t> </w:t>
      </w:r>
      <w:r>
        <w:rPr>
          <w:rFonts w:ascii="Times New Roman" w:hAnsi="Times New Roman"/>
          <w:sz w:val="19"/>
          <w:vertAlign w:val="baseline"/>
        </w:rPr>
        <w:t>who</w:t>
      </w:r>
      <w:r>
        <w:rPr>
          <w:rFonts w:ascii="Times New Roman" w:hAnsi="Times New Roman"/>
          <w:spacing w:val="-9"/>
          <w:sz w:val="19"/>
          <w:vertAlign w:val="baseline"/>
        </w:rPr>
        <w:t> </w:t>
      </w:r>
      <w:r>
        <w:rPr>
          <w:rFonts w:ascii="Times New Roman" w:hAnsi="Times New Roman"/>
          <w:sz w:val="19"/>
          <w:vertAlign w:val="baseline"/>
        </w:rPr>
        <w:t>is</w:t>
      </w:r>
      <w:r>
        <w:rPr>
          <w:rFonts w:ascii="Times New Roman" w:hAnsi="Times New Roman"/>
          <w:spacing w:val="-8"/>
          <w:sz w:val="19"/>
          <w:vertAlign w:val="baseline"/>
        </w:rPr>
        <w:t> </w:t>
      </w:r>
      <w:r>
        <w:rPr>
          <w:rFonts w:ascii="Times New Roman" w:hAnsi="Times New Roman"/>
          <w:sz w:val="19"/>
          <w:vertAlign w:val="baseline"/>
        </w:rPr>
        <w:t>not</w:t>
      </w:r>
      <w:r>
        <w:rPr>
          <w:rFonts w:ascii="Times New Roman" w:hAnsi="Times New Roman"/>
          <w:spacing w:val="-6"/>
          <w:sz w:val="19"/>
          <w:vertAlign w:val="baseline"/>
        </w:rPr>
        <w:t> </w:t>
      </w:r>
      <w:r>
        <w:rPr>
          <w:rFonts w:ascii="Times New Roman" w:hAnsi="Times New Roman"/>
          <w:sz w:val="19"/>
          <w:vertAlign w:val="baseline"/>
        </w:rPr>
        <w:t>a member of the family</w:t>
      </w:r>
      <w:r>
        <w:rPr>
          <w:rFonts w:ascii="Times New Roman" w:hAnsi="Times New Roman"/>
          <w:spacing w:val="-6"/>
          <w:sz w:val="19"/>
          <w:vertAlign w:val="baseline"/>
        </w:rPr>
        <w:t> </w:t>
      </w:r>
      <w:r>
        <w:rPr>
          <w:rFonts w:ascii="Times New Roman" w:hAnsi="Times New Roman"/>
          <w:sz w:val="19"/>
          <w:vertAlign w:val="baseline"/>
        </w:rPr>
        <w:t>of the employer.” No</w:t>
      </w:r>
      <w:r>
        <w:rPr>
          <w:rFonts w:ascii="Times New Roman" w:hAnsi="Times New Roman"/>
          <w:spacing w:val="-1"/>
          <w:sz w:val="19"/>
          <w:vertAlign w:val="baseline"/>
        </w:rPr>
        <w:t> </w:t>
      </w:r>
      <w:r>
        <w:rPr>
          <w:rFonts w:ascii="Times New Roman" w:hAnsi="Times New Roman"/>
          <w:sz w:val="19"/>
          <w:vertAlign w:val="baseline"/>
        </w:rPr>
        <w:t>place in the Act</w:t>
      </w:r>
      <w:r>
        <w:rPr>
          <w:rFonts w:ascii="Times New Roman" w:hAnsi="Times New Roman"/>
          <w:spacing w:val="-2"/>
          <w:sz w:val="19"/>
          <w:vertAlign w:val="baseline"/>
        </w:rPr>
        <w:t> </w:t>
      </w:r>
      <w:r>
        <w:rPr>
          <w:rFonts w:ascii="Times New Roman" w:hAnsi="Times New Roman"/>
          <w:sz w:val="19"/>
          <w:vertAlign w:val="baseline"/>
        </w:rPr>
        <w:t>defines the term “member of</w:t>
      </w:r>
      <w:r>
        <w:rPr>
          <w:rFonts w:ascii="Times New Roman" w:hAnsi="Times New Roman"/>
          <w:spacing w:val="-3"/>
          <w:sz w:val="19"/>
          <w:vertAlign w:val="baseline"/>
        </w:rPr>
        <w:t> </w:t>
      </w:r>
      <w:r>
        <w:rPr>
          <w:rFonts w:ascii="Times New Roman" w:hAnsi="Times New Roman"/>
          <w:sz w:val="19"/>
          <w:vertAlign w:val="baseline"/>
        </w:rPr>
        <w:t>the family</w:t>
      </w:r>
      <w:r>
        <w:rPr>
          <w:rFonts w:ascii="Times New Roman" w:hAnsi="Times New Roman"/>
          <w:spacing w:val="-6"/>
          <w:sz w:val="19"/>
          <w:vertAlign w:val="baseline"/>
        </w:rPr>
        <w:t> </w:t>
      </w:r>
      <w:r>
        <w:rPr>
          <w:rFonts w:ascii="Times New Roman" w:hAnsi="Times New Roman"/>
          <w:sz w:val="19"/>
          <w:vertAlign w:val="baseline"/>
        </w:rPr>
        <w:t>of </w:t>
      </w:r>
      <w:r>
        <w:rPr>
          <w:rFonts w:ascii="Times New Roman" w:hAnsi="Times New Roman"/>
          <w:spacing w:val="-2"/>
          <w:sz w:val="19"/>
          <w:vertAlign w:val="baseline"/>
        </w:rPr>
        <w:t>employers.”</w:t>
      </w:r>
    </w:p>
    <w:p>
      <w:pPr>
        <w:spacing w:line="216" w:lineRule="exact" w:before="0"/>
        <w:ind w:left="187" w:right="0" w:firstLine="0"/>
        <w:jc w:val="left"/>
        <w:rPr>
          <w:rFonts w:ascii="Times New Roman"/>
          <w:sz w:val="19"/>
        </w:rPr>
      </w:pPr>
      <w:r>
        <w:rPr>
          <w:rFonts w:ascii="Times New Roman"/>
          <w:sz w:val="19"/>
          <w:vertAlign w:val="superscript"/>
        </w:rPr>
        <w:t>25</w:t>
      </w:r>
      <w:r>
        <w:rPr>
          <w:rFonts w:ascii="Times New Roman"/>
          <w:spacing w:val="-4"/>
          <w:sz w:val="19"/>
          <w:vertAlign w:val="baseline"/>
        </w:rPr>
        <w:t> </w:t>
      </w:r>
      <w:r>
        <w:rPr>
          <w:rFonts w:ascii="Times New Roman"/>
          <w:sz w:val="19"/>
          <w:vertAlign w:val="baseline"/>
        </w:rPr>
        <w:t>Section</w:t>
      </w:r>
      <w:r>
        <w:rPr>
          <w:rFonts w:ascii="Times New Roman"/>
          <w:spacing w:val="-1"/>
          <w:sz w:val="19"/>
          <w:vertAlign w:val="baseline"/>
        </w:rPr>
        <w:t> </w:t>
      </w:r>
      <w:r>
        <w:rPr>
          <w:rFonts w:ascii="Times New Roman"/>
          <w:sz w:val="19"/>
          <w:vertAlign w:val="baseline"/>
        </w:rPr>
        <w:t>31</w:t>
      </w:r>
      <w:r>
        <w:rPr>
          <w:rFonts w:ascii="Times New Roman"/>
          <w:spacing w:val="-5"/>
          <w:sz w:val="19"/>
          <w:vertAlign w:val="baseline"/>
        </w:rPr>
        <w:t> </w:t>
      </w:r>
      <w:r>
        <w:rPr>
          <w:rFonts w:ascii="Times New Roman"/>
          <w:sz w:val="19"/>
          <w:vertAlign w:val="baseline"/>
        </w:rPr>
        <w:t>(c),</w:t>
      </w:r>
      <w:r>
        <w:rPr>
          <w:rFonts w:ascii="Times New Roman"/>
          <w:spacing w:val="-10"/>
          <w:sz w:val="19"/>
          <w:vertAlign w:val="baseline"/>
        </w:rPr>
        <w:t> </w:t>
      </w:r>
      <w:r>
        <w:rPr>
          <w:rFonts w:ascii="Times New Roman"/>
          <w:sz w:val="19"/>
          <w:vertAlign w:val="baseline"/>
        </w:rPr>
        <w:t>56</w:t>
      </w:r>
      <w:r>
        <w:rPr>
          <w:rFonts w:ascii="Times New Roman"/>
          <w:spacing w:val="-12"/>
          <w:sz w:val="19"/>
          <w:vertAlign w:val="baseline"/>
        </w:rPr>
        <w:t> </w:t>
      </w:r>
      <w:r>
        <w:rPr>
          <w:rFonts w:ascii="Times New Roman"/>
          <w:sz w:val="19"/>
          <w:vertAlign w:val="baseline"/>
        </w:rPr>
        <w:t>and</w:t>
      </w:r>
      <w:r>
        <w:rPr>
          <w:rFonts w:ascii="Times New Roman"/>
          <w:spacing w:val="-9"/>
          <w:sz w:val="19"/>
          <w:vertAlign w:val="baseline"/>
        </w:rPr>
        <w:t> </w:t>
      </w:r>
      <w:r>
        <w:rPr>
          <w:rFonts w:ascii="Times New Roman"/>
          <w:i/>
          <w:sz w:val="19"/>
          <w:vertAlign w:val="baseline"/>
        </w:rPr>
        <w:t>57</w:t>
      </w:r>
      <w:r>
        <w:rPr>
          <w:rFonts w:ascii="Times New Roman"/>
          <w:i/>
          <w:spacing w:val="-8"/>
          <w:sz w:val="19"/>
          <w:vertAlign w:val="baseline"/>
        </w:rPr>
        <w:t> </w:t>
      </w:r>
      <w:r>
        <w:rPr>
          <w:rFonts w:ascii="Times New Roman"/>
          <w:i/>
          <w:sz w:val="19"/>
          <w:vertAlign w:val="baseline"/>
        </w:rPr>
        <w:t>ibid</w:t>
      </w:r>
      <w:r>
        <w:rPr>
          <w:rFonts w:ascii="Times New Roman"/>
          <w:i/>
          <w:spacing w:val="-5"/>
          <w:sz w:val="19"/>
          <w:vertAlign w:val="baseline"/>
        </w:rPr>
        <w:t> </w:t>
      </w:r>
      <w:r>
        <w:rPr>
          <w:rFonts w:ascii="Times New Roman"/>
          <w:sz w:val="19"/>
          <w:vertAlign w:val="baseline"/>
        </w:rPr>
        <w:t>which</w:t>
      </w:r>
      <w:r>
        <w:rPr>
          <w:rFonts w:ascii="Times New Roman"/>
          <w:spacing w:val="-4"/>
          <w:sz w:val="19"/>
          <w:vertAlign w:val="baseline"/>
        </w:rPr>
        <w:t> </w:t>
      </w:r>
      <w:r>
        <w:rPr>
          <w:rFonts w:ascii="Times New Roman"/>
          <w:sz w:val="19"/>
          <w:vertAlign w:val="baseline"/>
        </w:rPr>
        <w:t>empower</w:t>
      </w:r>
      <w:r>
        <w:rPr>
          <w:rFonts w:ascii="Times New Roman"/>
          <w:spacing w:val="1"/>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z w:val="19"/>
          <w:vertAlign w:val="baseline"/>
        </w:rPr>
        <w:t>Board</w:t>
      </w:r>
      <w:r>
        <w:rPr>
          <w:rFonts w:ascii="Times New Roman"/>
          <w:spacing w:val="-8"/>
          <w:sz w:val="19"/>
          <w:vertAlign w:val="baseline"/>
        </w:rPr>
        <w:t> </w:t>
      </w:r>
      <w:r>
        <w:rPr>
          <w:rFonts w:ascii="Times New Roman"/>
          <w:sz w:val="19"/>
          <w:vertAlign w:val="baseline"/>
        </w:rPr>
        <w:t>to</w:t>
      </w:r>
      <w:r>
        <w:rPr>
          <w:rFonts w:ascii="Times New Roman"/>
          <w:spacing w:val="-12"/>
          <w:sz w:val="19"/>
          <w:vertAlign w:val="baseline"/>
        </w:rPr>
        <w:t> </w:t>
      </w:r>
      <w:r>
        <w:rPr>
          <w:rFonts w:ascii="Times New Roman"/>
          <w:sz w:val="19"/>
          <w:vertAlign w:val="baseline"/>
        </w:rPr>
        <w:t>manage</w:t>
      </w:r>
      <w:r>
        <w:rPr>
          <w:rFonts w:ascii="Times New Roman"/>
          <w:spacing w:val="-8"/>
          <w:sz w:val="19"/>
          <w:vertAlign w:val="baseline"/>
        </w:rPr>
        <w:t> </w:t>
      </w:r>
      <w:r>
        <w:rPr>
          <w:rFonts w:ascii="Times New Roman"/>
          <w:sz w:val="19"/>
          <w:vertAlign w:val="baseline"/>
        </w:rPr>
        <w:t>the</w:t>
      </w:r>
      <w:r>
        <w:rPr>
          <w:rFonts w:ascii="Times New Roman"/>
          <w:spacing w:val="-8"/>
          <w:sz w:val="19"/>
          <w:vertAlign w:val="baseline"/>
        </w:rPr>
        <w:t> </w:t>
      </w:r>
      <w:r>
        <w:rPr>
          <w:rFonts w:ascii="Times New Roman"/>
          <w:spacing w:val="-2"/>
          <w:sz w:val="19"/>
          <w:vertAlign w:val="baseline"/>
        </w:rPr>
        <w:t>Fund.</w:t>
      </w:r>
    </w:p>
    <w:p>
      <w:pPr>
        <w:spacing w:after="0" w:line="216" w:lineRule="exact"/>
        <w:jc w:val="left"/>
        <w:rPr>
          <w:rFonts w:ascii="Times New Roman"/>
          <w:sz w:val="19"/>
        </w:rPr>
        <w:sectPr>
          <w:pgSz w:w="12240" w:h="15840"/>
          <w:pgMar w:header="0" w:footer="1009" w:top="1240" w:bottom="1200" w:left="1680" w:right="1320"/>
        </w:sectPr>
      </w:pPr>
    </w:p>
    <w:p>
      <w:pPr>
        <w:pStyle w:val="BodyText"/>
        <w:spacing w:line="489" w:lineRule="auto" w:before="94"/>
        <w:ind w:left="1540" w:right="573"/>
        <w:jc w:val="both"/>
      </w:pPr>
      <w:r>
        <w:rPr/>
        <w:t>fix</w:t>
      </w:r>
      <w:r>
        <w:rPr>
          <w:spacing w:val="40"/>
        </w:rPr>
        <w:t> </w:t>
      </w:r>
      <w:r>
        <w:rPr/>
        <w:t>the</w:t>
      </w:r>
      <w:r>
        <w:rPr>
          <w:spacing w:val="40"/>
        </w:rPr>
        <w:t> </w:t>
      </w:r>
      <w:r>
        <w:rPr/>
        <w:t>terms</w:t>
      </w:r>
      <w:r>
        <w:rPr>
          <w:spacing w:val="40"/>
        </w:rPr>
        <w:t> </w:t>
      </w:r>
      <w:r>
        <w:rPr/>
        <w:t>and</w:t>
      </w:r>
      <w:r>
        <w:rPr>
          <w:spacing w:val="40"/>
        </w:rPr>
        <w:t> </w:t>
      </w:r>
      <w:r>
        <w:rPr/>
        <w:t>conditions</w:t>
      </w:r>
      <w:r>
        <w:rPr>
          <w:spacing w:val="40"/>
        </w:rPr>
        <w:t> </w:t>
      </w:r>
      <w:r>
        <w:rPr/>
        <w:t>ov(service</w:t>
      </w:r>
      <w:r>
        <w:rPr>
          <w:spacing w:val="40"/>
        </w:rPr>
        <w:t> </w:t>
      </w:r>
      <w:r>
        <w:rPr/>
        <w:t>including</w:t>
      </w:r>
      <w:r>
        <w:rPr>
          <w:spacing w:val="40"/>
        </w:rPr>
        <w:t> </w:t>
      </w:r>
      <w:r>
        <w:rPr/>
        <w:t>the</w:t>
      </w:r>
      <w:r>
        <w:rPr>
          <w:spacing w:val="40"/>
        </w:rPr>
        <w:t> </w:t>
      </w:r>
      <w:r>
        <w:rPr/>
        <w:t>remuneration of the employees of the Fund.</w:t>
      </w:r>
    </w:p>
    <w:p>
      <w:pPr>
        <w:pStyle w:val="ListParagraph"/>
        <w:numPr>
          <w:ilvl w:val="2"/>
          <w:numId w:val="22"/>
        </w:numPr>
        <w:tabs>
          <w:tab w:pos="1452" w:val="left" w:leader="none"/>
          <w:tab w:pos="1454" w:val="left" w:leader="none"/>
        </w:tabs>
        <w:spacing w:line="489" w:lineRule="auto" w:before="0" w:after="0"/>
        <w:ind w:left="1454" w:right="566" w:hanging="591"/>
        <w:jc w:val="both"/>
        <w:rPr>
          <w:sz w:val="23"/>
        </w:rPr>
      </w:pPr>
      <w:r>
        <w:rPr>
          <w:sz w:val="23"/>
        </w:rPr>
        <w:t>The Act provides that compensation for temporary partial disability</w:t>
      </w:r>
      <w:r>
        <w:rPr>
          <w:spacing w:val="40"/>
          <w:sz w:val="23"/>
        </w:rPr>
        <w:t> </w:t>
      </w:r>
      <w:r>
        <w:rPr>
          <w:sz w:val="23"/>
        </w:rPr>
        <w:t>and</w:t>
      </w:r>
      <w:r>
        <w:rPr>
          <w:spacing w:val="40"/>
          <w:sz w:val="23"/>
        </w:rPr>
        <w:t> </w:t>
      </w:r>
      <w:r>
        <w:rPr>
          <w:sz w:val="23"/>
        </w:rPr>
        <w:t>temporary</w:t>
      </w:r>
      <w:r>
        <w:rPr>
          <w:spacing w:val="40"/>
          <w:sz w:val="23"/>
        </w:rPr>
        <w:t> </w:t>
      </w:r>
      <w:r>
        <w:rPr>
          <w:sz w:val="23"/>
        </w:rPr>
        <w:t>total</w:t>
      </w:r>
      <w:r>
        <w:rPr>
          <w:spacing w:val="40"/>
          <w:sz w:val="23"/>
        </w:rPr>
        <w:t> </w:t>
      </w:r>
      <w:r>
        <w:rPr>
          <w:sz w:val="23"/>
        </w:rPr>
        <w:t>disability</w:t>
      </w:r>
      <w:r>
        <w:rPr>
          <w:spacing w:val="40"/>
          <w:sz w:val="23"/>
        </w:rPr>
        <w:t> </w:t>
      </w:r>
      <w:r>
        <w:rPr>
          <w:sz w:val="23"/>
        </w:rPr>
        <w:t>are</w:t>
      </w:r>
      <w:r>
        <w:rPr>
          <w:spacing w:val="40"/>
          <w:sz w:val="23"/>
        </w:rPr>
        <w:t> </w:t>
      </w:r>
      <w:r>
        <w:rPr>
          <w:sz w:val="23"/>
        </w:rPr>
        <w:t>discretionary</w:t>
      </w:r>
      <w:r>
        <w:rPr>
          <w:spacing w:val="40"/>
          <w:sz w:val="23"/>
        </w:rPr>
        <w:t> </w:t>
      </w:r>
      <w:r>
        <w:rPr>
          <w:sz w:val="23"/>
        </w:rPr>
        <w:t>and</w:t>
      </w:r>
      <w:r>
        <w:rPr>
          <w:spacing w:val="40"/>
          <w:sz w:val="23"/>
        </w:rPr>
        <w:t> </w:t>
      </w:r>
      <w:r>
        <w:rPr>
          <w:sz w:val="23"/>
        </w:rPr>
        <w:t>does</w:t>
      </w:r>
      <w:r>
        <w:rPr>
          <w:spacing w:val="40"/>
          <w:sz w:val="23"/>
        </w:rPr>
        <w:t> </w:t>
      </w:r>
      <w:r>
        <w:rPr>
          <w:sz w:val="23"/>
        </w:rPr>
        <w:t>not</w:t>
      </w:r>
      <w:r>
        <w:rPr>
          <w:spacing w:val="40"/>
          <w:sz w:val="23"/>
        </w:rPr>
        <w:t> </w:t>
      </w:r>
      <w:r>
        <w:rPr>
          <w:sz w:val="23"/>
        </w:rPr>
        <w:t>state any specific amount or in any way give an idea as to the amount of money that will be paid in the circumstances but merely subjects this to regulations made by the Board or the Second Schedule to the Act</w:t>
      </w:r>
      <w:r>
        <w:rPr>
          <w:sz w:val="23"/>
          <w:vertAlign w:val="superscript"/>
        </w:rPr>
        <w:t>26</w:t>
      </w:r>
      <w:r>
        <w:rPr>
          <w:sz w:val="23"/>
          <w:vertAlign w:val="baseline"/>
        </w:rPr>
        <w:t>.While the said Schedule lists various types of injuries with their corresponding degrees of rating, it does not give any idea of the amounts to be paid as compensation. Interview conducted has revealed</w:t>
      </w:r>
      <w:r>
        <w:rPr>
          <w:spacing w:val="40"/>
          <w:sz w:val="23"/>
          <w:vertAlign w:val="baseline"/>
        </w:rPr>
        <w:t> </w:t>
      </w:r>
      <w:r>
        <w:rPr>
          <w:sz w:val="23"/>
          <w:vertAlign w:val="baseline"/>
        </w:rPr>
        <w:t>that</w:t>
      </w:r>
      <w:r>
        <w:rPr>
          <w:spacing w:val="40"/>
          <w:sz w:val="23"/>
          <w:vertAlign w:val="baseline"/>
        </w:rPr>
        <w:t> </w:t>
      </w:r>
      <w:r>
        <w:rPr>
          <w:sz w:val="23"/>
          <w:vertAlign w:val="baseline"/>
        </w:rPr>
        <w:t>there</w:t>
      </w:r>
      <w:r>
        <w:rPr>
          <w:spacing w:val="40"/>
          <w:sz w:val="23"/>
          <w:vertAlign w:val="baseline"/>
        </w:rPr>
        <w:t> </w:t>
      </w:r>
      <w:r>
        <w:rPr>
          <w:sz w:val="23"/>
          <w:vertAlign w:val="baseline"/>
        </w:rPr>
        <w:t>is</w:t>
      </w:r>
      <w:r>
        <w:rPr>
          <w:spacing w:val="40"/>
          <w:sz w:val="23"/>
          <w:vertAlign w:val="baseline"/>
        </w:rPr>
        <w:t> </w:t>
      </w:r>
      <w:r>
        <w:rPr>
          <w:sz w:val="23"/>
          <w:vertAlign w:val="baseline"/>
        </w:rPr>
        <w:t>no</w:t>
      </w:r>
      <w:r>
        <w:rPr>
          <w:spacing w:val="40"/>
          <w:sz w:val="23"/>
          <w:vertAlign w:val="baseline"/>
        </w:rPr>
        <w:t> </w:t>
      </w:r>
      <w:r>
        <w:rPr>
          <w:sz w:val="23"/>
          <w:vertAlign w:val="baseline"/>
        </w:rPr>
        <w:t>Regulation</w:t>
      </w:r>
      <w:r>
        <w:rPr>
          <w:spacing w:val="40"/>
          <w:sz w:val="23"/>
          <w:vertAlign w:val="baseline"/>
        </w:rPr>
        <w:t> </w:t>
      </w:r>
      <w:r>
        <w:rPr>
          <w:sz w:val="23"/>
          <w:vertAlign w:val="baseline"/>
        </w:rPr>
        <w:t>made</w:t>
      </w:r>
      <w:r>
        <w:rPr>
          <w:spacing w:val="40"/>
          <w:sz w:val="23"/>
          <w:vertAlign w:val="baseline"/>
        </w:rPr>
        <w:t> </w:t>
      </w:r>
      <w:r>
        <w:rPr>
          <w:sz w:val="23"/>
          <w:vertAlign w:val="baseline"/>
        </w:rPr>
        <w:t>by</w:t>
      </w:r>
      <w:r>
        <w:rPr>
          <w:spacing w:val="40"/>
          <w:sz w:val="23"/>
          <w:vertAlign w:val="baseline"/>
        </w:rPr>
        <w:t> </w:t>
      </w:r>
      <w:r>
        <w:rPr>
          <w:sz w:val="23"/>
          <w:vertAlign w:val="baseline"/>
        </w:rPr>
        <w:t>the</w:t>
      </w:r>
      <w:r>
        <w:rPr>
          <w:spacing w:val="40"/>
          <w:sz w:val="23"/>
          <w:vertAlign w:val="baseline"/>
        </w:rPr>
        <w:t> </w:t>
      </w:r>
      <w:r>
        <w:rPr>
          <w:sz w:val="23"/>
          <w:vertAlign w:val="baseline"/>
        </w:rPr>
        <w:t>Board</w:t>
      </w:r>
      <w:r>
        <w:rPr>
          <w:spacing w:val="40"/>
          <w:sz w:val="23"/>
          <w:vertAlign w:val="baseline"/>
        </w:rPr>
        <w:t> </w:t>
      </w:r>
      <w:r>
        <w:rPr>
          <w:sz w:val="23"/>
          <w:vertAlign w:val="baseline"/>
        </w:rPr>
        <w:t>yet</w:t>
      </w:r>
      <w:r>
        <w:rPr>
          <w:spacing w:val="39"/>
          <w:sz w:val="23"/>
          <w:vertAlign w:val="baseline"/>
        </w:rPr>
        <w:t> </w:t>
      </w:r>
      <w:r>
        <w:rPr>
          <w:sz w:val="23"/>
          <w:vertAlign w:val="baseline"/>
        </w:rPr>
        <w:t>which will give any idea. Employees who may suffer any incapacity of this nature may not be certain of the amounts of money payable as compensation yet.</w:t>
      </w:r>
    </w:p>
    <w:p>
      <w:pPr>
        <w:pStyle w:val="ListParagraph"/>
        <w:numPr>
          <w:ilvl w:val="2"/>
          <w:numId w:val="22"/>
        </w:numPr>
        <w:tabs>
          <w:tab w:pos="1452" w:val="left" w:leader="none"/>
          <w:tab w:pos="1454" w:val="left" w:leader="none"/>
        </w:tabs>
        <w:spacing w:line="489" w:lineRule="auto" w:before="10" w:after="0"/>
        <w:ind w:left="1454" w:right="568" w:hanging="591"/>
        <w:jc w:val="both"/>
        <w:rPr>
          <w:sz w:val="23"/>
        </w:rPr>
      </w:pPr>
      <w:r>
        <w:rPr>
          <w:sz w:val="23"/>
        </w:rPr>
        <w:t>The</w:t>
      </w:r>
      <w:r>
        <w:rPr>
          <w:spacing w:val="40"/>
          <w:sz w:val="23"/>
        </w:rPr>
        <w:t> </w:t>
      </w:r>
      <w:r>
        <w:rPr>
          <w:sz w:val="23"/>
        </w:rPr>
        <w:t>Act</w:t>
      </w:r>
      <w:r>
        <w:rPr>
          <w:spacing w:val="40"/>
          <w:sz w:val="23"/>
        </w:rPr>
        <w:t> </w:t>
      </w:r>
      <w:r>
        <w:rPr>
          <w:sz w:val="23"/>
        </w:rPr>
        <w:t>defines</w:t>
      </w:r>
      <w:r>
        <w:rPr>
          <w:spacing w:val="40"/>
          <w:sz w:val="23"/>
        </w:rPr>
        <w:t> </w:t>
      </w:r>
      <w:r>
        <w:rPr>
          <w:sz w:val="23"/>
        </w:rPr>
        <w:t>a</w:t>
      </w:r>
      <w:r>
        <w:rPr>
          <w:spacing w:val="40"/>
          <w:sz w:val="23"/>
        </w:rPr>
        <w:t> </w:t>
      </w:r>
      <w:r>
        <w:rPr>
          <w:sz w:val="23"/>
        </w:rPr>
        <w:t>‘spouse</w:t>
      </w:r>
      <w:r>
        <w:rPr>
          <w:spacing w:val="40"/>
          <w:sz w:val="23"/>
        </w:rPr>
        <w:t> </w:t>
      </w:r>
      <w:r>
        <w:rPr>
          <w:sz w:val="23"/>
        </w:rPr>
        <w:t>of</w:t>
      </w:r>
      <w:r>
        <w:rPr>
          <w:spacing w:val="40"/>
          <w:sz w:val="23"/>
        </w:rPr>
        <w:t> </w:t>
      </w:r>
      <w:r>
        <w:rPr>
          <w:sz w:val="23"/>
        </w:rPr>
        <w:t>the</w:t>
      </w:r>
      <w:r>
        <w:rPr>
          <w:spacing w:val="40"/>
          <w:sz w:val="23"/>
        </w:rPr>
        <w:t> </w:t>
      </w:r>
      <w:r>
        <w:rPr>
          <w:sz w:val="23"/>
        </w:rPr>
        <w:t>deceased’</w:t>
      </w:r>
      <w:r>
        <w:rPr>
          <w:spacing w:val="40"/>
          <w:sz w:val="23"/>
        </w:rPr>
        <w:t> </w:t>
      </w:r>
      <w:r>
        <w:rPr>
          <w:sz w:val="23"/>
        </w:rPr>
        <w:t>to</w:t>
      </w:r>
      <w:r>
        <w:rPr>
          <w:spacing w:val="40"/>
          <w:sz w:val="23"/>
        </w:rPr>
        <w:t> </w:t>
      </w:r>
      <w:r>
        <w:rPr>
          <w:sz w:val="23"/>
        </w:rPr>
        <w:t>include</w:t>
      </w:r>
      <w:r>
        <w:rPr>
          <w:spacing w:val="40"/>
          <w:sz w:val="23"/>
        </w:rPr>
        <w:t> </w:t>
      </w:r>
      <w:r>
        <w:rPr>
          <w:sz w:val="23"/>
        </w:rPr>
        <w:t>any</w:t>
      </w:r>
      <w:r>
        <w:rPr>
          <w:spacing w:val="40"/>
          <w:sz w:val="23"/>
        </w:rPr>
        <w:t> </w:t>
      </w:r>
      <w:r>
        <w:rPr>
          <w:sz w:val="23"/>
        </w:rPr>
        <w:t>person with</w:t>
      </w:r>
      <w:r>
        <w:rPr>
          <w:spacing w:val="40"/>
          <w:sz w:val="23"/>
        </w:rPr>
        <w:t> </w:t>
      </w:r>
      <w:r>
        <w:rPr>
          <w:sz w:val="23"/>
        </w:rPr>
        <w:t>whom</w:t>
      </w:r>
      <w:r>
        <w:rPr>
          <w:spacing w:val="40"/>
          <w:sz w:val="23"/>
        </w:rPr>
        <w:t> </w:t>
      </w:r>
      <w:r>
        <w:rPr>
          <w:sz w:val="23"/>
        </w:rPr>
        <w:t>the</w:t>
      </w:r>
      <w:r>
        <w:rPr>
          <w:spacing w:val="40"/>
          <w:sz w:val="23"/>
        </w:rPr>
        <w:t> </w:t>
      </w:r>
      <w:r>
        <w:rPr>
          <w:sz w:val="23"/>
        </w:rPr>
        <w:t>employee</w:t>
      </w:r>
      <w:r>
        <w:rPr>
          <w:spacing w:val="40"/>
          <w:sz w:val="23"/>
        </w:rPr>
        <w:t> </w:t>
      </w:r>
      <w:r>
        <w:rPr>
          <w:sz w:val="23"/>
        </w:rPr>
        <w:t>cohabited</w:t>
      </w:r>
      <w:r>
        <w:rPr>
          <w:spacing w:val="40"/>
          <w:sz w:val="23"/>
        </w:rPr>
        <w:t> </w:t>
      </w:r>
      <w:r>
        <w:rPr>
          <w:sz w:val="23"/>
        </w:rPr>
        <w:t>as</w:t>
      </w:r>
      <w:r>
        <w:rPr>
          <w:spacing w:val="40"/>
          <w:sz w:val="23"/>
        </w:rPr>
        <w:t> </w:t>
      </w:r>
      <w:r>
        <w:rPr>
          <w:sz w:val="23"/>
        </w:rPr>
        <w:t>a</w:t>
      </w:r>
      <w:r>
        <w:rPr>
          <w:spacing w:val="40"/>
          <w:sz w:val="23"/>
        </w:rPr>
        <w:t> </w:t>
      </w:r>
      <w:r>
        <w:rPr>
          <w:sz w:val="23"/>
        </w:rPr>
        <w:t>couple for</w:t>
      </w:r>
      <w:r>
        <w:rPr>
          <w:spacing w:val="40"/>
          <w:sz w:val="23"/>
        </w:rPr>
        <w:t> </w:t>
      </w:r>
      <w:r>
        <w:rPr>
          <w:sz w:val="23"/>
        </w:rPr>
        <w:t>at least 12 months immediately before the death of the employee</w:t>
      </w:r>
      <w:r>
        <w:rPr>
          <w:sz w:val="23"/>
          <w:vertAlign w:val="superscript"/>
        </w:rPr>
        <w:t>27</w:t>
      </w:r>
      <w:r>
        <w:rPr>
          <w:sz w:val="23"/>
          <w:vertAlign w:val="baseline"/>
        </w:rPr>
        <w:t> thereby making</w:t>
      </w:r>
      <w:r>
        <w:rPr>
          <w:spacing w:val="32"/>
          <w:sz w:val="23"/>
          <w:vertAlign w:val="baseline"/>
        </w:rPr>
        <w:t> </w:t>
      </w:r>
      <w:r>
        <w:rPr>
          <w:sz w:val="23"/>
          <w:vertAlign w:val="baseline"/>
        </w:rPr>
        <w:t>a</w:t>
      </w:r>
      <w:r>
        <w:rPr>
          <w:spacing w:val="30"/>
          <w:sz w:val="23"/>
          <w:vertAlign w:val="baseline"/>
        </w:rPr>
        <w:t> </w:t>
      </w:r>
      <w:r>
        <w:rPr>
          <w:sz w:val="23"/>
          <w:vertAlign w:val="baseline"/>
        </w:rPr>
        <w:t>paramour</w:t>
      </w:r>
      <w:r>
        <w:rPr>
          <w:spacing w:val="30"/>
          <w:sz w:val="23"/>
          <w:vertAlign w:val="baseline"/>
        </w:rPr>
        <w:t> </w:t>
      </w:r>
      <w:r>
        <w:rPr>
          <w:sz w:val="23"/>
          <w:vertAlign w:val="baseline"/>
        </w:rPr>
        <w:t>qualify</w:t>
      </w:r>
      <w:r>
        <w:rPr>
          <w:spacing w:val="31"/>
          <w:sz w:val="23"/>
          <w:vertAlign w:val="baseline"/>
        </w:rPr>
        <w:t> </w:t>
      </w:r>
      <w:r>
        <w:rPr>
          <w:sz w:val="23"/>
          <w:vertAlign w:val="baseline"/>
        </w:rPr>
        <w:t>as</w:t>
      </w:r>
      <w:r>
        <w:rPr>
          <w:spacing w:val="33"/>
          <w:sz w:val="23"/>
          <w:vertAlign w:val="baseline"/>
        </w:rPr>
        <w:t> </w:t>
      </w:r>
      <w:r>
        <w:rPr>
          <w:sz w:val="23"/>
          <w:vertAlign w:val="baseline"/>
        </w:rPr>
        <w:t>heir</w:t>
      </w:r>
      <w:r>
        <w:rPr>
          <w:spacing w:val="34"/>
          <w:sz w:val="23"/>
          <w:vertAlign w:val="baseline"/>
        </w:rPr>
        <w:t> </w:t>
      </w:r>
      <w:r>
        <w:rPr>
          <w:sz w:val="23"/>
          <w:vertAlign w:val="baseline"/>
        </w:rPr>
        <w:t>of</w:t>
      </w:r>
      <w:r>
        <w:rPr>
          <w:spacing w:val="30"/>
          <w:sz w:val="23"/>
          <w:vertAlign w:val="baseline"/>
        </w:rPr>
        <w:t> </w:t>
      </w:r>
      <w:r>
        <w:rPr>
          <w:sz w:val="23"/>
          <w:vertAlign w:val="baseline"/>
        </w:rPr>
        <w:t>the</w:t>
      </w:r>
      <w:r>
        <w:rPr>
          <w:spacing w:val="34"/>
          <w:sz w:val="23"/>
          <w:vertAlign w:val="baseline"/>
        </w:rPr>
        <w:t> </w:t>
      </w:r>
      <w:r>
        <w:rPr>
          <w:sz w:val="23"/>
          <w:vertAlign w:val="baseline"/>
        </w:rPr>
        <w:t>employee</w:t>
      </w:r>
      <w:r>
        <w:rPr>
          <w:spacing w:val="29"/>
          <w:sz w:val="23"/>
          <w:vertAlign w:val="baseline"/>
        </w:rPr>
        <w:t> </w:t>
      </w:r>
      <w:r>
        <w:rPr>
          <w:sz w:val="23"/>
          <w:vertAlign w:val="baseline"/>
        </w:rPr>
        <w:t>for</w:t>
      </w:r>
      <w:r>
        <w:rPr>
          <w:spacing w:val="34"/>
          <w:sz w:val="23"/>
          <w:vertAlign w:val="baseline"/>
        </w:rPr>
        <w:t> </w:t>
      </w:r>
      <w:r>
        <w:rPr>
          <w:sz w:val="23"/>
          <w:vertAlign w:val="baseline"/>
        </w:rPr>
        <w:t>the</w:t>
      </w:r>
      <w:r>
        <w:rPr>
          <w:spacing w:val="29"/>
          <w:sz w:val="23"/>
          <w:vertAlign w:val="baseline"/>
        </w:rPr>
        <w:t> </w:t>
      </w:r>
      <w:r>
        <w:rPr>
          <w:sz w:val="23"/>
          <w:vertAlign w:val="baseline"/>
        </w:rPr>
        <w:t>purpose of compensation. This seems to be against public morality.</w:t>
      </w:r>
    </w:p>
    <w:p>
      <w:pPr>
        <w:pStyle w:val="ListParagraph"/>
        <w:numPr>
          <w:ilvl w:val="2"/>
          <w:numId w:val="22"/>
        </w:numPr>
        <w:tabs>
          <w:tab w:pos="1451" w:val="left" w:leader="none"/>
          <w:tab w:pos="1454" w:val="left" w:leader="none"/>
        </w:tabs>
        <w:spacing w:line="489" w:lineRule="auto" w:before="10" w:after="0"/>
        <w:ind w:left="1454" w:right="570" w:hanging="677"/>
        <w:jc w:val="both"/>
        <w:rPr>
          <w:sz w:val="23"/>
        </w:rPr>
      </w:pPr>
      <w:r>
        <w:rPr>
          <w:sz w:val="23"/>
        </w:rPr>
        <w:t>Payment for health care services and disability supports are generally discretionary.</w:t>
      </w:r>
      <w:r>
        <w:rPr>
          <w:spacing w:val="64"/>
          <w:sz w:val="23"/>
        </w:rPr>
        <w:t> </w:t>
      </w:r>
      <w:r>
        <w:rPr>
          <w:sz w:val="23"/>
        </w:rPr>
        <w:t>Only</w:t>
      </w:r>
      <w:r>
        <w:rPr>
          <w:spacing w:val="67"/>
          <w:sz w:val="23"/>
        </w:rPr>
        <w:t> </w:t>
      </w:r>
      <w:r>
        <w:rPr>
          <w:sz w:val="23"/>
        </w:rPr>
        <w:t>health</w:t>
      </w:r>
      <w:r>
        <w:rPr>
          <w:spacing w:val="67"/>
          <w:sz w:val="23"/>
        </w:rPr>
        <w:t> </w:t>
      </w:r>
      <w:r>
        <w:rPr>
          <w:sz w:val="23"/>
        </w:rPr>
        <w:t>care</w:t>
      </w:r>
      <w:r>
        <w:rPr>
          <w:spacing w:val="40"/>
          <w:sz w:val="23"/>
        </w:rPr>
        <w:t> </w:t>
      </w:r>
      <w:r>
        <w:rPr>
          <w:sz w:val="23"/>
        </w:rPr>
        <w:t>benefits</w:t>
      </w:r>
      <w:r>
        <w:rPr>
          <w:spacing w:val="65"/>
          <w:sz w:val="23"/>
        </w:rPr>
        <w:t> </w:t>
      </w:r>
      <w:r>
        <w:rPr>
          <w:sz w:val="23"/>
        </w:rPr>
        <w:t>in</w:t>
      </w:r>
      <w:r>
        <w:rPr>
          <w:spacing w:val="73"/>
          <w:sz w:val="23"/>
        </w:rPr>
        <w:t> </w:t>
      </w:r>
      <w:r>
        <w:rPr>
          <w:sz w:val="23"/>
        </w:rPr>
        <w:t>respect</w:t>
      </w:r>
      <w:r>
        <w:rPr>
          <w:spacing w:val="67"/>
          <w:sz w:val="23"/>
        </w:rPr>
        <w:t> </w:t>
      </w:r>
      <w:r>
        <w:rPr>
          <w:sz w:val="23"/>
        </w:rPr>
        <w:t>of</w:t>
      </w:r>
      <w:r>
        <w:rPr>
          <w:spacing w:val="65"/>
          <w:sz w:val="23"/>
        </w:rPr>
        <w:t> </w:t>
      </w:r>
      <w:r>
        <w:rPr>
          <w:sz w:val="23"/>
        </w:rPr>
        <w:t>occupational</w:t>
      </w:r>
    </w:p>
    <w:p>
      <w:pPr>
        <w:pStyle w:val="BodyText"/>
        <w:rPr>
          <w:sz w:val="20"/>
        </w:rPr>
      </w:pPr>
    </w:p>
    <w:p>
      <w:pPr>
        <w:pStyle w:val="BodyText"/>
        <w:spacing w:before="150"/>
        <w:rPr>
          <w:sz w:val="20"/>
        </w:rPr>
      </w:pPr>
      <w:r>
        <w:rPr/>
        <mc:AlternateContent>
          <mc:Choice Requires="wps">
            <w:drawing>
              <wp:anchor distT="0" distB="0" distL="0" distR="0" allowOverlap="1" layoutInCell="1" locked="0" behindDoc="1" simplePos="0" relativeHeight="487657472">
                <wp:simplePos x="0" y="0"/>
                <wp:positionH relativeFrom="page">
                  <wp:posOffset>1185672</wp:posOffset>
                </wp:positionH>
                <wp:positionV relativeFrom="paragraph">
                  <wp:posOffset>264333</wp:posOffset>
                </wp:positionV>
                <wp:extent cx="1719580" cy="6350"/>
                <wp:effectExtent l="0" t="0" r="0" b="0"/>
                <wp:wrapTopAndBottom/>
                <wp:docPr id="159" name="Graphic 159"/>
                <wp:cNvGraphicFramePr>
                  <a:graphicFrameLocks/>
                </wp:cNvGraphicFramePr>
                <a:graphic>
                  <a:graphicData uri="http://schemas.microsoft.com/office/word/2010/wordprocessingShape">
                    <wps:wsp>
                      <wps:cNvPr id="159" name="Graphic 159"/>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813671pt;width:135.360pt;height:.48pt;mso-position-horizontal-relative:page;mso-position-vertical-relative:paragraph;z-index:-15659008;mso-wrap-distance-left:0;mso-wrap-distance-right:0" id="docshape159"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26</w:t>
      </w:r>
      <w:r>
        <w:rPr>
          <w:rFonts w:ascii="Times New Roman"/>
          <w:spacing w:val="-2"/>
          <w:sz w:val="19"/>
          <w:vertAlign w:val="baseline"/>
        </w:rPr>
        <w:t> </w:t>
      </w:r>
      <w:r>
        <w:rPr>
          <w:rFonts w:ascii="Times New Roman"/>
          <w:sz w:val="19"/>
          <w:vertAlign w:val="baseline"/>
        </w:rPr>
        <w:t>Sections</w:t>
      </w:r>
      <w:r>
        <w:rPr>
          <w:rFonts w:ascii="Times New Roman"/>
          <w:spacing w:val="-4"/>
          <w:sz w:val="19"/>
          <w:vertAlign w:val="baseline"/>
        </w:rPr>
        <w:t> </w:t>
      </w:r>
      <w:r>
        <w:rPr>
          <w:rFonts w:ascii="Times New Roman"/>
          <w:sz w:val="19"/>
          <w:vertAlign w:val="baseline"/>
        </w:rPr>
        <w:t>25,</w:t>
      </w:r>
      <w:r>
        <w:rPr>
          <w:rFonts w:ascii="Times New Roman"/>
          <w:spacing w:val="-7"/>
          <w:sz w:val="19"/>
          <w:vertAlign w:val="baseline"/>
        </w:rPr>
        <w:t> </w:t>
      </w:r>
      <w:r>
        <w:rPr>
          <w:rFonts w:ascii="Times New Roman"/>
          <w:sz w:val="19"/>
          <w:vertAlign w:val="baseline"/>
        </w:rPr>
        <w:t>and</w:t>
      </w:r>
      <w:r>
        <w:rPr>
          <w:rFonts w:ascii="Times New Roman"/>
          <w:spacing w:val="-4"/>
          <w:sz w:val="19"/>
          <w:vertAlign w:val="baseline"/>
        </w:rPr>
        <w:t> </w:t>
      </w:r>
      <w:r>
        <w:rPr>
          <w:rFonts w:ascii="Times New Roman"/>
          <w:sz w:val="19"/>
          <w:vertAlign w:val="baseline"/>
        </w:rPr>
        <w:t>24</w:t>
      </w:r>
      <w:r>
        <w:rPr>
          <w:rFonts w:ascii="Times New Roman"/>
          <w:spacing w:val="-11"/>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27</w:t>
      </w:r>
      <w:r>
        <w:rPr>
          <w:rFonts w:ascii="Times New Roman"/>
          <w:spacing w:val="-3"/>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73</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1454" w:right="572"/>
        <w:jc w:val="both"/>
      </w:pPr>
      <w:r>
        <w:rPr/>
        <w:t>diseases are mandatory</w:t>
      </w:r>
      <w:r>
        <w:rPr>
          <w:vertAlign w:val="superscript"/>
        </w:rPr>
        <w:t>28</w:t>
      </w:r>
      <w:r>
        <w:rPr>
          <w:vertAlign w:val="baseline"/>
        </w:rPr>
        <w:t>.This creates a situation where the Board</w:t>
      </w:r>
      <w:r>
        <w:rPr>
          <w:spacing w:val="40"/>
          <w:vertAlign w:val="baseline"/>
        </w:rPr>
        <w:t> </w:t>
      </w:r>
      <w:r>
        <w:rPr>
          <w:vertAlign w:val="baseline"/>
        </w:rPr>
        <w:t>may not be willing to provide these services for the simple reason</w:t>
      </w:r>
      <w:r>
        <w:rPr>
          <w:spacing w:val="40"/>
          <w:vertAlign w:val="baseline"/>
        </w:rPr>
        <w:t> </w:t>
      </w:r>
      <w:r>
        <w:rPr>
          <w:vertAlign w:val="baseline"/>
        </w:rPr>
        <w:t>that, they are discretionary.</w:t>
      </w:r>
    </w:p>
    <w:p>
      <w:pPr>
        <w:pStyle w:val="ListParagraph"/>
        <w:numPr>
          <w:ilvl w:val="2"/>
          <w:numId w:val="22"/>
        </w:numPr>
        <w:tabs>
          <w:tab w:pos="1537" w:val="left" w:leader="none"/>
          <w:tab w:pos="1540" w:val="left" w:leader="none"/>
        </w:tabs>
        <w:spacing w:line="489" w:lineRule="auto" w:before="0" w:after="0"/>
        <w:ind w:left="1540" w:right="563" w:hanging="677"/>
        <w:jc w:val="both"/>
        <w:rPr>
          <w:sz w:val="23"/>
        </w:rPr>
      </w:pPr>
      <w:r>
        <w:rPr>
          <w:sz w:val="23"/>
        </w:rPr>
        <w:t>‘Mental stress’ is not compensable if it is caused by an injury for</w:t>
      </w:r>
      <w:r>
        <w:rPr>
          <w:spacing w:val="40"/>
          <w:sz w:val="23"/>
        </w:rPr>
        <w:t> </w:t>
      </w:r>
      <w:r>
        <w:rPr>
          <w:sz w:val="23"/>
        </w:rPr>
        <w:t>which the employee is otherwise entitled to compensation.</w:t>
      </w:r>
      <w:r>
        <w:rPr>
          <w:sz w:val="23"/>
          <w:vertAlign w:val="superscript"/>
        </w:rPr>
        <w:t>29</w:t>
      </w:r>
      <w:r>
        <w:rPr>
          <w:sz w:val="23"/>
          <w:vertAlign w:val="baseline"/>
        </w:rPr>
        <w:t> The requirement of the law to the effect that mental stress for it to be compensated, should not result from any injury for which the employee is entitled to compensation, is alarming. There is an additional harm suffered if any compensable injury leads to mental stress and in the circumstance, justice will only seem to be done if there is additional compensation. Secondly, it will be very difficult to</w:t>
      </w:r>
      <w:r>
        <w:rPr>
          <w:spacing w:val="40"/>
          <w:sz w:val="23"/>
          <w:vertAlign w:val="baseline"/>
        </w:rPr>
        <w:t> </w:t>
      </w:r>
      <w:r>
        <w:rPr>
          <w:sz w:val="23"/>
          <w:vertAlign w:val="baseline"/>
        </w:rPr>
        <w:t>in</w:t>
      </w:r>
      <w:r>
        <w:rPr>
          <w:spacing w:val="40"/>
          <w:sz w:val="23"/>
          <w:vertAlign w:val="baseline"/>
        </w:rPr>
        <w:t> </w:t>
      </w:r>
      <w:r>
        <w:rPr>
          <w:sz w:val="23"/>
          <w:vertAlign w:val="baseline"/>
        </w:rPr>
        <w:t>all</w:t>
      </w:r>
      <w:r>
        <w:rPr>
          <w:spacing w:val="40"/>
          <w:sz w:val="23"/>
          <w:vertAlign w:val="baseline"/>
        </w:rPr>
        <w:t> </w:t>
      </w:r>
      <w:r>
        <w:rPr>
          <w:sz w:val="23"/>
          <w:vertAlign w:val="baseline"/>
        </w:rPr>
        <w:t>cases</w:t>
      </w:r>
      <w:r>
        <w:rPr>
          <w:spacing w:val="40"/>
          <w:sz w:val="23"/>
          <w:vertAlign w:val="baseline"/>
        </w:rPr>
        <w:t> </w:t>
      </w:r>
      <w:r>
        <w:rPr>
          <w:sz w:val="23"/>
          <w:vertAlign w:val="baseline"/>
        </w:rPr>
        <w:t>know</w:t>
      </w:r>
      <w:r>
        <w:rPr>
          <w:spacing w:val="40"/>
          <w:sz w:val="23"/>
          <w:vertAlign w:val="baseline"/>
        </w:rPr>
        <w:t> </w:t>
      </w:r>
      <w:r>
        <w:rPr>
          <w:sz w:val="23"/>
          <w:vertAlign w:val="baseline"/>
        </w:rPr>
        <w:t>exactly,</w:t>
      </w:r>
      <w:r>
        <w:rPr>
          <w:spacing w:val="40"/>
          <w:sz w:val="23"/>
          <w:vertAlign w:val="baseline"/>
        </w:rPr>
        <w:t> </w:t>
      </w:r>
      <w:r>
        <w:rPr>
          <w:sz w:val="23"/>
          <w:vertAlign w:val="baseline"/>
        </w:rPr>
        <w:t>the</w:t>
      </w:r>
      <w:r>
        <w:rPr>
          <w:spacing w:val="40"/>
          <w:sz w:val="23"/>
          <w:vertAlign w:val="baseline"/>
        </w:rPr>
        <w:t> </w:t>
      </w:r>
      <w:r>
        <w:rPr>
          <w:sz w:val="23"/>
          <w:vertAlign w:val="baseline"/>
        </w:rPr>
        <w:t>cause</w:t>
      </w:r>
      <w:r>
        <w:rPr>
          <w:spacing w:val="40"/>
          <w:sz w:val="23"/>
          <w:vertAlign w:val="baseline"/>
        </w:rPr>
        <w:t> </w:t>
      </w:r>
      <w:r>
        <w:rPr>
          <w:sz w:val="23"/>
          <w:vertAlign w:val="baseline"/>
        </w:rPr>
        <w:t>of</w:t>
      </w:r>
      <w:r>
        <w:rPr>
          <w:spacing w:val="40"/>
          <w:sz w:val="23"/>
          <w:vertAlign w:val="baseline"/>
        </w:rPr>
        <w:t> </w:t>
      </w:r>
      <w:r>
        <w:rPr>
          <w:sz w:val="23"/>
          <w:vertAlign w:val="baseline"/>
        </w:rPr>
        <w:t>mental</w:t>
      </w:r>
      <w:r>
        <w:rPr>
          <w:spacing w:val="40"/>
          <w:sz w:val="23"/>
          <w:vertAlign w:val="baseline"/>
        </w:rPr>
        <w:t> </w:t>
      </w:r>
      <w:r>
        <w:rPr>
          <w:sz w:val="23"/>
          <w:vertAlign w:val="baseline"/>
        </w:rPr>
        <w:t>stress,</w:t>
      </w:r>
      <w:r>
        <w:rPr>
          <w:spacing w:val="40"/>
          <w:sz w:val="23"/>
          <w:vertAlign w:val="baseline"/>
        </w:rPr>
        <w:t> </w:t>
      </w:r>
      <w:r>
        <w:rPr>
          <w:sz w:val="23"/>
          <w:vertAlign w:val="baseline"/>
        </w:rPr>
        <w:t>especially when there are many stress inducing factors from the history of the patient. For instance, where an unfairly overworked employee suddenly sustains a compensable physical injury and shortly diagnosed</w:t>
      </w:r>
      <w:r>
        <w:rPr>
          <w:spacing w:val="40"/>
          <w:sz w:val="23"/>
          <w:vertAlign w:val="baseline"/>
        </w:rPr>
        <w:t> </w:t>
      </w:r>
      <w:r>
        <w:rPr>
          <w:sz w:val="23"/>
          <w:vertAlign w:val="baseline"/>
        </w:rPr>
        <w:t>with</w:t>
      </w:r>
      <w:r>
        <w:rPr>
          <w:spacing w:val="40"/>
          <w:sz w:val="23"/>
          <w:vertAlign w:val="baseline"/>
        </w:rPr>
        <w:t> </w:t>
      </w:r>
      <w:r>
        <w:rPr>
          <w:sz w:val="23"/>
          <w:vertAlign w:val="baseline"/>
        </w:rPr>
        <w:t>mental</w:t>
      </w:r>
      <w:r>
        <w:rPr>
          <w:spacing w:val="40"/>
          <w:sz w:val="23"/>
          <w:vertAlign w:val="baseline"/>
        </w:rPr>
        <w:t> </w:t>
      </w:r>
      <w:r>
        <w:rPr>
          <w:sz w:val="23"/>
          <w:vertAlign w:val="baseline"/>
        </w:rPr>
        <w:t>stress,</w:t>
      </w:r>
      <w:r>
        <w:rPr>
          <w:spacing w:val="40"/>
          <w:sz w:val="23"/>
          <w:vertAlign w:val="baseline"/>
        </w:rPr>
        <w:t> </w:t>
      </w:r>
      <w:r>
        <w:rPr>
          <w:sz w:val="23"/>
          <w:vertAlign w:val="baseline"/>
        </w:rPr>
        <w:t>it</w:t>
      </w:r>
      <w:r>
        <w:rPr>
          <w:spacing w:val="40"/>
          <w:sz w:val="23"/>
          <w:vertAlign w:val="baseline"/>
        </w:rPr>
        <w:t> </w:t>
      </w:r>
      <w:r>
        <w:rPr>
          <w:sz w:val="23"/>
          <w:vertAlign w:val="baseline"/>
        </w:rPr>
        <w:t>will</w:t>
      </w:r>
      <w:r>
        <w:rPr>
          <w:spacing w:val="40"/>
          <w:sz w:val="23"/>
          <w:vertAlign w:val="baseline"/>
        </w:rPr>
        <w:t> </w:t>
      </w:r>
      <w:r>
        <w:rPr>
          <w:sz w:val="23"/>
          <w:vertAlign w:val="baseline"/>
        </w:rPr>
        <w:t>be</w:t>
      </w:r>
      <w:r>
        <w:rPr>
          <w:spacing w:val="40"/>
          <w:sz w:val="23"/>
          <w:vertAlign w:val="baseline"/>
        </w:rPr>
        <w:t> </w:t>
      </w:r>
      <w:r>
        <w:rPr>
          <w:sz w:val="23"/>
          <w:vertAlign w:val="baseline"/>
        </w:rPr>
        <w:t>very</w:t>
      </w:r>
      <w:r>
        <w:rPr>
          <w:spacing w:val="40"/>
          <w:sz w:val="23"/>
          <w:vertAlign w:val="baseline"/>
        </w:rPr>
        <w:t> </w:t>
      </w:r>
      <w:r>
        <w:rPr>
          <w:sz w:val="23"/>
          <w:vertAlign w:val="baseline"/>
        </w:rPr>
        <w:t>difficult</w:t>
      </w:r>
      <w:r>
        <w:rPr>
          <w:spacing w:val="40"/>
          <w:sz w:val="23"/>
          <w:vertAlign w:val="baseline"/>
        </w:rPr>
        <w:t> </w:t>
      </w:r>
      <w:r>
        <w:rPr>
          <w:sz w:val="23"/>
          <w:vertAlign w:val="baseline"/>
        </w:rPr>
        <w:t>to</w:t>
      </w:r>
      <w:r>
        <w:rPr>
          <w:spacing w:val="40"/>
          <w:sz w:val="23"/>
          <w:vertAlign w:val="baseline"/>
        </w:rPr>
        <w:t> </w:t>
      </w:r>
      <w:r>
        <w:rPr>
          <w:sz w:val="23"/>
          <w:vertAlign w:val="baseline"/>
        </w:rPr>
        <w:t>know whether the mental stress set in as result of the unfair job responsibility or as a result of the injury. While the issue of</w:t>
      </w:r>
      <w:r>
        <w:rPr>
          <w:spacing w:val="40"/>
          <w:sz w:val="23"/>
          <w:vertAlign w:val="baseline"/>
        </w:rPr>
        <w:t> </w:t>
      </w:r>
      <w:r>
        <w:rPr>
          <w:sz w:val="23"/>
          <w:vertAlign w:val="baseline"/>
        </w:rPr>
        <w:t>diagnosing</w:t>
      </w:r>
      <w:r>
        <w:rPr>
          <w:spacing w:val="40"/>
          <w:sz w:val="23"/>
          <w:vertAlign w:val="baseline"/>
        </w:rPr>
        <w:t> </w:t>
      </w:r>
      <w:r>
        <w:rPr>
          <w:sz w:val="23"/>
          <w:vertAlign w:val="baseline"/>
        </w:rPr>
        <w:t>mental</w:t>
      </w:r>
      <w:r>
        <w:rPr>
          <w:spacing w:val="40"/>
          <w:sz w:val="23"/>
          <w:vertAlign w:val="baseline"/>
        </w:rPr>
        <w:t> </w:t>
      </w:r>
      <w:r>
        <w:rPr>
          <w:sz w:val="23"/>
          <w:vertAlign w:val="baseline"/>
        </w:rPr>
        <w:t>stress</w:t>
      </w:r>
      <w:r>
        <w:rPr>
          <w:spacing w:val="40"/>
          <w:sz w:val="23"/>
          <w:vertAlign w:val="baseline"/>
        </w:rPr>
        <w:t> </w:t>
      </w:r>
      <w:r>
        <w:rPr>
          <w:sz w:val="23"/>
          <w:vertAlign w:val="baseline"/>
        </w:rPr>
        <w:t>may</w:t>
      </w:r>
      <w:r>
        <w:rPr>
          <w:spacing w:val="40"/>
          <w:sz w:val="23"/>
          <w:vertAlign w:val="baseline"/>
        </w:rPr>
        <w:t> </w:t>
      </w:r>
      <w:r>
        <w:rPr>
          <w:sz w:val="23"/>
          <w:vertAlign w:val="baseline"/>
        </w:rPr>
        <w:t>entirely</w:t>
      </w:r>
      <w:r>
        <w:rPr>
          <w:spacing w:val="40"/>
          <w:sz w:val="23"/>
          <w:vertAlign w:val="baseline"/>
        </w:rPr>
        <w:t> </w:t>
      </w:r>
      <w:r>
        <w:rPr>
          <w:sz w:val="23"/>
          <w:vertAlign w:val="baseline"/>
        </w:rPr>
        <w:t>be</w:t>
      </w:r>
      <w:r>
        <w:rPr>
          <w:spacing w:val="40"/>
          <w:sz w:val="23"/>
          <w:vertAlign w:val="baseline"/>
        </w:rPr>
        <w:t> </w:t>
      </w:r>
      <w:r>
        <w:rPr>
          <w:sz w:val="23"/>
          <w:vertAlign w:val="baseline"/>
        </w:rPr>
        <w:t>a</w:t>
      </w:r>
      <w:r>
        <w:rPr>
          <w:spacing w:val="40"/>
          <w:sz w:val="23"/>
          <w:vertAlign w:val="baseline"/>
        </w:rPr>
        <w:t> </w:t>
      </w:r>
      <w:r>
        <w:rPr>
          <w:sz w:val="23"/>
          <w:vertAlign w:val="baseline"/>
        </w:rPr>
        <w:t>laboratory</w:t>
      </w:r>
      <w:r>
        <w:rPr>
          <w:spacing w:val="40"/>
          <w:sz w:val="23"/>
          <w:vertAlign w:val="baseline"/>
        </w:rPr>
        <w:t> </w:t>
      </w:r>
      <w:r>
        <w:rPr>
          <w:sz w:val="23"/>
          <w:vertAlign w:val="baseline"/>
        </w:rPr>
        <w:t>work,</w:t>
      </w:r>
      <w:r>
        <w:rPr>
          <w:spacing w:val="40"/>
          <w:sz w:val="23"/>
          <w:vertAlign w:val="baseline"/>
        </w:rPr>
        <w:t> </w:t>
      </w:r>
      <w:r>
        <w:rPr>
          <w:sz w:val="23"/>
          <w:vertAlign w:val="baseline"/>
        </w:rPr>
        <w:t>its cause may simply be an inference by the medical practitioner drawn from the history of the patient. If the medical practitioner is confronted</w:t>
      </w:r>
      <w:r>
        <w:rPr>
          <w:spacing w:val="9"/>
          <w:sz w:val="23"/>
          <w:vertAlign w:val="baseline"/>
        </w:rPr>
        <w:t> </w:t>
      </w:r>
      <w:r>
        <w:rPr>
          <w:sz w:val="23"/>
          <w:vertAlign w:val="baseline"/>
        </w:rPr>
        <w:t>with</w:t>
      </w:r>
      <w:r>
        <w:rPr>
          <w:spacing w:val="14"/>
          <w:sz w:val="23"/>
          <w:vertAlign w:val="baseline"/>
        </w:rPr>
        <w:t> </w:t>
      </w:r>
      <w:r>
        <w:rPr>
          <w:sz w:val="23"/>
          <w:vertAlign w:val="baseline"/>
        </w:rPr>
        <w:t>two</w:t>
      </w:r>
      <w:r>
        <w:rPr>
          <w:spacing w:val="13"/>
          <w:sz w:val="23"/>
          <w:vertAlign w:val="baseline"/>
        </w:rPr>
        <w:t> </w:t>
      </w:r>
      <w:r>
        <w:rPr>
          <w:sz w:val="23"/>
          <w:vertAlign w:val="baseline"/>
        </w:rPr>
        <w:t>stress-inducing</w:t>
      </w:r>
      <w:r>
        <w:rPr>
          <w:spacing w:val="9"/>
          <w:sz w:val="23"/>
          <w:vertAlign w:val="baseline"/>
        </w:rPr>
        <w:t> </w:t>
      </w:r>
      <w:r>
        <w:rPr>
          <w:sz w:val="23"/>
          <w:vertAlign w:val="baseline"/>
        </w:rPr>
        <w:t>factors,</w:t>
      </w:r>
      <w:r>
        <w:rPr>
          <w:spacing w:val="16"/>
          <w:sz w:val="23"/>
          <w:vertAlign w:val="baseline"/>
        </w:rPr>
        <w:t> </w:t>
      </w:r>
      <w:r>
        <w:rPr>
          <w:sz w:val="23"/>
          <w:vertAlign w:val="baseline"/>
        </w:rPr>
        <w:t>he</w:t>
      </w:r>
      <w:r>
        <w:rPr>
          <w:spacing w:val="12"/>
          <w:sz w:val="23"/>
          <w:vertAlign w:val="baseline"/>
        </w:rPr>
        <w:t> </w:t>
      </w:r>
      <w:r>
        <w:rPr>
          <w:sz w:val="23"/>
          <w:vertAlign w:val="baseline"/>
        </w:rPr>
        <w:t>may</w:t>
      </w:r>
      <w:r>
        <w:rPr>
          <w:spacing w:val="18"/>
          <w:sz w:val="23"/>
          <w:vertAlign w:val="baseline"/>
        </w:rPr>
        <w:t> </w:t>
      </w:r>
      <w:r>
        <w:rPr>
          <w:sz w:val="23"/>
          <w:vertAlign w:val="baseline"/>
        </w:rPr>
        <w:t>simply</w:t>
      </w:r>
      <w:r>
        <w:rPr>
          <w:spacing w:val="9"/>
          <w:sz w:val="23"/>
          <w:vertAlign w:val="baseline"/>
        </w:rPr>
        <w:t> </w:t>
      </w:r>
      <w:r>
        <w:rPr>
          <w:sz w:val="23"/>
          <w:vertAlign w:val="baseline"/>
        </w:rPr>
        <w:t>resort</w:t>
      </w:r>
      <w:r>
        <w:rPr>
          <w:spacing w:val="13"/>
          <w:sz w:val="23"/>
          <w:vertAlign w:val="baseline"/>
        </w:rPr>
        <w:t> </w:t>
      </w:r>
      <w:r>
        <w:rPr>
          <w:spacing w:val="-5"/>
          <w:sz w:val="23"/>
          <w:vertAlign w:val="baseline"/>
        </w:rPr>
        <w:t>to</w:t>
      </w:r>
    </w:p>
    <w:p>
      <w:pPr>
        <w:pStyle w:val="BodyText"/>
        <w:spacing w:before="2"/>
        <w:rPr>
          <w:sz w:val="7"/>
        </w:rPr>
      </w:pPr>
      <w:r>
        <w:rPr/>
        <mc:AlternateContent>
          <mc:Choice Requires="wps">
            <w:drawing>
              <wp:anchor distT="0" distB="0" distL="0" distR="0" allowOverlap="1" layoutInCell="1" locked="0" behindDoc="1" simplePos="0" relativeHeight="487657984">
                <wp:simplePos x="0" y="0"/>
                <wp:positionH relativeFrom="page">
                  <wp:posOffset>1185672</wp:posOffset>
                </wp:positionH>
                <wp:positionV relativeFrom="paragraph">
                  <wp:posOffset>70701</wp:posOffset>
                </wp:positionV>
                <wp:extent cx="1719580" cy="6350"/>
                <wp:effectExtent l="0" t="0" r="0" b="0"/>
                <wp:wrapTopAndBottom/>
                <wp:docPr id="160" name="Graphic 160"/>
                <wp:cNvGraphicFramePr>
                  <a:graphicFrameLocks/>
                </wp:cNvGraphicFramePr>
                <a:graphic>
                  <a:graphicData uri="http://schemas.microsoft.com/office/word/2010/wordprocessingShape">
                    <wps:wsp>
                      <wps:cNvPr id="160" name="Graphic 160"/>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5.567031pt;width:135.360pt;height:.48pt;mso-position-horizontal-relative:page;mso-position-vertical-relative:paragraph;z-index:-15658496;mso-wrap-distance-left:0;mso-wrap-distance-right:0" id="docshape160" filled="true" fillcolor="#000000" stroked="false">
                <v:fill type="solid"/>
                <w10:wrap type="topAndBottom"/>
              </v:rect>
            </w:pict>
          </mc:Fallback>
        </mc:AlternateContent>
      </w:r>
    </w:p>
    <w:p>
      <w:pPr>
        <w:spacing w:line="217" w:lineRule="exact" w:before="91"/>
        <w:ind w:left="187" w:right="0" w:firstLine="0"/>
        <w:jc w:val="left"/>
        <w:rPr>
          <w:rFonts w:ascii="Times New Roman" w:hAnsi="Times New Roman"/>
          <w:i/>
          <w:sz w:val="19"/>
        </w:rPr>
      </w:pPr>
      <w:r>
        <w:rPr>
          <w:rFonts w:ascii="Times New Roman" w:hAnsi="Times New Roman"/>
          <w:sz w:val="19"/>
          <w:vertAlign w:val="superscript"/>
        </w:rPr>
        <w:t>28</w:t>
      </w:r>
      <w:r>
        <w:rPr>
          <w:rFonts w:ascii="Times New Roman" w:hAnsi="Times New Roman"/>
          <w:spacing w:val="-8"/>
          <w:sz w:val="19"/>
          <w:vertAlign w:val="baseline"/>
        </w:rPr>
        <w:t> </w:t>
      </w:r>
      <w:r>
        <w:rPr>
          <w:rFonts w:ascii="Times New Roman" w:hAnsi="Times New Roman"/>
          <w:sz w:val="19"/>
          <w:vertAlign w:val="baseline"/>
        </w:rPr>
        <w:t>Sections</w:t>
      </w:r>
      <w:r>
        <w:rPr>
          <w:rFonts w:ascii="Times New Roman" w:hAnsi="Times New Roman"/>
          <w:spacing w:val="-8"/>
          <w:sz w:val="19"/>
          <w:vertAlign w:val="baseline"/>
        </w:rPr>
        <w:t> </w:t>
      </w:r>
      <w:r>
        <w:rPr>
          <w:rFonts w:ascii="Times New Roman" w:hAnsi="Times New Roman"/>
          <w:sz w:val="19"/>
          <w:vertAlign w:val="baseline"/>
        </w:rPr>
        <w:t>16,</w:t>
      </w:r>
      <w:r>
        <w:rPr>
          <w:rFonts w:ascii="Times New Roman" w:hAnsi="Times New Roman"/>
          <w:spacing w:val="-10"/>
          <w:sz w:val="19"/>
          <w:vertAlign w:val="baseline"/>
        </w:rPr>
        <w:t> </w:t>
      </w:r>
      <w:r>
        <w:rPr>
          <w:rFonts w:ascii="Times New Roman" w:hAnsi="Times New Roman"/>
          <w:sz w:val="19"/>
          <w:vertAlign w:val="baseline"/>
        </w:rPr>
        <w:t>26</w:t>
      </w:r>
      <w:r>
        <w:rPr>
          <w:rFonts w:ascii="Times New Roman" w:hAnsi="Times New Roman"/>
          <w:spacing w:val="-11"/>
          <w:sz w:val="19"/>
          <w:vertAlign w:val="baseline"/>
        </w:rPr>
        <w:t> </w:t>
      </w:r>
      <w:r>
        <w:rPr>
          <w:rFonts w:ascii="Times New Roman" w:hAnsi="Times New Roman"/>
          <w:sz w:val="19"/>
          <w:vertAlign w:val="baseline"/>
        </w:rPr>
        <w:t>and</w:t>
      </w:r>
      <w:r>
        <w:rPr>
          <w:rFonts w:ascii="Times New Roman" w:hAnsi="Times New Roman"/>
          <w:spacing w:val="-12"/>
          <w:sz w:val="19"/>
          <w:vertAlign w:val="baseline"/>
        </w:rPr>
        <w:t> </w:t>
      </w:r>
      <w:r>
        <w:rPr>
          <w:rFonts w:ascii="Times New Roman" w:hAnsi="Times New Roman"/>
          <w:sz w:val="19"/>
          <w:vertAlign w:val="baseline"/>
        </w:rPr>
        <w:t>9(1)(a)(c)(d)</w:t>
      </w:r>
      <w:r>
        <w:rPr>
          <w:rFonts w:ascii="Times New Roman" w:hAnsi="Times New Roman"/>
          <w:spacing w:val="-12"/>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Employees’</w:t>
      </w:r>
      <w:r>
        <w:rPr>
          <w:rFonts w:ascii="Times New Roman" w:hAnsi="Times New Roman"/>
          <w:spacing w:val="-10"/>
          <w:sz w:val="19"/>
          <w:vertAlign w:val="baseline"/>
        </w:rPr>
        <w:t> </w:t>
      </w:r>
      <w:r>
        <w:rPr>
          <w:rFonts w:ascii="Times New Roman" w:hAnsi="Times New Roman"/>
          <w:sz w:val="19"/>
          <w:vertAlign w:val="baseline"/>
        </w:rPr>
        <w:t>Compensation</w:t>
      </w:r>
      <w:r>
        <w:rPr>
          <w:rFonts w:ascii="Times New Roman" w:hAnsi="Times New Roman"/>
          <w:spacing w:val="-6"/>
          <w:sz w:val="19"/>
          <w:vertAlign w:val="baseline"/>
        </w:rPr>
        <w:t> </w:t>
      </w:r>
      <w:r>
        <w:rPr>
          <w:rFonts w:ascii="Times New Roman" w:hAnsi="Times New Roman"/>
          <w:sz w:val="19"/>
          <w:vertAlign w:val="baseline"/>
        </w:rPr>
        <w:t>Act</w:t>
      </w:r>
      <w:r>
        <w:rPr>
          <w:rFonts w:ascii="Times New Roman" w:hAnsi="Times New Roman"/>
          <w:spacing w:val="-9"/>
          <w:sz w:val="19"/>
          <w:vertAlign w:val="baseline"/>
        </w:rPr>
        <w:t> </w:t>
      </w:r>
      <w:r>
        <w:rPr>
          <w:rFonts w:ascii="Times New Roman" w:hAnsi="Times New Roman"/>
          <w:i/>
          <w:sz w:val="19"/>
          <w:vertAlign w:val="baseline"/>
        </w:rPr>
        <w:t>op</w:t>
      </w:r>
      <w:r>
        <w:rPr>
          <w:rFonts w:ascii="Times New Roman" w:hAnsi="Times New Roman"/>
          <w:i/>
          <w:spacing w:val="-9"/>
          <w:sz w:val="19"/>
          <w:vertAlign w:val="baseline"/>
        </w:rPr>
        <w:t> </w:t>
      </w:r>
      <w:r>
        <w:rPr>
          <w:rFonts w:ascii="Times New Roman" w:hAnsi="Times New Roman"/>
          <w:i/>
          <w:spacing w:val="-4"/>
          <w:sz w:val="19"/>
          <w:vertAlign w:val="baseline"/>
        </w:rPr>
        <w:t>cit.</w:t>
      </w:r>
    </w:p>
    <w:p>
      <w:pPr>
        <w:spacing w:line="217" w:lineRule="exact" w:before="0"/>
        <w:ind w:left="187" w:right="0" w:firstLine="0"/>
        <w:jc w:val="left"/>
        <w:rPr>
          <w:rFonts w:ascii="Times New Roman"/>
          <w:i/>
          <w:sz w:val="19"/>
        </w:rPr>
      </w:pPr>
      <w:r>
        <w:rPr>
          <w:rFonts w:ascii="Times New Roman"/>
          <w:sz w:val="19"/>
          <w:vertAlign w:val="superscript"/>
        </w:rPr>
        <w:t>29</w:t>
      </w:r>
      <w:r>
        <w:rPr>
          <w:rFonts w:ascii="Times New Roman"/>
          <w:spacing w:val="-7"/>
          <w:sz w:val="19"/>
          <w:vertAlign w:val="baseline"/>
        </w:rPr>
        <w:t> </w:t>
      </w:r>
      <w:r>
        <w:rPr>
          <w:rFonts w:ascii="Times New Roman"/>
          <w:sz w:val="19"/>
          <w:vertAlign w:val="baseline"/>
        </w:rPr>
        <w:t>Section</w:t>
      </w:r>
      <w:r>
        <w:rPr>
          <w:rFonts w:ascii="Times New Roman"/>
          <w:spacing w:val="-6"/>
          <w:sz w:val="19"/>
          <w:vertAlign w:val="baseline"/>
        </w:rPr>
        <w:t> </w:t>
      </w:r>
      <w:r>
        <w:rPr>
          <w:rFonts w:ascii="Times New Roman"/>
          <w:sz w:val="19"/>
          <w:vertAlign w:val="baseline"/>
        </w:rPr>
        <w:t>8(1)(a)(b)</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40" w:bottom="1200" w:left="1680" w:right="1320"/>
        </w:sectPr>
      </w:pPr>
    </w:p>
    <w:p>
      <w:pPr>
        <w:pStyle w:val="BodyText"/>
        <w:spacing w:line="489" w:lineRule="auto" w:before="94"/>
        <w:ind w:left="1540" w:right="563"/>
        <w:jc w:val="both"/>
      </w:pPr>
      <w:r>
        <w:rPr/>
        <w:t>a guess, as to which of the factors actually led to the stress in issue</w:t>
      </w:r>
      <w:r>
        <w:rPr>
          <w:spacing w:val="40"/>
        </w:rPr>
        <w:t> </w:t>
      </w:r>
      <w:r>
        <w:rPr/>
        <w:t>or attribute it to all the stated factors in order to save him the difficulty of discovering the exact cause. Also, the scale of compensation in respect of mental stress is not stated in the Act but the Act simply subjects this to Rules as may be made by the Board.</w:t>
      </w:r>
      <w:r>
        <w:rPr>
          <w:vertAlign w:val="superscript"/>
        </w:rPr>
        <w:t>30</w:t>
      </w:r>
      <w:r>
        <w:rPr>
          <w:vertAlign w:val="baseline"/>
        </w:rPr>
        <w:t>The interview conducted revealed that there is no such Rule yet and</w:t>
      </w:r>
      <w:r>
        <w:rPr>
          <w:spacing w:val="40"/>
          <w:vertAlign w:val="baseline"/>
        </w:rPr>
        <w:t> </w:t>
      </w:r>
      <w:r>
        <w:rPr>
          <w:vertAlign w:val="baseline"/>
        </w:rPr>
        <w:t>the</w:t>
      </w:r>
      <w:r>
        <w:rPr>
          <w:spacing w:val="40"/>
          <w:vertAlign w:val="baseline"/>
        </w:rPr>
        <w:t> </w:t>
      </w:r>
      <w:r>
        <w:rPr>
          <w:vertAlign w:val="baseline"/>
        </w:rPr>
        <w:t>implication</w:t>
      </w:r>
      <w:r>
        <w:rPr>
          <w:spacing w:val="40"/>
          <w:vertAlign w:val="baseline"/>
        </w:rPr>
        <w:t> </w:t>
      </w:r>
      <w:r>
        <w:rPr>
          <w:vertAlign w:val="baseline"/>
        </w:rPr>
        <w:t>is</w:t>
      </w:r>
      <w:r>
        <w:rPr>
          <w:spacing w:val="40"/>
          <w:vertAlign w:val="baseline"/>
        </w:rPr>
        <w:t> </w:t>
      </w:r>
      <w:r>
        <w:rPr>
          <w:vertAlign w:val="baseline"/>
        </w:rPr>
        <w:t>that</w:t>
      </w:r>
      <w:r>
        <w:rPr>
          <w:spacing w:val="40"/>
          <w:vertAlign w:val="baseline"/>
        </w:rPr>
        <w:t> </w:t>
      </w:r>
      <w:r>
        <w:rPr>
          <w:vertAlign w:val="baseline"/>
        </w:rPr>
        <w:t>victims</w:t>
      </w:r>
      <w:r>
        <w:rPr>
          <w:spacing w:val="40"/>
          <w:vertAlign w:val="baseline"/>
        </w:rPr>
        <w:t> </w:t>
      </w:r>
      <w:r>
        <w:rPr>
          <w:vertAlign w:val="baseline"/>
        </w:rPr>
        <w:t>of</w:t>
      </w:r>
      <w:r>
        <w:rPr>
          <w:spacing w:val="40"/>
          <w:vertAlign w:val="baseline"/>
        </w:rPr>
        <w:t> </w:t>
      </w:r>
      <w:r>
        <w:rPr>
          <w:vertAlign w:val="baseline"/>
        </w:rPr>
        <w:t>mental</w:t>
      </w:r>
      <w:r>
        <w:rPr>
          <w:spacing w:val="40"/>
          <w:vertAlign w:val="baseline"/>
        </w:rPr>
        <w:t> </w:t>
      </w:r>
      <w:r>
        <w:rPr>
          <w:vertAlign w:val="baseline"/>
        </w:rPr>
        <w:t>stress</w:t>
      </w:r>
      <w:r>
        <w:rPr>
          <w:spacing w:val="40"/>
          <w:vertAlign w:val="baseline"/>
        </w:rPr>
        <w:t> </w:t>
      </w:r>
      <w:r>
        <w:rPr>
          <w:vertAlign w:val="baseline"/>
        </w:rPr>
        <w:t>cannot</w:t>
      </w:r>
      <w:r>
        <w:rPr>
          <w:spacing w:val="40"/>
          <w:vertAlign w:val="baseline"/>
        </w:rPr>
        <w:t> </w:t>
      </w:r>
      <w:r>
        <w:rPr>
          <w:vertAlign w:val="baseline"/>
        </w:rPr>
        <w:t>be sure of their remedies or the quantum of such remedies yet, unless and until such Rule is made by the Board.</w:t>
      </w:r>
    </w:p>
    <w:p>
      <w:pPr>
        <w:pStyle w:val="ListParagraph"/>
        <w:numPr>
          <w:ilvl w:val="2"/>
          <w:numId w:val="22"/>
        </w:numPr>
        <w:tabs>
          <w:tab w:pos="1451" w:val="left" w:leader="none"/>
          <w:tab w:pos="1454" w:val="left" w:leader="none"/>
        </w:tabs>
        <w:spacing w:line="489" w:lineRule="auto" w:before="10" w:after="0"/>
        <w:ind w:left="1454" w:right="570" w:hanging="677"/>
        <w:jc w:val="both"/>
        <w:rPr>
          <w:sz w:val="23"/>
        </w:rPr>
      </w:pPr>
      <w:r>
        <w:rPr>
          <w:sz w:val="23"/>
        </w:rPr>
        <w:t>For an injury to an employee which occurs between his place of work and</w:t>
      </w:r>
      <w:r>
        <w:rPr>
          <w:spacing w:val="31"/>
          <w:sz w:val="23"/>
        </w:rPr>
        <w:t> </w:t>
      </w:r>
      <w:r>
        <w:rPr>
          <w:sz w:val="23"/>
        </w:rPr>
        <w:t>the</w:t>
      </w:r>
      <w:r>
        <w:rPr>
          <w:spacing w:val="27"/>
          <w:sz w:val="23"/>
        </w:rPr>
        <w:t> </w:t>
      </w:r>
      <w:r>
        <w:rPr>
          <w:sz w:val="23"/>
        </w:rPr>
        <w:t>place</w:t>
      </w:r>
      <w:r>
        <w:rPr>
          <w:spacing w:val="27"/>
          <w:sz w:val="23"/>
        </w:rPr>
        <w:t> </w:t>
      </w:r>
      <w:r>
        <w:rPr>
          <w:sz w:val="23"/>
        </w:rPr>
        <w:t>of</w:t>
      </w:r>
      <w:r>
        <w:rPr>
          <w:spacing w:val="33"/>
          <w:sz w:val="23"/>
        </w:rPr>
        <w:t> </w:t>
      </w:r>
      <w:r>
        <w:rPr>
          <w:sz w:val="23"/>
        </w:rPr>
        <w:t>meal</w:t>
      </w:r>
      <w:r>
        <w:rPr>
          <w:spacing w:val="31"/>
          <w:sz w:val="23"/>
        </w:rPr>
        <w:t> </w:t>
      </w:r>
      <w:r>
        <w:rPr>
          <w:sz w:val="23"/>
        </w:rPr>
        <w:t>to</w:t>
      </w:r>
      <w:r>
        <w:rPr>
          <w:spacing w:val="28"/>
          <w:sz w:val="23"/>
        </w:rPr>
        <w:t> </w:t>
      </w:r>
      <w:r>
        <w:rPr>
          <w:sz w:val="23"/>
        </w:rPr>
        <w:t>be</w:t>
      </w:r>
      <w:r>
        <w:rPr>
          <w:spacing w:val="27"/>
          <w:sz w:val="23"/>
        </w:rPr>
        <w:t> </w:t>
      </w:r>
      <w:r>
        <w:rPr>
          <w:sz w:val="23"/>
        </w:rPr>
        <w:t>compensable,</w:t>
      </w:r>
      <w:r>
        <w:rPr>
          <w:spacing w:val="37"/>
          <w:sz w:val="23"/>
        </w:rPr>
        <w:t> </w:t>
      </w:r>
      <w:r>
        <w:rPr>
          <w:sz w:val="23"/>
        </w:rPr>
        <w:t>such</w:t>
      </w:r>
      <w:r>
        <w:rPr>
          <w:spacing w:val="30"/>
          <w:sz w:val="23"/>
        </w:rPr>
        <w:t> </w:t>
      </w:r>
      <w:r>
        <w:rPr>
          <w:sz w:val="23"/>
        </w:rPr>
        <w:t>place</w:t>
      </w:r>
      <w:r>
        <w:rPr>
          <w:spacing w:val="33"/>
          <w:sz w:val="23"/>
        </w:rPr>
        <w:t> </w:t>
      </w:r>
      <w:r>
        <w:rPr>
          <w:sz w:val="23"/>
        </w:rPr>
        <w:t>of</w:t>
      </w:r>
      <w:r>
        <w:rPr>
          <w:spacing w:val="33"/>
          <w:sz w:val="23"/>
        </w:rPr>
        <w:t> </w:t>
      </w:r>
      <w:r>
        <w:rPr>
          <w:sz w:val="23"/>
        </w:rPr>
        <w:t>meal</w:t>
      </w:r>
      <w:r>
        <w:rPr>
          <w:spacing w:val="31"/>
          <w:sz w:val="23"/>
        </w:rPr>
        <w:t> </w:t>
      </w:r>
      <w:r>
        <w:rPr>
          <w:sz w:val="23"/>
        </w:rPr>
        <w:t>must be his usual place of meal.</w:t>
      </w:r>
      <w:r>
        <w:rPr>
          <w:sz w:val="23"/>
          <w:vertAlign w:val="superscript"/>
        </w:rPr>
        <w:t>31</w:t>
      </w:r>
      <w:r>
        <w:rPr>
          <w:sz w:val="23"/>
          <w:vertAlign w:val="baseline"/>
        </w:rPr>
        <w:t>This seems to create some sort of servitude as to where to eat, if one is to be entitled to compensation for injuries connected thereto.</w:t>
      </w:r>
    </w:p>
    <w:p>
      <w:pPr>
        <w:pStyle w:val="ListParagraph"/>
        <w:numPr>
          <w:ilvl w:val="2"/>
          <w:numId w:val="22"/>
        </w:numPr>
        <w:tabs>
          <w:tab w:pos="1537" w:val="left" w:leader="none"/>
          <w:tab w:pos="1540" w:val="left" w:leader="none"/>
        </w:tabs>
        <w:spacing w:line="491" w:lineRule="auto" w:before="0" w:after="0"/>
        <w:ind w:left="1540" w:right="568" w:hanging="677"/>
        <w:jc w:val="both"/>
        <w:rPr>
          <w:sz w:val="23"/>
        </w:rPr>
      </w:pPr>
      <w:r>
        <w:rPr>
          <w:sz w:val="23"/>
        </w:rPr>
        <w:t>The interview revealed that there is poor publicity on the side of the Board. At present, the Board only uses print media for publicity. The interview</w:t>
      </w:r>
      <w:r>
        <w:rPr>
          <w:spacing w:val="40"/>
          <w:sz w:val="23"/>
        </w:rPr>
        <w:t> </w:t>
      </w:r>
      <w:r>
        <w:rPr>
          <w:sz w:val="23"/>
        </w:rPr>
        <w:t>disclosed</w:t>
      </w:r>
      <w:r>
        <w:rPr>
          <w:spacing w:val="40"/>
          <w:sz w:val="23"/>
        </w:rPr>
        <w:t> </w:t>
      </w:r>
      <w:r>
        <w:rPr>
          <w:sz w:val="23"/>
        </w:rPr>
        <w:t>that</w:t>
      </w:r>
      <w:r>
        <w:rPr>
          <w:spacing w:val="40"/>
          <w:sz w:val="23"/>
        </w:rPr>
        <w:t> </w:t>
      </w:r>
      <w:r>
        <w:rPr>
          <w:sz w:val="23"/>
        </w:rPr>
        <w:t>the</w:t>
      </w:r>
      <w:r>
        <w:rPr>
          <w:spacing w:val="40"/>
          <w:sz w:val="23"/>
        </w:rPr>
        <w:t> </w:t>
      </w:r>
      <w:r>
        <w:rPr>
          <w:sz w:val="23"/>
        </w:rPr>
        <w:t>Federal</w:t>
      </w:r>
      <w:r>
        <w:rPr>
          <w:spacing w:val="40"/>
          <w:sz w:val="23"/>
        </w:rPr>
        <w:t> </w:t>
      </w:r>
      <w:r>
        <w:rPr>
          <w:sz w:val="23"/>
        </w:rPr>
        <w:t>Government</w:t>
      </w:r>
      <w:r>
        <w:rPr>
          <w:spacing w:val="40"/>
          <w:sz w:val="23"/>
        </w:rPr>
        <w:t> </w:t>
      </w:r>
      <w:r>
        <w:rPr>
          <w:sz w:val="23"/>
        </w:rPr>
        <w:t>has</w:t>
      </w:r>
      <w:r>
        <w:rPr>
          <w:spacing w:val="40"/>
          <w:sz w:val="23"/>
        </w:rPr>
        <w:t> </w:t>
      </w:r>
      <w:r>
        <w:rPr>
          <w:sz w:val="23"/>
        </w:rPr>
        <w:t>paid</w:t>
      </w:r>
      <w:r>
        <w:rPr>
          <w:spacing w:val="40"/>
          <w:sz w:val="23"/>
        </w:rPr>
        <w:t> </w:t>
      </w:r>
      <w:r>
        <w:rPr>
          <w:sz w:val="23"/>
        </w:rPr>
        <w:t>in</w:t>
      </w:r>
      <w:r>
        <w:rPr>
          <w:spacing w:val="40"/>
          <w:sz w:val="23"/>
        </w:rPr>
        <w:t> </w:t>
      </w:r>
      <w:r>
        <w:rPr>
          <w:sz w:val="23"/>
        </w:rPr>
        <w:t>bulk the 2011 and 2012 contributions for all Federal Government -owned tertiary institutions and Research Institutes and that these</w:t>
      </w:r>
      <w:r>
        <w:rPr>
          <w:spacing w:val="80"/>
          <w:sz w:val="23"/>
        </w:rPr>
        <w:t> </w:t>
      </w:r>
      <w:r>
        <w:rPr>
          <w:sz w:val="23"/>
        </w:rPr>
        <w:t>institutions are not even aware of such information. The print media publicity</w:t>
      </w:r>
      <w:r>
        <w:rPr>
          <w:spacing w:val="22"/>
          <w:sz w:val="23"/>
        </w:rPr>
        <w:t> </w:t>
      </w:r>
      <w:r>
        <w:rPr>
          <w:sz w:val="23"/>
        </w:rPr>
        <w:t>will</w:t>
      </w:r>
      <w:r>
        <w:rPr>
          <w:spacing w:val="18"/>
          <w:sz w:val="23"/>
        </w:rPr>
        <w:t> </w:t>
      </w:r>
      <w:r>
        <w:rPr>
          <w:sz w:val="23"/>
        </w:rPr>
        <w:t>not suffice in</w:t>
      </w:r>
      <w:r>
        <w:rPr>
          <w:spacing w:val="17"/>
          <w:sz w:val="23"/>
        </w:rPr>
        <w:t> </w:t>
      </w:r>
      <w:r>
        <w:rPr>
          <w:sz w:val="23"/>
        </w:rPr>
        <w:t>a country</w:t>
      </w:r>
      <w:r>
        <w:rPr>
          <w:spacing w:val="22"/>
          <w:sz w:val="23"/>
        </w:rPr>
        <w:t> </w:t>
      </w:r>
      <w:r>
        <w:rPr>
          <w:sz w:val="23"/>
        </w:rPr>
        <w:t>like</w:t>
      </w:r>
      <w:r>
        <w:rPr>
          <w:spacing w:val="20"/>
          <w:sz w:val="23"/>
        </w:rPr>
        <w:t> </w:t>
      </w:r>
      <w:r>
        <w:rPr>
          <w:sz w:val="23"/>
        </w:rPr>
        <w:t>Nigeria where</w:t>
      </w:r>
      <w:r>
        <w:rPr>
          <w:spacing w:val="20"/>
          <w:sz w:val="23"/>
        </w:rPr>
        <w:t> </w:t>
      </w:r>
      <w:r>
        <w:rPr>
          <w:sz w:val="23"/>
        </w:rPr>
        <w:t>there is</w:t>
      </w:r>
      <w:r>
        <w:rPr>
          <w:spacing w:val="20"/>
          <w:sz w:val="23"/>
        </w:rPr>
        <w:t> </w:t>
      </w:r>
      <w:r>
        <w:rPr>
          <w:sz w:val="23"/>
        </w:rPr>
        <w:t>high</w:t>
      </w:r>
    </w:p>
    <w:p>
      <w:pPr>
        <w:pStyle w:val="BodyText"/>
        <w:rPr>
          <w:sz w:val="20"/>
        </w:rPr>
      </w:pPr>
    </w:p>
    <w:p>
      <w:pPr>
        <w:pStyle w:val="BodyText"/>
        <w:spacing w:before="141"/>
        <w:rPr>
          <w:sz w:val="20"/>
        </w:rPr>
      </w:pPr>
      <w:r>
        <w:rPr/>
        <mc:AlternateContent>
          <mc:Choice Requires="wps">
            <w:drawing>
              <wp:anchor distT="0" distB="0" distL="0" distR="0" allowOverlap="1" layoutInCell="1" locked="0" behindDoc="1" simplePos="0" relativeHeight="487658496">
                <wp:simplePos x="0" y="0"/>
                <wp:positionH relativeFrom="page">
                  <wp:posOffset>1185672</wp:posOffset>
                </wp:positionH>
                <wp:positionV relativeFrom="paragraph">
                  <wp:posOffset>258343</wp:posOffset>
                </wp:positionV>
                <wp:extent cx="1719580" cy="6350"/>
                <wp:effectExtent l="0" t="0" r="0" b="0"/>
                <wp:wrapTopAndBottom/>
                <wp:docPr id="161" name="Graphic 161"/>
                <wp:cNvGraphicFramePr>
                  <a:graphicFrameLocks/>
                </wp:cNvGraphicFramePr>
                <a:graphic>
                  <a:graphicData uri="http://schemas.microsoft.com/office/word/2010/wordprocessingShape">
                    <wps:wsp>
                      <wps:cNvPr id="161" name="Graphic 161"/>
                      <wps:cNvSpPr/>
                      <wps:spPr>
                        <a:xfrm>
                          <a:off x="0" y="0"/>
                          <a:ext cx="1719580" cy="6350"/>
                        </a:xfrm>
                        <a:custGeom>
                          <a:avLst/>
                          <a:gdLst/>
                          <a:ahLst/>
                          <a:cxnLst/>
                          <a:rect l="l" t="t" r="r" b="b"/>
                          <a:pathLst>
                            <a:path w="1719580" h="6350">
                              <a:moveTo>
                                <a:pt x="1719072" y="0"/>
                              </a:moveTo>
                              <a:lnTo>
                                <a:pt x="0" y="0"/>
                              </a:lnTo>
                              <a:lnTo>
                                <a:pt x="0" y="6095"/>
                              </a:lnTo>
                              <a:lnTo>
                                <a:pt x="1719072" y="6095"/>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20.342012pt;width:135.360pt;height:.48pt;mso-position-horizontal-relative:page;mso-position-vertical-relative:paragraph;z-index:-15657984;mso-wrap-distance-left:0;mso-wrap-distance-right:0" id="docshape161" filled="true" fillcolor="#000000" stroked="false">
                <v:fill type="solid"/>
                <w10:wrap type="topAndBottom"/>
              </v:rect>
            </w:pict>
          </mc:Fallback>
        </mc:AlternateContent>
      </w:r>
    </w:p>
    <w:p>
      <w:pPr>
        <w:spacing w:line="217" w:lineRule="exact" w:before="91"/>
        <w:ind w:left="187" w:right="0" w:firstLine="0"/>
        <w:jc w:val="left"/>
        <w:rPr>
          <w:rFonts w:ascii="Times New Roman"/>
          <w:i/>
          <w:sz w:val="19"/>
        </w:rPr>
      </w:pPr>
      <w:r>
        <w:rPr>
          <w:rFonts w:ascii="Times New Roman"/>
          <w:sz w:val="19"/>
          <w:vertAlign w:val="superscript"/>
        </w:rPr>
        <w:t>30</w:t>
      </w:r>
      <w:r>
        <w:rPr>
          <w:rFonts w:ascii="Times New Roman"/>
          <w:spacing w:val="-3"/>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8(2)</w:t>
      </w:r>
      <w:r>
        <w:rPr>
          <w:rFonts w:ascii="Times New Roman"/>
          <w:spacing w:val="-8"/>
          <w:sz w:val="19"/>
          <w:vertAlign w:val="baseline"/>
        </w:rPr>
        <w:t> </w:t>
      </w:r>
      <w:r>
        <w:rPr>
          <w:rFonts w:ascii="Times New Roman"/>
          <w:i/>
          <w:spacing w:val="-4"/>
          <w:sz w:val="19"/>
          <w:vertAlign w:val="baseline"/>
        </w:rPr>
        <w:t>ibid</w:t>
      </w:r>
    </w:p>
    <w:p>
      <w:pPr>
        <w:spacing w:line="217" w:lineRule="exact" w:before="0"/>
        <w:ind w:left="187" w:right="0" w:firstLine="0"/>
        <w:jc w:val="left"/>
        <w:rPr>
          <w:rFonts w:ascii="Times New Roman"/>
          <w:i/>
          <w:sz w:val="19"/>
        </w:rPr>
      </w:pPr>
      <w:r>
        <w:rPr>
          <w:rFonts w:ascii="Times New Roman"/>
          <w:sz w:val="19"/>
          <w:vertAlign w:val="superscript"/>
        </w:rPr>
        <w:t>31</w:t>
      </w:r>
      <w:r>
        <w:rPr>
          <w:rFonts w:ascii="Times New Roman"/>
          <w:spacing w:val="-7"/>
          <w:sz w:val="19"/>
          <w:vertAlign w:val="baseline"/>
        </w:rPr>
        <w:t> </w:t>
      </w:r>
      <w:r>
        <w:rPr>
          <w:rFonts w:ascii="Times New Roman"/>
          <w:sz w:val="19"/>
          <w:vertAlign w:val="baseline"/>
        </w:rPr>
        <w:t>Section7(2)(b)</w:t>
      </w:r>
      <w:r>
        <w:rPr>
          <w:rFonts w:ascii="Times New Roman"/>
          <w:spacing w:val="-11"/>
          <w:sz w:val="19"/>
          <w:vertAlign w:val="baseline"/>
        </w:rPr>
        <w:t> </w:t>
      </w:r>
      <w:r>
        <w:rPr>
          <w:rFonts w:ascii="Times New Roman"/>
          <w:i/>
          <w:spacing w:val="-4"/>
          <w:sz w:val="19"/>
          <w:vertAlign w:val="baseline"/>
        </w:rPr>
        <w:t>ibid</w:t>
      </w:r>
    </w:p>
    <w:p>
      <w:pPr>
        <w:spacing w:after="0" w:line="217" w:lineRule="exact"/>
        <w:jc w:val="left"/>
        <w:rPr>
          <w:rFonts w:ascii="Times New Roman"/>
          <w:sz w:val="19"/>
        </w:rPr>
        <w:sectPr>
          <w:pgSz w:w="12240" w:h="15840"/>
          <w:pgMar w:header="0" w:footer="1009" w:top="1260" w:bottom="1200" w:left="1680" w:right="1320"/>
        </w:sectPr>
      </w:pPr>
    </w:p>
    <w:p>
      <w:pPr>
        <w:pStyle w:val="BodyText"/>
        <w:spacing w:line="489" w:lineRule="auto" w:before="114"/>
        <w:ind w:left="1540" w:right="569"/>
        <w:jc w:val="both"/>
      </w:pPr>
      <w:r>
        <w:rPr/>
        <w:t>level of illiteracy and poor reading culture.</w:t>
      </w:r>
      <w:r>
        <w:rPr>
          <w:vertAlign w:val="superscript"/>
        </w:rPr>
        <w:t>32</w:t>
      </w:r>
      <w:r>
        <w:rPr>
          <w:vertAlign w:val="baseline"/>
        </w:rPr>
        <w:t> The Board has not even bothered to formally communicate the administrators of these institutions, this fact.</w:t>
      </w:r>
    </w:p>
    <w:p>
      <w:pPr>
        <w:pStyle w:val="ListParagraph"/>
        <w:numPr>
          <w:ilvl w:val="2"/>
          <w:numId w:val="22"/>
        </w:numPr>
        <w:tabs>
          <w:tab w:pos="1536" w:val="left" w:leader="none"/>
          <w:tab w:pos="1540" w:val="left" w:leader="none"/>
        </w:tabs>
        <w:spacing w:line="489" w:lineRule="auto" w:before="0" w:after="0"/>
        <w:ind w:left="1540" w:right="565" w:hanging="764"/>
        <w:jc w:val="both"/>
        <w:rPr>
          <w:sz w:val="23"/>
        </w:rPr>
      </w:pPr>
      <w:r>
        <w:rPr>
          <w:sz w:val="23"/>
        </w:rPr>
        <w:t>The Act says anyone that</w:t>
      </w:r>
      <w:r>
        <w:rPr>
          <w:spacing w:val="40"/>
          <w:sz w:val="23"/>
        </w:rPr>
        <w:t> </w:t>
      </w:r>
      <w:r>
        <w:rPr>
          <w:sz w:val="23"/>
        </w:rPr>
        <w:t>is dissatisfied with the decision</w:t>
      </w:r>
      <w:r>
        <w:rPr>
          <w:spacing w:val="40"/>
          <w:sz w:val="23"/>
        </w:rPr>
        <w:t> </w:t>
      </w:r>
      <w:r>
        <w:rPr>
          <w:sz w:val="23"/>
        </w:rPr>
        <w:t>of</w:t>
      </w:r>
      <w:r>
        <w:rPr>
          <w:spacing w:val="40"/>
          <w:sz w:val="23"/>
        </w:rPr>
        <w:t> </w:t>
      </w:r>
      <w:r>
        <w:rPr>
          <w:sz w:val="23"/>
        </w:rPr>
        <w:t>the Board on compensation is to appeal to the same Board for a review</w:t>
      </w:r>
      <w:r>
        <w:rPr>
          <w:spacing w:val="80"/>
          <w:sz w:val="23"/>
        </w:rPr>
        <w:t> </w:t>
      </w:r>
      <w:r>
        <w:rPr>
          <w:sz w:val="23"/>
        </w:rPr>
        <w:t>of such decision and that it is on further dissatisfaction with the review that an appeal lies to the National Industrial Court.</w:t>
      </w:r>
      <w:r>
        <w:rPr>
          <w:sz w:val="23"/>
          <w:vertAlign w:val="superscript"/>
        </w:rPr>
        <w:t>33</w:t>
      </w:r>
      <w:r>
        <w:rPr>
          <w:sz w:val="23"/>
          <w:vertAlign w:val="baseline"/>
        </w:rPr>
        <w:t> This system which allows appeal to the same Board at the first instance may</w:t>
      </w:r>
      <w:r>
        <w:rPr>
          <w:spacing w:val="40"/>
          <w:sz w:val="23"/>
          <w:vertAlign w:val="baseline"/>
        </w:rPr>
        <w:t> </w:t>
      </w:r>
      <w:r>
        <w:rPr>
          <w:sz w:val="23"/>
          <w:vertAlign w:val="baseline"/>
        </w:rPr>
        <w:t>not</w:t>
      </w:r>
      <w:r>
        <w:rPr>
          <w:spacing w:val="40"/>
          <w:sz w:val="23"/>
          <w:vertAlign w:val="baseline"/>
        </w:rPr>
        <w:t> </w:t>
      </w:r>
      <w:r>
        <w:rPr>
          <w:sz w:val="23"/>
          <w:vertAlign w:val="baseline"/>
        </w:rPr>
        <w:t>encourage</w:t>
      </w:r>
      <w:r>
        <w:rPr>
          <w:spacing w:val="40"/>
          <w:sz w:val="23"/>
          <w:vertAlign w:val="baseline"/>
        </w:rPr>
        <w:t> </w:t>
      </w:r>
      <w:r>
        <w:rPr>
          <w:sz w:val="23"/>
          <w:vertAlign w:val="baseline"/>
        </w:rPr>
        <w:t>fairness.</w:t>
      </w:r>
      <w:r>
        <w:rPr>
          <w:spacing w:val="40"/>
          <w:sz w:val="23"/>
          <w:vertAlign w:val="baseline"/>
        </w:rPr>
        <w:t> </w:t>
      </w:r>
      <w:r>
        <w:rPr>
          <w:sz w:val="23"/>
          <w:vertAlign w:val="baseline"/>
        </w:rPr>
        <w:t>If</w:t>
      </w:r>
      <w:r>
        <w:rPr>
          <w:spacing w:val="40"/>
          <w:sz w:val="23"/>
          <w:vertAlign w:val="baseline"/>
        </w:rPr>
        <w:t> </w:t>
      </w:r>
      <w:r>
        <w:rPr>
          <w:sz w:val="23"/>
          <w:vertAlign w:val="baseline"/>
        </w:rPr>
        <w:t>it</w:t>
      </w:r>
      <w:r>
        <w:rPr>
          <w:spacing w:val="40"/>
          <w:sz w:val="23"/>
          <w:vertAlign w:val="baseline"/>
        </w:rPr>
        <w:t> </w:t>
      </w:r>
      <w:r>
        <w:rPr>
          <w:sz w:val="23"/>
          <w:vertAlign w:val="baseline"/>
        </w:rPr>
        <w:t>must</w:t>
      </w:r>
      <w:r>
        <w:rPr>
          <w:spacing w:val="40"/>
          <w:sz w:val="23"/>
          <w:vertAlign w:val="baseline"/>
        </w:rPr>
        <w:t> </w:t>
      </w:r>
      <w:r>
        <w:rPr>
          <w:sz w:val="23"/>
          <w:vertAlign w:val="baseline"/>
        </w:rPr>
        <w:t>lie</w:t>
      </w:r>
      <w:r>
        <w:rPr>
          <w:spacing w:val="40"/>
          <w:sz w:val="23"/>
          <w:vertAlign w:val="baseline"/>
        </w:rPr>
        <w:t> </w:t>
      </w:r>
      <w:r>
        <w:rPr>
          <w:sz w:val="23"/>
          <w:vertAlign w:val="baseline"/>
        </w:rPr>
        <w:t>to</w:t>
      </w:r>
      <w:r>
        <w:rPr>
          <w:spacing w:val="40"/>
          <w:sz w:val="23"/>
          <w:vertAlign w:val="baseline"/>
        </w:rPr>
        <w:t> </w:t>
      </w:r>
      <w:r>
        <w:rPr>
          <w:sz w:val="23"/>
          <w:vertAlign w:val="baseline"/>
        </w:rPr>
        <w:t>the</w:t>
      </w:r>
      <w:r>
        <w:rPr>
          <w:spacing w:val="40"/>
          <w:sz w:val="23"/>
          <w:vertAlign w:val="baseline"/>
        </w:rPr>
        <w:t> </w:t>
      </w:r>
      <w:r>
        <w:rPr>
          <w:sz w:val="23"/>
          <w:vertAlign w:val="baseline"/>
        </w:rPr>
        <w:t>same</w:t>
      </w:r>
      <w:r>
        <w:rPr>
          <w:spacing w:val="40"/>
          <w:sz w:val="23"/>
          <w:vertAlign w:val="baseline"/>
        </w:rPr>
        <w:t> </w:t>
      </w:r>
      <w:r>
        <w:rPr>
          <w:sz w:val="23"/>
          <w:vertAlign w:val="baseline"/>
        </w:rPr>
        <w:t>Board,</w:t>
      </w:r>
      <w:r>
        <w:rPr>
          <w:spacing w:val="40"/>
          <w:sz w:val="23"/>
          <w:vertAlign w:val="baseline"/>
        </w:rPr>
        <w:t> </w:t>
      </w:r>
      <w:r>
        <w:rPr>
          <w:sz w:val="23"/>
          <w:vertAlign w:val="baseline"/>
        </w:rPr>
        <w:t>at least the Act should provide that a different panel should be created for such purpose, in a fair and impartial manner. A better view however is that such appeal should lie</w:t>
      </w:r>
      <w:r>
        <w:rPr>
          <w:spacing w:val="40"/>
          <w:sz w:val="23"/>
          <w:vertAlign w:val="baseline"/>
        </w:rPr>
        <w:t> </w:t>
      </w:r>
      <w:r>
        <w:rPr>
          <w:sz w:val="23"/>
          <w:vertAlign w:val="baseline"/>
        </w:rPr>
        <w:t>to a body separate and independent of the Board.</w:t>
      </w:r>
    </w:p>
    <w:p>
      <w:pPr>
        <w:pStyle w:val="BodyText"/>
        <w:spacing w:before="15"/>
      </w:pPr>
    </w:p>
    <w:p>
      <w:pPr>
        <w:pStyle w:val="Heading3"/>
        <w:numPr>
          <w:ilvl w:val="1"/>
          <w:numId w:val="22"/>
        </w:numPr>
        <w:tabs>
          <w:tab w:pos="863" w:val="left" w:leader="none"/>
        </w:tabs>
        <w:spacing w:line="240" w:lineRule="auto" w:before="1" w:after="0"/>
        <w:ind w:left="863" w:right="0" w:hanging="676"/>
        <w:jc w:val="left"/>
      </w:pPr>
      <w:r>
        <w:rPr>
          <w:spacing w:val="-2"/>
        </w:rPr>
        <w:t>Recommendations</w:t>
      </w:r>
    </w:p>
    <w:p>
      <w:pPr>
        <w:pStyle w:val="BodyText"/>
        <w:spacing w:before="15"/>
        <w:rPr>
          <w:b/>
        </w:rPr>
      </w:pPr>
    </w:p>
    <w:p>
      <w:pPr>
        <w:pStyle w:val="BodyText"/>
        <w:spacing w:line="489" w:lineRule="auto" w:before="1"/>
        <w:ind w:left="864" w:right="574"/>
        <w:jc w:val="both"/>
      </w:pPr>
      <w:r>
        <w:rPr/>
        <w:t>In order to improve the Employees Compensation Act, it is recommended that the Act be amended to reflect the following.</w:t>
      </w:r>
    </w:p>
    <w:p>
      <w:pPr>
        <w:pStyle w:val="ListParagraph"/>
        <w:numPr>
          <w:ilvl w:val="2"/>
          <w:numId w:val="22"/>
        </w:numPr>
        <w:tabs>
          <w:tab w:pos="1452" w:val="left" w:leader="none"/>
          <w:tab w:pos="1454" w:val="left" w:leader="none"/>
        </w:tabs>
        <w:spacing w:line="491" w:lineRule="auto" w:before="0" w:after="0"/>
        <w:ind w:left="1454" w:right="571" w:hanging="591"/>
        <w:jc w:val="both"/>
        <w:rPr>
          <w:sz w:val="23"/>
        </w:rPr>
      </w:pPr>
      <w:r>
        <w:rPr>
          <w:sz w:val="23"/>
        </w:rPr>
        <w:t>It is recommended that reference to the number of employees at the informal places of work should serve as indicators for assessment. Also, the risk factors in various places of informal sector should serve as</w:t>
      </w:r>
      <w:r>
        <w:rPr>
          <w:spacing w:val="40"/>
          <w:sz w:val="23"/>
        </w:rPr>
        <w:t> </w:t>
      </w:r>
      <w:r>
        <w:rPr>
          <w:sz w:val="23"/>
        </w:rPr>
        <w:t>indicator</w:t>
      </w:r>
      <w:r>
        <w:rPr>
          <w:spacing w:val="40"/>
          <w:sz w:val="23"/>
        </w:rPr>
        <w:t> </w:t>
      </w:r>
      <w:r>
        <w:rPr>
          <w:sz w:val="23"/>
        </w:rPr>
        <w:t>for</w:t>
      </w:r>
      <w:r>
        <w:rPr>
          <w:spacing w:val="40"/>
          <w:sz w:val="23"/>
        </w:rPr>
        <w:t> </w:t>
      </w:r>
      <w:r>
        <w:rPr>
          <w:sz w:val="23"/>
        </w:rPr>
        <w:t>assessment</w:t>
      </w:r>
      <w:r>
        <w:rPr>
          <w:spacing w:val="40"/>
          <w:sz w:val="23"/>
        </w:rPr>
        <w:t> </w:t>
      </w:r>
      <w:r>
        <w:rPr>
          <w:sz w:val="23"/>
        </w:rPr>
        <w:t>by</w:t>
      </w:r>
      <w:r>
        <w:rPr>
          <w:spacing w:val="40"/>
          <w:sz w:val="23"/>
        </w:rPr>
        <w:t> </w:t>
      </w:r>
      <w:r>
        <w:rPr>
          <w:sz w:val="23"/>
        </w:rPr>
        <w:t>the</w:t>
      </w:r>
      <w:r>
        <w:rPr>
          <w:spacing w:val="40"/>
          <w:sz w:val="23"/>
        </w:rPr>
        <w:t> </w:t>
      </w:r>
      <w:r>
        <w:rPr>
          <w:sz w:val="23"/>
        </w:rPr>
        <w:t>Board.</w:t>
      </w:r>
      <w:r>
        <w:rPr>
          <w:spacing w:val="40"/>
          <w:sz w:val="23"/>
        </w:rPr>
        <w:t> </w:t>
      </w:r>
      <w:r>
        <w:rPr>
          <w:sz w:val="23"/>
        </w:rPr>
        <w:t>The</w:t>
      </w:r>
      <w:r>
        <w:rPr>
          <w:spacing w:val="40"/>
          <w:sz w:val="23"/>
        </w:rPr>
        <w:t> </w:t>
      </w:r>
      <w:r>
        <w:rPr>
          <w:sz w:val="23"/>
        </w:rPr>
        <w:t>Board</w:t>
      </w:r>
      <w:r>
        <w:rPr>
          <w:spacing w:val="40"/>
          <w:sz w:val="23"/>
        </w:rPr>
        <w:t> </w:t>
      </w:r>
      <w:r>
        <w:rPr>
          <w:sz w:val="23"/>
        </w:rPr>
        <w:t>should</w:t>
      </w:r>
      <w:r>
        <w:rPr>
          <w:spacing w:val="40"/>
          <w:sz w:val="23"/>
        </w:rPr>
        <w:t> </w:t>
      </w:r>
      <w:r>
        <w:rPr>
          <w:sz w:val="23"/>
        </w:rPr>
        <w:t>adopt</w:t>
      </w:r>
    </w:p>
    <w:p>
      <w:pPr>
        <w:pStyle w:val="BodyText"/>
        <w:spacing w:line="272" w:lineRule="exact"/>
        <w:ind w:left="1454"/>
        <w:jc w:val="both"/>
      </w:pPr>
      <w:r>
        <w:rPr/>
        <w:t>flat</w:t>
      </w:r>
      <w:r>
        <w:rPr>
          <w:spacing w:val="32"/>
        </w:rPr>
        <w:t> </w:t>
      </w:r>
      <w:r>
        <w:rPr/>
        <w:t>amount</w:t>
      </w:r>
      <w:r>
        <w:rPr>
          <w:spacing w:val="41"/>
        </w:rPr>
        <w:t> </w:t>
      </w:r>
      <w:r>
        <w:rPr/>
        <w:t>of</w:t>
      </w:r>
      <w:r>
        <w:rPr>
          <w:spacing w:val="35"/>
        </w:rPr>
        <w:t> </w:t>
      </w:r>
      <w:r>
        <w:rPr/>
        <w:t>money</w:t>
      </w:r>
      <w:r>
        <w:rPr>
          <w:spacing w:val="37"/>
        </w:rPr>
        <w:t> </w:t>
      </w:r>
      <w:r>
        <w:rPr/>
        <w:t>as</w:t>
      </w:r>
      <w:r>
        <w:rPr>
          <w:spacing w:val="40"/>
        </w:rPr>
        <w:t> </w:t>
      </w:r>
      <w:r>
        <w:rPr/>
        <w:t>assessment</w:t>
      </w:r>
      <w:r>
        <w:rPr>
          <w:spacing w:val="36"/>
        </w:rPr>
        <w:t> </w:t>
      </w:r>
      <w:r>
        <w:rPr/>
        <w:t>for</w:t>
      </w:r>
      <w:r>
        <w:rPr>
          <w:spacing w:val="40"/>
        </w:rPr>
        <w:t> </w:t>
      </w:r>
      <w:r>
        <w:rPr/>
        <w:t>employers</w:t>
      </w:r>
      <w:r>
        <w:rPr>
          <w:spacing w:val="34"/>
        </w:rPr>
        <w:t> </w:t>
      </w:r>
      <w:r>
        <w:rPr/>
        <w:t>at</w:t>
      </w:r>
      <w:r>
        <w:rPr>
          <w:spacing w:val="33"/>
        </w:rPr>
        <w:t> </w:t>
      </w:r>
      <w:r>
        <w:rPr/>
        <w:t>the</w:t>
      </w:r>
      <w:r>
        <w:rPr>
          <w:spacing w:val="35"/>
        </w:rPr>
        <w:t> </w:t>
      </w:r>
      <w:r>
        <w:rPr>
          <w:spacing w:val="-2"/>
        </w:rPr>
        <w:t>informal</w:t>
      </w:r>
    </w:p>
    <w:p>
      <w:pPr>
        <w:pStyle w:val="BodyText"/>
        <w:spacing w:before="1"/>
        <w:rPr>
          <w:sz w:val="17"/>
        </w:rPr>
      </w:pPr>
      <w:r>
        <w:rPr/>
        <mc:AlternateContent>
          <mc:Choice Requires="wps">
            <w:drawing>
              <wp:anchor distT="0" distB="0" distL="0" distR="0" allowOverlap="1" layoutInCell="1" locked="0" behindDoc="1" simplePos="0" relativeHeight="487659008">
                <wp:simplePos x="0" y="0"/>
                <wp:positionH relativeFrom="page">
                  <wp:posOffset>1185672</wp:posOffset>
                </wp:positionH>
                <wp:positionV relativeFrom="paragraph">
                  <wp:posOffset>146586</wp:posOffset>
                </wp:positionV>
                <wp:extent cx="1719580" cy="3175"/>
                <wp:effectExtent l="0" t="0" r="0" b="0"/>
                <wp:wrapTopAndBottom/>
                <wp:docPr id="162" name="Graphic 162"/>
                <wp:cNvGraphicFramePr>
                  <a:graphicFrameLocks/>
                </wp:cNvGraphicFramePr>
                <a:graphic>
                  <a:graphicData uri="http://schemas.microsoft.com/office/word/2010/wordprocessingShape">
                    <wps:wsp>
                      <wps:cNvPr id="162" name="Graphic 162"/>
                      <wps:cNvSpPr/>
                      <wps:spPr>
                        <a:xfrm>
                          <a:off x="0" y="0"/>
                          <a:ext cx="1719580" cy="3175"/>
                        </a:xfrm>
                        <a:custGeom>
                          <a:avLst/>
                          <a:gdLst/>
                          <a:ahLst/>
                          <a:cxnLst/>
                          <a:rect l="l" t="t" r="r" b="b"/>
                          <a:pathLst>
                            <a:path w="1719580" h="3175">
                              <a:moveTo>
                                <a:pt x="1719072" y="0"/>
                              </a:moveTo>
                              <a:lnTo>
                                <a:pt x="0" y="0"/>
                              </a:lnTo>
                              <a:lnTo>
                                <a:pt x="0" y="3048"/>
                              </a:lnTo>
                              <a:lnTo>
                                <a:pt x="1719072" y="3048"/>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11.542261pt;width:135.360pt;height:.24pt;mso-position-horizontal-relative:page;mso-position-vertical-relative:paragraph;z-index:-15657472;mso-wrap-distance-left:0;mso-wrap-distance-right:0" id="docshape162" filled="true" fillcolor="#000000" stroked="false">
                <v:fill type="solid"/>
                <w10:wrap type="topAndBottom"/>
              </v:rect>
            </w:pict>
          </mc:Fallback>
        </mc:AlternateContent>
      </w:r>
    </w:p>
    <w:p>
      <w:pPr>
        <w:spacing w:line="237" w:lineRule="auto" w:before="98"/>
        <w:ind w:left="187" w:right="563" w:firstLine="0"/>
        <w:jc w:val="left"/>
        <w:rPr>
          <w:rFonts w:ascii="Times New Roman" w:hAnsi="Times New Roman"/>
          <w:sz w:val="19"/>
        </w:rPr>
      </w:pPr>
      <w:r>
        <w:rPr>
          <w:rFonts w:ascii="Times New Roman" w:hAnsi="Times New Roman"/>
          <w:sz w:val="19"/>
          <w:vertAlign w:val="superscript"/>
        </w:rPr>
        <w:t>32</w:t>
      </w:r>
      <w:r>
        <w:rPr>
          <w:rFonts w:ascii="Times New Roman" w:hAnsi="Times New Roman"/>
          <w:spacing w:val="-7"/>
          <w:sz w:val="19"/>
          <w:vertAlign w:val="baseline"/>
        </w:rPr>
        <w:t> </w:t>
      </w:r>
      <w:r>
        <w:rPr>
          <w:rFonts w:ascii="Times New Roman" w:hAnsi="Times New Roman"/>
          <w:sz w:val="19"/>
          <w:vertAlign w:val="baseline"/>
        </w:rPr>
        <w:t>See</w:t>
      </w:r>
      <w:r>
        <w:rPr>
          <w:rFonts w:ascii="Times New Roman" w:hAnsi="Times New Roman"/>
          <w:spacing w:val="-4"/>
          <w:sz w:val="19"/>
          <w:vertAlign w:val="baseline"/>
        </w:rPr>
        <w:t> </w:t>
      </w:r>
      <w:r>
        <w:rPr>
          <w:rFonts w:ascii="Times New Roman" w:hAnsi="Times New Roman"/>
          <w:sz w:val="19"/>
          <w:vertAlign w:val="baseline"/>
        </w:rPr>
        <w:t>Tunde,</w:t>
      </w:r>
      <w:r>
        <w:rPr>
          <w:rFonts w:ascii="Times New Roman" w:hAnsi="Times New Roman"/>
          <w:spacing w:val="-6"/>
          <w:sz w:val="19"/>
          <w:vertAlign w:val="baseline"/>
        </w:rPr>
        <w:t> </w:t>
      </w:r>
      <w:r>
        <w:rPr>
          <w:rFonts w:ascii="Times New Roman" w:hAnsi="Times New Roman"/>
          <w:sz w:val="19"/>
          <w:vertAlign w:val="baseline"/>
        </w:rPr>
        <w:t>G</w:t>
      </w:r>
      <w:r>
        <w:rPr>
          <w:rFonts w:ascii="Times New Roman" w:hAnsi="Times New Roman"/>
          <w:spacing w:val="-9"/>
          <w:sz w:val="19"/>
          <w:vertAlign w:val="baseline"/>
        </w:rPr>
        <w:t> </w:t>
      </w:r>
      <w:r>
        <w:rPr>
          <w:rFonts w:ascii="Times New Roman" w:hAnsi="Times New Roman"/>
          <w:sz w:val="19"/>
          <w:vertAlign w:val="baseline"/>
        </w:rPr>
        <w:t>‘Library</w:t>
      </w:r>
      <w:r>
        <w:rPr>
          <w:rFonts w:ascii="Times New Roman" w:hAnsi="Times New Roman"/>
          <w:spacing w:val="-12"/>
          <w:sz w:val="19"/>
          <w:vertAlign w:val="baseline"/>
        </w:rPr>
        <w:t> </w:t>
      </w:r>
      <w:r>
        <w:rPr>
          <w:rFonts w:ascii="Times New Roman" w:hAnsi="Times New Roman"/>
          <w:sz w:val="19"/>
          <w:vertAlign w:val="baseline"/>
        </w:rPr>
        <w:t>Reading</w:t>
      </w:r>
      <w:r>
        <w:rPr>
          <w:rFonts w:ascii="Times New Roman" w:hAnsi="Times New Roman"/>
          <w:spacing w:val="-10"/>
          <w:sz w:val="19"/>
          <w:vertAlign w:val="baseline"/>
        </w:rPr>
        <w:t> </w:t>
      </w:r>
      <w:r>
        <w:rPr>
          <w:rFonts w:ascii="Times New Roman" w:hAnsi="Times New Roman"/>
          <w:sz w:val="19"/>
          <w:vertAlign w:val="baseline"/>
        </w:rPr>
        <w:t>Culture</w:t>
      </w:r>
      <w:r>
        <w:rPr>
          <w:rFonts w:ascii="Times New Roman" w:hAnsi="Times New Roman"/>
          <w:spacing w:val="-12"/>
          <w:sz w:val="19"/>
          <w:vertAlign w:val="baseline"/>
        </w:rPr>
        <w:t> </w:t>
      </w:r>
      <w:r>
        <w:rPr>
          <w:rFonts w:ascii="Times New Roman" w:hAnsi="Times New Roman"/>
          <w:sz w:val="19"/>
          <w:vertAlign w:val="baseline"/>
        </w:rPr>
        <w:t>and</w:t>
      </w:r>
      <w:r>
        <w:rPr>
          <w:rFonts w:ascii="Times New Roman" w:hAnsi="Times New Roman"/>
          <w:spacing w:val="-10"/>
          <w:sz w:val="19"/>
          <w:vertAlign w:val="baseline"/>
        </w:rPr>
        <w:t> </w:t>
      </w:r>
      <w:r>
        <w:rPr>
          <w:rFonts w:ascii="Times New Roman" w:hAnsi="Times New Roman"/>
          <w:sz w:val="19"/>
          <w:vertAlign w:val="baseline"/>
        </w:rPr>
        <w:t>Students’</w:t>
      </w:r>
      <w:r>
        <w:rPr>
          <w:rFonts w:ascii="Times New Roman" w:hAnsi="Times New Roman"/>
          <w:spacing w:val="-8"/>
          <w:sz w:val="19"/>
          <w:vertAlign w:val="baseline"/>
        </w:rPr>
        <w:t> </w:t>
      </w:r>
      <w:r>
        <w:rPr>
          <w:rFonts w:ascii="Times New Roman" w:hAnsi="Times New Roman"/>
          <w:sz w:val="19"/>
          <w:vertAlign w:val="baseline"/>
        </w:rPr>
        <w:t>Academic</w:t>
      </w:r>
      <w:r>
        <w:rPr>
          <w:rFonts w:ascii="Times New Roman" w:hAnsi="Times New Roman"/>
          <w:spacing w:val="-9"/>
          <w:sz w:val="19"/>
          <w:vertAlign w:val="baseline"/>
        </w:rPr>
        <w:t> </w:t>
      </w:r>
      <w:r>
        <w:rPr>
          <w:rFonts w:ascii="Times New Roman" w:hAnsi="Times New Roman"/>
          <w:sz w:val="19"/>
          <w:vertAlign w:val="baseline"/>
        </w:rPr>
        <w:t>Performance</w:t>
      </w:r>
      <w:r>
        <w:rPr>
          <w:rFonts w:ascii="Times New Roman" w:hAnsi="Times New Roman"/>
          <w:spacing w:val="-9"/>
          <w:sz w:val="19"/>
          <w:vertAlign w:val="baseline"/>
        </w:rPr>
        <w:t> </w:t>
      </w:r>
      <w:r>
        <w:rPr>
          <w:rFonts w:ascii="Times New Roman" w:hAnsi="Times New Roman"/>
          <w:sz w:val="19"/>
          <w:vertAlign w:val="baseline"/>
        </w:rPr>
        <w:t>in</w:t>
      </w:r>
      <w:r>
        <w:rPr>
          <w:rFonts w:ascii="Times New Roman" w:hAnsi="Times New Roman"/>
          <w:spacing w:val="-6"/>
          <w:sz w:val="19"/>
          <w:vertAlign w:val="baseline"/>
        </w:rPr>
        <w:t> </w:t>
      </w:r>
      <w:r>
        <w:rPr>
          <w:rFonts w:ascii="Times New Roman" w:hAnsi="Times New Roman"/>
          <w:sz w:val="19"/>
          <w:vertAlign w:val="baseline"/>
        </w:rPr>
        <w:t>Secondary</w:t>
      </w:r>
      <w:r>
        <w:rPr>
          <w:rFonts w:ascii="Times New Roman" w:hAnsi="Times New Roman"/>
          <w:spacing w:val="-12"/>
          <w:sz w:val="19"/>
          <w:vertAlign w:val="baseline"/>
        </w:rPr>
        <w:t> </w:t>
      </w:r>
      <w:r>
        <w:rPr>
          <w:rFonts w:ascii="Times New Roman" w:hAnsi="Times New Roman"/>
          <w:sz w:val="19"/>
          <w:vertAlign w:val="baseline"/>
        </w:rPr>
        <w:t>Schools</w:t>
      </w:r>
      <w:r>
        <w:rPr>
          <w:rFonts w:ascii="Times New Roman" w:hAnsi="Times New Roman"/>
          <w:spacing w:val="-5"/>
          <w:sz w:val="19"/>
          <w:vertAlign w:val="baseline"/>
        </w:rPr>
        <w:t> </w:t>
      </w:r>
      <w:r>
        <w:rPr>
          <w:rFonts w:ascii="Times New Roman" w:hAnsi="Times New Roman"/>
          <w:sz w:val="19"/>
          <w:vertAlign w:val="baseline"/>
        </w:rPr>
        <w:t>in</w:t>
      </w:r>
      <w:r>
        <w:rPr>
          <w:rFonts w:ascii="Times New Roman" w:hAnsi="Times New Roman"/>
          <w:spacing w:val="-2"/>
          <w:sz w:val="19"/>
          <w:vertAlign w:val="baseline"/>
        </w:rPr>
        <w:t> </w:t>
      </w:r>
      <w:r>
        <w:rPr>
          <w:rFonts w:ascii="Times New Roman" w:hAnsi="Times New Roman"/>
          <w:sz w:val="19"/>
          <w:vertAlign w:val="baseline"/>
        </w:rPr>
        <w:t>Oyo State’ </w:t>
      </w:r>
      <w:r>
        <w:rPr>
          <w:rFonts w:ascii="Times New Roman" w:hAnsi="Times New Roman"/>
          <w:i/>
          <w:sz w:val="19"/>
          <w:vertAlign w:val="baseline"/>
        </w:rPr>
        <w:t>Middle</w:t>
      </w:r>
      <w:r>
        <w:rPr>
          <w:rFonts w:ascii="Times New Roman" w:hAnsi="Times New Roman"/>
          <w:i/>
          <w:spacing w:val="-6"/>
          <w:sz w:val="19"/>
          <w:vertAlign w:val="baseline"/>
        </w:rPr>
        <w:t> </w:t>
      </w:r>
      <w:r>
        <w:rPr>
          <w:rFonts w:ascii="Times New Roman" w:hAnsi="Times New Roman"/>
          <w:i/>
          <w:sz w:val="19"/>
          <w:vertAlign w:val="baseline"/>
        </w:rPr>
        <w:t>Belt Journal of</w:t>
      </w:r>
      <w:r>
        <w:rPr>
          <w:rFonts w:ascii="Times New Roman" w:hAnsi="Times New Roman"/>
          <w:i/>
          <w:spacing w:val="-4"/>
          <w:sz w:val="19"/>
          <w:vertAlign w:val="baseline"/>
        </w:rPr>
        <w:t> </w:t>
      </w:r>
      <w:r>
        <w:rPr>
          <w:rFonts w:ascii="Times New Roman" w:hAnsi="Times New Roman"/>
          <w:i/>
          <w:sz w:val="19"/>
          <w:vertAlign w:val="baseline"/>
        </w:rPr>
        <w:t>Library</w:t>
      </w:r>
      <w:r>
        <w:rPr>
          <w:rFonts w:ascii="Times New Roman" w:hAnsi="Times New Roman"/>
          <w:i/>
          <w:spacing w:val="-1"/>
          <w:sz w:val="19"/>
          <w:vertAlign w:val="baseline"/>
        </w:rPr>
        <w:t> </w:t>
      </w:r>
      <w:r>
        <w:rPr>
          <w:rFonts w:ascii="Times New Roman" w:hAnsi="Times New Roman"/>
          <w:i/>
          <w:sz w:val="19"/>
          <w:vertAlign w:val="baseline"/>
        </w:rPr>
        <w:t>and Information</w:t>
      </w:r>
      <w:r>
        <w:rPr>
          <w:rFonts w:ascii="Times New Roman" w:hAnsi="Times New Roman"/>
          <w:i/>
          <w:spacing w:val="-2"/>
          <w:sz w:val="19"/>
          <w:vertAlign w:val="baseline"/>
        </w:rPr>
        <w:t> </w:t>
      </w:r>
      <w:r>
        <w:rPr>
          <w:rFonts w:ascii="Times New Roman" w:hAnsi="Times New Roman"/>
          <w:i/>
          <w:sz w:val="19"/>
          <w:vertAlign w:val="baseline"/>
        </w:rPr>
        <w:t>Science (</w:t>
      </w:r>
      <w:r>
        <w:rPr>
          <w:rFonts w:ascii="Times New Roman" w:hAnsi="Times New Roman"/>
          <w:sz w:val="19"/>
          <w:vertAlign w:val="baseline"/>
        </w:rPr>
        <w:t>2007)pp.42-58</w:t>
      </w:r>
      <w:r>
        <w:rPr>
          <w:rFonts w:ascii="Times New Roman" w:hAnsi="Times New Roman"/>
          <w:spacing w:val="-2"/>
          <w:sz w:val="19"/>
          <w:vertAlign w:val="baseline"/>
        </w:rPr>
        <w:t> </w:t>
      </w:r>
      <w:r>
        <w:rPr>
          <w:rFonts w:ascii="Times New Roman" w:hAnsi="Times New Roman"/>
          <w:sz w:val="19"/>
          <w:vertAlign w:val="baseline"/>
        </w:rPr>
        <w:t>for an exposition on poor reading culture in Nigeria.</w:t>
      </w:r>
    </w:p>
    <w:p>
      <w:pPr>
        <w:spacing w:line="216" w:lineRule="exact" w:before="0"/>
        <w:ind w:left="187" w:right="0" w:firstLine="0"/>
        <w:jc w:val="left"/>
        <w:rPr>
          <w:rFonts w:ascii="Times New Roman" w:hAnsi="Times New Roman"/>
          <w:i/>
          <w:sz w:val="19"/>
        </w:rPr>
      </w:pPr>
      <w:r>
        <w:rPr>
          <w:rFonts w:ascii="Times New Roman" w:hAnsi="Times New Roman"/>
          <w:sz w:val="19"/>
          <w:vertAlign w:val="superscript"/>
        </w:rPr>
        <w:t>33</w:t>
      </w:r>
      <w:r>
        <w:rPr>
          <w:rFonts w:ascii="Times New Roman" w:hAnsi="Times New Roman"/>
          <w:spacing w:val="-11"/>
          <w:sz w:val="19"/>
          <w:vertAlign w:val="baseline"/>
        </w:rPr>
        <w:t> </w:t>
      </w:r>
      <w:r>
        <w:rPr>
          <w:rFonts w:ascii="Times New Roman" w:hAnsi="Times New Roman"/>
          <w:sz w:val="19"/>
          <w:vertAlign w:val="baseline"/>
        </w:rPr>
        <w:t>See</w:t>
      </w:r>
      <w:r>
        <w:rPr>
          <w:rFonts w:ascii="Times New Roman" w:hAnsi="Times New Roman"/>
          <w:spacing w:val="-7"/>
          <w:sz w:val="19"/>
          <w:vertAlign w:val="baseline"/>
        </w:rPr>
        <w:t> </w:t>
      </w:r>
      <w:r>
        <w:rPr>
          <w:rFonts w:ascii="Times New Roman" w:hAnsi="Times New Roman"/>
          <w:sz w:val="19"/>
          <w:vertAlign w:val="baseline"/>
        </w:rPr>
        <w:t>section</w:t>
      </w:r>
      <w:r>
        <w:rPr>
          <w:rFonts w:ascii="Times New Roman" w:hAnsi="Times New Roman"/>
          <w:spacing w:val="-6"/>
          <w:sz w:val="19"/>
          <w:vertAlign w:val="baseline"/>
        </w:rPr>
        <w:t> </w:t>
      </w:r>
      <w:r>
        <w:rPr>
          <w:rFonts w:ascii="Times New Roman" w:hAnsi="Times New Roman"/>
          <w:sz w:val="19"/>
          <w:vertAlign w:val="baseline"/>
        </w:rPr>
        <w:t>55(1)</w:t>
      </w:r>
      <w:r>
        <w:rPr>
          <w:rFonts w:ascii="Times New Roman" w:hAnsi="Times New Roman"/>
          <w:spacing w:val="-11"/>
          <w:sz w:val="19"/>
          <w:vertAlign w:val="baseline"/>
        </w:rPr>
        <w:t> </w:t>
      </w:r>
      <w:r>
        <w:rPr>
          <w:rFonts w:ascii="Times New Roman" w:hAnsi="Times New Roman"/>
          <w:sz w:val="19"/>
          <w:vertAlign w:val="baseline"/>
        </w:rPr>
        <w:t>of</w:t>
      </w:r>
      <w:r>
        <w:rPr>
          <w:rFonts w:ascii="Times New Roman" w:hAnsi="Times New Roman"/>
          <w:spacing w:val="-11"/>
          <w:sz w:val="19"/>
          <w:vertAlign w:val="baseline"/>
        </w:rPr>
        <w:t> </w:t>
      </w:r>
      <w:r>
        <w:rPr>
          <w:rFonts w:ascii="Times New Roman" w:hAnsi="Times New Roman"/>
          <w:sz w:val="19"/>
          <w:vertAlign w:val="baseline"/>
        </w:rPr>
        <w:t>Emplo}mus’</w:t>
      </w:r>
      <w:r>
        <w:rPr>
          <w:rFonts w:ascii="Times New Roman" w:hAnsi="Times New Roman"/>
          <w:spacing w:val="-7"/>
          <w:sz w:val="19"/>
          <w:vertAlign w:val="baseline"/>
        </w:rPr>
        <w:t> </w:t>
      </w:r>
      <w:r>
        <w:rPr>
          <w:rFonts w:ascii="Times New Roman" w:hAnsi="Times New Roman"/>
          <w:sz w:val="19"/>
          <w:vertAlign w:val="baseline"/>
        </w:rPr>
        <w:t>Compensation</w:t>
      </w:r>
      <w:r>
        <w:rPr>
          <w:rFonts w:ascii="Times New Roman" w:hAnsi="Times New Roman"/>
          <w:spacing w:val="-10"/>
          <w:sz w:val="19"/>
          <w:vertAlign w:val="baseline"/>
        </w:rPr>
        <w:t> </w:t>
      </w:r>
      <w:r>
        <w:rPr>
          <w:rFonts w:ascii="Times New Roman" w:hAnsi="Times New Roman"/>
          <w:sz w:val="19"/>
          <w:vertAlign w:val="baseline"/>
        </w:rPr>
        <w:t>Act</w:t>
      </w:r>
      <w:r>
        <w:rPr>
          <w:rFonts w:ascii="Times New Roman" w:hAnsi="Times New Roman"/>
          <w:spacing w:val="-11"/>
          <w:sz w:val="19"/>
          <w:vertAlign w:val="baseline"/>
        </w:rPr>
        <w:t> </w:t>
      </w:r>
      <w:r>
        <w:rPr>
          <w:rFonts w:ascii="Times New Roman" w:hAnsi="Times New Roman"/>
          <w:i/>
          <w:sz w:val="19"/>
          <w:vertAlign w:val="baseline"/>
        </w:rPr>
        <w:t>op</w:t>
      </w:r>
      <w:r>
        <w:rPr>
          <w:rFonts w:ascii="Times New Roman" w:hAnsi="Times New Roman"/>
          <w:i/>
          <w:spacing w:val="-12"/>
          <w:sz w:val="19"/>
          <w:vertAlign w:val="baseline"/>
        </w:rPr>
        <w:t> </w:t>
      </w:r>
      <w:r>
        <w:rPr>
          <w:rFonts w:ascii="Times New Roman" w:hAnsi="Times New Roman"/>
          <w:i/>
          <w:spacing w:val="-5"/>
          <w:sz w:val="19"/>
          <w:vertAlign w:val="baseline"/>
        </w:rPr>
        <w:t>cit</w:t>
      </w:r>
    </w:p>
    <w:p>
      <w:pPr>
        <w:spacing w:after="0" w:line="216" w:lineRule="exact"/>
        <w:jc w:val="left"/>
        <w:rPr>
          <w:rFonts w:ascii="Times New Roman" w:hAnsi="Times New Roman"/>
          <w:sz w:val="19"/>
        </w:rPr>
        <w:sectPr>
          <w:pgSz w:w="12240" w:h="15840"/>
          <w:pgMar w:header="0" w:footer="1009" w:top="1240" w:bottom="1200" w:left="1680" w:right="1320"/>
        </w:sectPr>
      </w:pPr>
    </w:p>
    <w:p>
      <w:pPr>
        <w:pStyle w:val="BodyText"/>
        <w:spacing w:line="489" w:lineRule="auto" w:before="94"/>
        <w:ind w:left="1454" w:right="565"/>
        <w:jc w:val="both"/>
      </w:pPr>
      <w:r>
        <w:rPr/>
        <w:t>sector</w:t>
      </w:r>
      <w:r>
        <w:rPr>
          <w:spacing w:val="28"/>
        </w:rPr>
        <w:t> </w:t>
      </w:r>
      <w:r>
        <w:rPr/>
        <w:t>and</w:t>
      </w:r>
      <w:r>
        <w:rPr>
          <w:spacing w:val="26"/>
        </w:rPr>
        <w:t> </w:t>
      </w:r>
      <w:r>
        <w:rPr/>
        <w:t>should</w:t>
      </w:r>
      <w:r>
        <w:rPr>
          <w:spacing w:val="26"/>
        </w:rPr>
        <w:t> </w:t>
      </w:r>
      <w:r>
        <w:rPr/>
        <w:t>vary same</w:t>
      </w:r>
      <w:r>
        <w:rPr>
          <w:spacing w:val="27"/>
        </w:rPr>
        <w:t> </w:t>
      </w:r>
      <w:r>
        <w:rPr/>
        <w:t>depending</w:t>
      </w:r>
      <w:r>
        <w:rPr>
          <w:spacing w:val="26"/>
        </w:rPr>
        <w:t> </w:t>
      </w:r>
      <w:r>
        <w:rPr/>
        <w:t>on the risk factors in</w:t>
      </w:r>
      <w:r>
        <w:rPr>
          <w:spacing w:val="25"/>
        </w:rPr>
        <w:t> </w:t>
      </w:r>
      <w:r>
        <w:rPr/>
        <w:t>places of</w:t>
      </w:r>
      <w:r>
        <w:rPr>
          <w:spacing w:val="29"/>
        </w:rPr>
        <w:t> </w:t>
      </w:r>
      <w:r>
        <w:rPr/>
        <w:t>work and the number</w:t>
      </w:r>
      <w:r>
        <w:rPr>
          <w:spacing w:val="29"/>
        </w:rPr>
        <w:t> </w:t>
      </w:r>
      <w:r>
        <w:rPr/>
        <w:t>of</w:t>
      </w:r>
      <w:r>
        <w:rPr>
          <w:spacing w:val="29"/>
        </w:rPr>
        <w:t> </w:t>
      </w:r>
      <w:r>
        <w:rPr/>
        <w:t>employees at each place of</w:t>
      </w:r>
      <w:r>
        <w:rPr>
          <w:spacing w:val="29"/>
        </w:rPr>
        <w:t> </w:t>
      </w:r>
      <w:r>
        <w:rPr/>
        <w:t>employment so that instead</w:t>
      </w:r>
      <w:r>
        <w:rPr>
          <w:spacing w:val="40"/>
        </w:rPr>
        <w:t> </w:t>
      </w:r>
      <w:r>
        <w:rPr/>
        <w:t>of</w:t>
      </w:r>
      <w:r>
        <w:rPr>
          <w:spacing w:val="40"/>
        </w:rPr>
        <w:t> </w:t>
      </w:r>
      <w:r>
        <w:rPr/>
        <w:t>reference being</w:t>
      </w:r>
      <w:r>
        <w:rPr>
          <w:spacing w:val="40"/>
        </w:rPr>
        <w:t> </w:t>
      </w:r>
      <w:r>
        <w:rPr/>
        <w:t>made to non-existent payrolls at the informal sector, reference is made to the number of employees and the risk factors in the place of work. The higher the risk, the higher the amount of assessment, while, the higher the number of employees,</w:t>
      </w:r>
      <w:r>
        <w:rPr>
          <w:spacing w:val="33"/>
        </w:rPr>
        <w:t> </w:t>
      </w:r>
      <w:r>
        <w:rPr/>
        <w:t>the</w:t>
      </w:r>
      <w:r>
        <w:rPr>
          <w:spacing w:val="29"/>
        </w:rPr>
        <w:t> </w:t>
      </w:r>
      <w:r>
        <w:rPr/>
        <w:t>higher</w:t>
      </w:r>
      <w:r>
        <w:rPr>
          <w:spacing w:val="40"/>
        </w:rPr>
        <w:t> </w:t>
      </w:r>
      <w:r>
        <w:rPr/>
        <w:t>the</w:t>
      </w:r>
      <w:r>
        <w:rPr>
          <w:spacing w:val="35"/>
        </w:rPr>
        <w:t> </w:t>
      </w:r>
      <w:r>
        <w:rPr/>
        <w:t>amount</w:t>
      </w:r>
      <w:r>
        <w:rPr>
          <w:spacing w:val="31"/>
        </w:rPr>
        <w:t> </w:t>
      </w:r>
      <w:r>
        <w:rPr/>
        <w:t>of</w:t>
      </w:r>
      <w:r>
        <w:rPr>
          <w:spacing w:val="35"/>
        </w:rPr>
        <w:t> </w:t>
      </w:r>
      <w:r>
        <w:rPr/>
        <w:t>assessment</w:t>
      </w:r>
      <w:r>
        <w:rPr>
          <w:spacing w:val="37"/>
        </w:rPr>
        <w:t> </w:t>
      </w:r>
      <w:r>
        <w:rPr/>
        <w:t>and</w:t>
      </w:r>
      <w:r>
        <w:rPr>
          <w:spacing w:val="32"/>
        </w:rPr>
        <w:t> </w:t>
      </w:r>
      <w:r>
        <w:rPr/>
        <w:t>vice</w:t>
      </w:r>
      <w:r>
        <w:rPr>
          <w:spacing w:val="29"/>
        </w:rPr>
        <w:t> </w:t>
      </w:r>
      <w:r>
        <w:rPr/>
        <w:t>versa.</w:t>
      </w:r>
      <w:r>
        <w:rPr>
          <w:spacing w:val="29"/>
        </w:rPr>
        <w:t> </w:t>
      </w:r>
      <w:r>
        <w:rPr/>
        <w:t>It is</w:t>
      </w:r>
      <w:r>
        <w:rPr>
          <w:spacing w:val="80"/>
        </w:rPr>
        <w:t> </w:t>
      </w:r>
      <w:r>
        <w:rPr/>
        <w:t>also suggested that in order</w:t>
      </w:r>
      <w:r>
        <w:rPr>
          <w:spacing w:val="40"/>
        </w:rPr>
        <w:t> </w:t>
      </w:r>
      <w:r>
        <w:rPr/>
        <w:t>to lift the</w:t>
      </w:r>
      <w:r>
        <w:rPr>
          <w:spacing w:val="40"/>
        </w:rPr>
        <w:t> </w:t>
      </w:r>
      <w:r>
        <w:rPr/>
        <w:t>veil that in most cases covers the employers at the informal sector of the economy, the</w:t>
      </w:r>
      <w:r>
        <w:rPr>
          <w:spacing w:val="80"/>
        </w:rPr>
        <w:t> </w:t>
      </w:r>
      <w:r>
        <w:rPr/>
        <w:t>Board should work in partnership with the various village and district heads in order to know more about the employers within the sector.</w:t>
      </w:r>
    </w:p>
    <w:p>
      <w:pPr>
        <w:pStyle w:val="ListParagraph"/>
        <w:numPr>
          <w:ilvl w:val="2"/>
          <w:numId w:val="22"/>
        </w:numPr>
        <w:tabs>
          <w:tab w:pos="1537" w:val="left" w:leader="none"/>
          <w:tab w:pos="1540" w:val="left" w:leader="none"/>
        </w:tabs>
        <w:spacing w:line="489" w:lineRule="auto" w:before="10" w:after="0"/>
        <w:ind w:left="1540" w:right="564" w:hanging="677"/>
        <w:jc w:val="both"/>
        <w:rPr>
          <w:sz w:val="23"/>
        </w:rPr>
      </w:pPr>
      <w:r>
        <w:rPr>
          <w:sz w:val="23"/>
        </w:rPr>
        <w:t>Since section 73 of the Act excludes members of the family of employers employed as domestic servants from the compensation scheme, the said section should be amended to define those</w:t>
      </w:r>
      <w:r>
        <w:rPr>
          <w:spacing w:val="40"/>
          <w:sz w:val="23"/>
        </w:rPr>
        <w:t> </w:t>
      </w:r>
      <w:r>
        <w:rPr>
          <w:sz w:val="23"/>
        </w:rPr>
        <w:t>members of the family of employers whom the Act excludes. ‘Members of the family of employers’ in this sense should mean only the employer’s children, spouse and those wholly dependent on</w:t>
      </w:r>
      <w:r>
        <w:rPr>
          <w:spacing w:val="80"/>
          <w:sz w:val="23"/>
        </w:rPr>
        <w:t> </w:t>
      </w:r>
      <w:r>
        <w:rPr>
          <w:spacing w:val="-4"/>
          <w:sz w:val="23"/>
        </w:rPr>
        <w:t>them.</w:t>
      </w:r>
    </w:p>
    <w:p>
      <w:pPr>
        <w:pStyle w:val="ListParagraph"/>
        <w:numPr>
          <w:ilvl w:val="2"/>
          <w:numId w:val="22"/>
        </w:numPr>
        <w:tabs>
          <w:tab w:pos="1537" w:val="left" w:leader="none"/>
          <w:tab w:pos="1540" w:val="left" w:leader="none"/>
        </w:tabs>
        <w:spacing w:line="489" w:lineRule="auto" w:before="5" w:after="0"/>
        <w:ind w:left="1540" w:right="568" w:hanging="677"/>
        <w:jc w:val="both"/>
        <w:rPr>
          <w:sz w:val="23"/>
        </w:rPr>
      </w:pPr>
      <w:r>
        <w:rPr>
          <w:sz w:val="23"/>
        </w:rPr>
        <w:t>A different body should be responsible for fixing the terms and conditions of service, including remuneration of the Fund. The National Assembly or any independent body should be saddled with this responsibility. Section 31(c) of the Act which empowers the</w:t>
      </w:r>
      <w:r>
        <w:rPr>
          <w:spacing w:val="80"/>
          <w:sz w:val="23"/>
        </w:rPr>
        <w:t> </w:t>
      </w:r>
      <w:r>
        <w:rPr>
          <w:sz w:val="23"/>
        </w:rPr>
        <w:t>Board</w:t>
      </w:r>
      <w:r>
        <w:rPr>
          <w:spacing w:val="40"/>
          <w:sz w:val="23"/>
        </w:rPr>
        <w:t> </w:t>
      </w:r>
      <w:r>
        <w:rPr>
          <w:sz w:val="23"/>
        </w:rPr>
        <w:t>which</w:t>
      </w:r>
      <w:r>
        <w:rPr>
          <w:spacing w:val="55"/>
          <w:sz w:val="23"/>
        </w:rPr>
        <w:t> </w:t>
      </w:r>
      <w:r>
        <w:rPr>
          <w:sz w:val="23"/>
        </w:rPr>
        <w:t>is</w:t>
      </w:r>
      <w:r>
        <w:rPr>
          <w:spacing w:val="40"/>
          <w:sz w:val="23"/>
        </w:rPr>
        <w:t> </w:t>
      </w:r>
      <w:r>
        <w:rPr>
          <w:sz w:val="23"/>
        </w:rPr>
        <w:t>the</w:t>
      </w:r>
      <w:r>
        <w:rPr>
          <w:spacing w:val="40"/>
          <w:sz w:val="23"/>
        </w:rPr>
        <w:t> </w:t>
      </w:r>
      <w:r>
        <w:rPr>
          <w:sz w:val="23"/>
        </w:rPr>
        <w:t>trustee</w:t>
      </w:r>
      <w:r>
        <w:rPr>
          <w:spacing w:val="40"/>
          <w:sz w:val="23"/>
        </w:rPr>
        <w:t> </w:t>
      </w:r>
      <w:r>
        <w:rPr>
          <w:sz w:val="23"/>
        </w:rPr>
        <w:t>of</w:t>
      </w:r>
      <w:r>
        <w:rPr>
          <w:spacing w:val="58"/>
          <w:sz w:val="23"/>
        </w:rPr>
        <w:t> </w:t>
      </w:r>
      <w:r>
        <w:rPr>
          <w:sz w:val="23"/>
        </w:rPr>
        <w:t>the</w:t>
      </w:r>
      <w:r>
        <w:rPr>
          <w:spacing w:val="40"/>
          <w:sz w:val="23"/>
        </w:rPr>
        <w:t> </w:t>
      </w:r>
      <w:r>
        <w:rPr>
          <w:sz w:val="23"/>
        </w:rPr>
        <w:t>Fund</w:t>
      </w:r>
      <w:r>
        <w:rPr>
          <w:spacing w:val="56"/>
          <w:sz w:val="23"/>
        </w:rPr>
        <w:t> </w:t>
      </w:r>
      <w:r>
        <w:rPr>
          <w:sz w:val="23"/>
        </w:rPr>
        <w:t>to</w:t>
      </w:r>
      <w:r>
        <w:rPr>
          <w:spacing w:val="54"/>
          <w:sz w:val="23"/>
        </w:rPr>
        <w:t> </w:t>
      </w:r>
      <w:r>
        <w:rPr>
          <w:sz w:val="23"/>
        </w:rPr>
        <w:t>fix</w:t>
      </w:r>
      <w:r>
        <w:rPr>
          <w:spacing w:val="56"/>
          <w:sz w:val="23"/>
        </w:rPr>
        <w:t> </w:t>
      </w:r>
      <w:r>
        <w:rPr>
          <w:sz w:val="23"/>
        </w:rPr>
        <w:t>its</w:t>
      </w:r>
      <w:r>
        <w:rPr>
          <w:spacing w:val="40"/>
          <w:sz w:val="23"/>
        </w:rPr>
        <w:t> </w:t>
      </w:r>
      <w:r>
        <w:rPr>
          <w:sz w:val="23"/>
        </w:rPr>
        <w:t>own</w:t>
      </w:r>
      <w:r>
        <w:rPr>
          <w:spacing w:val="55"/>
          <w:sz w:val="23"/>
        </w:rPr>
        <w:t> </w:t>
      </w:r>
      <w:r>
        <w:rPr>
          <w:sz w:val="23"/>
        </w:rPr>
        <w:t>terms</w:t>
      </w:r>
      <w:r>
        <w:rPr>
          <w:spacing w:val="40"/>
          <w:sz w:val="23"/>
        </w:rPr>
        <w:t> </w:t>
      </w:r>
      <w:r>
        <w:rPr>
          <w:sz w:val="23"/>
        </w:rPr>
        <w:t>and</w:t>
      </w:r>
    </w:p>
    <w:p>
      <w:pPr>
        <w:spacing w:after="0" w:line="489" w:lineRule="auto"/>
        <w:jc w:val="both"/>
        <w:rPr>
          <w:sz w:val="23"/>
        </w:rPr>
        <w:sectPr>
          <w:pgSz w:w="12240" w:h="15840"/>
          <w:pgMar w:header="0" w:footer="1009" w:top="1260" w:bottom="1200" w:left="1680" w:right="1320"/>
        </w:sectPr>
      </w:pPr>
    </w:p>
    <w:p>
      <w:pPr>
        <w:pStyle w:val="BodyText"/>
        <w:spacing w:line="489" w:lineRule="auto" w:before="94"/>
        <w:ind w:left="1540" w:right="572"/>
        <w:jc w:val="both"/>
      </w:pPr>
      <w:r>
        <w:rPr/>
        <w:t>conditions of service including remuneration, may create conflict of interest which will always be to the disadvantage of the beneficiaries of the Fund (employees)</w:t>
      </w:r>
    </w:p>
    <w:p>
      <w:pPr>
        <w:pStyle w:val="ListParagraph"/>
        <w:numPr>
          <w:ilvl w:val="2"/>
          <w:numId w:val="22"/>
        </w:numPr>
        <w:tabs>
          <w:tab w:pos="1537" w:val="left" w:leader="none"/>
          <w:tab w:pos="1540" w:val="left" w:leader="none"/>
        </w:tabs>
        <w:spacing w:line="491" w:lineRule="auto" w:before="0" w:after="0"/>
        <w:ind w:left="1540" w:right="563" w:hanging="677"/>
        <w:jc w:val="both"/>
        <w:rPr>
          <w:sz w:val="23"/>
        </w:rPr>
      </w:pPr>
      <w:r>
        <w:rPr>
          <w:sz w:val="23"/>
        </w:rPr>
        <w:t>The payment of compensation for temporary partial disability and temporary total disability should be made compulsory if proved and that sections 24 and 25 of the Act should give an idea as to the amount of money that should be paid as compensation in the circumstance and not merely subjecting it to Regulations as may be made by the Board and which regulation is hitherto not in place.</w:t>
      </w:r>
    </w:p>
    <w:p>
      <w:pPr>
        <w:pStyle w:val="ListParagraph"/>
        <w:numPr>
          <w:ilvl w:val="2"/>
          <w:numId w:val="22"/>
        </w:numPr>
        <w:tabs>
          <w:tab w:pos="1452" w:val="left" w:leader="none"/>
          <w:tab w:pos="1454" w:val="left" w:leader="none"/>
        </w:tabs>
        <w:spacing w:line="489" w:lineRule="auto" w:before="0" w:after="0"/>
        <w:ind w:left="1454" w:right="569" w:hanging="591"/>
        <w:jc w:val="both"/>
        <w:rPr>
          <w:sz w:val="23"/>
        </w:rPr>
      </w:pPr>
      <w:r>
        <w:rPr>
          <w:sz w:val="23"/>
        </w:rPr>
        <w:t>The definition of “a spouse’ for the purpose of compensation</w:t>
      </w:r>
      <w:r>
        <w:rPr>
          <w:spacing w:val="80"/>
          <w:sz w:val="23"/>
        </w:rPr>
        <w:t> </w:t>
      </w:r>
      <w:r>
        <w:rPr>
          <w:sz w:val="23"/>
        </w:rPr>
        <w:t>contained in section 73 of the Act should exclude anybody to whom the deceased employee was not lawfully married.</w:t>
      </w:r>
    </w:p>
    <w:p>
      <w:pPr>
        <w:pStyle w:val="ListParagraph"/>
        <w:numPr>
          <w:ilvl w:val="2"/>
          <w:numId w:val="22"/>
        </w:numPr>
        <w:tabs>
          <w:tab w:pos="861" w:val="left" w:leader="none"/>
          <w:tab w:pos="864" w:val="left" w:leader="none"/>
        </w:tabs>
        <w:spacing w:line="489" w:lineRule="auto" w:before="0" w:after="0"/>
        <w:ind w:left="864" w:right="565" w:hanging="677"/>
        <w:jc w:val="both"/>
        <w:rPr>
          <w:sz w:val="23"/>
        </w:rPr>
      </w:pPr>
      <w:r>
        <w:rPr>
          <w:sz w:val="23"/>
        </w:rPr>
        <w:t>Sections 16 and 26 of the Act should be amended to reflect that, payment for health care services and disability supports should be mandatory in all cases of compensation.</w:t>
      </w:r>
    </w:p>
    <w:p>
      <w:pPr>
        <w:pStyle w:val="ListParagraph"/>
        <w:numPr>
          <w:ilvl w:val="2"/>
          <w:numId w:val="22"/>
        </w:numPr>
        <w:tabs>
          <w:tab w:pos="861" w:val="left" w:leader="none"/>
          <w:tab w:pos="950" w:val="left" w:leader="none"/>
        </w:tabs>
        <w:spacing w:line="489" w:lineRule="auto" w:before="0" w:after="0"/>
        <w:ind w:left="950" w:right="567" w:hanging="850"/>
        <w:jc w:val="both"/>
        <w:rPr>
          <w:sz w:val="23"/>
        </w:rPr>
      </w:pPr>
      <w:r>
        <w:rPr>
          <w:sz w:val="23"/>
        </w:rPr>
        <w:t>Mental stress should be compensable, even if it results from an injury for which the affected employee is otherwise, entitled to compensation. Therefore, section</w:t>
      </w:r>
      <w:r>
        <w:rPr>
          <w:spacing w:val="40"/>
          <w:sz w:val="23"/>
        </w:rPr>
        <w:t> </w:t>
      </w:r>
      <w:r>
        <w:rPr>
          <w:sz w:val="23"/>
        </w:rPr>
        <w:t>8(1)</w:t>
      </w:r>
      <w:r>
        <w:rPr>
          <w:spacing w:val="40"/>
          <w:sz w:val="23"/>
        </w:rPr>
        <w:t> </w:t>
      </w:r>
      <w:r>
        <w:rPr>
          <w:sz w:val="23"/>
        </w:rPr>
        <w:t>(a)( b) of</w:t>
      </w:r>
      <w:r>
        <w:rPr>
          <w:spacing w:val="40"/>
          <w:sz w:val="23"/>
        </w:rPr>
        <w:t> </w:t>
      </w:r>
      <w:r>
        <w:rPr>
          <w:sz w:val="23"/>
        </w:rPr>
        <w:t>the Act should be amended to</w:t>
      </w:r>
      <w:r>
        <w:rPr>
          <w:spacing w:val="40"/>
          <w:sz w:val="23"/>
        </w:rPr>
        <w:t> </w:t>
      </w:r>
      <w:r>
        <w:rPr>
          <w:sz w:val="23"/>
        </w:rPr>
        <w:t>reflect this. Also, the Board make available the Rules which the Act says it can make so that employees who suffer mental stress can be sure of their remedies. Failure to do this is akin to giving a dud cheque to employees who may suffer mental stress.</w:t>
      </w:r>
    </w:p>
    <w:p>
      <w:pPr>
        <w:spacing w:after="0" w:line="489" w:lineRule="auto"/>
        <w:jc w:val="both"/>
        <w:rPr>
          <w:sz w:val="23"/>
        </w:rPr>
        <w:sectPr>
          <w:pgSz w:w="12240" w:h="15840"/>
          <w:pgMar w:header="0" w:footer="1009" w:top="1260" w:bottom="1200" w:left="1680" w:right="1320"/>
        </w:sectPr>
      </w:pPr>
    </w:p>
    <w:p>
      <w:pPr>
        <w:pStyle w:val="ListParagraph"/>
        <w:numPr>
          <w:ilvl w:val="2"/>
          <w:numId w:val="22"/>
        </w:numPr>
        <w:tabs>
          <w:tab w:pos="862" w:val="left" w:leader="none"/>
          <w:tab w:pos="864" w:val="left" w:leader="none"/>
        </w:tabs>
        <w:spacing w:line="489" w:lineRule="auto" w:before="94" w:after="0"/>
        <w:ind w:left="864" w:right="570" w:hanging="591"/>
        <w:jc w:val="both"/>
        <w:rPr>
          <w:sz w:val="23"/>
        </w:rPr>
      </w:pPr>
      <w:r>
        <w:rPr>
          <w:sz w:val="23"/>
        </w:rPr>
        <w:t>Section 7(2)(c) of the Act should be amended to reflect that injury to an employee which occurs between his place of work ant(place of</w:t>
      </w:r>
      <w:r>
        <w:rPr>
          <w:spacing w:val="80"/>
          <w:sz w:val="23"/>
        </w:rPr>
        <w:t> </w:t>
      </w:r>
      <w:r>
        <w:rPr>
          <w:sz w:val="23"/>
        </w:rPr>
        <w:t>remuneration</w:t>
      </w:r>
      <w:r>
        <w:rPr>
          <w:spacing w:val="39"/>
          <w:sz w:val="23"/>
        </w:rPr>
        <w:t> </w:t>
      </w:r>
      <w:r>
        <w:rPr>
          <w:sz w:val="23"/>
        </w:rPr>
        <w:t>should be compensated and</w:t>
      </w:r>
      <w:r>
        <w:rPr>
          <w:spacing w:val="40"/>
          <w:sz w:val="23"/>
        </w:rPr>
        <w:t> </w:t>
      </w:r>
      <w:r>
        <w:rPr>
          <w:sz w:val="23"/>
        </w:rPr>
        <w:t>need not necessarily be where he “usually receives remuneration”.</w:t>
      </w:r>
    </w:p>
    <w:p>
      <w:pPr>
        <w:pStyle w:val="ListParagraph"/>
        <w:numPr>
          <w:ilvl w:val="2"/>
          <w:numId w:val="22"/>
        </w:numPr>
        <w:tabs>
          <w:tab w:pos="862" w:val="left" w:leader="none"/>
          <w:tab w:pos="864" w:val="left" w:leader="none"/>
        </w:tabs>
        <w:spacing w:line="489" w:lineRule="auto" w:before="5" w:after="0"/>
        <w:ind w:left="864" w:right="566" w:hanging="591"/>
        <w:jc w:val="both"/>
        <w:rPr>
          <w:sz w:val="23"/>
        </w:rPr>
      </w:pPr>
      <w:r>
        <w:rPr>
          <w:sz w:val="23"/>
        </w:rPr>
        <w:t>The Board must make deliberate efforts to organise direct talks with employees and employers in their places of work. As to the informal sector of the economy, publicity will be better if the Board connects with village heads and district heads across the country through its branch offices.</w:t>
      </w:r>
      <w:r>
        <w:rPr>
          <w:spacing w:val="80"/>
          <w:sz w:val="23"/>
        </w:rPr>
        <w:t> </w:t>
      </w:r>
      <w:r>
        <w:rPr>
          <w:sz w:val="23"/>
        </w:rPr>
        <w:t>There should be radio or television jingles for the purpose of publicity. The Board should write employers individually to get them know about this scheme. The Board should erect billboards, and adopt the use of posters, leaflets and pamphlets in places of work to enlighten employees and employers about the new scheme. Also, door-to-door (places of work to places of work) enlightenment campaign about the new scheme will be of great help.</w:t>
      </w:r>
    </w:p>
    <w:p>
      <w:pPr>
        <w:pStyle w:val="ListParagraph"/>
        <w:numPr>
          <w:ilvl w:val="2"/>
          <w:numId w:val="22"/>
        </w:numPr>
        <w:tabs>
          <w:tab w:pos="864" w:val="left" w:leader="none"/>
          <w:tab w:pos="933" w:val="left" w:leader="none"/>
        </w:tabs>
        <w:spacing w:line="489" w:lineRule="auto" w:before="10" w:after="0"/>
        <w:ind w:left="864" w:right="562" w:hanging="677"/>
        <w:jc w:val="both"/>
        <w:rPr>
          <w:sz w:val="23"/>
        </w:rPr>
      </w:pPr>
      <w:r>
        <w:rPr>
          <w:sz w:val="23"/>
        </w:rPr>
        <w:tab/>
        <w:t>Section 55(1) of the Act should be amended to reflect that where one is dissatisfied</w:t>
      </w:r>
      <w:r>
        <w:rPr>
          <w:spacing w:val="36"/>
          <w:sz w:val="23"/>
        </w:rPr>
        <w:t> </w:t>
      </w:r>
      <w:r>
        <w:rPr>
          <w:sz w:val="23"/>
        </w:rPr>
        <w:t>with</w:t>
      </w:r>
      <w:r>
        <w:rPr>
          <w:spacing w:val="35"/>
          <w:sz w:val="23"/>
        </w:rPr>
        <w:t> </w:t>
      </w:r>
      <w:r>
        <w:rPr>
          <w:sz w:val="23"/>
        </w:rPr>
        <w:t>the</w:t>
      </w:r>
      <w:r>
        <w:rPr>
          <w:spacing w:val="33"/>
          <w:sz w:val="23"/>
        </w:rPr>
        <w:t> </w:t>
      </w:r>
      <w:r>
        <w:rPr>
          <w:sz w:val="23"/>
        </w:rPr>
        <w:t>first</w:t>
      </w:r>
      <w:r>
        <w:rPr>
          <w:spacing w:val="30"/>
          <w:sz w:val="23"/>
        </w:rPr>
        <w:t> </w:t>
      </w:r>
      <w:r>
        <w:rPr>
          <w:sz w:val="23"/>
        </w:rPr>
        <w:t>decision</w:t>
      </w:r>
      <w:r>
        <w:rPr>
          <w:spacing w:val="35"/>
          <w:sz w:val="23"/>
        </w:rPr>
        <w:t> </w:t>
      </w:r>
      <w:r>
        <w:rPr>
          <w:sz w:val="23"/>
        </w:rPr>
        <w:t>of</w:t>
      </w:r>
      <w:r>
        <w:rPr>
          <w:spacing w:val="38"/>
          <w:sz w:val="23"/>
        </w:rPr>
        <w:t> </w:t>
      </w:r>
      <w:r>
        <w:rPr>
          <w:sz w:val="23"/>
        </w:rPr>
        <w:t>the</w:t>
      </w:r>
      <w:r>
        <w:rPr>
          <w:spacing w:val="33"/>
          <w:sz w:val="23"/>
        </w:rPr>
        <w:t> </w:t>
      </w:r>
      <w:r>
        <w:rPr>
          <w:sz w:val="23"/>
        </w:rPr>
        <w:t>Board,</w:t>
      </w:r>
      <w:r>
        <w:rPr>
          <w:spacing w:val="80"/>
          <w:sz w:val="23"/>
        </w:rPr>
        <w:t> </w:t>
      </w:r>
      <w:r>
        <w:rPr>
          <w:sz w:val="23"/>
        </w:rPr>
        <w:t>a</w:t>
      </w:r>
      <w:r>
        <w:rPr>
          <w:spacing w:val="33"/>
          <w:sz w:val="23"/>
        </w:rPr>
        <w:t> </w:t>
      </w:r>
      <w:r>
        <w:rPr>
          <w:sz w:val="23"/>
        </w:rPr>
        <w:t>different</w:t>
      </w:r>
      <w:r>
        <w:rPr>
          <w:spacing w:val="35"/>
          <w:sz w:val="23"/>
        </w:rPr>
        <w:t> </w:t>
      </w:r>
      <w:r>
        <w:rPr>
          <w:sz w:val="23"/>
        </w:rPr>
        <w:t>panel</w:t>
      </w:r>
      <w:r>
        <w:rPr>
          <w:spacing w:val="80"/>
          <w:sz w:val="23"/>
        </w:rPr>
        <w:t> </w:t>
      </w:r>
      <w:r>
        <w:rPr>
          <w:sz w:val="23"/>
        </w:rPr>
        <w:t>within the Board should be created for such purpose in a fair and impartial</w:t>
      </w:r>
      <w:r>
        <w:rPr>
          <w:spacing w:val="80"/>
          <w:sz w:val="23"/>
        </w:rPr>
        <w:t> </w:t>
      </w:r>
      <w:r>
        <w:rPr>
          <w:sz w:val="23"/>
        </w:rPr>
        <w:t>manner. A better view however is that such appeal should lie</w:t>
      </w:r>
      <w:r>
        <w:rPr>
          <w:spacing w:val="40"/>
          <w:sz w:val="23"/>
        </w:rPr>
        <w:t> </w:t>
      </w:r>
      <w:r>
        <w:rPr>
          <w:sz w:val="23"/>
        </w:rPr>
        <w:t>to a body separate and independent of the Board.</w:t>
      </w:r>
    </w:p>
    <w:p>
      <w:pPr>
        <w:pStyle w:val="BodyText"/>
        <w:spacing w:before="10"/>
      </w:pPr>
    </w:p>
    <w:p>
      <w:pPr>
        <w:pStyle w:val="Heading3"/>
        <w:numPr>
          <w:ilvl w:val="1"/>
          <w:numId w:val="22"/>
        </w:numPr>
        <w:tabs>
          <w:tab w:pos="863" w:val="left" w:leader="none"/>
        </w:tabs>
        <w:spacing w:line="240" w:lineRule="auto" w:before="1" w:after="0"/>
        <w:ind w:left="863" w:right="0" w:hanging="676"/>
        <w:jc w:val="left"/>
      </w:pPr>
      <w:r>
        <w:rPr/>
        <w:t>Concluding</w:t>
      </w:r>
      <w:r>
        <w:rPr>
          <w:spacing w:val="14"/>
        </w:rPr>
        <w:t> </w:t>
      </w:r>
      <w:r>
        <w:rPr>
          <w:spacing w:val="-2"/>
        </w:rPr>
        <w:t>Remarks</w:t>
      </w:r>
    </w:p>
    <w:p>
      <w:pPr>
        <w:pStyle w:val="BodyText"/>
        <w:spacing w:line="489" w:lineRule="auto" w:before="248"/>
        <w:ind w:left="864" w:right="563"/>
      </w:pPr>
      <w:r>
        <w:rPr/>
        <w:t>Employees’</w:t>
      </w:r>
      <w:r>
        <w:rPr>
          <w:spacing w:val="40"/>
        </w:rPr>
        <w:t> </w:t>
      </w:r>
      <w:r>
        <w:rPr/>
        <w:t>Compensation</w:t>
      </w:r>
      <w:r>
        <w:rPr>
          <w:spacing w:val="40"/>
        </w:rPr>
        <w:t> </w:t>
      </w:r>
      <w:r>
        <w:rPr/>
        <w:t>Act</w:t>
      </w:r>
      <w:r>
        <w:rPr>
          <w:spacing w:val="40"/>
        </w:rPr>
        <w:t> </w:t>
      </w:r>
      <w:r>
        <w:rPr/>
        <w:t>has</w:t>
      </w:r>
      <w:r>
        <w:rPr>
          <w:spacing w:val="40"/>
        </w:rPr>
        <w:t> </w:t>
      </w:r>
      <w:r>
        <w:rPr/>
        <w:t>introduced</w:t>
      </w:r>
      <w:r>
        <w:rPr>
          <w:spacing w:val="40"/>
        </w:rPr>
        <w:t> </w:t>
      </w:r>
      <w:r>
        <w:rPr/>
        <w:t>some</w:t>
      </w:r>
      <w:r>
        <w:rPr>
          <w:spacing w:val="40"/>
        </w:rPr>
        <w:t> </w:t>
      </w:r>
      <w:r>
        <w:rPr/>
        <w:t>novel</w:t>
      </w:r>
      <w:r>
        <w:rPr>
          <w:spacing w:val="40"/>
        </w:rPr>
        <w:t> </w:t>
      </w:r>
      <w:r>
        <w:rPr/>
        <w:t>provisions.</w:t>
      </w:r>
      <w:r>
        <w:rPr>
          <w:spacing w:val="40"/>
        </w:rPr>
        <w:t> </w:t>
      </w:r>
      <w:r>
        <w:rPr/>
        <w:t>It has</w:t>
      </w:r>
      <w:r>
        <w:rPr>
          <w:spacing w:val="24"/>
        </w:rPr>
        <w:t> </w:t>
      </w:r>
      <w:r>
        <w:rPr/>
        <w:t>for</w:t>
      </w:r>
      <w:r>
        <w:rPr>
          <w:spacing w:val="29"/>
        </w:rPr>
        <w:t> </w:t>
      </w:r>
      <w:r>
        <w:rPr/>
        <w:t>the</w:t>
      </w:r>
      <w:r>
        <w:rPr>
          <w:spacing w:val="25"/>
        </w:rPr>
        <w:t> </w:t>
      </w:r>
      <w:r>
        <w:rPr/>
        <w:t>first</w:t>
      </w:r>
      <w:r>
        <w:rPr>
          <w:spacing w:val="26"/>
        </w:rPr>
        <w:t> </w:t>
      </w:r>
      <w:r>
        <w:rPr/>
        <w:t>time</w:t>
      </w:r>
      <w:r>
        <w:rPr>
          <w:spacing w:val="24"/>
        </w:rPr>
        <w:t> </w:t>
      </w:r>
      <w:r>
        <w:rPr/>
        <w:t>introduced</w:t>
      </w:r>
      <w:r>
        <w:rPr>
          <w:spacing w:val="28"/>
        </w:rPr>
        <w:t> </w:t>
      </w:r>
      <w:r>
        <w:rPr/>
        <w:t>‘mental</w:t>
      </w:r>
      <w:r>
        <w:rPr>
          <w:spacing w:val="27"/>
        </w:rPr>
        <w:t> </w:t>
      </w:r>
      <w:r>
        <w:rPr/>
        <w:t>stress’,</w:t>
      </w:r>
      <w:r>
        <w:rPr>
          <w:spacing w:val="24"/>
        </w:rPr>
        <w:t> </w:t>
      </w:r>
      <w:r>
        <w:rPr/>
        <w:t>as</w:t>
      </w:r>
      <w:r>
        <w:rPr>
          <w:spacing w:val="30"/>
        </w:rPr>
        <w:t> </w:t>
      </w:r>
      <w:r>
        <w:rPr/>
        <w:t>a</w:t>
      </w:r>
      <w:r>
        <w:rPr>
          <w:spacing w:val="25"/>
        </w:rPr>
        <w:t> </w:t>
      </w:r>
      <w:r>
        <w:rPr/>
        <w:t>separate</w:t>
      </w:r>
      <w:r>
        <w:rPr>
          <w:spacing w:val="25"/>
        </w:rPr>
        <w:t> </w:t>
      </w:r>
      <w:r>
        <w:rPr/>
        <w:t>ground</w:t>
      </w:r>
      <w:r>
        <w:rPr>
          <w:spacing w:val="27"/>
        </w:rPr>
        <w:t> </w:t>
      </w:r>
      <w:r>
        <w:rPr>
          <w:spacing w:val="-5"/>
        </w:rPr>
        <w:t>for</w:t>
      </w:r>
    </w:p>
    <w:p>
      <w:pPr>
        <w:spacing w:after="0" w:line="489" w:lineRule="auto"/>
        <w:sectPr>
          <w:pgSz w:w="12240" w:h="15840"/>
          <w:pgMar w:header="0" w:footer="1009" w:top="1260" w:bottom="1200" w:left="1680" w:right="1320"/>
        </w:sectPr>
      </w:pPr>
    </w:p>
    <w:p>
      <w:pPr>
        <w:pStyle w:val="BodyText"/>
        <w:spacing w:line="489" w:lineRule="auto" w:before="94"/>
        <w:ind w:left="864" w:right="564"/>
        <w:jc w:val="both"/>
      </w:pPr>
      <w:r>
        <w:rPr/>
        <w:t>employees’ compensation in Nigeria. Also, employees are now free to process their claims without any fear of victimization by their employers as the affected employees are no longer expected to claim compensation directly from their employers. This has a way of discouraging hostile relationship</w:t>
      </w:r>
      <w:r>
        <w:rPr>
          <w:spacing w:val="40"/>
        </w:rPr>
        <w:t> </w:t>
      </w:r>
      <w:r>
        <w:rPr/>
        <w:t>that</w:t>
      </w:r>
      <w:r>
        <w:rPr>
          <w:spacing w:val="40"/>
        </w:rPr>
        <w:t> </w:t>
      </w:r>
      <w:r>
        <w:rPr/>
        <w:t>will</w:t>
      </w:r>
      <w:r>
        <w:rPr>
          <w:spacing w:val="40"/>
        </w:rPr>
        <w:t> </w:t>
      </w:r>
      <w:r>
        <w:rPr/>
        <w:t>be</w:t>
      </w:r>
      <w:r>
        <w:rPr>
          <w:spacing w:val="40"/>
        </w:rPr>
        <w:t> </w:t>
      </w:r>
      <w:r>
        <w:rPr/>
        <w:t>triggered</w:t>
      </w:r>
      <w:r>
        <w:rPr>
          <w:spacing w:val="40"/>
        </w:rPr>
        <w:t> </w:t>
      </w:r>
      <w:r>
        <w:rPr/>
        <w:t>if</w:t>
      </w:r>
      <w:r>
        <w:rPr>
          <w:spacing w:val="40"/>
        </w:rPr>
        <w:t> </w:t>
      </w:r>
      <w:r>
        <w:rPr/>
        <w:t>claims</w:t>
      </w:r>
      <w:r>
        <w:rPr>
          <w:spacing w:val="40"/>
        </w:rPr>
        <w:t> </w:t>
      </w:r>
      <w:r>
        <w:rPr/>
        <w:t>were</w:t>
      </w:r>
      <w:r>
        <w:rPr>
          <w:spacing w:val="40"/>
        </w:rPr>
        <w:t> </w:t>
      </w:r>
      <w:r>
        <w:rPr/>
        <w:t>to</w:t>
      </w:r>
      <w:r>
        <w:rPr>
          <w:spacing w:val="40"/>
        </w:rPr>
        <w:t> </w:t>
      </w:r>
      <w:r>
        <w:rPr/>
        <w:t>be</w:t>
      </w:r>
      <w:r>
        <w:rPr>
          <w:spacing w:val="40"/>
        </w:rPr>
        <w:t> </w:t>
      </w:r>
      <w:r>
        <w:rPr/>
        <w:t>made</w:t>
      </w:r>
      <w:r>
        <w:rPr>
          <w:spacing w:val="40"/>
        </w:rPr>
        <w:t> </w:t>
      </w:r>
      <w:r>
        <w:rPr/>
        <w:t>directly against employers. Another good thing is that the present employees’ compensation scheme in Nigeria encourages even the employers to assist their employees in pursuing any compensation claim. This, no doubt is capable</w:t>
      </w:r>
      <w:r>
        <w:rPr>
          <w:spacing w:val="40"/>
        </w:rPr>
        <w:t> </w:t>
      </w:r>
      <w:r>
        <w:rPr/>
        <w:t>of</w:t>
      </w:r>
      <w:r>
        <w:rPr>
          <w:spacing w:val="40"/>
        </w:rPr>
        <w:t> </w:t>
      </w:r>
      <w:r>
        <w:rPr/>
        <w:t>encouraging</w:t>
      </w:r>
      <w:r>
        <w:rPr>
          <w:spacing w:val="40"/>
        </w:rPr>
        <w:t> </w:t>
      </w:r>
      <w:r>
        <w:rPr/>
        <w:t>smooth</w:t>
      </w:r>
      <w:r>
        <w:rPr>
          <w:spacing w:val="40"/>
        </w:rPr>
        <w:t> </w:t>
      </w:r>
      <w:r>
        <w:rPr/>
        <w:t>employer-employee</w:t>
      </w:r>
      <w:r>
        <w:rPr>
          <w:spacing w:val="40"/>
        </w:rPr>
        <w:t> </w:t>
      </w:r>
      <w:r>
        <w:rPr/>
        <w:t>relationship. Employees are expected to</w:t>
      </w:r>
      <w:r>
        <w:rPr>
          <w:spacing w:val="40"/>
        </w:rPr>
        <w:t> </w:t>
      </w:r>
      <w:r>
        <w:rPr/>
        <w:t>lay</w:t>
      </w:r>
      <w:r>
        <w:rPr>
          <w:spacing w:val="40"/>
        </w:rPr>
        <w:t> </w:t>
      </w:r>
      <w:r>
        <w:rPr/>
        <w:t>claim</w:t>
      </w:r>
      <w:r>
        <w:rPr>
          <w:spacing w:val="40"/>
        </w:rPr>
        <w:t> </w:t>
      </w:r>
      <w:r>
        <w:rPr/>
        <w:t>for</w:t>
      </w:r>
      <w:r>
        <w:rPr>
          <w:spacing w:val="40"/>
        </w:rPr>
        <w:t> </w:t>
      </w:r>
      <w:r>
        <w:rPr/>
        <w:t>compensation</w:t>
      </w:r>
      <w:r>
        <w:rPr>
          <w:spacing w:val="40"/>
        </w:rPr>
        <w:t> </w:t>
      </w:r>
      <w:r>
        <w:rPr/>
        <w:t>against Nigeria Social Insurance Trust Fund Management Board. Employers are however, expected to insure their employees against work-related risks and disabilities. There is an attempt by the Act to simplify the procedure for</w:t>
      </w:r>
      <w:r>
        <w:rPr>
          <w:spacing w:val="40"/>
        </w:rPr>
        <w:t> </w:t>
      </w:r>
      <w:r>
        <w:rPr/>
        <w:t>claim of compensation as against the former Workmen’s Compensation Act where such claims were directly made against the employers and in most cases awards were only gotten through protracted litigations. The writer is</w:t>
      </w:r>
      <w:r>
        <w:rPr>
          <w:spacing w:val="40"/>
        </w:rPr>
        <w:t> </w:t>
      </w:r>
      <w:r>
        <w:rPr/>
        <w:t>of the opinion that employees in Nigeria will smile better if the recommendations made in this thesis are implemented.</w:t>
      </w:r>
    </w:p>
    <w:p>
      <w:pPr>
        <w:spacing w:after="0" w:line="489" w:lineRule="auto"/>
        <w:jc w:val="both"/>
        <w:sectPr>
          <w:pgSz w:w="12240" w:h="15840"/>
          <w:pgMar w:header="0" w:footer="1009" w:top="1260" w:bottom="1200" w:left="1680" w:right="1320"/>
        </w:sectPr>
      </w:pPr>
    </w:p>
    <w:p>
      <w:pPr>
        <w:pStyle w:val="Heading2"/>
        <w:spacing w:before="94"/>
        <w:ind w:left="5" w:right="379"/>
        <w:jc w:val="center"/>
      </w:pPr>
      <w:bookmarkStart w:name="_TOC_250000" w:id="30"/>
      <w:bookmarkEnd w:id="30"/>
      <w:r>
        <w:rPr>
          <w:spacing w:val="-2"/>
        </w:rPr>
        <w:t>BIBLIOGRAPHY</w:t>
      </w:r>
    </w:p>
    <w:p>
      <w:pPr>
        <w:pStyle w:val="BodyText"/>
        <w:spacing w:before="11"/>
        <w:rPr>
          <w:b/>
        </w:rPr>
      </w:pPr>
    </w:p>
    <w:p>
      <w:pPr>
        <w:spacing w:before="0"/>
        <w:ind w:left="187" w:right="0" w:firstLine="0"/>
        <w:jc w:val="left"/>
        <w:rPr>
          <w:b/>
          <w:sz w:val="23"/>
        </w:rPr>
      </w:pPr>
      <w:r>
        <w:rPr>
          <w:b/>
          <w:spacing w:val="-2"/>
          <w:sz w:val="23"/>
        </w:rPr>
        <w:t>BOOKS</w:t>
      </w:r>
    </w:p>
    <w:p>
      <w:pPr>
        <w:pStyle w:val="BodyText"/>
        <w:spacing w:before="11"/>
        <w:rPr>
          <w:b/>
        </w:rPr>
      </w:pPr>
    </w:p>
    <w:p>
      <w:pPr>
        <w:pStyle w:val="BodyText"/>
        <w:spacing w:line="489" w:lineRule="auto"/>
        <w:ind w:left="187"/>
      </w:pPr>
      <w:r>
        <w:rPr/>
        <w:t>Aboki,</w:t>
      </w:r>
      <w:r>
        <w:rPr>
          <w:spacing w:val="80"/>
        </w:rPr>
        <w:t> </w:t>
      </w:r>
      <w:r>
        <w:rPr/>
        <w:t>Y,</w:t>
      </w:r>
      <w:r>
        <w:rPr>
          <w:spacing w:val="80"/>
        </w:rPr>
        <w:t> </w:t>
      </w:r>
      <w:r>
        <w:rPr/>
        <w:t>Introduction</w:t>
      </w:r>
      <w:r>
        <w:rPr>
          <w:spacing w:val="80"/>
        </w:rPr>
        <w:t> </w:t>
      </w:r>
      <w:r>
        <w:rPr/>
        <w:t>to</w:t>
      </w:r>
      <w:r>
        <w:rPr>
          <w:spacing w:val="80"/>
        </w:rPr>
        <w:t> </w:t>
      </w:r>
      <w:r>
        <w:rPr/>
        <w:t>Legal</w:t>
      </w:r>
      <w:r>
        <w:rPr>
          <w:spacing w:val="80"/>
        </w:rPr>
        <w:t> </w:t>
      </w:r>
      <w:r>
        <w:rPr/>
        <w:t>Research</w:t>
      </w:r>
      <w:r>
        <w:rPr>
          <w:spacing w:val="80"/>
        </w:rPr>
        <w:t> </w:t>
      </w:r>
      <w:r>
        <w:rPr/>
        <w:t>Methodology,</w:t>
      </w:r>
      <w:r>
        <w:rPr>
          <w:spacing w:val="80"/>
        </w:rPr>
        <w:t> </w:t>
      </w:r>
      <w:r>
        <w:rPr/>
        <w:t>2</w:t>
      </w:r>
      <w:r>
        <w:rPr>
          <w:vertAlign w:val="superscript"/>
        </w:rPr>
        <w:t>nd</w:t>
      </w:r>
      <w:r>
        <w:rPr>
          <w:spacing w:val="80"/>
          <w:vertAlign w:val="baseline"/>
        </w:rPr>
        <w:t> </w:t>
      </w:r>
      <w:r>
        <w:rPr>
          <w:vertAlign w:val="baseline"/>
        </w:rPr>
        <w:t>Edition,</w:t>
      </w:r>
      <w:r>
        <w:rPr>
          <w:spacing w:val="80"/>
          <w:vertAlign w:val="baseline"/>
        </w:rPr>
        <w:t> </w:t>
      </w:r>
      <w:r>
        <w:rPr>
          <w:vertAlign w:val="baseline"/>
        </w:rPr>
        <w:t>Tamaza Publishing Co., Zaria (2009)p.3</w:t>
      </w:r>
    </w:p>
    <w:p>
      <w:pPr>
        <w:pStyle w:val="BodyText"/>
        <w:spacing w:before="5"/>
        <w:ind w:left="187"/>
      </w:pPr>
      <w:r>
        <w:rPr/>
        <w:t>Agomo,</w:t>
      </w:r>
      <w:r>
        <w:rPr>
          <w:spacing w:val="56"/>
          <w:w w:val="150"/>
        </w:rPr>
        <w:t> </w:t>
      </w:r>
      <w:r>
        <w:rPr/>
        <w:t>C.K,</w:t>
      </w:r>
      <w:r>
        <w:rPr>
          <w:spacing w:val="52"/>
          <w:w w:val="150"/>
        </w:rPr>
        <w:t> </w:t>
      </w:r>
      <w:r>
        <w:rPr>
          <w:u w:val="single"/>
        </w:rPr>
        <w:t>Nigerian</w:t>
      </w:r>
      <w:r>
        <w:rPr>
          <w:spacing w:val="54"/>
          <w:w w:val="150"/>
          <w:u w:val="single"/>
        </w:rPr>
        <w:t> </w:t>
      </w:r>
      <w:r>
        <w:rPr>
          <w:u w:val="single"/>
        </w:rPr>
        <w:t>Employment</w:t>
      </w:r>
      <w:r>
        <w:rPr>
          <w:spacing w:val="54"/>
          <w:w w:val="150"/>
          <w:u w:val="single"/>
        </w:rPr>
        <w:t> </w:t>
      </w:r>
      <w:r>
        <w:rPr>
          <w:u w:val="single"/>
        </w:rPr>
        <w:t>and</w:t>
      </w:r>
      <w:r>
        <w:rPr>
          <w:spacing w:val="50"/>
          <w:w w:val="150"/>
          <w:u w:val="single"/>
        </w:rPr>
        <w:t> </w:t>
      </w:r>
      <w:r>
        <w:rPr>
          <w:u w:val="single"/>
        </w:rPr>
        <w:t>Labour</w:t>
      </w:r>
      <w:r>
        <w:rPr>
          <w:spacing w:val="52"/>
          <w:w w:val="150"/>
          <w:u w:val="single"/>
        </w:rPr>
        <w:t> </w:t>
      </w:r>
      <w:r>
        <w:rPr>
          <w:u w:val="single"/>
        </w:rPr>
        <w:t>Relations</w:t>
      </w:r>
      <w:r>
        <w:rPr>
          <w:spacing w:val="56"/>
          <w:w w:val="150"/>
          <w:u w:val="single"/>
        </w:rPr>
        <w:t> </w:t>
      </w:r>
      <w:r>
        <w:rPr>
          <w:u w:val="single"/>
        </w:rPr>
        <w:t>Law</w:t>
      </w:r>
      <w:r>
        <w:rPr>
          <w:spacing w:val="55"/>
          <w:w w:val="150"/>
          <w:u w:val="single"/>
        </w:rPr>
        <w:t> </w:t>
      </w:r>
      <w:r>
        <w:rPr>
          <w:u w:val="single"/>
        </w:rPr>
        <w:t>and</w:t>
      </w:r>
      <w:r>
        <w:rPr>
          <w:spacing w:val="55"/>
          <w:w w:val="150"/>
          <w:u w:val="single"/>
        </w:rPr>
        <w:t> </w:t>
      </w:r>
      <w:r>
        <w:rPr>
          <w:spacing w:val="-2"/>
          <w:u w:val="single"/>
        </w:rPr>
        <w:t>Practice,</w:t>
      </w:r>
    </w:p>
    <w:p>
      <w:pPr>
        <w:pStyle w:val="BodyText"/>
        <w:spacing w:before="11"/>
      </w:pPr>
    </w:p>
    <w:p>
      <w:pPr>
        <w:pStyle w:val="BodyText"/>
        <w:ind w:left="187"/>
      </w:pPr>
      <w:r>
        <w:rPr/>
        <w:t>Concept</w:t>
      </w:r>
      <w:r>
        <w:rPr>
          <w:spacing w:val="12"/>
        </w:rPr>
        <w:t> </w:t>
      </w:r>
      <w:r>
        <w:rPr/>
        <w:t>Publications</w:t>
      </w:r>
      <w:r>
        <w:rPr>
          <w:spacing w:val="10"/>
        </w:rPr>
        <w:t> </w:t>
      </w:r>
      <w:r>
        <w:rPr/>
        <w:t>Limited,Lagos,</w:t>
      </w:r>
      <w:r>
        <w:rPr>
          <w:spacing w:val="10"/>
        </w:rPr>
        <w:t> </w:t>
      </w:r>
      <w:r>
        <w:rPr>
          <w:spacing w:val="-2"/>
        </w:rPr>
        <w:t>(2012)</w:t>
      </w:r>
    </w:p>
    <w:p>
      <w:pPr>
        <w:pStyle w:val="BodyText"/>
      </w:pPr>
    </w:p>
    <w:p>
      <w:pPr>
        <w:pStyle w:val="BodyText"/>
        <w:ind w:left="187"/>
      </w:pPr>
      <w:r>
        <w:rPr/>
        <w:t>Akintunde,</w:t>
      </w:r>
      <w:r>
        <w:rPr>
          <w:spacing w:val="46"/>
        </w:rPr>
        <w:t> </w:t>
      </w:r>
      <w:r>
        <w:rPr/>
        <w:t>E.</w:t>
      </w:r>
      <w:r>
        <w:rPr>
          <w:spacing w:val="46"/>
        </w:rPr>
        <w:t> </w:t>
      </w:r>
      <w:r>
        <w:rPr>
          <w:u w:val="single"/>
        </w:rPr>
        <w:t>Nigerian</w:t>
      </w:r>
      <w:r>
        <w:rPr>
          <w:spacing w:val="44"/>
          <w:u w:val="single"/>
        </w:rPr>
        <w:t> </w:t>
      </w:r>
      <w:r>
        <w:rPr>
          <w:u w:val="single"/>
        </w:rPr>
        <w:t>Labour</w:t>
      </w:r>
      <w:r>
        <w:rPr>
          <w:spacing w:val="48"/>
          <w:u w:val="single"/>
        </w:rPr>
        <w:t> </w:t>
      </w:r>
      <w:r>
        <w:rPr>
          <w:u w:val="single"/>
        </w:rPr>
        <w:t>Law</w:t>
      </w:r>
      <w:r>
        <w:rPr>
          <w:rFonts w:ascii="Verdana"/>
          <w:i/>
          <w:sz w:val="24"/>
        </w:rPr>
        <w:t>,</w:t>
      </w:r>
      <w:r>
        <w:rPr>
          <w:rFonts w:ascii="Verdana"/>
          <w:i/>
          <w:spacing w:val="34"/>
          <w:sz w:val="24"/>
        </w:rPr>
        <w:t> </w:t>
      </w:r>
      <w:r>
        <w:rPr/>
        <w:t>Ibadan</w:t>
      </w:r>
      <w:r>
        <w:rPr>
          <w:spacing w:val="44"/>
        </w:rPr>
        <w:t> </w:t>
      </w:r>
      <w:r>
        <w:rPr/>
        <w:t>University</w:t>
      </w:r>
      <w:r>
        <w:rPr>
          <w:spacing w:val="43"/>
        </w:rPr>
        <w:t> </w:t>
      </w:r>
      <w:r>
        <w:rPr/>
        <w:t>Press,</w:t>
      </w:r>
      <w:r>
        <w:rPr>
          <w:spacing w:val="48"/>
        </w:rPr>
        <w:t> </w:t>
      </w:r>
      <w:r>
        <w:rPr/>
        <w:t>Ibadan</w:t>
      </w:r>
      <w:r>
        <w:rPr>
          <w:spacing w:val="44"/>
        </w:rPr>
        <w:t> </w:t>
      </w:r>
      <w:r>
        <w:rPr/>
        <w:t>(1979)</w:t>
      </w:r>
      <w:r>
        <w:rPr>
          <w:spacing w:val="42"/>
        </w:rPr>
        <w:t> </w:t>
      </w:r>
      <w:r>
        <w:rPr>
          <w:spacing w:val="-5"/>
        </w:rPr>
        <w:t>p.</w:t>
      </w:r>
    </w:p>
    <w:p>
      <w:pPr>
        <w:pStyle w:val="BodyText"/>
        <w:spacing w:before="3"/>
        <w:ind w:left="864"/>
      </w:pPr>
      <w:r>
        <w:rPr>
          <w:spacing w:val="-4"/>
        </w:rPr>
        <w:t>108.</w:t>
      </w:r>
    </w:p>
    <w:p>
      <w:pPr>
        <w:pStyle w:val="BodyText"/>
        <w:spacing w:line="247" w:lineRule="auto" w:before="277"/>
        <w:ind w:left="864" w:right="82" w:hanging="677"/>
      </w:pPr>
      <w:r>
        <w:rPr/>
        <w:t>Bone,</w:t>
      </w:r>
      <w:r>
        <w:rPr>
          <w:spacing w:val="80"/>
        </w:rPr>
        <w:t> </w:t>
      </w:r>
      <w:r>
        <w:rPr/>
        <w:t>S.</w:t>
      </w:r>
      <w:r>
        <w:rPr>
          <w:spacing w:val="80"/>
        </w:rPr>
        <w:t> </w:t>
      </w:r>
      <w:r>
        <w:rPr>
          <w:rFonts w:ascii="Verdana" w:hAnsi="Verdana"/>
          <w:i/>
          <w:sz w:val="24"/>
        </w:rPr>
        <w:t>et</w:t>
      </w:r>
      <w:r>
        <w:rPr>
          <w:rFonts w:ascii="Verdana" w:hAnsi="Verdana"/>
          <w:i/>
          <w:spacing w:val="67"/>
          <w:sz w:val="24"/>
        </w:rPr>
        <w:t> </w:t>
      </w:r>
      <w:r>
        <w:rPr>
          <w:rFonts w:ascii="Verdana" w:hAnsi="Verdana"/>
          <w:i/>
          <w:sz w:val="24"/>
        </w:rPr>
        <w:t>al</w:t>
      </w:r>
      <w:r>
        <w:rPr>
          <w:rFonts w:ascii="Verdana" w:hAnsi="Verdana"/>
          <w:i/>
          <w:spacing w:val="73"/>
          <w:sz w:val="24"/>
        </w:rPr>
        <w:t> </w:t>
      </w:r>
      <w:r>
        <w:rPr>
          <w:u w:val="single"/>
        </w:rPr>
        <w:t>Osborn’s</w:t>
      </w:r>
      <w:r>
        <w:rPr>
          <w:spacing w:val="80"/>
          <w:u w:val="single"/>
        </w:rPr>
        <w:t> </w:t>
      </w:r>
      <w:r>
        <w:rPr>
          <w:u w:val="single"/>
        </w:rPr>
        <w:t>Concise</w:t>
      </w:r>
      <w:r>
        <w:rPr>
          <w:spacing w:val="80"/>
          <w:u w:val="single"/>
        </w:rPr>
        <w:t> </w:t>
      </w:r>
      <w:r>
        <w:rPr>
          <w:u w:val="single"/>
        </w:rPr>
        <w:t>Law</w:t>
      </w:r>
      <w:r>
        <w:rPr>
          <w:spacing w:val="80"/>
          <w:u w:val="single"/>
        </w:rPr>
        <w:t> </w:t>
      </w:r>
      <w:r>
        <w:rPr>
          <w:u w:val="single"/>
        </w:rPr>
        <w:t>Dictionary</w:t>
      </w:r>
      <w:r>
        <w:rPr>
          <w:rFonts w:ascii="Verdana" w:hAnsi="Verdana"/>
          <w:i/>
          <w:sz w:val="24"/>
        </w:rPr>
        <w:t>,</w:t>
      </w:r>
      <w:r>
        <w:rPr>
          <w:rFonts w:ascii="Verdana" w:hAnsi="Verdana"/>
          <w:i/>
          <w:spacing w:val="74"/>
          <w:sz w:val="24"/>
        </w:rPr>
        <w:t> </w:t>
      </w:r>
      <w:r>
        <w:rPr>
          <w:rFonts w:ascii="Verdana" w:hAnsi="Verdana"/>
          <w:i/>
          <w:sz w:val="24"/>
        </w:rPr>
        <w:t>N</w:t>
      </w:r>
      <w:r>
        <w:rPr/>
        <w:t>inth</w:t>
      </w:r>
      <w:r>
        <w:rPr>
          <w:spacing w:val="80"/>
        </w:rPr>
        <w:t> </w:t>
      </w:r>
      <w:r>
        <w:rPr/>
        <w:t>Edition,</w:t>
      </w:r>
      <w:r>
        <w:rPr>
          <w:spacing w:val="80"/>
        </w:rPr>
        <w:t> </w:t>
      </w:r>
      <w:r>
        <w:rPr/>
        <w:t>Sweet</w:t>
      </w:r>
      <w:r>
        <w:rPr>
          <w:spacing w:val="80"/>
        </w:rPr>
        <w:t> </w:t>
      </w:r>
      <w:r>
        <w:rPr/>
        <w:t>and Maxwell, London (2001) p. 387.</w:t>
      </w:r>
    </w:p>
    <w:p>
      <w:pPr>
        <w:pStyle w:val="BodyText"/>
        <w:spacing w:line="237" w:lineRule="auto" w:before="271"/>
        <w:ind w:left="864" w:right="569" w:hanging="677"/>
      </w:pPr>
      <w:r>
        <w:rPr/>
        <w:t>Cooper, W.M. and Wood, J.C. </w:t>
      </w:r>
      <w:r>
        <w:rPr>
          <w:u w:val="single"/>
        </w:rPr>
        <w:t>Outlines of Industrial Law</w:t>
      </w:r>
      <w:r>
        <w:rPr>
          <w:rFonts w:ascii="Verdana" w:hAnsi="Verdana"/>
          <w:i/>
          <w:sz w:val="24"/>
        </w:rPr>
        <w:t>,</w:t>
      </w:r>
      <w:r>
        <w:rPr>
          <w:rFonts w:ascii="Verdana" w:hAnsi="Verdana"/>
          <w:i/>
          <w:spacing w:val="1"/>
          <w:position w:val="-2"/>
          <w:sz w:val="24"/>
        </w:rPr>
        <w:drawing>
          <wp:inline distT="0" distB="0" distL="0" distR="0">
            <wp:extent cx="54863" cy="9144"/>
            <wp:effectExtent l="0" t="0" r="0" b="0"/>
            <wp:docPr id="163" name="Image 163"/>
            <wp:cNvGraphicFramePr>
              <a:graphicFrameLocks/>
            </wp:cNvGraphicFramePr>
            <a:graphic>
              <a:graphicData uri="http://schemas.openxmlformats.org/drawingml/2006/picture">
                <pic:pic>
                  <pic:nvPicPr>
                    <pic:cNvPr id="163" name="Image 163"/>
                    <pic:cNvPicPr/>
                  </pic:nvPicPr>
                  <pic:blipFill>
                    <a:blip r:embed="rId30" cstate="print"/>
                    <a:stretch>
                      <a:fillRect/>
                    </a:stretch>
                  </pic:blipFill>
                  <pic:spPr>
                    <a:xfrm>
                      <a:off x="0" y="0"/>
                      <a:ext cx="54863" cy="9144"/>
                    </a:xfrm>
                    <a:prstGeom prst="rect">
                      <a:avLst/>
                    </a:prstGeom>
                  </pic:spPr>
                </pic:pic>
              </a:graphicData>
            </a:graphic>
          </wp:inline>
        </w:drawing>
      </w:r>
      <w:r>
        <w:rPr>
          <w:rFonts w:ascii="Verdana" w:hAnsi="Verdana"/>
          <w:i/>
          <w:spacing w:val="1"/>
          <w:position w:val="-2"/>
          <w:sz w:val="24"/>
        </w:rPr>
      </w:r>
      <w:r>
        <w:rPr/>
        <w:t>5</w:t>
      </w:r>
      <w:r>
        <w:rPr>
          <w:vertAlign w:val="superscript"/>
        </w:rPr>
        <w:t>th</w:t>
      </w:r>
      <w:r>
        <w:rPr>
          <w:vertAlign w:val="baseline"/>
        </w:rPr>
        <w:t> Edition, Butterworth and Co. (Publishers) Ltd, London (1966) pp. 365 – 403.</w:t>
      </w:r>
    </w:p>
    <w:p>
      <w:pPr>
        <w:pStyle w:val="BodyText"/>
        <w:spacing w:before="17"/>
      </w:pPr>
    </w:p>
    <w:p>
      <w:pPr>
        <w:pStyle w:val="BodyText"/>
        <w:spacing w:line="244" w:lineRule="auto"/>
        <w:ind w:left="864" w:right="563" w:hanging="677"/>
      </w:pPr>
      <w:r>
        <w:rPr/>
        <w:t>De</w:t>
      </w:r>
      <w:r>
        <w:rPr>
          <w:spacing w:val="38"/>
        </w:rPr>
        <w:t> </w:t>
      </w:r>
      <w:r>
        <w:rPr/>
        <w:t>Soto,</w:t>
      </w:r>
      <w:r>
        <w:rPr>
          <w:spacing w:val="36"/>
        </w:rPr>
        <w:t> </w:t>
      </w:r>
      <w:r>
        <w:rPr/>
        <w:t>H</w:t>
      </w:r>
      <w:r>
        <w:rPr>
          <w:spacing w:val="40"/>
        </w:rPr>
        <w:t> </w:t>
      </w:r>
      <w:r>
        <w:rPr>
          <w:u w:val="single"/>
        </w:rPr>
        <w:t>The</w:t>
      </w:r>
      <w:r>
        <w:rPr>
          <w:spacing w:val="40"/>
          <w:u w:val="single"/>
        </w:rPr>
        <w:t> </w:t>
      </w:r>
      <w:r>
        <w:rPr>
          <w:u w:val="single"/>
        </w:rPr>
        <w:t>other</w:t>
      </w:r>
      <w:r>
        <w:rPr>
          <w:spacing w:val="40"/>
          <w:u w:val="single"/>
        </w:rPr>
        <w:t> </w:t>
      </w:r>
      <w:r>
        <w:rPr>
          <w:u w:val="single"/>
        </w:rPr>
        <w:t>Path;</w:t>
      </w:r>
      <w:r>
        <w:rPr>
          <w:spacing w:val="40"/>
          <w:u w:val="single"/>
        </w:rPr>
        <w:t> </w:t>
      </w:r>
      <w:r>
        <w:rPr>
          <w:u w:val="single"/>
        </w:rPr>
        <w:t>The</w:t>
      </w:r>
      <w:r>
        <w:rPr>
          <w:spacing w:val="40"/>
          <w:u w:val="single"/>
        </w:rPr>
        <w:t> </w:t>
      </w:r>
      <w:r>
        <w:rPr>
          <w:u w:val="single"/>
        </w:rPr>
        <w:t>Invisible</w:t>
      </w:r>
      <w:r>
        <w:rPr>
          <w:spacing w:val="40"/>
          <w:u w:val="single"/>
        </w:rPr>
        <w:t> </w:t>
      </w:r>
      <w:r>
        <w:rPr>
          <w:u w:val="single"/>
        </w:rPr>
        <w:t>Revelation</w:t>
      </w:r>
      <w:r>
        <w:rPr>
          <w:spacing w:val="40"/>
          <w:u w:val="single"/>
        </w:rPr>
        <w:t> </w:t>
      </w:r>
      <w:r>
        <w:rPr>
          <w:u w:val="single"/>
        </w:rPr>
        <w:t>in</w:t>
      </w:r>
      <w:r>
        <w:rPr>
          <w:spacing w:val="40"/>
          <w:u w:val="single"/>
        </w:rPr>
        <w:t> </w:t>
      </w:r>
      <w:r>
        <w:rPr>
          <w:u w:val="single"/>
        </w:rPr>
        <w:t>the</w:t>
      </w:r>
      <w:r>
        <w:rPr>
          <w:spacing w:val="40"/>
          <w:u w:val="single"/>
        </w:rPr>
        <w:t> </w:t>
      </w:r>
      <w:r>
        <w:rPr>
          <w:u w:val="single"/>
        </w:rPr>
        <w:t>Third</w:t>
      </w:r>
      <w:r>
        <w:rPr>
          <w:spacing w:val="40"/>
          <w:u w:val="single"/>
        </w:rPr>
        <w:t> </w:t>
      </w:r>
      <w:r>
        <w:rPr>
          <w:u w:val="single"/>
        </w:rPr>
        <w:t>World</w:t>
      </w:r>
      <w:r>
        <w:rPr/>
        <w:t>,Harper and Row, New York (1989)</w:t>
      </w:r>
    </w:p>
    <w:p>
      <w:pPr>
        <w:pStyle w:val="BodyText"/>
        <w:spacing w:line="247" w:lineRule="auto" w:before="272"/>
        <w:ind w:left="864" w:right="82" w:hanging="677"/>
      </w:pPr>
      <w:r>
        <w:rPr/>
        <w:t>Emiola,</w:t>
      </w:r>
      <w:r>
        <w:rPr>
          <w:spacing w:val="32"/>
        </w:rPr>
        <w:t> </w:t>
      </w:r>
      <w:r>
        <w:rPr/>
        <w:t>A.</w:t>
      </w:r>
      <w:r>
        <w:rPr>
          <w:spacing w:val="33"/>
        </w:rPr>
        <w:t> </w:t>
      </w:r>
      <w:r>
        <w:rPr>
          <w:u w:val="single"/>
        </w:rPr>
        <w:t>Nigeria Labour Law</w:t>
      </w:r>
      <w:r>
        <w:rPr>
          <w:rFonts w:ascii="Verdana"/>
          <w:i/>
          <w:sz w:val="24"/>
        </w:rPr>
        <w:t>, </w:t>
      </w:r>
      <w:r>
        <w:rPr/>
        <w:t>4</w:t>
      </w:r>
      <w:r>
        <w:rPr>
          <w:vertAlign w:val="superscript"/>
        </w:rPr>
        <w:t>th</w:t>
      </w:r>
      <w:r>
        <w:rPr>
          <w:vertAlign w:val="baseline"/>
        </w:rPr>
        <w:t> Edition,</w:t>
      </w:r>
      <w:r>
        <w:rPr>
          <w:spacing w:val="32"/>
          <w:vertAlign w:val="baseline"/>
        </w:rPr>
        <w:t> </w:t>
      </w:r>
      <w:r>
        <w:rPr>
          <w:vertAlign w:val="baseline"/>
        </w:rPr>
        <w:t>Emiola (Publishers) Ltd,</w:t>
      </w:r>
      <w:r>
        <w:rPr>
          <w:spacing w:val="32"/>
          <w:vertAlign w:val="baseline"/>
        </w:rPr>
        <w:t> </w:t>
      </w:r>
      <w:r>
        <w:rPr>
          <w:vertAlign w:val="baseline"/>
        </w:rPr>
        <w:t>Ogbomosho, Nigeria (2008) p. 302.</w:t>
      </w:r>
    </w:p>
    <w:p>
      <w:pPr>
        <w:pStyle w:val="BodyText"/>
        <w:spacing w:before="263"/>
        <w:ind w:left="187"/>
      </w:pPr>
      <w:r>
        <w:rPr/>
        <w:t>Geerts,</w:t>
      </w:r>
      <w:r>
        <w:rPr>
          <w:spacing w:val="13"/>
        </w:rPr>
        <w:t> </w:t>
      </w:r>
      <w:r>
        <w:rPr/>
        <w:t>A</w:t>
      </w:r>
      <w:r>
        <w:rPr>
          <w:spacing w:val="11"/>
        </w:rPr>
        <w:t> </w:t>
      </w:r>
      <w:r>
        <w:rPr>
          <w:rFonts w:ascii="Verdana"/>
          <w:i/>
          <w:sz w:val="24"/>
        </w:rPr>
        <w:t>et</w:t>
      </w:r>
      <w:r>
        <w:rPr>
          <w:rFonts w:ascii="Verdana"/>
          <w:i/>
          <w:spacing w:val="-2"/>
          <w:sz w:val="24"/>
        </w:rPr>
        <w:t> </w:t>
      </w:r>
      <w:r>
        <w:rPr>
          <w:rFonts w:ascii="Verdana"/>
          <w:i/>
          <w:sz w:val="24"/>
        </w:rPr>
        <w:t>al</w:t>
      </w:r>
      <w:r>
        <w:rPr>
          <w:rFonts w:ascii="Verdana"/>
          <w:i/>
          <w:spacing w:val="-1"/>
          <w:sz w:val="24"/>
        </w:rPr>
        <w:t> </w:t>
      </w:r>
      <w:r>
        <w:rPr/>
        <w:t>.</w:t>
      </w:r>
      <w:r>
        <w:rPr>
          <w:u w:val="single"/>
        </w:rPr>
        <w:t>Compensation</w:t>
      </w:r>
      <w:r>
        <w:rPr>
          <w:spacing w:val="11"/>
          <w:u w:val="single"/>
        </w:rPr>
        <w:t> </w:t>
      </w:r>
      <w:r>
        <w:rPr>
          <w:u w:val="single"/>
        </w:rPr>
        <w:t>for</w:t>
      </w:r>
      <w:r>
        <w:rPr>
          <w:spacing w:val="14"/>
          <w:u w:val="single"/>
        </w:rPr>
        <w:t> </w:t>
      </w:r>
      <w:r>
        <w:rPr>
          <w:u w:val="single"/>
        </w:rPr>
        <w:t>Bodily</w:t>
      </w:r>
      <w:r>
        <w:rPr>
          <w:spacing w:val="15"/>
          <w:u w:val="single"/>
        </w:rPr>
        <w:t> </w:t>
      </w:r>
      <w:r>
        <w:rPr>
          <w:u w:val="single"/>
        </w:rPr>
        <w:t>Harm</w:t>
      </w:r>
      <w:r>
        <w:rPr/>
        <w:t>,</w:t>
      </w:r>
      <w:r>
        <w:rPr>
          <w:spacing w:val="13"/>
        </w:rPr>
        <w:t> </w:t>
      </w:r>
      <w:r>
        <w:rPr/>
        <w:t>Fernand</w:t>
      </w:r>
      <w:r>
        <w:rPr>
          <w:spacing w:val="12"/>
        </w:rPr>
        <w:t> </w:t>
      </w:r>
      <w:r>
        <w:rPr/>
        <w:t>Nathan,</w:t>
      </w:r>
      <w:r>
        <w:rPr>
          <w:spacing w:val="13"/>
        </w:rPr>
        <w:t> </w:t>
      </w:r>
      <w:r>
        <w:rPr/>
        <w:t>Brussels</w:t>
      </w:r>
      <w:r>
        <w:rPr>
          <w:spacing w:val="8"/>
        </w:rPr>
        <w:t> </w:t>
      </w:r>
      <w:r>
        <w:rPr>
          <w:spacing w:val="-2"/>
        </w:rPr>
        <w:t>(1977)</w:t>
      </w:r>
    </w:p>
    <w:p>
      <w:pPr>
        <w:pStyle w:val="BodyText"/>
        <w:spacing w:before="3"/>
        <w:ind w:left="864"/>
      </w:pPr>
      <w:r>
        <w:rPr/>
        <w:t>pp.</w:t>
      </w:r>
      <w:r>
        <w:rPr>
          <w:spacing w:val="4"/>
        </w:rPr>
        <w:t> </w:t>
      </w:r>
      <w:r>
        <w:rPr/>
        <w:t>7 – </w:t>
      </w:r>
      <w:r>
        <w:rPr>
          <w:spacing w:val="-4"/>
        </w:rPr>
        <w:t>211.</w:t>
      </w:r>
    </w:p>
    <w:p>
      <w:pPr>
        <w:pStyle w:val="BodyText"/>
        <w:spacing w:line="560" w:lineRule="atLeast" w:before="14"/>
        <w:ind w:left="187"/>
      </w:pPr>
      <w:r>
        <w:rPr/>
        <w:t>Kramer, S.N </w:t>
      </w:r>
      <w:r>
        <w:rPr>
          <w:u w:val="single"/>
        </w:rPr>
        <w:t>History Begins at Sumer</w:t>
      </w:r>
      <w:r>
        <w:rPr>
          <w:rFonts w:ascii="Verdana"/>
          <w:i/>
          <w:sz w:val="24"/>
        </w:rPr>
        <w:t>,</w:t>
      </w:r>
      <w:r>
        <w:rPr>
          <w:rFonts w:ascii="Verdana"/>
          <w:i/>
          <w:spacing w:val="-1"/>
          <w:sz w:val="24"/>
        </w:rPr>
        <w:t> </w:t>
      </w:r>
      <w:r>
        <w:rPr/>
        <w:t>Thames and Hudson, London (1958) p. 93. Ogunniyi,</w:t>
      </w:r>
      <w:r>
        <w:rPr>
          <w:spacing w:val="38"/>
        </w:rPr>
        <w:t> </w:t>
      </w:r>
      <w:r>
        <w:rPr/>
        <w:t>O.</w:t>
      </w:r>
      <w:r>
        <w:rPr>
          <w:spacing w:val="34"/>
        </w:rPr>
        <w:t> </w:t>
      </w:r>
      <w:r>
        <w:rPr>
          <w:u w:val="single"/>
        </w:rPr>
        <w:t>Labour</w:t>
      </w:r>
      <w:r>
        <w:rPr>
          <w:spacing w:val="34"/>
          <w:u w:val="single"/>
        </w:rPr>
        <w:t> </w:t>
      </w:r>
      <w:r>
        <w:rPr>
          <w:u w:val="single"/>
        </w:rPr>
        <w:t>and</w:t>
      </w:r>
      <w:r>
        <w:rPr>
          <w:spacing w:val="38"/>
          <w:u w:val="single"/>
        </w:rPr>
        <w:t> </w:t>
      </w:r>
      <w:r>
        <w:rPr>
          <w:u w:val="single"/>
        </w:rPr>
        <w:t>Employment</w:t>
      </w:r>
      <w:r>
        <w:rPr>
          <w:spacing w:val="31"/>
          <w:u w:val="single"/>
        </w:rPr>
        <w:t> </w:t>
      </w:r>
      <w:r>
        <w:rPr>
          <w:u w:val="single"/>
        </w:rPr>
        <w:t>Law</w:t>
      </w:r>
      <w:r>
        <w:rPr>
          <w:spacing w:val="36"/>
          <w:u w:val="single"/>
        </w:rPr>
        <w:t> </w:t>
      </w:r>
      <w:r>
        <w:rPr>
          <w:u w:val="single"/>
        </w:rPr>
        <w:t>in</w:t>
      </w:r>
      <w:r>
        <w:rPr>
          <w:spacing w:val="31"/>
          <w:u w:val="single"/>
        </w:rPr>
        <w:t> </w:t>
      </w:r>
      <w:r>
        <w:rPr>
          <w:u w:val="single"/>
        </w:rPr>
        <w:t>Perspective</w:t>
      </w:r>
      <w:r>
        <w:rPr>
          <w:rFonts w:ascii="Verdana"/>
          <w:i/>
          <w:sz w:val="24"/>
        </w:rPr>
        <w:t>,</w:t>
      </w:r>
      <w:r>
        <w:rPr>
          <w:rFonts w:ascii="Verdana"/>
          <w:i/>
          <w:spacing w:val="27"/>
          <w:sz w:val="24"/>
        </w:rPr>
        <w:t> </w:t>
      </w:r>
      <w:r>
        <w:rPr/>
        <w:t>Folio,</w:t>
      </w:r>
      <w:r>
        <w:rPr>
          <w:spacing w:val="38"/>
        </w:rPr>
        <w:t> </w:t>
      </w:r>
      <w:r>
        <w:rPr/>
        <w:t>Publishers</w:t>
      </w:r>
      <w:r>
        <w:rPr>
          <w:spacing w:val="33"/>
        </w:rPr>
        <w:t> </w:t>
      </w:r>
      <w:r>
        <w:rPr>
          <w:spacing w:val="-4"/>
        </w:rPr>
        <w:t>Ltd,</w:t>
      </w:r>
    </w:p>
    <w:p>
      <w:pPr>
        <w:pStyle w:val="BodyText"/>
        <w:spacing w:before="9"/>
        <w:ind w:left="864"/>
      </w:pPr>
      <w:r>
        <w:rPr/>
        <w:t>Ikeja,</w:t>
      </w:r>
      <w:r>
        <w:rPr>
          <w:spacing w:val="4"/>
        </w:rPr>
        <w:t> </w:t>
      </w:r>
      <w:r>
        <w:rPr/>
        <w:t>Lagos</w:t>
      </w:r>
      <w:r>
        <w:rPr>
          <w:spacing w:val="4"/>
        </w:rPr>
        <w:t> </w:t>
      </w:r>
      <w:r>
        <w:rPr/>
        <w:t>(1971)</w:t>
      </w:r>
      <w:r>
        <w:rPr>
          <w:spacing w:val="4"/>
        </w:rPr>
        <w:t> </w:t>
      </w:r>
      <w:r>
        <w:rPr/>
        <w:t>p.</w:t>
      </w:r>
      <w:r>
        <w:rPr>
          <w:spacing w:val="9"/>
        </w:rPr>
        <w:t> </w:t>
      </w:r>
      <w:r>
        <w:rPr>
          <w:spacing w:val="-4"/>
        </w:rPr>
        <w:t>126.</w:t>
      </w:r>
    </w:p>
    <w:p>
      <w:pPr>
        <w:pStyle w:val="BodyText"/>
      </w:pPr>
    </w:p>
    <w:p>
      <w:pPr>
        <w:pStyle w:val="BodyText"/>
        <w:ind w:left="187"/>
      </w:pPr>
      <w:r>
        <w:rPr/>
        <w:t>Samuel</w:t>
      </w:r>
      <w:r>
        <w:rPr>
          <w:spacing w:val="10"/>
        </w:rPr>
        <w:t> </w:t>
      </w:r>
      <w:r>
        <w:rPr/>
        <w:t>H.</w:t>
      </w:r>
      <w:r>
        <w:rPr>
          <w:spacing w:val="12"/>
        </w:rPr>
        <w:t> </w:t>
      </w:r>
      <w:r>
        <w:rPr>
          <w:u w:val="single"/>
        </w:rPr>
        <w:t>Industrial</w:t>
      </w:r>
      <w:r>
        <w:rPr>
          <w:spacing w:val="14"/>
          <w:u w:val="single"/>
        </w:rPr>
        <w:t> </w:t>
      </w:r>
      <w:r>
        <w:rPr>
          <w:u w:val="single"/>
        </w:rPr>
        <w:t>Law</w:t>
      </w:r>
      <w:r>
        <w:rPr>
          <w:rFonts w:ascii="Verdana"/>
          <w:i/>
          <w:sz w:val="24"/>
          <w:u w:val="single"/>
        </w:rPr>
        <w:t>.</w:t>
      </w:r>
      <w:r>
        <w:rPr>
          <w:rFonts w:ascii="Verdana"/>
          <w:i/>
          <w:sz w:val="24"/>
        </w:rPr>
        <w:t> </w:t>
      </w:r>
      <w:r>
        <w:rPr/>
        <w:t>7</w:t>
      </w:r>
      <w:r>
        <w:rPr>
          <w:vertAlign w:val="superscript"/>
        </w:rPr>
        <w:t>th</w:t>
      </w:r>
      <w:r>
        <w:rPr>
          <w:spacing w:val="9"/>
          <w:vertAlign w:val="baseline"/>
        </w:rPr>
        <w:t> </w:t>
      </w:r>
      <w:r>
        <w:rPr>
          <w:vertAlign w:val="baseline"/>
        </w:rPr>
        <w:t>Edition</w:t>
      </w:r>
      <w:r>
        <w:rPr>
          <w:spacing w:val="9"/>
          <w:vertAlign w:val="baseline"/>
        </w:rPr>
        <w:t> </w:t>
      </w:r>
      <w:r>
        <w:rPr>
          <w:vertAlign w:val="baseline"/>
        </w:rPr>
        <w:t>Sir</w:t>
      </w:r>
      <w:r>
        <w:rPr>
          <w:spacing w:val="12"/>
          <w:vertAlign w:val="baseline"/>
        </w:rPr>
        <w:t> </w:t>
      </w:r>
      <w:r>
        <w:rPr>
          <w:vertAlign w:val="baseline"/>
        </w:rPr>
        <w:t>Isaac</w:t>
      </w:r>
      <w:r>
        <w:rPr>
          <w:spacing w:val="8"/>
          <w:vertAlign w:val="baseline"/>
        </w:rPr>
        <w:t> </w:t>
      </w:r>
      <w:r>
        <w:rPr>
          <w:vertAlign w:val="baseline"/>
        </w:rPr>
        <w:t>Pitman</w:t>
      </w:r>
      <w:r>
        <w:rPr>
          <w:spacing w:val="10"/>
          <w:vertAlign w:val="baseline"/>
        </w:rPr>
        <w:t> </w:t>
      </w:r>
      <w:r>
        <w:rPr>
          <w:vertAlign w:val="baseline"/>
        </w:rPr>
        <w:t>&amp;</w:t>
      </w:r>
      <w:r>
        <w:rPr>
          <w:spacing w:val="11"/>
          <w:vertAlign w:val="baseline"/>
        </w:rPr>
        <w:t> </w:t>
      </w:r>
      <w:r>
        <w:rPr>
          <w:vertAlign w:val="baseline"/>
        </w:rPr>
        <w:t>Sons</w:t>
      </w:r>
      <w:r>
        <w:rPr>
          <w:spacing w:val="11"/>
          <w:vertAlign w:val="baseline"/>
        </w:rPr>
        <w:t> </w:t>
      </w:r>
      <w:r>
        <w:rPr>
          <w:vertAlign w:val="baseline"/>
        </w:rPr>
        <w:t>Ltd,</w:t>
      </w:r>
      <w:r>
        <w:rPr>
          <w:spacing w:val="6"/>
          <w:vertAlign w:val="baseline"/>
        </w:rPr>
        <w:t> </w:t>
      </w:r>
      <w:r>
        <w:rPr>
          <w:vertAlign w:val="baseline"/>
        </w:rPr>
        <w:t>London</w:t>
      </w:r>
      <w:r>
        <w:rPr>
          <w:spacing w:val="9"/>
          <w:vertAlign w:val="baseline"/>
        </w:rPr>
        <w:t> </w:t>
      </w:r>
      <w:r>
        <w:rPr>
          <w:spacing w:val="-2"/>
          <w:vertAlign w:val="baseline"/>
        </w:rPr>
        <w:t>(1967)</w:t>
      </w:r>
    </w:p>
    <w:p>
      <w:pPr>
        <w:pStyle w:val="BodyText"/>
        <w:spacing w:before="3"/>
        <w:ind w:left="864"/>
      </w:pPr>
      <w:r>
        <w:rPr/>
        <w:t>pp.</w:t>
      </w:r>
      <w:r>
        <w:rPr>
          <w:spacing w:val="2"/>
        </w:rPr>
        <w:t> </w:t>
      </w:r>
      <w:r>
        <w:rPr/>
        <w:t>117</w:t>
      </w:r>
      <w:r>
        <w:rPr>
          <w:spacing w:val="7"/>
        </w:rPr>
        <w:t> </w:t>
      </w:r>
      <w:r>
        <w:rPr/>
        <w:t>–</w:t>
      </w:r>
      <w:r>
        <w:rPr>
          <w:spacing w:val="-1"/>
        </w:rPr>
        <w:t> </w:t>
      </w:r>
      <w:r>
        <w:rPr>
          <w:spacing w:val="-4"/>
        </w:rPr>
        <w:t>142.</w:t>
      </w:r>
    </w:p>
    <w:p>
      <w:pPr>
        <w:pStyle w:val="BodyText"/>
        <w:spacing w:before="4"/>
      </w:pPr>
    </w:p>
    <w:p>
      <w:pPr>
        <w:pStyle w:val="BodyText"/>
        <w:spacing w:line="242" w:lineRule="auto" w:before="1"/>
        <w:ind w:left="864" w:right="82" w:hanging="677"/>
      </w:pPr>
      <w:r>
        <w:rPr/>
        <w:t>Selwyn,</w:t>
      </w:r>
      <w:r>
        <w:rPr>
          <w:spacing w:val="77"/>
        </w:rPr>
        <w:t> </w:t>
      </w:r>
      <w:r>
        <w:rPr/>
        <w:t>N.M.</w:t>
      </w:r>
      <w:r>
        <w:rPr>
          <w:spacing w:val="79"/>
        </w:rPr>
        <w:t> </w:t>
      </w:r>
      <w:r>
        <w:rPr>
          <w:u w:val="single"/>
        </w:rPr>
        <w:t>Law</w:t>
      </w:r>
      <w:r>
        <w:rPr>
          <w:spacing w:val="80"/>
          <w:u w:val="single"/>
        </w:rPr>
        <w:t> </w:t>
      </w:r>
      <w:r>
        <w:rPr>
          <w:u w:val="single"/>
        </w:rPr>
        <w:t>of</w:t>
      </w:r>
      <w:r>
        <w:rPr>
          <w:spacing w:val="79"/>
          <w:u w:val="single"/>
        </w:rPr>
        <w:t> </w:t>
      </w:r>
      <w:r>
        <w:rPr>
          <w:u w:val="single"/>
        </w:rPr>
        <w:t>Employment</w:t>
      </w:r>
      <w:r>
        <w:rPr>
          <w:rFonts w:ascii="Verdana" w:hAnsi="Verdana"/>
          <w:i/>
          <w:sz w:val="24"/>
        </w:rPr>
        <w:t>.</w:t>
      </w:r>
      <w:r>
        <w:rPr>
          <w:rFonts w:ascii="Verdana" w:hAnsi="Verdana"/>
          <w:i/>
          <w:spacing w:val="40"/>
          <w:sz w:val="24"/>
        </w:rPr>
        <w:t> </w:t>
      </w:r>
      <w:r>
        <w:rPr/>
        <w:t>2</w:t>
      </w:r>
      <w:r>
        <w:rPr>
          <w:vertAlign w:val="superscript"/>
        </w:rPr>
        <w:t>nd</w:t>
      </w:r>
      <w:r>
        <w:rPr>
          <w:spacing w:val="80"/>
          <w:vertAlign w:val="baseline"/>
        </w:rPr>
        <w:t> </w:t>
      </w:r>
      <w:r>
        <w:rPr>
          <w:vertAlign w:val="baseline"/>
        </w:rPr>
        <w:t>Edition,</w:t>
      </w:r>
      <w:r>
        <w:rPr>
          <w:spacing w:val="77"/>
          <w:vertAlign w:val="baseline"/>
        </w:rPr>
        <w:t> </w:t>
      </w:r>
      <w:r>
        <w:rPr>
          <w:vertAlign w:val="baseline"/>
        </w:rPr>
        <w:t>Butterworth</w:t>
      </w:r>
      <w:r>
        <w:rPr>
          <w:spacing w:val="80"/>
          <w:vertAlign w:val="baseline"/>
        </w:rPr>
        <w:t> </w:t>
      </w:r>
      <w:r>
        <w:rPr>
          <w:vertAlign w:val="baseline"/>
        </w:rPr>
        <w:t>Guilford,</w:t>
      </w:r>
      <w:r>
        <w:rPr>
          <w:spacing w:val="77"/>
          <w:vertAlign w:val="baseline"/>
        </w:rPr>
        <w:t> </w:t>
      </w:r>
      <w:r>
        <w:rPr>
          <w:vertAlign w:val="baseline"/>
        </w:rPr>
        <w:t>London (1978) pp. 21, 266 – 284.</w:t>
      </w:r>
    </w:p>
    <w:p>
      <w:pPr>
        <w:pStyle w:val="BodyText"/>
        <w:spacing w:before="8"/>
      </w:pPr>
    </w:p>
    <w:p>
      <w:pPr>
        <w:pStyle w:val="BodyText"/>
        <w:ind w:left="187"/>
      </w:pPr>
      <w:r>
        <w:rPr/>
        <w:t>Slade,</w:t>
      </w:r>
      <w:r>
        <w:rPr>
          <w:spacing w:val="15"/>
        </w:rPr>
        <w:t> </w:t>
      </w:r>
      <w:r>
        <w:rPr/>
        <w:t>E.</w:t>
      </w:r>
      <w:r>
        <w:rPr>
          <w:spacing w:val="21"/>
        </w:rPr>
        <w:t> </w:t>
      </w:r>
      <w:r>
        <w:rPr>
          <w:u w:val="single"/>
        </w:rPr>
        <w:t>Tolley’s</w:t>
      </w:r>
      <w:r>
        <w:rPr>
          <w:spacing w:val="15"/>
          <w:u w:val="single"/>
        </w:rPr>
        <w:t> </w:t>
      </w:r>
      <w:r>
        <w:rPr>
          <w:u w:val="single"/>
        </w:rPr>
        <w:t>Employment</w:t>
      </w:r>
      <w:r>
        <w:rPr>
          <w:spacing w:val="17"/>
          <w:u w:val="single"/>
        </w:rPr>
        <w:t> </w:t>
      </w:r>
      <w:r>
        <w:rPr>
          <w:u w:val="single"/>
        </w:rPr>
        <w:t>Handbook.</w:t>
      </w:r>
      <w:r>
        <w:rPr>
          <w:spacing w:val="23"/>
        </w:rPr>
        <w:t> </w:t>
      </w:r>
      <w:r>
        <w:rPr/>
        <w:t>17</w:t>
      </w:r>
      <w:r>
        <w:rPr>
          <w:vertAlign w:val="superscript"/>
        </w:rPr>
        <w:t>th</w:t>
      </w:r>
      <w:r>
        <w:rPr>
          <w:spacing w:val="18"/>
          <w:vertAlign w:val="baseline"/>
        </w:rPr>
        <w:t> </w:t>
      </w:r>
      <w:r>
        <w:rPr>
          <w:vertAlign w:val="baseline"/>
        </w:rPr>
        <w:t>Edition,</w:t>
      </w:r>
      <w:r>
        <w:rPr>
          <w:spacing w:val="21"/>
          <w:vertAlign w:val="baseline"/>
        </w:rPr>
        <w:t> </w:t>
      </w:r>
      <w:r>
        <w:rPr>
          <w:vertAlign w:val="baseline"/>
        </w:rPr>
        <w:t>Clays</w:t>
      </w:r>
      <w:r>
        <w:rPr>
          <w:spacing w:val="15"/>
          <w:vertAlign w:val="baseline"/>
        </w:rPr>
        <w:t> </w:t>
      </w:r>
      <w:r>
        <w:rPr>
          <w:vertAlign w:val="baseline"/>
        </w:rPr>
        <w:t>Ltd,</w:t>
      </w:r>
      <w:r>
        <w:rPr>
          <w:spacing w:val="20"/>
          <w:vertAlign w:val="baseline"/>
        </w:rPr>
        <w:t> </w:t>
      </w:r>
      <w:r>
        <w:rPr>
          <w:vertAlign w:val="baseline"/>
        </w:rPr>
        <w:t>England</w:t>
      </w:r>
      <w:r>
        <w:rPr>
          <w:spacing w:val="19"/>
          <w:vertAlign w:val="baseline"/>
        </w:rPr>
        <w:t> </w:t>
      </w:r>
      <w:r>
        <w:rPr>
          <w:spacing w:val="-2"/>
          <w:vertAlign w:val="baseline"/>
        </w:rPr>
        <w:t>(2003)</w:t>
      </w:r>
    </w:p>
    <w:p>
      <w:pPr>
        <w:pStyle w:val="BodyText"/>
        <w:spacing w:before="5"/>
        <w:ind w:left="864"/>
      </w:pPr>
      <w:r>
        <w:rPr/>
        <w:t>p.</w:t>
      </w:r>
      <w:r>
        <w:rPr>
          <w:spacing w:val="2"/>
        </w:rPr>
        <w:t> </w:t>
      </w:r>
      <w:r>
        <w:rPr>
          <w:spacing w:val="-4"/>
        </w:rPr>
        <w:t>305.</w:t>
      </w:r>
    </w:p>
    <w:p>
      <w:pPr>
        <w:pStyle w:val="BodyText"/>
      </w:pPr>
    </w:p>
    <w:p>
      <w:pPr>
        <w:pStyle w:val="BodyText"/>
        <w:spacing w:line="242" w:lineRule="auto"/>
        <w:ind w:left="864" w:right="82" w:hanging="677"/>
      </w:pPr>
      <w:r>
        <w:rPr/>
        <w:t>Summers,</w:t>
      </w:r>
      <w:r>
        <w:rPr>
          <w:spacing w:val="80"/>
        </w:rPr>
        <w:t> </w:t>
      </w:r>
      <w:r>
        <w:rPr/>
        <w:t>D.</w:t>
      </w:r>
      <w:r>
        <w:rPr>
          <w:spacing w:val="80"/>
        </w:rPr>
        <w:t> </w:t>
      </w:r>
      <w:r>
        <w:rPr>
          <w:u w:val="single"/>
        </w:rPr>
        <w:t>Longman</w:t>
      </w:r>
      <w:r>
        <w:rPr>
          <w:spacing w:val="80"/>
          <w:u w:val="single"/>
        </w:rPr>
        <w:t> </w:t>
      </w:r>
      <w:r>
        <w:rPr>
          <w:u w:val="single"/>
        </w:rPr>
        <w:t>Dictionary</w:t>
      </w:r>
      <w:r>
        <w:rPr>
          <w:spacing w:val="80"/>
          <w:u w:val="single"/>
        </w:rPr>
        <w:t> </w:t>
      </w:r>
      <w:r>
        <w:rPr>
          <w:u w:val="single"/>
        </w:rPr>
        <w:t>of</w:t>
      </w:r>
      <w:r>
        <w:rPr>
          <w:spacing w:val="80"/>
          <w:u w:val="single"/>
        </w:rPr>
        <w:t> </w:t>
      </w:r>
      <w:r>
        <w:rPr>
          <w:u w:val="single"/>
        </w:rPr>
        <w:t>Contemporary</w:t>
      </w:r>
      <w:r>
        <w:rPr>
          <w:spacing w:val="80"/>
          <w:u w:val="single"/>
        </w:rPr>
        <w:t> </w:t>
      </w:r>
      <w:r>
        <w:rPr>
          <w:u w:val="single"/>
        </w:rPr>
        <w:t>English</w:t>
      </w:r>
      <w:r>
        <w:rPr>
          <w:rFonts w:ascii="Verdana"/>
          <w:i/>
          <w:sz w:val="24"/>
        </w:rPr>
        <w:t>.</w:t>
      </w:r>
      <w:r>
        <w:rPr>
          <w:rFonts w:ascii="Verdana"/>
          <w:i/>
          <w:spacing w:val="80"/>
          <w:sz w:val="24"/>
        </w:rPr>
        <w:t> </w:t>
      </w:r>
      <w:r>
        <w:rPr/>
        <w:t>Fourth</w:t>
      </w:r>
      <w:r>
        <w:rPr>
          <w:spacing w:val="80"/>
        </w:rPr>
        <w:t> </w:t>
      </w:r>
      <w:r>
        <w:rPr/>
        <w:t>Edition, Pearson Education Ltd, England (2003) pp. 1754, 1199.</w:t>
      </w:r>
    </w:p>
    <w:p>
      <w:pPr>
        <w:spacing w:after="0" w:line="242" w:lineRule="auto"/>
        <w:sectPr>
          <w:pgSz w:w="12240" w:h="15840"/>
          <w:pgMar w:header="0" w:footer="1009" w:top="1260" w:bottom="1200" w:left="1680" w:right="1320"/>
        </w:sectPr>
      </w:pPr>
    </w:p>
    <w:p>
      <w:pPr>
        <w:pStyle w:val="BodyText"/>
        <w:spacing w:line="242" w:lineRule="auto" w:before="86"/>
        <w:ind w:left="864" w:right="568" w:hanging="677"/>
        <w:jc w:val="both"/>
      </w:pPr>
      <w:r>
        <w:rPr/>
        <w:t>Sykes, E.I. </w:t>
      </w:r>
      <w:r>
        <w:rPr>
          <w:u w:val="single"/>
        </w:rPr>
        <w:t>The Employer, the Emplo}mu and the Law</w:t>
      </w:r>
      <w:r>
        <w:rPr>
          <w:rFonts w:ascii="Verdana"/>
          <w:i/>
          <w:sz w:val="24"/>
        </w:rPr>
        <w:t>. </w:t>
      </w:r>
      <w:r>
        <w:rPr/>
        <w:t>3</w:t>
      </w:r>
      <w:r>
        <w:rPr>
          <w:vertAlign w:val="superscript"/>
        </w:rPr>
        <w:t>rd</w:t>
      </w:r>
      <w:r>
        <w:rPr>
          <w:vertAlign w:val="baseline"/>
        </w:rPr>
        <w:t> Edition, the Law Book Company Ltd, Sydney (1973) p. 108.</w:t>
      </w:r>
    </w:p>
    <w:p>
      <w:pPr>
        <w:pStyle w:val="BodyText"/>
        <w:spacing w:line="242" w:lineRule="auto" w:before="274"/>
        <w:ind w:left="864" w:right="571" w:hanging="677"/>
        <w:jc w:val="both"/>
      </w:pPr>
      <w:r>
        <w:rPr/>
        <w:t>Uvieghara,</w:t>
      </w:r>
      <w:r>
        <w:rPr>
          <w:spacing w:val="40"/>
        </w:rPr>
        <w:t> </w:t>
      </w:r>
      <w:r>
        <w:rPr/>
        <w:t>E.E.,</w:t>
      </w:r>
      <w:r>
        <w:rPr>
          <w:spacing w:val="40"/>
        </w:rPr>
        <w:t> </w:t>
      </w:r>
      <w:r>
        <w:rPr>
          <w:u w:val="single"/>
        </w:rPr>
        <w:t>Labour</w:t>
      </w:r>
      <w:r>
        <w:rPr>
          <w:spacing w:val="40"/>
          <w:u w:val="single"/>
        </w:rPr>
        <w:t> </w:t>
      </w:r>
      <w:r>
        <w:rPr>
          <w:u w:val="single"/>
        </w:rPr>
        <w:t>Law</w:t>
      </w:r>
      <w:r>
        <w:rPr>
          <w:spacing w:val="40"/>
          <w:u w:val="single"/>
        </w:rPr>
        <w:t> </w:t>
      </w:r>
      <w:r>
        <w:rPr>
          <w:u w:val="single"/>
        </w:rPr>
        <w:t>in</w:t>
      </w:r>
      <w:r>
        <w:rPr>
          <w:spacing w:val="40"/>
          <w:u w:val="single"/>
        </w:rPr>
        <w:t> </w:t>
      </w:r>
      <w:r>
        <w:rPr>
          <w:u w:val="single"/>
        </w:rPr>
        <w:t>Nigeria</w:t>
      </w:r>
      <w:r>
        <w:rPr>
          <w:rFonts w:ascii="Verdana"/>
          <w:i/>
          <w:sz w:val="24"/>
        </w:rPr>
        <w:t>, </w:t>
      </w:r>
      <w:r>
        <w:rPr/>
        <w:t>Malthhouse Press</w:t>
      </w:r>
      <w:r>
        <w:rPr>
          <w:spacing w:val="40"/>
        </w:rPr>
        <w:t> </w:t>
      </w:r>
      <w:r>
        <w:rPr/>
        <w:t>Ltd,</w:t>
      </w:r>
      <w:r>
        <w:rPr>
          <w:spacing w:val="40"/>
        </w:rPr>
        <w:t> </w:t>
      </w:r>
      <w:r>
        <w:rPr/>
        <w:t>Ikeja,</w:t>
      </w:r>
      <w:r>
        <w:rPr>
          <w:spacing w:val="40"/>
        </w:rPr>
        <w:t> </w:t>
      </w:r>
      <w:r>
        <w:rPr/>
        <w:t>Lagos, (2001) p. 250.</w:t>
      </w:r>
    </w:p>
    <w:p>
      <w:pPr>
        <w:pStyle w:val="BodyText"/>
        <w:spacing w:before="13"/>
      </w:pPr>
    </w:p>
    <w:p>
      <w:pPr>
        <w:pStyle w:val="Heading2"/>
      </w:pPr>
      <w:r>
        <w:rPr>
          <w:spacing w:val="-2"/>
        </w:rPr>
        <w:t>JOURNALS</w:t>
      </w:r>
    </w:p>
    <w:p>
      <w:pPr>
        <w:pStyle w:val="BodyText"/>
        <w:spacing w:line="244" w:lineRule="auto" w:before="6"/>
        <w:ind w:left="864" w:right="571" w:hanging="677"/>
        <w:jc w:val="both"/>
      </w:pPr>
      <w:r>
        <w:rPr/>
        <w:t>Commande, G. “Towards a Global Model for Adjudicating Personal Injury</w:t>
      </w:r>
      <w:r>
        <w:rPr>
          <w:spacing w:val="40"/>
        </w:rPr>
        <w:t> </w:t>
      </w:r>
      <w:r>
        <w:rPr/>
        <w:t>Damages: Bridging Europe and the United States.Temp. Intl &amp; Comp. LJ (2005) 19 pp. 241 – 349.</w:t>
      </w:r>
    </w:p>
    <w:p>
      <w:pPr>
        <w:pStyle w:val="BodyText"/>
        <w:spacing w:before="1"/>
      </w:pPr>
    </w:p>
    <w:p>
      <w:pPr>
        <w:pStyle w:val="BodyText"/>
        <w:spacing w:line="232" w:lineRule="auto" w:before="1"/>
        <w:ind w:left="863" w:right="570" w:hanging="677"/>
        <w:jc w:val="both"/>
      </w:pPr>
      <w:r>
        <w:rPr/>
        <w:t>Crammer, C.R. “Loss of Enjoyment as a Separate Element of Damages” </w:t>
      </w:r>
      <w:r>
        <w:rPr>
          <w:rFonts w:ascii="Verdana" w:hAnsi="Verdana"/>
          <w:i/>
          <w:sz w:val="24"/>
        </w:rPr>
        <w:t>PAC L.J. (</w:t>
      </w:r>
      <w:r>
        <w:rPr/>
        <w:t>1981) 12 pp. 965 – 972.</w:t>
      </w:r>
    </w:p>
    <w:p>
      <w:pPr>
        <w:spacing w:line="232" w:lineRule="auto" w:before="0"/>
        <w:ind w:left="863" w:right="562" w:hanging="677"/>
        <w:jc w:val="both"/>
        <w:rPr>
          <w:sz w:val="23"/>
        </w:rPr>
      </w:pPr>
      <w:r>
        <w:rPr>
          <w:sz w:val="23"/>
        </w:rPr>
        <w:t>Guyton</w:t>
      </w:r>
      <w:r>
        <w:rPr>
          <w:spacing w:val="-12"/>
          <w:sz w:val="23"/>
        </w:rPr>
        <w:t> </w:t>
      </w:r>
      <w:r>
        <w:rPr>
          <w:sz w:val="23"/>
        </w:rPr>
        <w:t>G.P.</w:t>
      </w:r>
      <w:r>
        <w:rPr>
          <w:spacing w:val="-12"/>
          <w:sz w:val="23"/>
        </w:rPr>
        <w:t> </w:t>
      </w:r>
      <w:r>
        <w:rPr>
          <w:sz w:val="23"/>
        </w:rPr>
        <w:t>“A</w:t>
      </w:r>
      <w:r>
        <w:rPr>
          <w:spacing w:val="-10"/>
          <w:sz w:val="23"/>
        </w:rPr>
        <w:t> </w:t>
      </w:r>
      <w:r>
        <w:rPr>
          <w:sz w:val="23"/>
        </w:rPr>
        <w:t>Brief</w:t>
      </w:r>
      <w:r>
        <w:rPr>
          <w:spacing w:val="-12"/>
          <w:sz w:val="23"/>
        </w:rPr>
        <w:t> </w:t>
      </w:r>
      <w:r>
        <w:rPr>
          <w:sz w:val="23"/>
        </w:rPr>
        <w:t>History</w:t>
      </w:r>
      <w:r>
        <w:rPr>
          <w:spacing w:val="-11"/>
          <w:sz w:val="23"/>
        </w:rPr>
        <w:t> </w:t>
      </w:r>
      <w:r>
        <w:rPr>
          <w:sz w:val="23"/>
        </w:rPr>
        <w:t>of</w:t>
      </w:r>
      <w:r>
        <w:rPr>
          <w:spacing w:val="-8"/>
          <w:sz w:val="23"/>
        </w:rPr>
        <w:t> </w:t>
      </w:r>
      <w:r>
        <w:rPr>
          <w:sz w:val="23"/>
        </w:rPr>
        <w:t>Workers’</w:t>
      </w:r>
      <w:r>
        <w:rPr>
          <w:spacing w:val="-11"/>
          <w:sz w:val="23"/>
        </w:rPr>
        <w:t> </w:t>
      </w:r>
      <w:r>
        <w:rPr>
          <w:sz w:val="23"/>
        </w:rPr>
        <w:t>Compensation.”</w:t>
      </w:r>
      <w:r>
        <w:rPr>
          <w:spacing w:val="-6"/>
          <w:sz w:val="23"/>
        </w:rPr>
        <w:t> </w:t>
      </w:r>
      <w:r>
        <w:rPr>
          <w:rFonts w:ascii="Verdana" w:hAnsi="Verdana"/>
          <w:i/>
          <w:sz w:val="24"/>
        </w:rPr>
        <w:t>The</w:t>
      </w:r>
      <w:r>
        <w:rPr>
          <w:rFonts w:ascii="Verdana" w:hAnsi="Verdana"/>
          <w:i/>
          <w:spacing w:val="-21"/>
          <w:sz w:val="24"/>
        </w:rPr>
        <w:t> </w:t>
      </w:r>
      <w:r>
        <w:rPr>
          <w:rFonts w:ascii="Verdana" w:hAnsi="Verdana"/>
          <w:i/>
          <w:sz w:val="24"/>
        </w:rPr>
        <w:t>IOWA</w:t>
      </w:r>
      <w:r>
        <w:rPr>
          <w:rFonts w:ascii="Verdana" w:hAnsi="Verdana"/>
          <w:i/>
          <w:spacing w:val="-22"/>
          <w:sz w:val="24"/>
        </w:rPr>
        <w:t> </w:t>
      </w:r>
      <w:r>
        <w:rPr>
          <w:rFonts w:ascii="Verdana" w:hAnsi="Verdana"/>
          <w:i/>
          <w:sz w:val="24"/>
        </w:rPr>
        <w:t>Orthopaedic Journal </w:t>
      </w:r>
      <w:r>
        <w:rPr>
          <w:sz w:val="23"/>
        </w:rPr>
        <w:t>(1999) Vol. 19 p. 106.</w:t>
      </w:r>
    </w:p>
    <w:p>
      <w:pPr>
        <w:pStyle w:val="BodyText"/>
        <w:spacing w:before="19"/>
      </w:pPr>
    </w:p>
    <w:p>
      <w:pPr>
        <w:pStyle w:val="BodyText"/>
        <w:spacing w:line="235" w:lineRule="auto" w:before="1"/>
        <w:ind w:left="864" w:right="571" w:hanging="677"/>
        <w:jc w:val="both"/>
      </w:pPr>
      <w:r>
        <w:rPr/>
        <w:t>Haller, J.S. “Industrial Accidents – Worker’s Compensation Laws and the Medical </w:t>
      </w:r>
      <w:r>
        <w:rPr>
          <w:spacing w:val="-2"/>
        </w:rPr>
        <w:t>Response”</w:t>
      </w:r>
      <w:r>
        <w:rPr>
          <w:spacing w:val="-15"/>
        </w:rPr>
        <w:t> </w:t>
      </w:r>
      <w:r>
        <w:rPr>
          <w:rFonts w:ascii="Verdana" w:hAnsi="Verdana"/>
          <w:i/>
          <w:spacing w:val="-2"/>
          <w:sz w:val="24"/>
        </w:rPr>
        <w:t>Western</w:t>
      </w:r>
      <w:r>
        <w:rPr>
          <w:rFonts w:ascii="Verdana" w:hAnsi="Verdana"/>
          <w:i/>
          <w:spacing w:val="-20"/>
          <w:sz w:val="24"/>
        </w:rPr>
        <w:t> </w:t>
      </w:r>
      <w:r>
        <w:rPr>
          <w:rFonts w:ascii="Verdana" w:hAnsi="Verdana"/>
          <w:i/>
          <w:spacing w:val="-2"/>
          <w:sz w:val="24"/>
        </w:rPr>
        <w:t>Journal</w:t>
      </w:r>
      <w:r>
        <w:rPr>
          <w:rFonts w:ascii="Verdana" w:hAnsi="Verdana"/>
          <w:i/>
          <w:spacing w:val="-19"/>
          <w:sz w:val="24"/>
        </w:rPr>
        <w:t> </w:t>
      </w:r>
      <w:r>
        <w:rPr>
          <w:rFonts w:ascii="Verdana" w:hAnsi="Verdana"/>
          <w:i/>
          <w:spacing w:val="-2"/>
          <w:sz w:val="24"/>
        </w:rPr>
        <w:t>of</w:t>
      </w:r>
      <w:r>
        <w:rPr>
          <w:rFonts w:ascii="Verdana" w:hAnsi="Verdana"/>
          <w:i/>
          <w:spacing w:val="-19"/>
          <w:sz w:val="24"/>
        </w:rPr>
        <w:t> </w:t>
      </w:r>
      <w:r>
        <w:rPr>
          <w:rFonts w:ascii="Verdana" w:hAnsi="Verdana"/>
          <w:i/>
          <w:spacing w:val="-2"/>
          <w:sz w:val="24"/>
        </w:rPr>
        <w:t>Medicine</w:t>
      </w:r>
      <w:r>
        <w:rPr>
          <w:rFonts w:ascii="Verdana" w:hAnsi="Verdana"/>
          <w:i/>
          <w:spacing w:val="-16"/>
          <w:sz w:val="24"/>
        </w:rPr>
        <w:t> </w:t>
      </w:r>
      <w:r>
        <w:rPr>
          <w:spacing w:val="-2"/>
        </w:rPr>
        <w:t>(1988)</w:t>
      </w:r>
      <w:r>
        <w:rPr>
          <w:spacing w:val="-12"/>
        </w:rPr>
        <w:t> </w:t>
      </w:r>
      <w:r>
        <w:rPr>
          <w:spacing w:val="-2"/>
        </w:rPr>
        <w:t>Vol.</w:t>
      </w:r>
      <w:r>
        <w:rPr>
          <w:spacing w:val="-5"/>
        </w:rPr>
        <w:t> </w:t>
      </w:r>
      <w:r>
        <w:rPr>
          <w:spacing w:val="-2"/>
        </w:rPr>
        <w:t>148</w:t>
      </w:r>
      <w:r>
        <w:rPr>
          <w:spacing w:val="-12"/>
        </w:rPr>
        <w:t> </w:t>
      </w:r>
      <w:r>
        <w:rPr>
          <w:spacing w:val="-2"/>
        </w:rPr>
        <w:t>pp.</w:t>
      </w:r>
      <w:r>
        <w:rPr>
          <w:spacing w:val="-9"/>
        </w:rPr>
        <w:t> </w:t>
      </w:r>
      <w:r>
        <w:rPr>
          <w:spacing w:val="-2"/>
        </w:rPr>
        <w:t>341</w:t>
      </w:r>
      <w:r>
        <w:rPr>
          <w:spacing w:val="-8"/>
        </w:rPr>
        <w:t> </w:t>
      </w:r>
      <w:r>
        <w:rPr>
          <w:spacing w:val="-2"/>
        </w:rPr>
        <w:t>–</w:t>
      </w:r>
      <w:r>
        <w:rPr>
          <w:spacing w:val="-9"/>
        </w:rPr>
        <w:t> </w:t>
      </w:r>
      <w:r>
        <w:rPr>
          <w:spacing w:val="-2"/>
        </w:rPr>
        <w:t>348.</w:t>
      </w:r>
    </w:p>
    <w:p>
      <w:pPr>
        <w:pStyle w:val="BodyText"/>
        <w:spacing w:line="560" w:lineRule="atLeast" w:before="7"/>
        <w:ind w:left="187" w:right="563"/>
      </w:pPr>
      <w:r>
        <w:rPr/>
        <w:t>Koskoff, Y.D. “The Nature of Pain and Suffering” </w:t>
      </w:r>
      <w:r>
        <w:rPr>
          <w:rFonts w:ascii="Verdana" w:hAnsi="Verdana"/>
          <w:i/>
          <w:sz w:val="24"/>
        </w:rPr>
        <w:t>TRIAL</w:t>
      </w:r>
      <w:r>
        <w:rPr/>
        <w:t>(1977) 13, pp. 21, 22. Tunde,</w:t>
      </w:r>
      <w:r>
        <w:rPr>
          <w:spacing w:val="59"/>
          <w:w w:val="150"/>
        </w:rPr>
        <w:t> </w:t>
      </w:r>
      <w:r>
        <w:rPr/>
        <w:t>G</w:t>
      </w:r>
      <w:r>
        <w:rPr>
          <w:spacing w:val="60"/>
          <w:w w:val="150"/>
        </w:rPr>
        <w:t> </w:t>
      </w:r>
      <w:r>
        <w:rPr/>
        <w:t>‘Library</w:t>
      </w:r>
      <w:r>
        <w:rPr>
          <w:spacing w:val="56"/>
          <w:w w:val="150"/>
        </w:rPr>
        <w:t> </w:t>
      </w:r>
      <w:r>
        <w:rPr/>
        <w:t>Reading</w:t>
      </w:r>
      <w:r>
        <w:rPr>
          <w:spacing w:val="62"/>
          <w:w w:val="150"/>
        </w:rPr>
        <w:t> </w:t>
      </w:r>
      <w:r>
        <w:rPr/>
        <w:t>Culture</w:t>
      </w:r>
      <w:r>
        <w:rPr>
          <w:spacing w:val="60"/>
          <w:w w:val="150"/>
        </w:rPr>
        <w:t> </w:t>
      </w:r>
      <w:r>
        <w:rPr/>
        <w:t>and</w:t>
      </w:r>
      <w:r>
        <w:rPr>
          <w:spacing w:val="53"/>
          <w:w w:val="150"/>
        </w:rPr>
        <w:t> </w:t>
      </w:r>
      <w:r>
        <w:rPr/>
        <w:t>Students’</w:t>
      </w:r>
      <w:r>
        <w:rPr>
          <w:spacing w:val="56"/>
          <w:w w:val="150"/>
        </w:rPr>
        <w:t> </w:t>
      </w:r>
      <w:r>
        <w:rPr/>
        <w:t>Academic</w:t>
      </w:r>
      <w:r>
        <w:rPr>
          <w:spacing w:val="55"/>
          <w:w w:val="150"/>
        </w:rPr>
        <w:t> </w:t>
      </w:r>
      <w:r>
        <w:rPr/>
        <w:t>Performance</w:t>
      </w:r>
      <w:r>
        <w:rPr>
          <w:spacing w:val="59"/>
          <w:w w:val="150"/>
        </w:rPr>
        <w:t> </w:t>
      </w:r>
      <w:r>
        <w:rPr>
          <w:spacing w:val="-5"/>
        </w:rPr>
        <w:t>in</w:t>
      </w:r>
    </w:p>
    <w:p>
      <w:pPr>
        <w:spacing w:line="232" w:lineRule="auto" w:before="5"/>
        <w:ind w:left="863" w:right="82" w:firstLine="0"/>
        <w:jc w:val="left"/>
        <w:rPr>
          <w:sz w:val="23"/>
        </w:rPr>
      </w:pPr>
      <w:r>
        <w:rPr>
          <w:spacing w:val="-4"/>
          <w:sz w:val="23"/>
        </w:rPr>
        <w:t>Students</w:t>
      </w:r>
      <w:r>
        <w:rPr>
          <w:spacing w:val="20"/>
          <w:sz w:val="23"/>
        </w:rPr>
        <w:t> </w:t>
      </w:r>
      <w:r>
        <w:rPr>
          <w:spacing w:val="-4"/>
          <w:sz w:val="23"/>
        </w:rPr>
        <w:t>in</w:t>
      </w:r>
      <w:r>
        <w:rPr>
          <w:spacing w:val="21"/>
          <w:sz w:val="23"/>
        </w:rPr>
        <w:t> </w:t>
      </w:r>
      <w:r>
        <w:rPr>
          <w:spacing w:val="-4"/>
          <w:sz w:val="23"/>
        </w:rPr>
        <w:t>Oyo</w:t>
      </w:r>
      <w:r>
        <w:rPr>
          <w:spacing w:val="20"/>
          <w:sz w:val="23"/>
        </w:rPr>
        <w:t> </w:t>
      </w:r>
      <w:r>
        <w:rPr>
          <w:spacing w:val="-4"/>
          <w:sz w:val="23"/>
        </w:rPr>
        <w:t>State’</w:t>
      </w:r>
      <w:r>
        <w:rPr>
          <w:spacing w:val="22"/>
          <w:sz w:val="23"/>
        </w:rPr>
        <w:t> </w:t>
      </w:r>
      <w:r>
        <w:rPr>
          <w:rFonts w:ascii="Verdana" w:hAnsi="Verdana"/>
          <w:i/>
          <w:spacing w:val="-4"/>
          <w:sz w:val="24"/>
        </w:rPr>
        <w:t>Middle</w:t>
      </w:r>
      <w:r>
        <w:rPr>
          <w:rFonts w:ascii="Verdana" w:hAnsi="Verdana"/>
          <w:i/>
          <w:spacing w:val="7"/>
          <w:sz w:val="24"/>
        </w:rPr>
        <w:t> </w:t>
      </w:r>
      <w:r>
        <w:rPr>
          <w:rFonts w:ascii="Verdana" w:hAnsi="Verdana"/>
          <w:i/>
          <w:spacing w:val="-4"/>
          <w:sz w:val="24"/>
        </w:rPr>
        <w:t>Belt</w:t>
      </w:r>
      <w:r>
        <w:rPr>
          <w:rFonts w:ascii="Verdana" w:hAnsi="Verdana"/>
          <w:i/>
          <w:spacing w:val="5"/>
          <w:sz w:val="24"/>
        </w:rPr>
        <w:t> </w:t>
      </w:r>
      <w:r>
        <w:rPr>
          <w:rFonts w:ascii="Verdana" w:hAnsi="Verdana"/>
          <w:i/>
          <w:spacing w:val="-4"/>
          <w:sz w:val="24"/>
        </w:rPr>
        <w:t>Journal</w:t>
      </w:r>
      <w:r>
        <w:rPr>
          <w:rFonts w:ascii="Verdana" w:hAnsi="Verdana"/>
          <w:i/>
          <w:spacing w:val="3"/>
          <w:sz w:val="24"/>
        </w:rPr>
        <w:t> </w:t>
      </w:r>
      <w:r>
        <w:rPr>
          <w:rFonts w:ascii="Verdana" w:hAnsi="Verdana"/>
          <w:i/>
          <w:spacing w:val="-4"/>
          <w:sz w:val="24"/>
        </w:rPr>
        <w:t>of</w:t>
      </w:r>
      <w:r>
        <w:rPr>
          <w:rFonts w:ascii="Verdana" w:hAnsi="Verdana"/>
          <w:i/>
          <w:spacing w:val="11"/>
          <w:sz w:val="24"/>
        </w:rPr>
        <w:t> </w:t>
      </w:r>
      <w:r>
        <w:rPr>
          <w:rFonts w:ascii="Verdana" w:hAnsi="Verdana"/>
          <w:i/>
          <w:spacing w:val="-4"/>
          <w:sz w:val="24"/>
        </w:rPr>
        <w:t>Library</w:t>
      </w:r>
      <w:r>
        <w:rPr>
          <w:rFonts w:ascii="Verdana" w:hAnsi="Verdana"/>
          <w:i/>
          <w:spacing w:val="3"/>
          <w:sz w:val="24"/>
        </w:rPr>
        <w:t> </w:t>
      </w:r>
      <w:r>
        <w:rPr>
          <w:rFonts w:ascii="Verdana" w:hAnsi="Verdana"/>
          <w:i/>
          <w:spacing w:val="-4"/>
          <w:sz w:val="24"/>
        </w:rPr>
        <w:t>and</w:t>
      </w:r>
      <w:r>
        <w:rPr>
          <w:rFonts w:ascii="Verdana" w:hAnsi="Verdana"/>
          <w:i/>
          <w:spacing w:val="7"/>
          <w:sz w:val="24"/>
        </w:rPr>
        <w:t> </w:t>
      </w:r>
      <w:r>
        <w:rPr>
          <w:rFonts w:ascii="Verdana" w:hAnsi="Verdana"/>
          <w:i/>
          <w:spacing w:val="-4"/>
          <w:sz w:val="24"/>
        </w:rPr>
        <w:t>Information </w:t>
      </w:r>
      <w:r>
        <w:rPr>
          <w:rFonts w:ascii="Verdana" w:hAnsi="Verdana"/>
          <w:i/>
          <w:sz w:val="24"/>
        </w:rPr>
        <w:t>Science (</w:t>
      </w:r>
      <w:r>
        <w:rPr>
          <w:sz w:val="23"/>
        </w:rPr>
        <w:t>2007) pp.42-58</w:t>
      </w:r>
    </w:p>
    <w:p>
      <w:pPr>
        <w:pStyle w:val="BodyText"/>
        <w:spacing w:before="281"/>
        <w:rPr>
          <w:sz w:val="24"/>
        </w:rPr>
      </w:pPr>
    </w:p>
    <w:p>
      <w:pPr>
        <w:pStyle w:val="Heading2"/>
      </w:pPr>
      <w:r>
        <w:rPr>
          <w:spacing w:val="-2"/>
        </w:rPr>
        <w:t>NEWSPAPERS</w:t>
      </w:r>
    </w:p>
    <w:p>
      <w:pPr>
        <w:pStyle w:val="BodyText"/>
        <w:spacing w:line="247" w:lineRule="auto" w:before="6"/>
        <w:ind w:left="864" w:right="569" w:hanging="677"/>
      </w:pPr>
      <w:r>
        <w:rPr/>
        <w:t>Anonymous.‘The Genesis of Employees’ Compensation Act’ .In: Social Security News; A Publication of Nigeria Social Insurance Trust Fund Management Board. (2011)Vol.3 No.21pp.4-6</w:t>
      </w:r>
    </w:p>
    <w:p>
      <w:pPr>
        <w:pStyle w:val="BodyText"/>
        <w:spacing w:before="2"/>
      </w:pPr>
    </w:p>
    <w:p>
      <w:pPr>
        <w:pStyle w:val="BodyText"/>
        <w:spacing w:line="244" w:lineRule="auto"/>
        <w:ind w:left="864" w:right="569" w:hanging="677"/>
      </w:pPr>
      <w:r>
        <w:rPr/>
        <w:t>Dike, G. Crisis Brews at OAU as Lecturers Battle Varsity Management, Column 2,</w:t>
      </w:r>
      <w:r>
        <w:rPr>
          <w:spacing w:val="80"/>
        </w:rPr>
        <w:t> </w:t>
      </w:r>
      <w:r>
        <w:rPr/>
        <w:t>Daily Sun, Tuesday, February 12, 2012 p. 7.</w:t>
      </w:r>
    </w:p>
    <w:p>
      <w:pPr>
        <w:pStyle w:val="BodyText"/>
      </w:pPr>
    </w:p>
    <w:p>
      <w:pPr>
        <w:pStyle w:val="BodyText"/>
        <w:spacing w:before="11"/>
      </w:pPr>
    </w:p>
    <w:p>
      <w:pPr>
        <w:pStyle w:val="Heading2"/>
      </w:pPr>
      <w:r>
        <w:rPr/>
        <w:t>INTERNET</w:t>
      </w:r>
      <w:r>
        <w:rPr>
          <w:spacing w:val="10"/>
        </w:rPr>
        <w:t> </w:t>
      </w:r>
      <w:r>
        <w:rPr>
          <w:spacing w:val="-2"/>
        </w:rPr>
        <w:t>SOURCES</w:t>
      </w:r>
    </w:p>
    <w:p>
      <w:pPr>
        <w:pStyle w:val="BodyText"/>
        <w:rPr>
          <w:b/>
        </w:rPr>
      </w:pPr>
    </w:p>
    <w:p>
      <w:pPr>
        <w:pStyle w:val="BodyText"/>
        <w:spacing w:before="22"/>
        <w:rPr>
          <w:b/>
        </w:rPr>
      </w:pPr>
    </w:p>
    <w:p>
      <w:pPr>
        <w:pStyle w:val="BodyText"/>
        <w:ind w:left="187"/>
      </w:pPr>
      <w:r>
        <w:rPr>
          <w:color w:val="0000FF"/>
          <w:u w:val="single" w:color="0000FF"/>
        </w:rPr>
        <w:t>http://medical-dictionary.thefreedictionary/com/death-April</w:t>
      </w:r>
      <w:r>
        <w:rPr>
          <w:color w:val="0000FF"/>
          <w:spacing w:val="53"/>
          <w:u w:val="single" w:color="0000FF"/>
        </w:rPr>
        <w:t> </w:t>
      </w:r>
      <w:r>
        <w:rPr>
          <w:color w:val="0000FF"/>
          <w:u w:val="single" w:color="0000FF"/>
        </w:rPr>
        <w:t>1,2012-</w:t>
      </w:r>
      <w:r>
        <w:rPr>
          <w:color w:val="0000FF"/>
          <w:spacing w:val="-2"/>
          <w:u w:val="single" w:color="0000FF"/>
        </w:rPr>
        <w:t>6:36pm</w:t>
      </w:r>
    </w:p>
    <w:p>
      <w:pPr>
        <w:pStyle w:val="BodyText"/>
        <w:spacing w:before="257"/>
      </w:pPr>
    </w:p>
    <w:p>
      <w:pPr>
        <w:pStyle w:val="BodyText"/>
        <w:spacing w:line="247" w:lineRule="auto"/>
        <w:ind w:left="864" w:right="563" w:hanging="677"/>
        <w:rPr>
          <w:rFonts w:ascii="Times New Roman"/>
        </w:rPr>
      </w:pPr>
      <w:hyperlink r:id="rId31">
        <w:r>
          <w:rPr>
            <w:rFonts w:ascii="Times New Roman"/>
            <w:color w:val="0000FF"/>
            <w:u w:val="single" w:color="0000FF"/>
          </w:rPr>
          <w:t>http://www.ilo.org/public/english/standards/relm/gb/../esp-1-1</w:t>
        </w:r>
      </w:hyperlink>
      <w:r>
        <w:rPr>
          <w:rFonts w:ascii="Times New Roman"/>
          <w:color w:val="0000FF"/>
          <w:spacing w:val="40"/>
        </w:rPr>
        <w:t> </w:t>
      </w:r>
      <w:r>
        <w:rPr>
          <w:rFonts w:ascii="Times New Roman"/>
        </w:rPr>
        <w:t>Retrieved</w:t>
      </w:r>
      <w:r>
        <w:rPr>
          <w:rFonts w:ascii="Times New Roman"/>
          <w:spacing w:val="40"/>
        </w:rPr>
        <w:t> </w:t>
      </w:r>
      <w:r>
        <w:rPr>
          <w:rFonts w:ascii="Times New Roman"/>
        </w:rPr>
        <w:t>on</w:t>
      </w:r>
      <w:r>
        <w:rPr>
          <w:rFonts w:ascii="Times New Roman"/>
          <w:spacing w:val="40"/>
        </w:rPr>
        <w:t> </w:t>
      </w:r>
      <w:r>
        <w:rPr>
          <w:rFonts w:ascii="Times New Roman"/>
        </w:rPr>
        <w:t>the</w:t>
      </w:r>
      <w:r>
        <w:rPr>
          <w:rFonts w:ascii="Times New Roman"/>
          <w:spacing w:val="40"/>
        </w:rPr>
        <w:t> </w:t>
      </w:r>
      <w:r>
        <w:rPr>
          <w:rFonts w:ascii="Times New Roman"/>
        </w:rPr>
        <w:t>31st</w:t>
      </w:r>
      <w:r>
        <w:rPr>
          <w:rFonts w:ascii="Times New Roman"/>
          <w:spacing w:val="40"/>
        </w:rPr>
        <w:t> </w:t>
      </w:r>
      <w:r>
        <w:rPr>
          <w:rFonts w:ascii="Times New Roman"/>
        </w:rPr>
        <w:t>day of January, 2013 at 1:20pm</w:t>
      </w:r>
    </w:p>
    <w:p>
      <w:pPr>
        <w:spacing w:after="0" w:line="247" w:lineRule="auto"/>
        <w:rPr>
          <w:rFonts w:ascii="Times New Roman"/>
        </w:rPr>
        <w:sectPr>
          <w:pgSz w:w="12240" w:h="15840"/>
          <w:pgMar w:header="0" w:footer="1009" w:top="1540" w:bottom="1200" w:left="1680" w:right="1320"/>
        </w:sectPr>
      </w:pPr>
    </w:p>
    <w:p>
      <w:pPr>
        <w:pStyle w:val="BodyText"/>
        <w:spacing w:line="244" w:lineRule="auto" w:before="94"/>
        <w:ind w:left="864" w:right="569" w:hanging="677"/>
      </w:pPr>
      <w:hyperlink r:id="rId32">
        <w:r>
          <w:rPr>
            <w:color w:val="0000FF"/>
            <w:u w:val="single" w:color="0000FF"/>
          </w:rPr>
          <w:t>http://www.legal.dictionary.thefreedictionary.com/illiterate-Retrieved</w:t>
        </w:r>
      </w:hyperlink>
      <w:r>
        <w:rPr>
          <w:color w:val="0000FF"/>
          <w:spacing w:val="40"/>
        </w:rPr>
        <w:t> </w:t>
      </w:r>
      <w:r>
        <w:rPr/>
        <w:t>on</w:t>
      </w:r>
      <w:r>
        <w:rPr>
          <w:spacing w:val="40"/>
        </w:rPr>
        <w:t> </w:t>
      </w:r>
      <w:r>
        <w:rPr/>
        <w:t>the19th day of May,2512</w:t>
      </w:r>
    </w:p>
    <w:p>
      <w:pPr>
        <w:pStyle w:val="BodyText"/>
        <w:tabs>
          <w:tab w:pos="3791" w:val="left" w:leader="none"/>
        </w:tabs>
        <w:spacing w:line="249" w:lineRule="auto"/>
        <w:ind w:left="864" w:right="570" w:hanging="677"/>
      </w:pPr>
      <w:hyperlink r:id="rId33">
        <w:r>
          <w:rPr>
            <w:spacing w:val="-2"/>
          </w:rPr>
          <w:t>http://www.nigeriaintel.com-the</w:t>
        </w:r>
      </w:hyperlink>
      <w:r>
        <w:rPr/>
        <w:tab/>
      </w:r>
      <w:r>
        <w:rPr>
          <w:spacing w:val="-2"/>
        </w:rPr>
        <w:t>–nigerian-pension-scam-how—they-looted-the- funds-July,2012</w:t>
      </w:r>
    </w:p>
    <w:p>
      <w:pPr>
        <w:pStyle w:val="BodyText"/>
        <w:spacing w:line="489" w:lineRule="auto"/>
        <w:ind w:left="187"/>
      </w:pPr>
      <w:hyperlink r:id="rId34">
        <w:r>
          <w:rPr>
            <w:spacing w:val="-2"/>
          </w:rPr>
          <w:t>http://www.osc.state.ny.us/localgov/pubs/preventingfraud</w:t>
        </w:r>
      </w:hyperlink>
      <w:r>
        <w:rPr>
          <w:spacing w:val="-2"/>
        </w:rPr>
        <w:t> </w:t>
      </w:r>
      <w:r>
        <w:rPr>
          <w:color w:val="0000FF"/>
          <w:u w:val="single" w:color="0000FF"/>
        </w:rPr>
        <w:t>http://wwwfatfreekitchen.com/stress April 2,2012-7:20pm</w:t>
      </w:r>
    </w:p>
    <w:p>
      <w:pPr>
        <w:pStyle w:val="BodyText"/>
        <w:spacing w:line="244" w:lineRule="auto"/>
        <w:ind w:left="864" w:right="3675" w:hanging="677"/>
      </w:pPr>
      <w:hyperlink r:id="rId35">
        <w:r>
          <w:rPr>
            <w:color w:val="0000FF"/>
            <w:spacing w:val="-2"/>
            <w:u w:val="single" w:color="0000FF"/>
          </w:rPr>
          <w:t>http://wwwlivestrong.com/artcile/155766-five-</w:t>
        </w:r>
      </w:hyperlink>
      <w:r>
        <w:rPr>
          <w:color w:val="0000FF"/>
          <w:spacing w:val="-2"/>
        </w:rPr>
        <w:t> </w:t>
      </w:r>
      <w:r>
        <w:rPr>
          <w:color w:val="0000FF"/>
          <w:spacing w:val="-2"/>
          <w:u w:val="single" w:color="0000FF"/>
        </w:rPr>
        <w:t>commoncausesofstress_April12,2012-7:35pm</w:t>
      </w:r>
    </w:p>
    <w:p>
      <w:pPr>
        <w:pStyle w:val="BodyText"/>
        <w:tabs>
          <w:tab w:pos="1098" w:val="left" w:leader="none"/>
          <w:tab w:pos="1640" w:val="left" w:leader="none"/>
          <w:tab w:pos="2686" w:val="left" w:leader="none"/>
          <w:tab w:pos="3655" w:val="left" w:leader="none"/>
          <w:tab w:pos="4116" w:val="left" w:leader="none"/>
          <w:tab w:pos="5623" w:val="left" w:leader="none"/>
          <w:tab w:pos="6668" w:val="left" w:leader="none"/>
          <w:tab w:pos="7705" w:val="left" w:leader="none"/>
        </w:tabs>
        <w:spacing w:line="244" w:lineRule="auto"/>
        <w:ind w:left="864" w:right="568" w:hanging="677"/>
        <w:rPr>
          <w:rFonts w:ascii="Times New Roman"/>
        </w:rPr>
      </w:pPr>
      <w:r>
        <w:rPr>
          <w:rFonts w:ascii="Times New Roman"/>
          <w:spacing w:val="-2"/>
        </w:rPr>
        <w:t>Akele,</w:t>
      </w:r>
      <w:r>
        <w:rPr>
          <w:rFonts w:ascii="Times New Roman"/>
        </w:rPr>
        <w:tab/>
        <w:tab/>
      </w:r>
      <w:r>
        <w:rPr>
          <w:rFonts w:ascii="Times New Roman"/>
          <w:spacing w:val="-4"/>
        </w:rPr>
        <w:t>.S.</w:t>
      </w:r>
      <w:r>
        <w:rPr>
          <w:rFonts w:ascii="Times New Roman"/>
        </w:rPr>
        <w:tab/>
      </w:r>
      <w:r>
        <w:rPr>
          <w:rFonts w:ascii="Times New Roman"/>
          <w:spacing w:val="-2"/>
        </w:rPr>
        <w:t>Pension</w:t>
      </w:r>
      <w:r>
        <w:rPr>
          <w:rFonts w:ascii="Times New Roman"/>
        </w:rPr>
        <w:tab/>
      </w:r>
      <w:r>
        <w:rPr>
          <w:rFonts w:ascii="Times New Roman"/>
          <w:spacing w:val="-2"/>
        </w:rPr>
        <w:t>Scams:</w:t>
      </w:r>
      <w:r>
        <w:rPr>
          <w:rFonts w:ascii="Times New Roman"/>
        </w:rPr>
        <w:tab/>
      </w:r>
      <w:r>
        <w:rPr>
          <w:rFonts w:ascii="Times New Roman"/>
          <w:spacing w:val="-6"/>
        </w:rPr>
        <w:t>Is</w:t>
      </w:r>
      <w:r>
        <w:rPr>
          <w:rFonts w:ascii="Times New Roman"/>
        </w:rPr>
        <w:tab/>
      </w:r>
      <w:r>
        <w:rPr>
          <w:rFonts w:ascii="Times New Roman"/>
          <w:spacing w:val="-2"/>
        </w:rPr>
        <w:t>Contributory</w:t>
      </w:r>
      <w:r>
        <w:rPr>
          <w:rFonts w:ascii="Times New Roman"/>
        </w:rPr>
        <w:tab/>
      </w:r>
      <w:r>
        <w:rPr>
          <w:rFonts w:ascii="Times New Roman"/>
          <w:spacing w:val="-2"/>
        </w:rPr>
        <w:t>Pension</w:t>
      </w:r>
      <w:r>
        <w:rPr>
          <w:rFonts w:ascii="Times New Roman"/>
        </w:rPr>
        <w:tab/>
      </w:r>
      <w:r>
        <w:rPr>
          <w:rFonts w:ascii="Times New Roman"/>
          <w:spacing w:val="-2"/>
        </w:rPr>
        <w:t>Scheme</w:t>
      </w:r>
      <w:r>
        <w:rPr>
          <w:rFonts w:ascii="Times New Roman"/>
        </w:rPr>
        <w:tab/>
      </w:r>
      <w:r>
        <w:rPr>
          <w:rFonts w:ascii="Times New Roman"/>
          <w:spacing w:val="-2"/>
        </w:rPr>
        <w:t>Immune?- </w:t>
      </w:r>
      <w:hyperlink r:id="rId36">
        <w:r>
          <w:rPr>
            <w:rFonts w:ascii="Times New Roman"/>
          </w:rPr>
          <w:t>www.dailyindependentnig.com-May,</w:t>
        </w:r>
      </w:hyperlink>
      <w:r>
        <w:rPr>
          <w:rFonts w:ascii="Times New Roman"/>
        </w:rPr>
        <w:t> 2014</w:t>
      </w:r>
    </w:p>
    <w:p>
      <w:pPr>
        <w:pStyle w:val="BodyText"/>
        <w:spacing w:before="10"/>
        <w:rPr>
          <w:rFonts w:ascii="Times New Roman"/>
        </w:rPr>
      </w:pPr>
    </w:p>
    <w:p>
      <w:pPr>
        <w:pStyle w:val="BodyText"/>
        <w:spacing w:line="244" w:lineRule="auto"/>
        <w:ind w:left="864" w:right="563" w:hanging="677"/>
        <w:jc w:val="both"/>
        <w:rPr>
          <w:rFonts w:ascii="Times New Roman"/>
        </w:rPr>
      </w:pPr>
      <w:r>
        <w:rPr/>
        <w:t>Gerxhany, K.T, Informal Sectors in Developed and Less Developed Countries: A Literature</w:t>
      </w:r>
      <w:r>
        <w:rPr>
          <w:spacing w:val="40"/>
        </w:rPr>
        <w:t> </w:t>
      </w:r>
      <w:r>
        <w:rPr/>
        <w:t>Survey-</w:t>
      </w:r>
      <w:r>
        <w:rPr>
          <w:spacing w:val="40"/>
        </w:rPr>
        <w:t> </w:t>
      </w:r>
      <w:hyperlink r:id="rId37">
        <w:r>
          <w:rPr>
            <w:rFonts w:ascii="Times New Roman"/>
            <w:color w:val="0000FF"/>
            <w:u w:val="single" w:color="0000FF"/>
          </w:rPr>
          <w:t>http://</w:t>
        </w:r>
        <w:r>
          <w:rPr>
            <w:rFonts w:ascii="Times New Roman"/>
            <w:color w:val="0000FF"/>
            <w:spacing w:val="40"/>
            <w:u w:val="single" w:color="0000FF"/>
          </w:rPr>
          <w:t> </w:t>
        </w:r>
        <w:r>
          <w:rPr>
            <w:rFonts w:ascii="Times New Roman"/>
            <w:color w:val="0000FF"/>
            <w:u w:val="single" w:color="0000FF"/>
          </w:rPr>
          <w:t>www.ifwea.org/@bin/217843/gerxhani</w:t>
        </w:r>
      </w:hyperlink>
      <w:r>
        <w:rPr>
          <w:rFonts w:ascii="Times New Roman"/>
          <w:color w:val="0000FF"/>
          <w:spacing w:val="40"/>
        </w:rPr>
        <w:t> </w:t>
      </w:r>
      <w:r>
        <w:rPr>
          <w:rFonts w:ascii="Times New Roman"/>
        </w:rPr>
        <w:t>Retrieved</w:t>
      </w:r>
      <w:r>
        <w:rPr>
          <w:rFonts w:ascii="Times New Roman"/>
          <w:spacing w:val="40"/>
        </w:rPr>
        <w:t> </w:t>
      </w:r>
      <w:r>
        <w:rPr>
          <w:rFonts w:ascii="Times New Roman"/>
        </w:rPr>
        <w:t>on the 28th day of January, 2013</w:t>
      </w:r>
    </w:p>
    <w:p>
      <w:pPr>
        <w:pStyle w:val="BodyText"/>
        <w:rPr>
          <w:rFonts w:ascii="Times New Roman"/>
        </w:rPr>
      </w:pPr>
    </w:p>
    <w:p>
      <w:pPr>
        <w:pStyle w:val="BodyText"/>
        <w:spacing w:before="44"/>
        <w:rPr>
          <w:rFonts w:ascii="Times New Roman"/>
        </w:rPr>
      </w:pPr>
    </w:p>
    <w:p>
      <w:pPr>
        <w:pStyle w:val="BodyText"/>
        <w:spacing w:line="244" w:lineRule="auto"/>
        <w:ind w:left="864" w:right="565" w:hanging="677"/>
        <w:jc w:val="both"/>
      </w:pPr>
      <w:r>
        <w:rPr/>
        <w:t>Jie, W. ‘The History of Workers’ Compensation Laws’ – http:/www.echow, com/about_5zg6716_March 24,2012</w:t>
      </w:r>
    </w:p>
    <w:p>
      <w:pPr>
        <w:pStyle w:val="BodyText"/>
        <w:spacing w:before="6"/>
      </w:pPr>
    </w:p>
    <w:p>
      <w:pPr>
        <w:pStyle w:val="BodyText"/>
        <w:tabs>
          <w:tab w:pos="2634" w:val="left" w:leader="none"/>
          <w:tab w:pos="4458" w:val="left" w:leader="none"/>
          <w:tab w:pos="7107" w:val="left" w:leader="none"/>
        </w:tabs>
        <w:spacing w:line="244" w:lineRule="auto"/>
        <w:ind w:left="864" w:right="573" w:hanging="677"/>
        <w:jc w:val="both"/>
      </w:pPr>
      <w:r>
        <w:rPr>
          <w:spacing w:val="-2"/>
        </w:rPr>
        <w:t>Murray,</w:t>
      </w:r>
      <w:r>
        <w:rPr/>
        <w:tab/>
      </w:r>
      <w:r>
        <w:rPr>
          <w:spacing w:val="-6"/>
        </w:rPr>
        <w:t>J.</w:t>
      </w:r>
      <w:r>
        <w:rPr/>
        <w:tab/>
      </w:r>
      <w:r>
        <w:rPr>
          <w:spacing w:val="-2"/>
        </w:rPr>
        <w:t>“Workers’</w:t>
      </w:r>
      <w:r>
        <w:rPr/>
        <w:tab/>
      </w:r>
      <w:r>
        <w:rPr>
          <w:spacing w:val="-2"/>
        </w:rPr>
        <w:t>Compensation” </w:t>
      </w:r>
      <w:r>
        <w:rPr/>
        <w:t>biz/taxlawabout.com/.d/glossaryw/g/workerscomp. htm_-3/3/2012</w:t>
      </w:r>
    </w:p>
    <w:p>
      <w:pPr>
        <w:pStyle w:val="BodyText"/>
        <w:spacing w:before="5"/>
      </w:pPr>
    </w:p>
    <w:p>
      <w:pPr>
        <w:pStyle w:val="BodyText"/>
        <w:spacing w:line="244" w:lineRule="auto" w:before="1"/>
        <w:ind w:left="864" w:right="574" w:hanging="677"/>
        <w:jc w:val="both"/>
      </w:pPr>
      <w:r>
        <w:rPr/>
        <w:t>Oladele, K. “Reforming the Nigerian Workmen’s Compensation and Factory Act” </w:t>
      </w:r>
      <w:r>
        <w:rPr>
          <w:spacing w:val="-2"/>
        </w:rPr>
        <w:t>http://www.nigeria.villagesquarecomarticles21/03/2012.5:33pm</w:t>
      </w:r>
    </w:p>
    <w:p>
      <w:pPr>
        <w:pStyle w:val="BodyText"/>
        <w:spacing w:before="10"/>
      </w:pPr>
    </w:p>
    <w:p>
      <w:pPr>
        <w:pStyle w:val="BodyText"/>
        <w:tabs>
          <w:tab w:pos="8298" w:val="left" w:leader="none"/>
        </w:tabs>
        <w:spacing w:line="244" w:lineRule="auto"/>
        <w:ind w:left="864" w:right="563" w:hanging="677"/>
        <w:jc w:val="both"/>
      </w:pPr>
      <w:r>
        <w:rPr/>
        <w:t>Olaniwun,</w:t>
      </w:r>
      <w:r>
        <w:rPr>
          <w:spacing w:val="40"/>
        </w:rPr>
        <w:t> </w:t>
      </w:r>
      <w:r>
        <w:rPr/>
        <w:t>A.L.P.</w:t>
      </w:r>
      <w:r>
        <w:rPr>
          <w:spacing w:val="40"/>
        </w:rPr>
        <w:t> </w:t>
      </w:r>
      <w:r>
        <w:rPr/>
        <w:t>‘Employer</w:t>
      </w:r>
      <w:r>
        <w:rPr>
          <w:spacing w:val="40"/>
        </w:rPr>
        <w:t> </w:t>
      </w:r>
      <w:r>
        <w:rPr/>
        <w:t>and</w:t>
      </w:r>
      <w:r>
        <w:rPr>
          <w:spacing w:val="40"/>
        </w:rPr>
        <w:t> </w:t>
      </w:r>
      <w:r>
        <w:rPr/>
        <w:t>Employee</w:t>
      </w:r>
      <w:r>
        <w:rPr>
          <w:spacing w:val="40"/>
        </w:rPr>
        <w:t> </w:t>
      </w:r>
      <w:r>
        <w:rPr/>
        <w:t>Relations:</w:t>
      </w:r>
      <w:r>
        <w:rPr>
          <w:spacing w:val="40"/>
        </w:rPr>
        <w:t> </w:t>
      </w:r>
      <w:r>
        <w:rPr/>
        <w:t>the</w:t>
      </w:r>
      <w:r>
        <w:rPr>
          <w:spacing w:val="40"/>
        </w:rPr>
        <w:t> </w:t>
      </w:r>
      <w:r>
        <w:rPr/>
        <w:t>Employees’ </w:t>
      </w:r>
      <w:r>
        <w:rPr>
          <w:spacing w:val="-2"/>
        </w:rPr>
        <w:t>Compensation</w:t>
      </w:r>
      <w:r>
        <w:rPr/>
        <w:tab/>
      </w:r>
      <w:r>
        <w:rPr>
          <w:spacing w:val="-4"/>
        </w:rPr>
        <w:t>Act’</w:t>
      </w:r>
    </w:p>
    <w:p>
      <w:pPr>
        <w:pStyle w:val="BodyText"/>
        <w:spacing w:line="244" w:lineRule="auto"/>
        <w:ind w:left="864" w:right="82"/>
      </w:pPr>
      <w:r>
        <w:rPr>
          <w:spacing w:val="-2"/>
        </w:rPr>
        <w:t>2010”</w:t>
      </w:r>
      <w:hyperlink r:id="rId38">
        <w:r>
          <w:rPr>
            <w:spacing w:val="-2"/>
          </w:rPr>
          <w:t>http://www.olaniwuajayi.net/clientalert/employees</w:t>
        </w:r>
      </w:hyperlink>
      <w:r>
        <w:rPr>
          <w:spacing w:val="-2"/>
        </w:rPr>
        <w:t>’compensationactn</w:t>
      </w:r>
      <w:r>
        <w:rPr>
          <w:spacing w:val="40"/>
        </w:rPr>
        <w:t> </w:t>
      </w:r>
      <w:r>
        <w:rPr/>
        <w:t>ewsletter.Accessed May 22,2012</w:t>
      </w:r>
    </w:p>
    <w:p>
      <w:pPr>
        <w:pStyle w:val="BodyText"/>
        <w:spacing w:before="6"/>
      </w:pPr>
    </w:p>
    <w:p>
      <w:pPr>
        <w:pStyle w:val="BodyText"/>
        <w:ind w:left="187"/>
      </w:pPr>
      <w:hyperlink r:id="rId21">
        <w:r>
          <w:rPr>
            <w:color w:val="0000FF"/>
            <w:spacing w:val="-2"/>
            <w:u w:val="single" w:color="0000FF"/>
          </w:rPr>
          <w:t>www.nsitf.net</w:t>
        </w:r>
      </w:hyperlink>
    </w:p>
    <w:p>
      <w:pPr>
        <w:pStyle w:val="BodyText"/>
        <w:spacing w:before="11"/>
      </w:pPr>
    </w:p>
    <w:p>
      <w:pPr>
        <w:pStyle w:val="BodyText"/>
        <w:tabs>
          <w:tab w:pos="1036" w:val="left" w:leader="none"/>
        </w:tabs>
        <w:spacing w:line="244" w:lineRule="auto"/>
        <w:ind w:left="864" w:right="572" w:hanging="677"/>
      </w:pPr>
      <w:r>
        <w:rPr>
          <w:spacing w:val="-2"/>
        </w:rPr>
        <w:t>Yusuf,</w:t>
      </w:r>
      <w:r>
        <w:rPr/>
        <w:tab/>
        <w:tab/>
        <w:t>I.A.</w:t>
      </w:r>
      <w:r>
        <w:rPr>
          <w:spacing w:val="80"/>
          <w:w w:val="150"/>
        </w:rPr>
        <w:t> </w:t>
      </w:r>
      <w:r>
        <w:rPr/>
        <w:t>‘The</w:t>
      </w:r>
      <w:r>
        <w:rPr>
          <w:spacing w:val="80"/>
          <w:w w:val="150"/>
        </w:rPr>
        <w:t> </w:t>
      </w:r>
      <w:r>
        <w:rPr/>
        <w:t>Perils</w:t>
      </w:r>
      <w:r>
        <w:rPr>
          <w:spacing w:val="80"/>
          <w:w w:val="150"/>
        </w:rPr>
        <w:t> </w:t>
      </w:r>
      <w:r>
        <w:rPr/>
        <w:t>of</w:t>
      </w:r>
      <w:r>
        <w:rPr>
          <w:spacing w:val="80"/>
        </w:rPr>
        <w:t> </w:t>
      </w:r>
      <w:r>
        <w:rPr/>
        <w:t>Nigerian</w:t>
      </w:r>
      <w:r>
        <w:rPr>
          <w:spacing w:val="80"/>
          <w:w w:val="150"/>
        </w:rPr>
        <w:t> </w:t>
      </w:r>
      <w:r>
        <w:rPr/>
        <w:t>Workers'-http/thenationonline.net/web2/ articles/7367/1/-March 21,2012-5;35pm</w:t>
      </w:r>
    </w:p>
    <w:sectPr>
      <w:pgSz w:w="12240" w:h="15840"/>
      <w:pgMar w:header="0" w:footer="1009" w:top="1260" w:bottom="1200" w:left="168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Tahoma">
    <w:altName w:val="Tahoma"/>
    <w:charset w:val="1"/>
    <w:family w:val="swiss"/>
    <w:pitch w:val="variable"/>
  </w:font>
  <w:font w:name="Verdana">
    <w:altName w:val="Verdana"/>
    <w:charset w:val="1"/>
    <w:family w:val="swiss"/>
    <w:pitch w:val="variable"/>
  </w:font>
  <w:font w:name="Symbol">
    <w:altName w:val="Symbol"/>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1680">
              <wp:simplePos x="0" y="0"/>
              <wp:positionH relativeFrom="page">
                <wp:posOffset>3747515</wp:posOffset>
              </wp:positionH>
              <wp:positionV relativeFrom="page">
                <wp:posOffset>9277962</wp:posOffset>
              </wp:positionV>
              <wp:extent cx="278765" cy="184150"/>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278765" cy="184150"/>
                      </a:xfrm>
                      <a:prstGeom prst="rect">
                        <a:avLst/>
                      </a:prstGeom>
                    </wps:spPr>
                    <wps:txbx>
                      <w:txbxContent>
                        <w:p>
                          <w:pPr>
                            <w:spacing w:before="15"/>
                            <w:ind w:left="60" w:right="0" w:firstLine="0"/>
                            <w:jc w:val="left"/>
                            <w:rPr>
                              <w:rFonts w:ascii="Times New Roman"/>
                              <w:sz w:val="22"/>
                            </w:rPr>
                          </w:pPr>
                          <w:r>
                            <w:rPr>
                              <w:rFonts w:ascii="Times New Roman"/>
                              <w:spacing w:val="-4"/>
                              <w:sz w:val="22"/>
                            </w:rPr>
                            <w:fldChar w:fldCharType="begin"/>
                          </w:r>
                          <w:r>
                            <w:rPr>
                              <w:rFonts w:ascii="Times New Roman"/>
                              <w:spacing w:val="-4"/>
                              <w:sz w:val="22"/>
                            </w:rPr>
                            <w:instrText> PAGE  \* roman </w:instrText>
                          </w:r>
                          <w:r>
                            <w:rPr>
                              <w:rFonts w:ascii="Times New Roman"/>
                              <w:spacing w:val="-4"/>
                              <w:sz w:val="22"/>
                            </w:rPr>
                            <w:fldChar w:fldCharType="separate"/>
                          </w:r>
                          <w:r>
                            <w:rPr>
                              <w:rFonts w:ascii="Times New Roman"/>
                              <w:spacing w:val="-4"/>
                              <w:sz w:val="22"/>
                            </w:rPr>
                            <w:t>viii</w:t>
                          </w:r>
                          <w:r>
                            <w:rPr>
                              <w:rFonts w:ascii="Times New Roman"/>
                              <w:spacing w:val="-4"/>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95.079987pt;margin-top:730.548218pt;width:21.95pt;height:14.5pt;mso-position-horizontal-relative:page;mso-position-vertical-relative:page;z-index:-17164800" type="#_x0000_t202" id="docshape1" filled="false" stroked="false">
              <v:textbox inset="0,0,0,0">
                <w:txbxContent>
                  <w:p>
                    <w:pPr>
                      <w:spacing w:before="15"/>
                      <w:ind w:left="60" w:right="0" w:firstLine="0"/>
                      <w:jc w:val="left"/>
                      <w:rPr>
                        <w:rFonts w:ascii="Times New Roman"/>
                        <w:sz w:val="22"/>
                      </w:rPr>
                    </w:pPr>
                    <w:r>
                      <w:rPr>
                        <w:rFonts w:ascii="Times New Roman"/>
                        <w:spacing w:val="-4"/>
                        <w:sz w:val="22"/>
                      </w:rPr>
                      <w:fldChar w:fldCharType="begin"/>
                    </w:r>
                    <w:r>
                      <w:rPr>
                        <w:rFonts w:ascii="Times New Roman"/>
                        <w:spacing w:val="-4"/>
                        <w:sz w:val="22"/>
                      </w:rPr>
                      <w:instrText> PAGE  \* roman </w:instrText>
                    </w:r>
                    <w:r>
                      <w:rPr>
                        <w:rFonts w:ascii="Times New Roman"/>
                        <w:spacing w:val="-4"/>
                        <w:sz w:val="22"/>
                      </w:rPr>
                      <w:fldChar w:fldCharType="separate"/>
                    </w:r>
                    <w:r>
                      <w:rPr>
                        <w:rFonts w:ascii="Times New Roman"/>
                        <w:spacing w:val="-4"/>
                        <w:sz w:val="22"/>
                      </w:rPr>
                      <w:t>viii</w:t>
                    </w:r>
                    <w:r>
                      <w:rPr>
                        <w:rFonts w:ascii="Times New Roman"/>
                        <w:spacing w:val="-4"/>
                        <w:sz w:val="22"/>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2192">
              <wp:simplePos x="0" y="0"/>
              <wp:positionH relativeFrom="page">
                <wp:posOffset>3954779</wp:posOffset>
              </wp:positionH>
              <wp:positionV relativeFrom="page">
                <wp:posOffset>9239334</wp:posOffset>
              </wp:positionV>
              <wp:extent cx="241300" cy="194310"/>
              <wp:effectExtent l="0" t="0" r="0" b="0"/>
              <wp:wrapNone/>
              <wp:docPr id="12" name="Textbox 12"/>
              <wp:cNvGraphicFramePr>
                <a:graphicFrameLocks/>
              </wp:cNvGraphicFramePr>
              <a:graphic>
                <a:graphicData uri="http://schemas.microsoft.com/office/word/2010/wordprocessingShape">
                  <wps:wsp>
                    <wps:cNvPr id="12" name="Textbox 12"/>
                    <wps:cNvSpPr txBox="1"/>
                    <wps:spPr>
                      <a:xfrm>
                        <a:off x="0" y="0"/>
                        <a:ext cx="241300" cy="194310"/>
                      </a:xfrm>
                      <a:prstGeom prst="rect">
                        <a:avLst/>
                      </a:prstGeom>
                    </wps:spPr>
                    <wps:txbx>
                      <w:txbxContent>
                        <w:p>
                          <w:pPr>
                            <w:spacing w:before="10"/>
                            <w:ind w:left="60" w:right="0" w:firstLine="0"/>
                            <w:jc w:val="left"/>
                            <w:rPr>
                              <w:rFonts w:ascii="Times New Roman"/>
                              <w:sz w:val="24"/>
                            </w:rPr>
                          </w:pPr>
                          <w:r>
                            <w:rPr>
                              <w:rFonts w:ascii="Times New Roman"/>
                              <w:spacing w:val="-5"/>
                              <w:sz w:val="24"/>
                            </w:rPr>
                            <w:fldChar w:fldCharType="begin"/>
                          </w:r>
                          <w:r>
                            <w:rPr>
                              <w:rFonts w:ascii="Times New Roman"/>
                              <w:spacing w:val="-5"/>
                              <w:sz w:val="24"/>
                            </w:rPr>
                            <w:instrText> PAGE </w:instrText>
                          </w:r>
                          <w:r>
                            <w:rPr>
                              <w:rFonts w:ascii="Times New Roman"/>
                              <w:spacing w:val="-5"/>
                              <w:sz w:val="24"/>
                            </w:rPr>
                            <w:fldChar w:fldCharType="separate"/>
                          </w:r>
                          <w:r>
                            <w:rPr>
                              <w:rFonts w:ascii="Times New Roman"/>
                              <w:spacing w:val="-5"/>
                              <w:sz w:val="24"/>
                            </w:rPr>
                            <w:t>10</w:t>
                          </w:r>
                          <w:r>
                            <w:rPr>
                              <w:rFonts w:ascii="Times New Roman"/>
                              <w:spacing w:val="-5"/>
                              <w:sz w:val="24"/>
                            </w:rPr>
                            <w:fldChar w:fldCharType="end"/>
                          </w:r>
                        </w:p>
                      </w:txbxContent>
                    </wps:txbx>
                    <wps:bodyPr wrap="square" lIns="0" tIns="0" rIns="0" bIns="0" rtlCol="0">
                      <a:noAutofit/>
                    </wps:bodyPr>
                  </wps:wsp>
                </a:graphicData>
              </a:graphic>
            </wp:anchor>
          </w:drawing>
        </mc:Choice>
        <mc:Fallback>
          <w:pict>
            <v:shape style="position:absolute;margin-left:311.399994pt;margin-top:727.506653pt;width:19pt;height:15.3pt;mso-position-horizontal-relative:page;mso-position-vertical-relative:page;z-index:-17164288" type="#_x0000_t202" id="docshape12" filled="false" stroked="false">
              <v:textbox inset="0,0,0,0">
                <w:txbxContent>
                  <w:p>
                    <w:pPr>
                      <w:spacing w:before="10"/>
                      <w:ind w:left="60" w:right="0" w:firstLine="0"/>
                      <w:jc w:val="left"/>
                      <w:rPr>
                        <w:rFonts w:ascii="Times New Roman"/>
                        <w:sz w:val="24"/>
                      </w:rPr>
                    </w:pPr>
                    <w:r>
                      <w:rPr>
                        <w:rFonts w:ascii="Times New Roman"/>
                        <w:spacing w:val="-5"/>
                        <w:sz w:val="24"/>
                      </w:rPr>
                      <w:fldChar w:fldCharType="begin"/>
                    </w:r>
                    <w:r>
                      <w:rPr>
                        <w:rFonts w:ascii="Times New Roman"/>
                        <w:spacing w:val="-5"/>
                        <w:sz w:val="24"/>
                      </w:rPr>
                      <w:instrText> PAGE </w:instrText>
                    </w:r>
                    <w:r>
                      <w:rPr>
                        <w:rFonts w:ascii="Times New Roman"/>
                        <w:spacing w:val="-5"/>
                        <w:sz w:val="24"/>
                      </w:rPr>
                      <w:fldChar w:fldCharType="separate"/>
                    </w:r>
                    <w:r>
                      <w:rPr>
                        <w:rFonts w:ascii="Times New Roman"/>
                        <w:spacing w:val="-5"/>
                        <w:sz w:val="24"/>
                      </w:rPr>
                      <w:t>10</w:t>
                    </w:r>
                    <w:r>
                      <w:rPr>
                        <w:rFonts w:ascii="Times New Roman"/>
                        <w:spacing w:val="-5"/>
                        <w:sz w:val="24"/>
                      </w:rPr>
                      <w:fldChar w:fldCharType="end"/>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2704">
              <wp:simplePos x="0" y="0"/>
              <wp:positionH relativeFrom="page">
                <wp:posOffset>3768852</wp:posOffset>
              </wp:positionH>
              <wp:positionV relativeFrom="page">
                <wp:posOffset>9277962</wp:posOffset>
              </wp:positionV>
              <wp:extent cx="233679" cy="184150"/>
              <wp:effectExtent l="0" t="0" r="0" b="0"/>
              <wp:wrapNone/>
              <wp:docPr id="31" name="Textbox 31"/>
              <wp:cNvGraphicFramePr>
                <a:graphicFrameLocks/>
              </wp:cNvGraphicFramePr>
              <a:graphic>
                <a:graphicData uri="http://schemas.microsoft.com/office/word/2010/wordprocessingShape">
                  <wps:wsp>
                    <wps:cNvPr id="31" name="Textbox 31"/>
                    <wps:cNvSpPr txBox="1"/>
                    <wps:spPr>
                      <a:xfrm>
                        <a:off x="0" y="0"/>
                        <a:ext cx="233679"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20</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6.760010pt;margin-top:730.548218pt;width:18.4pt;height:14.5pt;mso-position-horizontal-relative:page;mso-position-vertical-relative:page;z-index:-17163776" type="#_x0000_t202" id="docshape31"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20</w:t>
                    </w:r>
                    <w:r>
                      <w:rPr>
                        <w:rFonts w:ascii="Times New Roman"/>
                        <w:spacing w:val="-5"/>
                        <w:sz w:val="22"/>
                      </w:rPr>
                      <w:fldChar w:fldCharType="end"/>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3216">
              <wp:simplePos x="0" y="0"/>
              <wp:positionH relativeFrom="page">
                <wp:posOffset>3768852</wp:posOffset>
              </wp:positionH>
              <wp:positionV relativeFrom="page">
                <wp:posOffset>9277962</wp:posOffset>
              </wp:positionV>
              <wp:extent cx="233679" cy="184150"/>
              <wp:effectExtent l="0" t="0" r="0" b="0"/>
              <wp:wrapNone/>
              <wp:docPr id="51" name="Textbox 51"/>
              <wp:cNvGraphicFramePr>
                <a:graphicFrameLocks/>
              </wp:cNvGraphicFramePr>
              <a:graphic>
                <a:graphicData uri="http://schemas.microsoft.com/office/word/2010/wordprocessingShape">
                  <wps:wsp>
                    <wps:cNvPr id="51" name="Textbox 51"/>
                    <wps:cNvSpPr txBox="1"/>
                    <wps:spPr>
                      <a:xfrm>
                        <a:off x="0" y="0"/>
                        <a:ext cx="233679"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39</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6.760010pt;margin-top:730.548218pt;width:18.4pt;height:14.5pt;mso-position-horizontal-relative:page;mso-position-vertical-relative:page;z-index:-17163264" type="#_x0000_t202" id="docshape51"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39</w:t>
                    </w:r>
                    <w:r>
                      <w:rPr>
                        <w:rFonts w:ascii="Times New Roman"/>
                        <w:spacing w:val="-5"/>
                        <w:sz w:val="22"/>
                      </w:rPr>
                      <w:fldChar w:fldCharType="end"/>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3728">
              <wp:simplePos x="0" y="0"/>
              <wp:positionH relativeFrom="page">
                <wp:posOffset>1185672</wp:posOffset>
              </wp:positionH>
              <wp:positionV relativeFrom="page">
                <wp:posOffset>8979407</wp:posOffset>
              </wp:positionV>
              <wp:extent cx="1719580" cy="6350"/>
              <wp:effectExtent l="0" t="0" r="0" b="0"/>
              <wp:wrapNone/>
              <wp:docPr id="58" name="Graphic 58"/>
              <wp:cNvGraphicFramePr>
                <a:graphicFrameLocks/>
              </wp:cNvGraphicFramePr>
              <a:graphic>
                <a:graphicData uri="http://schemas.microsoft.com/office/word/2010/wordprocessingShape">
                  <wps:wsp>
                    <wps:cNvPr id="58" name="Graphic 58"/>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3.360001pt;margin-top:707.039978pt;width:135.360pt;height:.48pt;mso-position-horizontal-relative:page;mso-position-vertical-relative:page;z-index:-17162752" id="docshape58" filled="true" fillcolor="#000000" stroked="false">
              <v:fill type="solid"/>
              <w10:wrap type="none"/>
            </v:rect>
          </w:pict>
        </mc:Fallback>
      </mc:AlternateContent>
    </w:r>
    <w:r>
      <w:rPr/>
      <mc:AlternateContent>
        <mc:Choice Requires="wps">
          <w:drawing>
            <wp:anchor distT="0" distB="0" distL="0" distR="0" allowOverlap="1" layoutInCell="1" locked="0" behindDoc="1" simplePos="0" relativeHeight="486154240">
              <wp:simplePos x="0" y="0"/>
              <wp:positionH relativeFrom="page">
                <wp:posOffset>1172972</wp:posOffset>
              </wp:positionH>
              <wp:positionV relativeFrom="page">
                <wp:posOffset>9019692</wp:posOffset>
              </wp:positionV>
              <wp:extent cx="372110" cy="175260"/>
              <wp:effectExtent l="0" t="0" r="0" b="0"/>
              <wp:wrapNone/>
              <wp:docPr id="59" name="Textbox 59"/>
              <wp:cNvGraphicFramePr>
                <a:graphicFrameLocks/>
              </wp:cNvGraphicFramePr>
              <a:graphic>
                <a:graphicData uri="http://schemas.microsoft.com/office/word/2010/wordprocessingShape">
                  <wps:wsp>
                    <wps:cNvPr id="59" name="Textbox 59"/>
                    <wps:cNvSpPr txBox="1"/>
                    <wps:spPr>
                      <a:xfrm>
                        <a:off x="0" y="0"/>
                        <a:ext cx="372110" cy="175260"/>
                      </a:xfrm>
                      <a:prstGeom prst="rect">
                        <a:avLst/>
                      </a:prstGeom>
                    </wps:spPr>
                    <wps:txbx>
                      <w:txbxContent>
                        <w:p>
                          <w:pPr>
                            <w:spacing w:before="37"/>
                            <w:ind w:left="20" w:right="0" w:firstLine="0"/>
                            <w:jc w:val="left"/>
                            <w:rPr>
                              <w:rFonts w:ascii="Times New Roman"/>
                              <w:i/>
                              <w:sz w:val="19"/>
                            </w:rPr>
                          </w:pPr>
                          <w:r>
                            <w:rPr>
                              <w:rFonts w:ascii="Times New Roman"/>
                              <w:sz w:val="19"/>
                              <w:vertAlign w:val="superscript"/>
                            </w:rPr>
                            <w:t>105</w:t>
                          </w:r>
                          <w:r>
                            <w:rPr>
                              <w:rFonts w:ascii="Times New Roman"/>
                              <w:spacing w:val="11"/>
                              <w:sz w:val="19"/>
                              <w:vertAlign w:val="baseline"/>
                            </w:rPr>
                            <w:t> </w:t>
                          </w:r>
                          <w:r>
                            <w:rPr>
                              <w:rFonts w:ascii="Times New Roman"/>
                              <w:i/>
                              <w:spacing w:val="-4"/>
                              <w:sz w:val="19"/>
                              <w:vertAlign w:val="baseline"/>
                            </w:rPr>
                            <w:t>Ibid</w:t>
                          </w:r>
                        </w:p>
                      </w:txbxContent>
                    </wps:txbx>
                    <wps:bodyPr wrap="square" lIns="0" tIns="0" rIns="0" bIns="0" rtlCol="0">
                      <a:noAutofit/>
                    </wps:bodyPr>
                  </wps:wsp>
                </a:graphicData>
              </a:graphic>
            </wp:anchor>
          </w:drawing>
        </mc:Choice>
        <mc:Fallback>
          <w:pict>
            <v:shape style="position:absolute;margin-left:92.360001pt;margin-top:710.212036pt;width:29.3pt;height:13.8pt;mso-position-horizontal-relative:page;mso-position-vertical-relative:page;z-index:-17162240" type="#_x0000_t202" id="docshape59" filled="false" stroked="false">
              <v:textbox inset="0,0,0,0">
                <w:txbxContent>
                  <w:p>
                    <w:pPr>
                      <w:spacing w:before="37"/>
                      <w:ind w:left="20" w:right="0" w:firstLine="0"/>
                      <w:jc w:val="left"/>
                      <w:rPr>
                        <w:rFonts w:ascii="Times New Roman"/>
                        <w:i/>
                        <w:sz w:val="19"/>
                      </w:rPr>
                    </w:pPr>
                    <w:r>
                      <w:rPr>
                        <w:rFonts w:ascii="Times New Roman"/>
                        <w:sz w:val="19"/>
                        <w:vertAlign w:val="superscript"/>
                      </w:rPr>
                      <w:t>105</w:t>
                    </w:r>
                    <w:r>
                      <w:rPr>
                        <w:rFonts w:ascii="Times New Roman"/>
                        <w:spacing w:val="11"/>
                        <w:sz w:val="19"/>
                        <w:vertAlign w:val="baseline"/>
                      </w:rPr>
                      <w:t> </w:t>
                    </w:r>
                    <w:r>
                      <w:rPr>
                        <w:rFonts w:ascii="Times New Roman"/>
                        <w:i/>
                        <w:spacing w:val="-4"/>
                        <w:sz w:val="19"/>
                        <w:vertAlign w:val="baseline"/>
                      </w:rPr>
                      <w:t>Ibid</w:t>
                    </w:r>
                  </w:p>
                </w:txbxContent>
              </v:textbox>
              <w10:wrap type="none"/>
            </v:shape>
          </w:pict>
        </mc:Fallback>
      </mc:AlternateContent>
    </w:r>
    <w:r>
      <w:rPr/>
      <mc:AlternateContent>
        <mc:Choice Requires="wps">
          <w:drawing>
            <wp:anchor distT="0" distB="0" distL="0" distR="0" allowOverlap="1" layoutInCell="1" locked="0" behindDoc="1" simplePos="0" relativeHeight="486154752">
              <wp:simplePos x="0" y="0"/>
              <wp:positionH relativeFrom="page">
                <wp:posOffset>3794252</wp:posOffset>
              </wp:positionH>
              <wp:positionV relativeFrom="page">
                <wp:posOffset>9277962</wp:posOffset>
              </wp:positionV>
              <wp:extent cx="170180" cy="184150"/>
              <wp:effectExtent l="0" t="0" r="0" b="0"/>
              <wp:wrapNone/>
              <wp:docPr id="60" name="Textbox 60"/>
              <wp:cNvGraphicFramePr>
                <a:graphicFrameLocks/>
              </wp:cNvGraphicFramePr>
              <a:graphic>
                <a:graphicData uri="http://schemas.microsoft.com/office/word/2010/wordprocessingShape">
                  <wps:wsp>
                    <wps:cNvPr id="60" name="Textbox 60"/>
                    <wps:cNvSpPr txBox="1"/>
                    <wps:spPr>
                      <a:xfrm>
                        <a:off x="0" y="0"/>
                        <a:ext cx="170180" cy="184150"/>
                      </a:xfrm>
                      <a:prstGeom prst="rect">
                        <a:avLst/>
                      </a:prstGeom>
                    </wps:spPr>
                    <wps:txbx>
                      <w:txbxContent>
                        <w:p>
                          <w:pPr>
                            <w:spacing w:before="15"/>
                            <w:ind w:left="20" w:right="0" w:firstLine="0"/>
                            <w:jc w:val="left"/>
                            <w:rPr>
                              <w:rFonts w:ascii="Times New Roman"/>
                              <w:sz w:val="22"/>
                            </w:rPr>
                          </w:pPr>
                          <w:r>
                            <w:rPr>
                              <w:rFonts w:ascii="Times New Roman"/>
                              <w:spacing w:val="-5"/>
                              <w:sz w:val="22"/>
                            </w:rPr>
                            <w:t>45</w:t>
                          </w:r>
                        </w:p>
                      </w:txbxContent>
                    </wps:txbx>
                    <wps:bodyPr wrap="square" lIns="0" tIns="0" rIns="0" bIns="0" rtlCol="0">
                      <a:noAutofit/>
                    </wps:bodyPr>
                  </wps:wsp>
                </a:graphicData>
              </a:graphic>
            </wp:anchor>
          </w:drawing>
        </mc:Choice>
        <mc:Fallback>
          <w:pict>
            <v:shape style="position:absolute;margin-left:298.760010pt;margin-top:730.548218pt;width:13.4pt;height:14.5pt;mso-position-horizontal-relative:page;mso-position-vertical-relative:page;z-index:-17161728" type="#_x0000_t202" id="docshape60" filled="false" stroked="false">
              <v:textbox inset="0,0,0,0">
                <w:txbxContent>
                  <w:p>
                    <w:pPr>
                      <w:spacing w:before="15"/>
                      <w:ind w:left="20" w:right="0" w:firstLine="0"/>
                      <w:jc w:val="left"/>
                      <w:rPr>
                        <w:rFonts w:ascii="Times New Roman"/>
                        <w:sz w:val="22"/>
                      </w:rPr>
                    </w:pPr>
                    <w:r>
                      <w:rPr>
                        <w:rFonts w:ascii="Times New Roman"/>
                        <w:spacing w:val="-5"/>
                        <w:sz w:val="22"/>
                      </w:rPr>
                      <w:t>45</w:t>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5264">
              <wp:simplePos x="0" y="0"/>
              <wp:positionH relativeFrom="page">
                <wp:posOffset>3794252</wp:posOffset>
              </wp:positionH>
              <wp:positionV relativeFrom="page">
                <wp:posOffset>9277962</wp:posOffset>
              </wp:positionV>
              <wp:extent cx="170180" cy="184150"/>
              <wp:effectExtent l="0" t="0" r="0" b="0"/>
              <wp:wrapNone/>
              <wp:docPr id="61" name="Textbox 61"/>
              <wp:cNvGraphicFramePr>
                <a:graphicFrameLocks/>
              </wp:cNvGraphicFramePr>
              <a:graphic>
                <a:graphicData uri="http://schemas.microsoft.com/office/word/2010/wordprocessingShape">
                  <wps:wsp>
                    <wps:cNvPr id="61" name="Textbox 61"/>
                    <wps:cNvSpPr txBox="1"/>
                    <wps:spPr>
                      <a:xfrm>
                        <a:off x="0" y="0"/>
                        <a:ext cx="170180" cy="184150"/>
                      </a:xfrm>
                      <a:prstGeom prst="rect">
                        <a:avLst/>
                      </a:prstGeom>
                    </wps:spPr>
                    <wps:txbx>
                      <w:txbxContent>
                        <w:p>
                          <w:pPr>
                            <w:spacing w:before="15"/>
                            <w:ind w:left="20" w:right="0" w:firstLine="0"/>
                            <w:jc w:val="left"/>
                            <w:rPr>
                              <w:rFonts w:ascii="Times New Roman"/>
                              <w:sz w:val="22"/>
                            </w:rPr>
                          </w:pPr>
                          <w:r>
                            <w:rPr>
                              <w:rFonts w:ascii="Times New Roman"/>
                              <w:spacing w:val="-5"/>
                              <w:sz w:val="22"/>
                            </w:rPr>
                            <w:t>46</w:t>
                          </w:r>
                        </w:p>
                      </w:txbxContent>
                    </wps:txbx>
                    <wps:bodyPr wrap="square" lIns="0" tIns="0" rIns="0" bIns="0" rtlCol="0">
                      <a:noAutofit/>
                    </wps:bodyPr>
                  </wps:wsp>
                </a:graphicData>
              </a:graphic>
            </wp:anchor>
          </w:drawing>
        </mc:Choice>
        <mc:Fallback>
          <w:pict>
            <v:shape style="position:absolute;margin-left:298.760010pt;margin-top:730.548218pt;width:13.4pt;height:14.5pt;mso-position-horizontal-relative:page;mso-position-vertical-relative:page;z-index:-17161216" type="#_x0000_t202" id="docshape61" filled="false" stroked="false">
              <v:textbox inset="0,0,0,0">
                <w:txbxContent>
                  <w:p>
                    <w:pPr>
                      <w:spacing w:before="15"/>
                      <w:ind w:left="20" w:right="0" w:firstLine="0"/>
                      <w:jc w:val="left"/>
                      <w:rPr>
                        <w:rFonts w:ascii="Times New Roman"/>
                        <w:sz w:val="22"/>
                      </w:rPr>
                    </w:pPr>
                    <w:r>
                      <w:rPr>
                        <w:rFonts w:ascii="Times New Roman"/>
                        <w:spacing w:val="-5"/>
                        <w:sz w:val="22"/>
                      </w:rPr>
                      <w:t>46</w:t>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5776">
              <wp:simplePos x="0" y="0"/>
              <wp:positionH relativeFrom="page">
                <wp:posOffset>3768852</wp:posOffset>
              </wp:positionH>
              <wp:positionV relativeFrom="page">
                <wp:posOffset>9277962</wp:posOffset>
              </wp:positionV>
              <wp:extent cx="233679" cy="184150"/>
              <wp:effectExtent l="0" t="0" r="0" b="0"/>
              <wp:wrapNone/>
              <wp:docPr id="63" name="Textbox 63"/>
              <wp:cNvGraphicFramePr>
                <a:graphicFrameLocks/>
              </wp:cNvGraphicFramePr>
              <a:graphic>
                <a:graphicData uri="http://schemas.microsoft.com/office/word/2010/wordprocessingShape">
                  <wps:wsp>
                    <wps:cNvPr id="63" name="Textbox 63"/>
                    <wps:cNvSpPr txBox="1"/>
                    <wps:spPr>
                      <a:xfrm>
                        <a:off x="0" y="0"/>
                        <a:ext cx="233679"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47</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6.760010pt;margin-top:730.548218pt;width:18.4pt;height:14.5pt;mso-position-horizontal-relative:page;mso-position-vertical-relative:page;z-index:-17160704" type="#_x0000_t202" id="docshape63"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47</w:t>
                    </w:r>
                    <w:r>
                      <w:rPr>
                        <w:rFonts w:ascii="Times New Roman"/>
                        <w:spacing w:val="-5"/>
                        <w:sz w:val="22"/>
                      </w:rPr>
                      <w:fldChar w:fldCharType="end"/>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6288">
              <wp:simplePos x="0" y="0"/>
              <wp:positionH relativeFrom="page">
                <wp:posOffset>1172972</wp:posOffset>
              </wp:positionH>
              <wp:positionV relativeFrom="page">
                <wp:posOffset>9019692</wp:posOffset>
              </wp:positionV>
              <wp:extent cx="372110" cy="175260"/>
              <wp:effectExtent l="0" t="0" r="0" b="0"/>
              <wp:wrapNone/>
              <wp:docPr id="76" name="Textbox 76"/>
              <wp:cNvGraphicFramePr>
                <a:graphicFrameLocks/>
              </wp:cNvGraphicFramePr>
              <a:graphic>
                <a:graphicData uri="http://schemas.microsoft.com/office/word/2010/wordprocessingShape">
                  <wps:wsp>
                    <wps:cNvPr id="76" name="Textbox 76"/>
                    <wps:cNvSpPr txBox="1"/>
                    <wps:spPr>
                      <a:xfrm>
                        <a:off x="0" y="0"/>
                        <a:ext cx="372110" cy="175260"/>
                      </a:xfrm>
                      <a:prstGeom prst="rect">
                        <a:avLst/>
                      </a:prstGeom>
                    </wps:spPr>
                    <wps:txbx>
                      <w:txbxContent>
                        <w:p>
                          <w:pPr>
                            <w:spacing w:before="37"/>
                            <w:ind w:left="20" w:right="0" w:firstLine="0"/>
                            <w:jc w:val="left"/>
                            <w:rPr>
                              <w:rFonts w:ascii="Times New Roman"/>
                              <w:i/>
                              <w:sz w:val="19"/>
                            </w:rPr>
                          </w:pPr>
                          <w:r>
                            <w:rPr>
                              <w:rFonts w:ascii="Times New Roman"/>
                              <w:sz w:val="19"/>
                              <w:vertAlign w:val="superscript"/>
                            </w:rPr>
                            <w:t>175</w:t>
                          </w:r>
                          <w:r>
                            <w:rPr>
                              <w:rFonts w:ascii="Times New Roman"/>
                              <w:spacing w:val="11"/>
                              <w:sz w:val="19"/>
                              <w:vertAlign w:val="baseline"/>
                            </w:rPr>
                            <w:t> </w:t>
                          </w:r>
                          <w:r>
                            <w:rPr>
                              <w:rFonts w:ascii="Times New Roman"/>
                              <w:i/>
                              <w:spacing w:val="-4"/>
                              <w:sz w:val="19"/>
                              <w:vertAlign w:val="baseline"/>
                            </w:rPr>
                            <w:t>Ibid</w:t>
                          </w:r>
                        </w:p>
                      </w:txbxContent>
                    </wps:txbx>
                    <wps:bodyPr wrap="square" lIns="0" tIns="0" rIns="0" bIns="0" rtlCol="0">
                      <a:noAutofit/>
                    </wps:bodyPr>
                  </wps:wsp>
                </a:graphicData>
              </a:graphic>
            </wp:anchor>
          </w:drawing>
        </mc:Choice>
        <mc:Fallback>
          <w:pict>
            <v:shape style="position:absolute;margin-left:92.360001pt;margin-top:710.212036pt;width:29.3pt;height:13.8pt;mso-position-horizontal-relative:page;mso-position-vertical-relative:page;z-index:-17160192" type="#_x0000_t202" id="docshape76" filled="false" stroked="false">
              <v:textbox inset="0,0,0,0">
                <w:txbxContent>
                  <w:p>
                    <w:pPr>
                      <w:spacing w:before="37"/>
                      <w:ind w:left="20" w:right="0" w:firstLine="0"/>
                      <w:jc w:val="left"/>
                      <w:rPr>
                        <w:rFonts w:ascii="Times New Roman"/>
                        <w:i/>
                        <w:sz w:val="19"/>
                      </w:rPr>
                    </w:pPr>
                    <w:r>
                      <w:rPr>
                        <w:rFonts w:ascii="Times New Roman"/>
                        <w:sz w:val="19"/>
                        <w:vertAlign w:val="superscript"/>
                      </w:rPr>
                      <w:t>175</w:t>
                    </w:r>
                    <w:r>
                      <w:rPr>
                        <w:rFonts w:ascii="Times New Roman"/>
                        <w:spacing w:val="11"/>
                        <w:sz w:val="19"/>
                        <w:vertAlign w:val="baseline"/>
                      </w:rPr>
                      <w:t> </w:t>
                    </w:r>
                    <w:r>
                      <w:rPr>
                        <w:rFonts w:ascii="Times New Roman"/>
                        <w:i/>
                        <w:spacing w:val="-4"/>
                        <w:sz w:val="19"/>
                        <w:vertAlign w:val="baseline"/>
                      </w:rPr>
                      <w:t>Ibid</w:t>
                    </w:r>
                  </w:p>
                </w:txbxContent>
              </v:textbox>
              <w10:wrap type="none"/>
            </v:shape>
          </w:pict>
        </mc:Fallback>
      </mc:AlternateContent>
    </w:r>
    <w:r>
      <w:rPr/>
      <mc:AlternateContent>
        <mc:Choice Requires="wps">
          <w:drawing>
            <wp:anchor distT="0" distB="0" distL="0" distR="0" allowOverlap="1" layoutInCell="1" locked="0" behindDoc="1" simplePos="0" relativeHeight="486156800">
              <wp:simplePos x="0" y="0"/>
              <wp:positionH relativeFrom="page">
                <wp:posOffset>3794252</wp:posOffset>
              </wp:positionH>
              <wp:positionV relativeFrom="page">
                <wp:posOffset>9277962</wp:posOffset>
              </wp:positionV>
              <wp:extent cx="170180" cy="184150"/>
              <wp:effectExtent l="0" t="0" r="0" b="0"/>
              <wp:wrapNone/>
              <wp:docPr id="77" name="Textbox 77"/>
              <wp:cNvGraphicFramePr>
                <a:graphicFrameLocks/>
              </wp:cNvGraphicFramePr>
              <a:graphic>
                <a:graphicData uri="http://schemas.microsoft.com/office/word/2010/wordprocessingShape">
                  <wps:wsp>
                    <wps:cNvPr id="77" name="Textbox 77"/>
                    <wps:cNvSpPr txBox="1"/>
                    <wps:spPr>
                      <a:xfrm>
                        <a:off x="0" y="0"/>
                        <a:ext cx="170180" cy="184150"/>
                      </a:xfrm>
                      <a:prstGeom prst="rect">
                        <a:avLst/>
                      </a:prstGeom>
                    </wps:spPr>
                    <wps:txbx>
                      <w:txbxContent>
                        <w:p>
                          <w:pPr>
                            <w:spacing w:before="15"/>
                            <w:ind w:left="20" w:right="0" w:firstLine="0"/>
                            <w:jc w:val="left"/>
                            <w:rPr>
                              <w:rFonts w:ascii="Times New Roman"/>
                              <w:sz w:val="22"/>
                            </w:rPr>
                          </w:pPr>
                          <w:r>
                            <w:rPr>
                              <w:rFonts w:ascii="Times New Roman"/>
                              <w:spacing w:val="-5"/>
                              <w:sz w:val="22"/>
                            </w:rPr>
                            <w:t>59</w:t>
                          </w:r>
                        </w:p>
                      </w:txbxContent>
                    </wps:txbx>
                    <wps:bodyPr wrap="square" lIns="0" tIns="0" rIns="0" bIns="0" rtlCol="0">
                      <a:noAutofit/>
                    </wps:bodyPr>
                  </wps:wsp>
                </a:graphicData>
              </a:graphic>
            </wp:anchor>
          </w:drawing>
        </mc:Choice>
        <mc:Fallback>
          <w:pict>
            <v:shape style="position:absolute;margin-left:298.760010pt;margin-top:730.548218pt;width:13.4pt;height:14.5pt;mso-position-horizontal-relative:page;mso-position-vertical-relative:page;z-index:-17159680" type="#_x0000_t202" id="docshape77" filled="false" stroked="false">
              <v:textbox inset="0,0,0,0">
                <w:txbxContent>
                  <w:p>
                    <w:pPr>
                      <w:spacing w:before="15"/>
                      <w:ind w:left="20" w:right="0" w:firstLine="0"/>
                      <w:jc w:val="left"/>
                      <w:rPr>
                        <w:rFonts w:ascii="Times New Roman"/>
                        <w:sz w:val="22"/>
                      </w:rPr>
                    </w:pPr>
                    <w:r>
                      <w:rPr>
                        <w:rFonts w:ascii="Times New Roman"/>
                        <w:spacing w:val="-5"/>
                        <w:sz w:val="22"/>
                      </w:rPr>
                      <w:t>59</w:t>
                    </w:r>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7312">
              <wp:simplePos x="0" y="0"/>
              <wp:positionH relativeFrom="page">
                <wp:posOffset>1172972</wp:posOffset>
              </wp:positionH>
              <wp:positionV relativeFrom="page">
                <wp:posOffset>9019692</wp:posOffset>
              </wp:positionV>
              <wp:extent cx="372110" cy="175260"/>
              <wp:effectExtent l="0" t="0" r="0" b="0"/>
              <wp:wrapNone/>
              <wp:docPr id="79" name="Textbox 79"/>
              <wp:cNvGraphicFramePr>
                <a:graphicFrameLocks/>
              </wp:cNvGraphicFramePr>
              <a:graphic>
                <a:graphicData uri="http://schemas.microsoft.com/office/word/2010/wordprocessingShape">
                  <wps:wsp>
                    <wps:cNvPr id="79" name="Textbox 79"/>
                    <wps:cNvSpPr txBox="1"/>
                    <wps:spPr>
                      <a:xfrm>
                        <a:off x="0" y="0"/>
                        <a:ext cx="372110" cy="175260"/>
                      </a:xfrm>
                      <a:prstGeom prst="rect">
                        <a:avLst/>
                      </a:prstGeom>
                    </wps:spPr>
                    <wps:txbx>
                      <w:txbxContent>
                        <w:p>
                          <w:pPr>
                            <w:spacing w:before="37"/>
                            <w:ind w:left="20" w:right="0" w:firstLine="0"/>
                            <w:jc w:val="left"/>
                            <w:rPr>
                              <w:rFonts w:ascii="Times New Roman"/>
                              <w:i/>
                              <w:sz w:val="19"/>
                            </w:rPr>
                          </w:pPr>
                          <w:r>
                            <w:rPr>
                              <w:rFonts w:ascii="Times New Roman"/>
                              <w:sz w:val="19"/>
                              <w:vertAlign w:val="superscript"/>
                            </w:rPr>
                            <w:t>176</w:t>
                          </w:r>
                          <w:r>
                            <w:rPr>
                              <w:rFonts w:ascii="Times New Roman"/>
                              <w:spacing w:val="11"/>
                              <w:sz w:val="19"/>
                              <w:vertAlign w:val="baseline"/>
                            </w:rPr>
                            <w:t> </w:t>
                          </w:r>
                          <w:r>
                            <w:rPr>
                              <w:rFonts w:ascii="Times New Roman"/>
                              <w:i/>
                              <w:spacing w:val="-4"/>
                              <w:sz w:val="19"/>
                              <w:vertAlign w:val="baseline"/>
                            </w:rPr>
                            <w:t>Ibid</w:t>
                          </w:r>
                        </w:p>
                      </w:txbxContent>
                    </wps:txbx>
                    <wps:bodyPr wrap="square" lIns="0" tIns="0" rIns="0" bIns="0" rtlCol="0">
                      <a:noAutofit/>
                    </wps:bodyPr>
                  </wps:wsp>
                </a:graphicData>
              </a:graphic>
            </wp:anchor>
          </w:drawing>
        </mc:Choice>
        <mc:Fallback>
          <w:pict>
            <v:shape style="position:absolute;margin-left:92.360001pt;margin-top:710.212036pt;width:29.3pt;height:13.8pt;mso-position-horizontal-relative:page;mso-position-vertical-relative:page;z-index:-17159168" type="#_x0000_t202" id="docshape79" filled="false" stroked="false">
              <v:textbox inset="0,0,0,0">
                <w:txbxContent>
                  <w:p>
                    <w:pPr>
                      <w:spacing w:before="37"/>
                      <w:ind w:left="20" w:right="0" w:firstLine="0"/>
                      <w:jc w:val="left"/>
                      <w:rPr>
                        <w:rFonts w:ascii="Times New Roman"/>
                        <w:i/>
                        <w:sz w:val="19"/>
                      </w:rPr>
                    </w:pPr>
                    <w:r>
                      <w:rPr>
                        <w:rFonts w:ascii="Times New Roman"/>
                        <w:sz w:val="19"/>
                        <w:vertAlign w:val="superscript"/>
                      </w:rPr>
                      <w:t>176</w:t>
                    </w:r>
                    <w:r>
                      <w:rPr>
                        <w:rFonts w:ascii="Times New Roman"/>
                        <w:spacing w:val="11"/>
                        <w:sz w:val="19"/>
                        <w:vertAlign w:val="baseline"/>
                      </w:rPr>
                      <w:t> </w:t>
                    </w:r>
                    <w:r>
                      <w:rPr>
                        <w:rFonts w:ascii="Times New Roman"/>
                        <w:i/>
                        <w:spacing w:val="-4"/>
                        <w:sz w:val="19"/>
                        <w:vertAlign w:val="baseline"/>
                      </w:rPr>
                      <w:t>Ibid</w:t>
                    </w:r>
                  </w:p>
                </w:txbxContent>
              </v:textbox>
              <w10:wrap type="none"/>
            </v:shape>
          </w:pict>
        </mc:Fallback>
      </mc:AlternateContent>
    </w:r>
    <w:r>
      <w:rPr/>
      <mc:AlternateContent>
        <mc:Choice Requires="wps">
          <w:drawing>
            <wp:anchor distT="0" distB="0" distL="0" distR="0" allowOverlap="1" layoutInCell="1" locked="0" behindDoc="1" simplePos="0" relativeHeight="486157824">
              <wp:simplePos x="0" y="0"/>
              <wp:positionH relativeFrom="page">
                <wp:posOffset>3794252</wp:posOffset>
              </wp:positionH>
              <wp:positionV relativeFrom="page">
                <wp:posOffset>9277962</wp:posOffset>
              </wp:positionV>
              <wp:extent cx="170180" cy="184150"/>
              <wp:effectExtent l="0" t="0" r="0" b="0"/>
              <wp:wrapNone/>
              <wp:docPr id="80" name="Textbox 80"/>
              <wp:cNvGraphicFramePr>
                <a:graphicFrameLocks/>
              </wp:cNvGraphicFramePr>
              <a:graphic>
                <a:graphicData uri="http://schemas.microsoft.com/office/word/2010/wordprocessingShape">
                  <wps:wsp>
                    <wps:cNvPr id="80" name="Textbox 80"/>
                    <wps:cNvSpPr txBox="1"/>
                    <wps:spPr>
                      <a:xfrm>
                        <a:off x="0" y="0"/>
                        <a:ext cx="170180" cy="184150"/>
                      </a:xfrm>
                      <a:prstGeom prst="rect">
                        <a:avLst/>
                      </a:prstGeom>
                    </wps:spPr>
                    <wps:txbx>
                      <w:txbxContent>
                        <w:p>
                          <w:pPr>
                            <w:spacing w:before="15"/>
                            <w:ind w:left="20" w:right="0" w:firstLine="0"/>
                            <w:jc w:val="left"/>
                            <w:rPr>
                              <w:rFonts w:ascii="Times New Roman"/>
                              <w:sz w:val="22"/>
                            </w:rPr>
                          </w:pPr>
                          <w:r>
                            <w:rPr>
                              <w:rFonts w:ascii="Times New Roman"/>
                              <w:spacing w:val="-5"/>
                              <w:sz w:val="22"/>
                            </w:rPr>
                            <w:t>60</w:t>
                          </w:r>
                        </w:p>
                      </w:txbxContent>
                    </wps:txbx>
                    <wps:bodyPr wrap="square" lIns="0" tIns="0" rIns="0" bIns="0" rtlCol="0">
                      <a:noAutofit/>
                    </wps:bodyPr>
                  </wps:wsp>
                </a:graphicData>
              </a:graphic>
            </wp:anchor>
          </w:drawing>
        </mc:Choice>
        <mc:Fallback>
          <w:pict>
            <v:shape style="position:absolute;margin-left:298.760010pt;margin-top:730.548218pt;width:13.4pt;height:14.5pt;mso-position-horizontal-relative:page;mso-position-vertical-relative:page;z-index:-17158656" type="#_x0000_t202" id="docshape80" filled="false" stroked="false">
              <v:textbox inset="0,0,0,0">
                <w:txbxContent>
                  <w:p>
                    <w:pPr>
                      <w:spacing w:before="15"/>
                      <w:ind w:left="20" w:right="0" w:firstLine="0"/>
                      <w:jc w:val="left"/>
                      <w:rPr>
                        <w:rFonts w:ascii="Times New Roman"/>
                        <w:sz w:val="22"/>
                      </w:rPr>
                    </w:pPr>
                    <w:r>
                      <w:rPr>
                        <w:rFonts w:ascii="Times New Roman"/>
                        <w:spacing w:val="-5"/>
                        <w:sz w:val="22"/>
                      </w:rPr>
                      <w:t>60</w:t>
                    </w:r>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8336">
              <wp:simplePos x="0" y="0"/>
              <wp:positionH relativeFrom="page">
                <wp:posOffset>3768852</wp:posOffset>
              </wp:positionH>
              <wp:positionV relativeFrom="page">
                <wp:posOffset>9277962</wp:posOffset>
              </wp:positionV>
              <wp:extent cx="233679" cy="184150"/>
              <wp:effectExtent l="0" t="0" r="0" b="0"/>
              <wp:wrapNone/>
              <wp:docPr id="82" name="Textbox 82"/>
              <wp:cNvGraphicFramePr>
                <a:graphicFrameLocks/>
              </wp:cNvGraphicFramePr>
              <a:graphic>
                <a:graphicData uri="http://schemas.microsoft.com/office/word/2010/wordprocessingShape">
                  <wps:wsp>
                    <wps:cNvPr id="82" name="Textbox 82"/>
                    <wps:cNvSpPr txBox="1"/>
                    <wps:spPr>
                      <a:xfrm>
                        <a:off x="0" y="0"/>
                        <a:ext cx="233679"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61</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6.760010pt;margin-top:730.548218pt;width:18.4pt;height:14.5pt;mso-position-horizontal-relative:page;mso-position-vertical-relative:page;z-index:-17158144" type="#_x0000_t202" id="docshape82"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61</w:t>
                    </w:r>
                    <w:r>
                      <w:rPr>
                        <w:rFonts w:ascii="Times New Roman"/>
                        <w:spacing w:val="-5"/>
                        <w:sz w:val="22"/>
                      </w:rPr>
                      <w:fldChar w:fldCharType="end"/>
                    </w:r>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8848">
              <wp:simplePos x="0" y="0"/>
              <wp:positionH relativeFrom="page">
                <wp:posOffset>3735323</wp:posOffset>
              </wp:positionH>
              <wp:positionV relativeFrom="page">
                <wp:posOffset>9277962</wp:posOffset>
              </wp:positionV>
              <wp:extent cx="304165" cy="184150"/>
              <wp:effectExtent l="0" t="0" r="0" b="0"/>
              <wp:wrapNone/>
              <wp:docPr id="121" name="Textbox 121"/>
              <wp:cNvGraphicFramePr>
                <a:graphicFrameLocks/>
              </wp:cNvGraphicFramePr>
              <a:graphic>
                <a:graphicData uri="http://schemas.microsoft.com/office/word/2010/wordprocessingShape">
                  <wps:wsp>
                    <wps:cNvPr id="121" name="Textbox 121"/>
                    <wps:cNvSpPr txBox="1"/>
                    <wps:spPr>
                      <a:xfrm>
                        <a:off x="0" y="0"/>
                        <a:ext cx="304165"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100</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4.119995pt;margin-top:730.548218pt;width:23.95pt;height:14.5pt;mso-position-horizontal-relative:page;mso-position-vertical-relative:page;z-index:-17157632" type="#_x0000_t202" id="docshape121"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100</w:t>
                    </w:r>
                    <w:r>
                      <w:rPr>
                        <w:rFonts w:ascii="Times New Roman"/>
                        <w:spacing w:val="-5"/>
                        <w:sz w:val="22"/>
                      </w:rPr>
                      <w:fldChar w:fldCharType="end"/>
                    </w:r>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59360">
              <wp:simplePos x="0" y="0"/>
              <wp:positionH relativeFrom="page">
                <wp:posOffset>1172972</wp:posOffset>
              </wp:positionH>
              <wp:positionV relativeFrom="page">
                <wp:posOffset>8745373</wp:posOffset>
              </wp:positionV>
              <wp:extent cx="988060" cy="449580"/>
              <wp:effectExtent l="0" t="0" r="0" b="0"/>
              <wp:wrapNone/>
              <wp:docPr id="125" name="Textbox 125"/>
              <wp:cNvGraphicFramePr>
                <a:graphicFrameLocks/>
              </wp:cNvGraphicFramePr>
              <a:graphic>
                <a:graphicData uri="http://schemas.microsoft.com/office/word/2010/wordprocessingShape">
                  <wps:wsp>
                    <wps:cNvPr id="125" name="Textbox 125"/>
                    <wps:cNvSpPr txBox="1"/>
                    <wps:spPr>
                      <a:xfrm>
                        <a:off x="0" y="0"/>
                        <a:ext cx="988060" cy="449580"/>
                      </a:xfrm>
                      <a:prstGeom prst="rect">
                        <a:avLst/>
                      </a:prstGeom>
                    </wps:spPr>
                    <wps:txbx>
                      <w:txbxContent>
                        <w:p>
                          <w:pPr>
                            <w:spacing w:line="217" w:lineRule="exact" w:before="37"/>
                            <w:ind w:left="20"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20"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7" w:lineRule="exact" w:before="0"/>
                            <w:ind w:left="20"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txbxContent>
                    </wps:txbx>
                    <wps:bodyPr wrap="square" lIns="0" tIns="0" rIns="0" bIns="0" rtlCol="0">
                      <a:noAutofit/>
                    </wps:bodyPr>
                  </wps:wsp>
                </a:graphicData>
              </a:graphic>
            </wp:anchor>
          </w:drawing>
        </mc:Choice>
        <mc:Fallback>
          <w:pict>
            <v:shape style="position:absolute;margin-left:92.360001pt;margin-top:688.612061pt;width:77.8pt;height:35.4pt;mso-position-horizontal-relative:page;mso-position-vertical-relative:page;z-index:-17157120" type="#_x0000_t202" id="docshape125" filled="false" stroked="false">
              <v:textbox inset="0,0,0,0">
                <w:txbxContent>
                  <w:p>
                    <w:pPr>
                      <w:spacing w:line="217" w:lineRule="exact" w:before="37"/>
                      <w:ind w:left="20" w:right="0" w:firstLine="0"/>
                      <w:jc w:val="left"/>
                      <w:rPr>
                        <w:rFonts w:ascii="Times New Roman"/>
                        <w:i/>
                        <w:sz w:val="19"/>
                      </w:rPr>
                    </w:pPr>
                    <w:r>
                      <w:rPr>
                        <w:rFonts w:ascii="Times New Roman"/>
                        <w:sz w:val="19"/>
                        <w:vertAlign w:val="superscript"/>
                      </w:rPr>
                      <w:t>318</w:t>
                    </w:r>
                    <w:r>
                      <w:rPr>
                        <w:rFonts w:ascii="Times New Roman"/>
                        <w:spacing w:val="11"/>
                        <w:sz w:val="19"/>
                        <w:vertAlign w:val="baseline"/>
                      </w:rPr>
                      <w:t> </w:t>
                    </w:r>
                    <w:r>
                      <w:rPr>
                        <w:rFonts w:ascii="Times New Roman"/>
                        <w:i/>
                        <w:spacing w:val="-4"/>
                        <w:sz w:val="19"/>
                        <w:vertAlign w:val="baseline"/>
                      </w:rPr>
                      <w:t>Ibid</w:t>
                    </w:r>
                  </w:p>
                  <w:p>
                    <w:pPr>
                      <w:spacing w:line="216" w:lineRule="exact" w:before="0"/>
                      <w:ind w:left="20" w:right="0" w:firstLine="0"/>
                      <w:jc w:val="left"/>
                      <w:rPr>
                        <w:rFonts w:ascii="Times New Roman"/>
                        <w:i/>
                        <w:sz w:val="19"/>
                      </w:rPr>
                    </w:pPr>
                    <w:r>
                      <w:rPr>
                        <w:rFonts w:ascii="Times New Roman"/>
                        <w:sz w:val="19"/>
                        <w:vertAlign w:val="superscript"/>
                      </w:rPr>
                      <w:t>319</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4(4)</w:t>
                    </w:r>
                    <w:r>
                      <w:rPr>
                        <w:rFonts w:ascii="Times New Roman"/>
                        <w:spacing w:val="-8"/>
                        <w:sz w:val="19"/>
                        <w:vertAlign w:val="baseline"/>
                      </w:rPr>
                      <w:t> </w:t>
                    </w:r>
                    <w:r>
                      <w:rPr>
                        <w:rFonts w:ascii="Times New Roman"/>
                        <w:i/>
                        <w:spacing w:val="-4"/>
                        <w:sz w:val="19"/>
                        <w:vertAlign w:val="baseline"/>
                      </w:rPr>
                      <w:t>Ibid</w:t>
                    </w:r>
                  </w:p>
                  <w:p>
                    <w:pPr>
                      <w:spacing w:line="217" w:lineRule="exact" w:before="0"/>
                      <w:ind w:left="20" w:right="0" w:firstLine="0"/>
                      <w:jc w:val="left"/>
                      <w:rPr>
                        <w:rFonts w:ascii="Times New Roman"/>
                        <w:i/>
                        <w:sz w:val="19"/>
                      </w:rPr>
                    </w:pPr>
                    <w:r>
                      <w:rPr>
                        <w:rFonts w:ascii="Times New Roman"/>
                        <w:sz w:val="19"/>
                        <w:vertAlign w:val="superscript"/>
                      </w:rPr>
                      <w:t>320</w:t>
                    </w:r>
                    <w:r>
                      <w:rPr>
                        <w:rFonts w:ascii="Times New Roman"/>
                        <w:spacing w:val="11"/>
                        <w:sz w:val="19"/>
                        <w:vertAlign w:val="baseline"/>
                      </w:rPr>
                      <w:t> </w:t>
                    </w:r>
                    <w:r>
                      <w:rPr>
                        <w:rFonts w:ascii="Times New Roman"/>
                        <w:i/>
                        <w:spacing w:val="-4"/>
                        <w:sz w:val="19"/>
                        <w:vertAlign w:val="baseline"/>
                      </w:rPr>
                      <w:t>Ibid</w:t>
                    </w:r>
                  </w:p>
                </w:txbxContent>
              </v:textbox>
              <w10:wrap type="none"/>
            </v:shape>
          </w:pict>
        </mc:Fallback>
      </mc:AlternateContent>
    </w:r>
    <w:r>
      <w:rPr/>
      <mc:AlternateContent>
        <mc:Choice Requires="wps">
          <w:drawing>
            <wp:anchor distT="0" distB="0" distL="0" distR="0" allowOverlap="1" layoutInCell="1" locked="0" behindDoc="1" simplePos="0" relativeHeight="486159872">
              <wp:simplePos x="0" y="0"/>
              <wp:positionH relativeFrom="page">
                <wp:posOffset>3735323</wp:posOffset>
              </wp:positionH>
              <wp:positionV relativeFrom="page">
                <wp:posOffset>9277962</wp:posOffset>
              </wp:positionV>
              <wp:extent cx="304165" cy="184150"/>
              <wp:effectExtent l="0" t="0" r="0" b="0"/>
              <wp:wrapNone/>
              <wp:docPr id="126" name="Textbox 126"/>
              <wp:cNvGraphicFramePr>
                <a:graphicFrameLocks/>
              </wp:cNvGraphicFramePr>
              <a:graphic>
                <a:graphicData uri="http://schemas.microsoft.com/office/word/2010/wordprocessingShape">
                  <wps:wsp>
                    <wps:cNvPr id="126" name="Textbox 126"/>
                    <wps:cNvSpPr txBox="1"/>
                    <wps:spPr>
                      <a:xfrm>
                        <a:off x="0" y="0"/>
                        <a:ext cx="304165"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103</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4.119995pt;margin-top:730.548218pt;width:23.95pt;height:14.5pt;mso-position-horizontal-relative:page;mso-position-vertical-relative:page;z-index:-17156608" type="#_x0000_t202" id="docshape126"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103</w:t>
                    </w:r>
                    <w:r>
                      <w:rPr>
                        <w:rFonts w:ascii="Times New Roman"/>
                        <w:spacing w:val="-5"/>
                        <w:sz w:val="22"/>
                      </w:rPr>
                      <w:fldChar w:fldCharType="end"/>
                    </w:r>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60384">
              <wp:simplePos x="0" y="0"/>
              <wp:positionH relativeFrom="page">
                <wp:posOffset>1172972</wp:posOffset>
              </wp:positionH>
              <wp:positionV relativeFrom="page">
                <wp:posOffset>8062621</wp:posOffset>
              </wp:positionV>
              <wp:extent cx="5407025" cy="1399540"/>
              <wp:effectExtent l="0" t="0" r="0" b="0"/>
              <wp:wrapNone/>
              <wp:docPr id="129" name="Textbox 129"/>
              <wp:cNvGraphicFramePr>
                <a:graphicFrameLocks/>
              </wp:cNvGraphicFramePr>
              <a:graphic>
                <a:graphicData uri="http://schemas.microsoft.com/office/word/2010/wordprocessingShape">
                  <wps:wsp>
                    <wps:cNvPr id="129" name="Textbox 129"/>
                    <wps:cNvSpPr txBox="1"/>
                    <wps:spPr>
                      <a:xfrm>
                        <a:off x="0" y="0"/>
                        <a:ext cx="5407025" cy="1399540"/>
                      </a:xfrm>
                      <a:prstGeom prst="rect">
                        <a:avLst/>
                      </a:prstGeom>
                    </wps:spPr>
                    <wps:txbx>
                      <w:txbxContent>
                        <w:p>
                          <w:pPr>
                            <w:spacing w:line="217" w:lineRule="exact" w:before="32"/>
                            <w:ind w:left="20"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20"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3"/>
                            <w:ind w:left="20"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20"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20"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0"/>
                            <w:ind w:left="20" w:right="0"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before="166"/>
                            <w:ind w:left="14" w:right="0" w:firstLine="0"/>
                            <w:jc w:val="center"/>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105</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92.360001pt;margin-top:634.852051pt;width:425.75pt;height:110.2pt;mso-position-horizontal-relative:page;mso-position-vertical-relative:page;z-index:-17156096" type="#_x0000_t202" id="docshape129" filled="false" stroked="false">
              <v:textbox inset="0,0,0,0">
                <w:txbxContent>
                  <w:p>
                    <w:pPr>
                      <w:spacing w:line="217" w:lineRule="exact" w:before="32"/>
                      <w:ind w:left="20" w:right="0" w:firstLine="0"/>
                      <w:jc w:val="left"/>
                      <w:rPr>
                        <w:rFonts w:ascii="Times New Roman"/>
                        <w:i/>
                        <w:sz w:val="19"/>
                      </w:rPr>
                    </w:pPr>
                    <w:r>
                      <w:rPr>
                        <w:rFonts w:ascii="Times New Roman"/>
                        <w:sz w:val="19"/>
                        <w:vertAlign w:val="superscript"/>
                      </w:rPr>
                      <w:t>323</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5(1)</w:t>
                    </w:r>
                    <w:r>
                      <w:rPr>
                        <w:rFonts w:ascii="Times New Roman"/>
                        <w:spacing w:val="-8"/>
                        <w:sz w:val="19"/>
                        <w:vertAlign w:val="baseline"/>
                      </w:rPr>
                      <w:t> </w:t>
                    </w:r>
                    <w:r>
                      <w:rPr>
                        <w:rFonts w:ascii="Times New Roman"/>
                        <w:i/>
                        <w:spacing w:val="-4"/>
                        <w:sz w:val="19"/>
                        <w:vertAlign w:val="baseline"/>
                      </w:rPr>
                      <w:t>ibid</w:t>
                    </w:r>
                  </w:p>
                  <w:p>
                    <w:pPr>
                      <w:spacing w:line="217" w:lineRule="exact" w:before="0"/>
                      <w:ind w:left="20" w:right="0" w:firstLine="0"/>
                      <w:jc w:val="left"/>
                      <w:rPr>
                        <w:rFonts w:ascii="Times New Roman"/>
                        <w:i/>
                        <w:sz w:val="19"/>
                      </w:rPr>
                    </w:pPr>
                    <w:r>
                      <w:rPr>
                        <w:rFonts w:ascii="Times New Roman"/>
                        <w:sz w:val="19"/>
                        <w:vertAlign w:val="superscript"/>
                      </w:rPr>
                      <w:t>324</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5(2)</w:t>
                    </w:r>
                    <w:r>
                      <w:rPr>
                        <w:rFonts w:ascii="Times New Roman"/>
                        <w:spacing w:val="-8"/>
                        <w:sz w:val="19"/>
                        <w:vertAlign w:val="baseline"/>
                      </w:rPr>
                      <w:t> </w:t>
                    </w:r>
                    <w:r>
                      <w:rPr>
                        <w:rFonts w:ascii="Times New Roman"/>
                        <w:i/>
                        <w:spacing w:val="-4"/>
                        <w:sz w:val="19"/>
                        <w:vertAlign w:val="baseline"/>
                      </w:rPr>
                      <w:t>ibid</w:t>
                    </w:r>
                  </w:p>
                  <w:p>
                    <w:pPr>
                      <w:spacing w:line="217" w:lineRule="exact" w:before="3"/>
                      <w:ind w:left="20" w:right="0" w:firstLine="0"/>
                      <w:jc w:val="left"/>
                      <w:rPr>
                        <w:rFonts w:ascii="Times New Roman"/>
                        <w:sz w:val="19"/>
                      </w:rPr>
                    </w:pPr>
                    <w:r>
                      <w:rPr>
                        <w:rFonts w:ascii="Times New Roman"/>
                        <w:sz w:val="19"/>
                        <w:vertAlign w:val="superscript"/>
                      </w:rPr>
                      <w:t>325</w:t>
                    </w:r>
                    <w:r>
                      <w:rPr>
                        <w:rFonts w:ascii="Times New Roman"/>
                        <w:spacing w:val="-2"/>
                        <w:sz w:val="19"/>
                        <w:vertAlign w:val="baseline"/>
                      </w:rPr>
                      <w:t> </w:t>
                    </w:r>
                    <w:r>
                      <w:rPr>
                        <w:rFonts w:ascii="Times New Roman"/>
                        <w:sz w:val="19"/>
                        <w:vertAlign w:val="baseline"/>
                      </w:rPr>
                      <w:t>See</w:t>
                    </w:r>
                    <w:r>
                      <w:rPr>
                        <w:rFonts w:ascii="Times New Roman"/>
                        <w:spacing w:val="-5"/>
                        <w:sz w:val="19"/>
                        <w:vertAlign w:val="baseline"/>
                      </w:rPr>
                      <w:t> </w:t>
                    </w:r>
                    <w:r>
                      <w:rPr>
                        <w:rFonts w:ascii="Times New Roman"/>
                        <w:sz w:val="19"/>
                        <w:vertAlign w:val="baseline"/>
                      </w:rPr>
                      <w:t>Appendices</w:t>
                    </w:r>
                    <w:r>
                      <w:rPr>
                        <w:rFonts w:ascii="Times New Roman"/>
                        <w:spacing w:val="-8"/>
                        <w:sz w:val="19"/>
                        <w:vertAlign w:val="baseline"/>
                      </w:rPr>
                      <w:t> </w:t>
                    </w:r>
                    <w:r>
                      <w:rPr>
                        <w:rFonts w:ascii="Times New Roman"/>
                        <w:sz w:val="19"/>
                        <w:vertAlign w:val="baseline"/>
                      </w:rPr>
                      <w:t>1,2,3,</w:t>
                    </w:r>
                    <w:r>
                      <w:rPr>
                        <w:rFonts w:ascii="Times New Roman"/>
                        <w:spacing w:val="-7"/>
                        <w:sz w:val="19"/>
                        <w:vertAlign w:val="baseline"/>
                      </w:rPr>
                      <w:t> </w:t>
                    </w:r>
                    <w:r>
                      <w:rPr>
                        <w:rFonts w:ascii="Times New Roman"/>
                        <w:sz w:val="19"/>
                        <w:vertAlign w:val="baseline"/>
                      </w:rPr>
                      <w:t>and</w:t>
                    </w:r>
                    <w:r>
                      <w:rPr>
                        <w:rFonts w:ascii="Times New Roman"/>
                        <w:spacing w:val="-6"/>
                        <w:sz w:val="19"/>
                        <w:vertAlign w:val="baseline"/>
                      </w:rPr>
                      <w:t> </w:t>
                    </w:r>
                    <w:r>
                      <w:rPr>
                        <w:rFonts w:ascii="Times New Roman"/>
                        <w:sz w:val="19"/>
                        <w:vertAlign w:val="baseline"/>
                      </w:rPr>
                      <w:t>4</w:t>
                    </w:r>
                    <w:r>
                      <w:rPr>
                        <w:rFonts w:ascii="Times New Roman"/>
                        <w:spacing w:val="-9"/>
                        <w:sz w:val="19"/>
                        <w:vertAlign w:val="baseline"/>
                      </w:rPr>
                      <w:t> </w:t>
                    </w:r>
                    <w:r>
                      <w:rPr>
                        <w:rFonts w:ascii="Times New Roman"/>
                        <w:sz w:val="19"/>
                        <w:vertAlign w:val="baseline"/>
                      </w:rPr>
                      <w:t>for</w:t>
                    </w:r>
                    <w:r>
                      <w:rPr>
                        <w:rFonts w:ascii="Times New Roman"/>
                        <w:spacing w:val="-4"/>
                        <w:sz w:val="19"/>
                        <w:vertAlign w:val="baseline"/>
                      </w:rPr>
                      <w:t> </w:t>
                    </w:r>
                    <w:r>
                      <w:rPr>
                        <w:rFonts w:ascii="Times New Roman"/>
                        <w:spacing w:val="-2"/>
                        <w:sz w:val="19"/>
                        <w:vertAlign w:val="baseline"/>
                      </w:rPr>
                      <w:t>samples</w:t>
                    </w:r>
                  </w:p>
                  <w:p>
                    <w:pPr>
                      <w:spacing w:line="214" w:lineRule="exact" w:before="0"/>
                      <w:ind w:left="20" w:right="0" w:firstLine="0"/>
                      <w:jc w:val="left"/>
                      <w:rPr>
                        <w:rFonts w:ascii="Times New Roman"/>
                        <w:i/>
                        <w:sz w:val="19"/>
                      </w:rPr>
                    </w:pPr>
                    <w:r>
                      <w:rPr>
                        <w:rFonts w:ascii="Times New Roman"/>
                        <w:sz w:val="19"/>
                        <w:vertAlign w:val="superscript"/>
                      </w:rPr>
                      <w:t>326</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5(3)</w:t>
                    </w:r>
                    <w:r>
                      <w:rPr>
                        <w:rFonts w:ascii="Times New Roman"/>
                        <w:spacing w:val="-8"/>
                        <w:sz w:val="19"/>
                        <w:vertAlign w:val="baseline"/>
                      </w:rPr>
                      <w:t> </w:t>
                    </w:r>
                    <w:r>
                      <w:rPr>
                        <w:rFonts w:ascii="Times New Roman"/>
                        <w:i/>
                        <w:spacing w:val="-4"/>
                        <w:sz w:val="19"/>
                        <w:vertAlign w:val="baseline"/>
                      </w:rPr>
                      <w:t>ibid</w:t>
                    </w:r>
                  </w:p>
                  <w:p>
                    <w:pPr>
                      <w:spacing w:line="214" w:lineRule="exact" w:before="0"/>
                      <w:ind w:left="20" w:right="0" w:firstLine="0"/>
                      <w:jc w:val="left"/>
                      <w:rPr>
                        <w:rFonts w:ascii="Times New Roman"/>
                        <w:i/>
                        <w:sz w:val="19"/>
                      </w:rPr>
                    </w:pPr>
                    <w:r>
                      <w:rPr>
                        <w:rFonts w:ascii="Times New Roman"/>
                        <w:sz w:val="19"/>
                        <w:vertAlign w:val="superscript"/>
                      </w:rPr>
                      <w:t>327</w:t>
                    </w:r>
                    <w:r>
                      <w:rPr>
                        <w:rFonts w:ascii="Times New Roman"/>
                        <w:spacing w:val="-3"/>
                        <w:sz w:val="19"/>
                        <w:vertAlign w:val="baseline"/>
                      </w:rPr>
                      <w:t> </w:t>
                    </w:r>
                    <w:r>
                      <w:rPr>
                        <w:rFonts w:ascii="Times New Roman"/>
                        <w:sz w:val="19"/>
                        <w:vertAlign w:val="baseline"/>
                      </w:rPr>
                      <w:t>Section</w:t>
                    </w:r>
                    <w:r>
                      <w:rPr>
                        <w:rFonts w:ascii="Times New Roman"/>
                        <w:spacing w:val="-2"/>
                        <w:sz w:val="19"/>
                        <w:vertAlign w:val="baseline"/>
                      </w:rPr>
                      <w:t> </w:t>
                    </w:r>
                    <w:r>
                      <w:rPr>
                        <w:rFonts w:ascii="Times New Roman"/>
                        <w:sz w:val="19"/>
                        <w:vertAlign w:val="baseline"/>
                      </w:rPr>
                      <w:t>5(4)</w:t>
                    </w:r>
                    <w:r>
                      <w:rPr>
                        <w:rFonts w:ascii="Times New Roman"/>
                        <w:spacing w:val="-8"/>
                        <w:sz w:val="19"/>
                        <w:vertAlign w:val="baseline"/>
                      </w:rPr>
                      <w:t> </w:t>
                    </w:r>
                    <w:r>
                      <w:rPr>
                        <w:rFonts w:ascii="Times New Roman"/>
                        <w:i/>
                        <w:spacing w:val="-4"/>
                        <w:sz w:val="19"/>
                        <w:vertAlign w:val="baseline"/>
                      </w:rPr>
                      <w:t>ibid</w:t>
                    </w:r>
                  </w:p>
                  <w:p>
                    <w:pPr>
                      <w:spacing w:line="237" w:lineRule="auto" w:before="0"/>
                      <w:ind w:left="20" w:right="0"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before="166"/>
                      <w:ind w:left="14" w:right="0" w:firstLine="0"/>
                      <w:jc w:val="center"/>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105</w:t>
                    </w:r>
                    <w:r>
                      <w:rPr>
                        <w:rFonts w:ascii="Times New Roman"/>
                        <w:spacing w:val="-5"/>
                        <w:sz w:val="22"/>
                      </w:rPr>
                      <w:fldChar w:fldCharType="end"/>
                    </w:r>
                  </w:p>
                </w:txbxContent>
              </v:textbox>
              <w10:wrap type="none"/>
            </v:shape>
          </w:pict>
        </mc:Fallback>
      </mc:AlternateContent>
    </w: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60896">
              <wp:simplePos x="0" y="0"/>
              <wp:positionH relativeFrom="page">
                <wp:posOffset>1172972</wp:posOffset>
              </wp:positionH>
              <wp:positionV relativeFrom="page">
                <wp:posOffset>8745373</wp:posOffset>
              </wp:positionV>
              <wp:extent cx="5407025" cy="716915"/>
              <wp:effectExtent l="0" t="0" r="0" b="0"/>
              <wp:wrapNone/>
              <wp:docPr id="132" name="Textbox 132"/>
              <wp:cNvGraphicFramePr>
                <a:graphicFrameLocks/>
              </wp:cNvGraphicFramePr>
              <a:graphic>
                <a:graphicData uri="http://schemas.microsoft.com/office/word/2010/wordprocessingShape">
                  <wps:wsp>
                    <wps:cNvPr id="132" name="Textbox 132"/>
                    <wps:cNvSpPr txBox="1"/>
                    <wps:spPr>
                      <a:xfrm>
                        <a:off x="0" y="0"/>
                        <a:ext cx="5407025" cy="716915"/>
                      </a:xfrm>
                      <a:prstGeom prst="rect">
                        <a:avLst/>
                      </a:prstGeom>
                    </wps:spPr>
                    <wps:txbx>
                      <w:txbxContent>
                        <w:p>
                          <w:pPr>
                            <w:spacing w:line="237" w:lineRule="auto" w:before="39"/>
                            <w:ind w:left="20" w:right="0"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before="166"/>
                            <w:ind w:left="14" w:right="0" w:firstLine="0"/>
                            <w:jc w:val="center"/>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107</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92.360001pt;margin-top:688.612061pt;width:425.75pt;height:56.45pt;mso-position-horizontal-relative:page;mso-position-vertical-relative:page;z-index:-17155584" type="#_x0000_t202" id="docshape132" filled="false" stroked="false">
              <v:textbox inset="0,0,0,0">
                <w:txbxContent>
                  <w:p>
                    <w:pPr>
                      <w:spacing w:line="237" w:lineRule="auto" w:before="39"/>
                      <w:ind w:left="20" w:right="0" w:firstLine="0"/>
                      <w:jc w:val="left"/>
                      <w:rPr>
                        <w:rFonts w:ascii="Times New Roman"/>
                        <w:sz w:val="19"/>
                      </w:rPr>
                    </w:pPr>
                    <w:r>
                      <w:rPr>
                        <w:rFonts w:ascii="Times New Roman"/>
                        <w:sz w:val="19"/>
                        <w:vertAlign w:val="superscript"/>
                      </w:rPr>
                      <w:t>328</w:t>
                    </w:r>
                    <w:r>
                      <w:rPr>
                        <w:rFonts w:ascii="Times New Roman"/>
                        <w:spacing w:val="-1"/>
                        <w:sz w:val="19"/>
                        <w:vertAlign w:val="baseline"/>
                      </w:rPr>
                      <w:t> </w:t>
                    </w:r>
                    <w:r>
                      <w:rPr>
                        <w:rFonts w:ascii="Times New Roman"/>
                        <w:i/>
                        <w:sz w:val="19"/>
                        <w:vertAlign w:val="baseline"/>
                      </w:rPr>
                      <w:t>Ibid</w:t>
                    </w:r>
                    <w:r>
                      <w:rPr>
                        <w:rFonts w:ascii="Times New Roman"/>
                        <w:sz w:val="19"/>
                        <w:vertAlign w:val="baseline"/>
                      </w:rPr>
                      <w:t>.</w:t>
                    </w:r>
                    <w:r>
                      <w:rPr>
                        <w:rFonts w:ascii="Times New Roman"/>
                        <w:spacing w:val="-3"/>
                        <w:sz w:val="19"/>
                        <w:vertAlign w:val="baseline"/>
                      </w:rPr>
                      <w:t> </w:t>
                    </w:r>
                    <w:r>
                      <w:rPr>
                        <w:rFonts w:ascii="Times New Roman"/>
                        <w:sz w:val="19"/>
                        <w:vertAlign w:val="baseline"/>
                      </w:rPr>
                      <w:t>See</w:t>
                    </w:r>
                    <w:r>
                      <w:rPr>
                        <w:rFonts w:ascii="Times New Roman"/>
                        <w:spacing w:val="-6"/>
                        <w:sz w:val="19"/>
                        <w:vertAlign w:val="baseline"/>
                      </w:rPr>
                      <w:t> </w:t>
                    </w:r>
                    <w:r>
                      <w:rPr>
                        <w:rFonts w:ascii="Times New Roman"/>
                        <w:sz w:val="19"/>
                        <w:vertAlign w:val="baseline"/>
                      </w:rPr>
                      <w:t>also</w:t>
                    </w:r>
                    <w:r>
                      <w:rPr>
                        <w:rFonts w:ascii="Times New Roman"/>
                        <w:spacing w:val="-7"/>
                        <w:sz w:val="19"/>
                        <w:vertAlign w:val="baseline"/>
                      </w:rPr>
                      <w:t> </w:t>
                    </w:r>
                    <w:hyperlink r:id="rId1">
                      <w:r>
                        <w:rPr>
                          <w:rFonts w:ascii="Times New Roman"/>
                          <w:i/>
                          <w:color w:val="0000FF"/>
                          <w:sz w:val="19"/>
                          <w:u w:val="single" w:color="0000FF"/>
                          <w:vertAlign w:val="baseline"/>
                        </w:rPr>
                        <w:t>www.nsitf.net</w:t>
                      </w:r>
                    </w:hyperlink>
                    <w:r>
                      <w:rPr>
                        <w:rFonts w:ascii="Times New Roman"/>
                        <w:i/>
                        <w:color w:val="0000FF"/>
                        <w:spacing w:val="-4"/>
                        <w:sz w:val="19"/>
                        <w:vertAlign w:val="baseline"/>
                      </w:rPr>
                      <w:t> </w:t>
                    </w:r>
                    <w:r>
                      <w:rPr>
                        <w:rFonts w:ascii="Times New Roman"/>
                        <w:sz w:val="19"/>
                        <w:vertAlign w:val="baseline"/>
                      </w:rPr>
                      <w:t>where</w:t>
                    </w:r>
                    <w:r>
                      <w:rPr>
                        <w:rFonts w:ascii="Times New Roman"/>
                        <w:spacing w:val="-6"/>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Board</w:t>
                    </w:r>
                    <w:r>
                      <w:rPr>
                        <w:rFonts w:ascii="Times New Roman"/>
                        <w:spacing w:val="-12"/>
                        <w:sz w:val="19"/>
                        <w:vertAlign w:val="baseline"/>
                      </w:rPr>
                      <w:t> </w:t>
                    </w:r>
                    <w:r>
                      <w:rPr>
                        <w:rFonts w:ascii="Times New Roman"/>
                        <w:sz w:val="19"/>
                        <w:vertAlign w:val="baseline"/>
                      </w:rPr>
                      <w:t>has</w:t>
                    </w:r>
                    <w:r>
                      <w:rPr>
                        <w:rFonts w:ascii="Times New Roman"/>
                        <w:spacing w:val="-12"/>
                        <w:sz w:val="19"/>
                        <w:vertAlign w:val="baseline"/>
                      </w:rPr>
                      <w:t> </w:t>
                    </w:r>
                    <w:r>
                      <w:rPr>
                        <w:rFonts w:ascii="Times New Roman"/>
                        <w:sz w:val="19"/>
                        <w:vertAlign w:val="baseline"/>
                      </w:rPr>
                      <w:t>released a</w:t>
                    </w:r>
                    <w:r>
                      <w:rPr>
                        <w:rFonts w:ascii="Times New Roman"/>
                        <w:spacing w:val="-11"/>
                        <w:sz w:val="19"/>
                        <w:vertAlign w:val="baseline"/>
                      </w:rPr>
                      <w:t> </w:t>
                    </w:r>
                    <w:r>
                      <w:rPr>
                        <w:rFonts w:ascii="Times New Roman"/>
                        <w:sz w:val="19"/>
                        <w:vertAlign w:val="baseline"/>
                      </w:rPr>
                      <w:t>secular</w:t>
                    </w:r>
                    <w:r>
                      <w:rPr>
                        <w:rFonts w:ascii="Times New Roman"/>
                        <w:spacing w:val="-5"/>
                        <w:sz w:val="19"/>
                        <w:vertAlign w:val="baseline"/>
                      </w:rPr>
                      <w:t> </w:t>
                    </w:r>
                    <w:r>
                      <w:rPr>
                        <w:rFonts w:ascii="Times New Roman"/>
                        <w:sz w:val="19"/>
                        <w:vertAlign w:val="baseline"/>
                      </w:rPr>
                      <w:t>as</w:t>
                    </w:r>
                    <w:r>
                      <w:rPr>
                        <w:rFonts w:ascii="Times New Roman"/>
                        <w:spacing w:val="-10"/>
                        <w:sz w:val="19"/>
                        <w:vertAlign w:val="baseline"/>
                      </w:rPr>
                      <w:t> </w:t>
                    </w:r>
                    <w:r>
                      <w:rPr>
                        <w:rFonts w:ascii="Times New Roman"/>
                        <w:sz w:val="19"/>
                        <w:vertAlign w:val="baseline"/>
                      </w:rPr>
                      <w:t>empowered</w:t>
                    </w:r>
                    <w:r>
                      <w:rPr>
                        <w:rFonts w:ascii="Times New Roman"/>
                        <w:spacing w:val="-3"/>
                        <w:sz w:val="19"/>
                        <w:vertAlign w:val="baseline"/>
                      </w:rPr>
                      <w:t> </w:t>
                    </w:r>
                    <w:r>
                      <w:rPr>
                        <w:rFonts w:ascii="Times New Roman"/>
                        <w:sz w:val="19"/>
                        <w:vertAlign w:val="baseline"/>
                      </w:rPr>
                      <w:t>by</w:t>
                    </w:r>
                    <w:r>
                      <w:rPr>
                        <w:rFonts w:ascii="Times New Roman"/>
                        <w:spacing w:val="-12"/>
                        <w:sz w:val="19"/>
                        <w:vertAlign w:val="baseline"/>
                      </w:rPr>
                      <w:t> </w:t>
                    </w:r>
                    <w:r>
                      <w:rPr>
                        <w:rFonts w:ascii="Times New Roman"/>
                        <w:sz w:val="19"/>
                        <w:vertAlign w:val="baseline"/>
                      </w:rPr>
                      <w:t>the</w:t>
                    </w:r>
                    <w:r>
                      <w:rPr>
                        <w:rFonts w:ascii="Times New Roman"/>
                        <w:spacing w:val="-6"/>
                        <w:sz w:val="19"/>
                        <w:vertAlign w:val="baseline"/>
                      </w:rPr>
                      <w:t> </w:t>
                    </w:r>
                    <w:r>
                      <w:rPr>
                        <w:rFonts w:ascii="Times New Roman"/>
                        <w:sz w:val="19"/>
                        <w:vertAlign w:val="baseline"/>
                      </w:rPr>
                      <w:t>said</w:t>
                    </w:r>
                    <w:r>
                      <w:rPr>
                        <w:rFonts w:ascii="Times New Roman"/>
                        <w:spacing w:val="-7"/>
                        <w:sz w:val="19"/>
                        <w:vertAlign w:val="baseline"/>
                      </w:rPr>
                      <w:t> </w:t>
                    </w:r>
                    <w:r>
                      <w:rPr>
                        <w:rFonts w:ascii="Times New Roman"/>
                        <w:sz w:val="19"/>
                        <w:vertAlign w:val="baseline"/>
                      </w:rPr>
                      <w:t>section</w:t>
                    </w:r>
                    <w:r>
                      <w:rPr>
                        <w:rFonts w:ascii="Times New Roman"/>
                        <w:spacing w:val="-3"/>
                        <w:sz w:val="19"/>
                        <w:vertAlign w:val="baseline"/>
                      </w:rPr>
                      <w:t> </w:t>
                    </w:r>
                    <w:r>
                      <w:rPr>
                        <w:rFonts w:ascii="Times New Roman"/>
                        <w:sz w:val="19"/>
                        <w:vertAlign w:val="baseline"/>
                      </w:rPr>
                      <w:t>5</w:t>
                    </w:r>
                    <w:r>
                      <w:rPr>
                        <w:rFonts w:ascii="Times New Roman"/>
                        <w:spacing w:val="-3"/>
                        <w:sz w:val="19"/>
                        <w:vertAlign w:val="baseline"/>
                      </w:rPr>
                      <w:t> </w:t>
                    </w:r>
                    <w:r>
                      <w:rPr>
                        <w:rFonts w:ascii="Times New Roman"/>
                        <w:sz w:val="19"/>
                        <w:vertAlign w:val="baseline"/>
                      </w:rPr>
                      <w:t>of</w:t>
                    </w:r>
                    <w:r>
                      <w:rPr>
                        <w:rFonts w:ascii="Times New Roman"/>
                        <w:spacing w:val="-9"/>
                        <w:sz w:val="19"/>
                        <w:vertAlign w:val="baseline"/>
                      </w:rPr>
                      <w:t> </w:t>
                    </w:r>
                    <w:r>
                      <w:rPr>
                        <w:rFonts w:ascii="Times New Roman"/>
                        <w:sz w:val="19"/>
                        <w:vertAlign w:val="baseline"/>
                      </w:rPr>
                      <w:t>the Act disclosing that such reports are to be addressed to the</w:t>
                    </w:r>
                    <w:r>
                      <w:rPr>
                        <w:rFonts w:ascii="Times New Roman"/>
                        <w:spacing w:val="-10"/>
                        <w:sz w:val="19"/>
                        <w:vertAlign w:val="baseline"/>
                      </w:rPr>
                      <w:t> </w:t>
                    </w:r>
                    <w:r>
                      <w:rPr>
                        <w:rFonts w:ascii="Times New Roman"/>
                        <w:sz w:val="19"/>
                        <w:vertAlign w:val="baseline"/>
                      </w:rPr>
                      <w:t>nearest office of</w:t>
                    </w:r>
                    <w:r>
                      <w:rPr>
                        <w:rFonts w:ascii="Times New Roman"/>
                        <w:spacing w:val="-2"/>
                        <w:sz w:val="19"/>
                        <w:vertAlign w:val="baseline"/>
                      </w:rPr>
                      <w:t> </w:t>
                    </w:r>
                    <w:r>
                      <w:rPr>
                        <w:rFonts w:ascii="Times New Roman"/>
                        <w:sz w:val="19"/>
                        <w:vertAlign w:val="baseline"/>
                      </w:rPr>
                      <w:t>the Board.There</w:t>
                    </w:r>
                    <w:r>
                      <w:rPr>
                        <w:rFonts w:ascii="Times New Roman"/>
                        <w:spacing w:val="-5"/>
                        <w:sz w:val="19"/>
                        <w:vertAlign w:val="baseline"/>
                      </w:rPr>
                      <w:t> </w:t>
                    </w:r>
                    <w:r>
                      <w:rPr>
                        <w:rFonts w:ascii="Times New Roman"/>
                        <w:sz w:val="19"/>
                        <w:vertAlign w:val="baseline"/>
                      </w:rPr>
                      <w:t>are now branch offices of the Board in almost all the states of the Federation.</w:t>
                    </w:r>
                  </w:p>
                  <w:p>
                    <w:pPr>
                      <w:spacing w:before="166"/>
                      <w:ind w:left="14" w:right="0" w:firstLine="0"/>
                      <w:jc w:val="center"/>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107</w:t>
                    </w:r>
                    <w:r>
                      <w:rPr>
                        <w:rFonts w:ascii="Times New Roman"/>
                        <w:spacing w:val="-5"/>
                        <w:sz w:val="22"/>
                      </w:rPr>
                      <w:fldChar w:fldCharType="end"/>
                    </w:r>
                  </w:p>
                </w:txbxContent>
              </v:textbox>
              <w10:wrap type="none"/>
            </v:shape>
          </w:pict>
        </mc:Fallback>
      </mc:AlternateContent>
    </w: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61408">
              <wp:simplePos x="0" y="0"/>
              <wp:positionH relativeFrom="page">
                <wp:posOffset>3735323</wp:posOffset>
              </wp:positionH>
              <wp:positionV relativeFrom="page">
                <wp:posOffset>9277962</wp:posOffset>
              </wp:positionV>
              <wp:extent cx="304165" cy="184150"/>
              <wp:effectExtent l="0" t="0" r="0" b="0"/>
              <wp:wrapNone/>
              <wp:docPr id="134" name="Textbox 134"/>
              <wp:cNvGraphicFramePr>
                <a:graphicFrameLocks/>
              </wp:cNvGraphicFramePr>
              <a:graphic>
                <a:graphicData uri="http://schemas.microsoft.com/office/word/2010/wordprocessingShape">
                  <wps:wsp>
                    <wps:cNvPr id="134" name="Textbox 134"/>
                    <wps:cNvSpPr txBox="1"/>
                    <wps:spPr>
                      <a:xfrm>
                        <a:off x="0" y="0"/>
                        <a:ext cx="304165"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108</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4.119995pt;margin-top:730.548218pt;width:23.95pt;height:14.5pt;mso-position-horizontal-relative:page;mso-position-vertical-relative:page;z-index:-17155072" type="#_x0000_t202" id="docshape134"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108</w:t>
                    </w:r>
                    <w:r>
                      <w:rPr>
                        <w:rFonts w:ascii="Times New Roman"/>
                        <w:spacing w:val="-5"/>
                        <w:sz w:val="22"/>
                      </w:rPr>
                      <w:fldChar w:fldCharType="end"/>
                    </w:r>
                  </w:p>
                </w:txbxContent>
              </v:textbox>
              <w10:wrap type="none"/>
            </v:shape>
          </w:pict>
        </mc:Fallback>
      </mc:AlternateContent>
    </w: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161920">
              <wp:simplePos x="0" y="0"/>
              <wp:positionH relativeFrom="page">
                <wp:posOffset>3735323</wp:posOffset>
              </wp:positionH>
              <wp:positionV relativeFrom="page">
                <wp:posOffset>9277962</wp:posOffset>
              </wp:positionV>
              <wp:extent cx="304165" cy="184150"/>
              <wp:effectExtent l="0" t="0" r="0" b="0"/>
              <wp:wrapNone/>
              <wp:docPr id="139" name="Textbox 139"/>
              <wp:cNvGraphicFramePr>
                <a:graphicFrameLocks/>
              </wp:cNvGraphicFramePr>
              <a:graphic>
                <a:graphicData uri="http://schemas.microsoft.com/office/word/2010/wordprocessingShape">
                  <wps:wsp>
                    <wps:cNvPr id="139" name="Textbox 139"/>
                    <wps:cNvSpPr txBox="1"/>
                    <wps:spPr>
                      <a:xfrm>
                        <a:off x="0" y="0"/>
                        <a:ext cx="304165" cy="184150"/>
                      </a:xfrm>
                      <a:prstGeom prst="rect">
                        <a:avLst/>
                      </a:prstGeom>
                    </wps:spPr>
                    <wps:txbx>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112</w:t>
                          </w:r>
                          <w:r>
                            <w:rPr>
                              <w:rFonts w:ascii="Times New Roman"/>
                              <w:spacing w:val="-5"/>
                              <w:sz w:val="22"/>
                            </w:rPr>
                            <w:fldChar w:fldCharType="end"/>
                          </w:r>
                        </w:p>
                      </w:txbxContent>
                    </wps:txbx>
                    <wps:bodyPr wrap="square" lIns="0" tIns="0" rIns="0" bIns="0" rtlCol="0">
                      <a:noAutofit/>
                    </wps:bodyPr>
                  </wps:wsp>
                </a:graphicData>
              </a:graphic>
            </wp:anchor>
          </w:drawing>
        </mc:Choice>
        <mc:Fallback>
          <w:pict>
            <v:shape style="position:absolute;margin-left:294.119995pt;margin-top:730.548218pt;width:23.95pt;height:14.5pt;mso-position-horizontal-relative:page;mso-position-vertical-relative:page;z-index:-17154560" type="#_x0000_t202" id="docshape139" filled="false" stroked="false">
              <v:textbox inset="0,0,0,0">
                <w:txbxContent>
                  <w:p>
                    <w:pPr>
                      <w:spacing w:before="15"/>
                      <w:ind w:left="60" w:right="0" w:firstLine="0"/>
                      <w:jc w:val="left"/>
                      <w:rPr>
                        <w:rFonts w:ascii="Times New Roman"/>
                        <w:sz w:val="22"/>
                      </w:rPr>
                    </w:pPr>
                    <w:r>
                      <w:rPr>
                        <w:rFonts w:ascii="Times New Roman"/>
                        <w:spacing w:val="-5"/>
                        <w:sz w:val="22"/>
                      </w:rPr>
                      <w:fldChar w:fldCharType="begin"/>
                    </w:r>
                    <w:r>
                      <w:rPr>
                        <w:rFonts w:ascii="Times New Roman"/>
                        <w:spacing w:val="-5"/>
                        <w:sz w:val="22"/>
                      </w:rPr>
                      <w:instrText> PAGE </w:instrText>
                    </w:r>
                    <w:r>
                      <w:rPr>
                        <w:rFonts w:ascii="Times New Roman"/>
                        <w:spacing w:val="-5"/>
                        <w:sz w:val="22"/>
                      </w:rPr>
                      <w:fldChar w:fldCharType="separate"/>
                    </w:r>
                    <w:r>
                      <w:rPr>
                        <w:rFonts w:ascii="Times New Roman"/>
                        <w:spacing w:val="-5"/>
                        <w:sz w:val="22"/>
                      </w:rPr>
                      <w:t>112</w:t>
                    </w:r>
                    <w:r>
                      <w:rPr>
                        <w:rFonts w:ascii="Times New Roman"/>
                        <w:spacing w:val="-5"/>
                        <w:sz w:val="22"/>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1"/>
      <w:numFmt w:val="decimal"/>
      <w:lvlText w:val="%1."/>
      <w:lvlJc w:val="left"/>
      <w:pPr>
        <w:ind w:left="1776" w:hanging="720"/>
        <w:jc w:val="left"/>
      </w:pPr>
      <w:rPr>
        <w:rFonts w:hint="default" w:ascii="Tahoma" w:hAnsi="Tahoma" w:eastAsia="Tahoma" w:cs="Tahoma"/>
        <w:b w:val="0"/>
        <w:bCs w:val="0"/>
        <w:i w:val="0"/>
        <w:iCs w:val="0"/>
        <w:spacing w:val="-2"/>
        <w:w w:val="99"/>
        <w:sz w:val="25"/>
        <w:szCs w:val="25"/>
        <w:lang w:val="en-US" w:eastAsia="en-US" w:bidi="ar-SA"/>
      </w:rPr>
    </w:lvl>
    <w:lvl w:ilvl="1">
      <w:start w:val="0"/>
      <w:numFmt w:val="bullet"/>
      <w:lvlText w:val="•"/>
      <w:lvlJc w:val="left"/>
      <w:pPr>
        <w:ind w:left="2526" w:hanging="720"/>
      </w:pPr>
      <w:rPr>
        <w:rFonts w:hint="default"/>
        <w:lang w:val="en-US" w:eastAsia="en-US" w:bidi="ar-SA"/>
      </w:rPr>
    </w:lvl>
    <w:lvl w:ilvl="2">
      <w:start w:val="0"/>
      <w:numFmt w:val="bullet"/>
      <w:lvlText w:val="•"/>
      <w:lvlJc w:val="left"/>
      <w:pPr>
        <w:ind w:left="3272" w:hanging="720"/>
      </w:pPr>
      <w:rPr>
        <w:rFonts w:hint="default"/>
        <w:lang w:val="en-US" w:eastAsia="en-US" w:bidi="ar-SA"/>
      </w:rPr>
    </w:lvl>
    <w:lvl w:ilvl="3">
      <w:start w:val="0"/>
      <w:numFmt w:val="bullet"/>
      <w:lvlText w:val="•"/>
      <w:lvlJc w:val="left"/>
      <w:pPr>
        <w:ind w:left="4018" w:hanging="720"/>
      </w:pPr>
      <w:rPr>
        <w:rFonts w:hint="default"/>
        <w:lang w:val="en-US" w:eastAsia="en-US" w:bidi="ar-SA"/>
      </w:rPr>
    </w:lvl>
    <w:lvl w:ilvl="4">
      <w:start w:val="0"/>
      <w:numFmt w:val="bullet"/>
      <w:lvlText w:val="•"/>
      <w:lvlJc w:val="left"/>
      <w:pPr>
        <w:ind w:left="4764" w:hanging="720"/>
      </w:pPr>
      <w:rPr>
        <w:rFonts w:hint="default"/>
        <w:lang w:val="en-US" w:eastAsia="en-US" w:bidi="ar-SA"/>
      </w:rPr>
    </w:lvl>
    <w:lvl w:ilvl="5">
      <w:start w:val="0"/>
      <w:numFmt w:val="bullet"/>
      <w:lvlText w:val="•"/>
      <w:lvlJc w:val="left"/>
      <w:pPr>
        <w:ind w:left="5510" w:hanging="720"/>
      </w:pPr>
      <w:rPr>
        <w:rFonts w:hint="default"/>
        <w:lang w:val="en-US" w:eastAsia="en-US" w:bidi="ar-SA"/>
      </w:rPr>
    </w:lvl>
    <w:lvl w:ilvl="6">
      <w:start w:val="0"/>
      <w:numFmt w:val="bullet"/>
      <w:lvlText w:val="•"/>
      <w:lvlJc w:val="left"/>
      <w:pPr>
        <w:ind w:left="6256" w:hanging="720"/>
      </w:pPr>
      <w:rPr>
        <w:rFonts w:hint="default"/>
        <w:lang w:val="en-US" w:eastAsia="en-US" w:bidi="ar-SA"/>
      </w:rPr>
    </w:lvl>
    <w:lvl w:ilvl="7">
      <w:start w:val="0"/>
      <w:numFmt w:val="bullet"/>
      <w:lvlText w:val="•"/>
      <w:lvlJc w:val="left"/>
      <w:pPr>
        <w:ind w:left="7002" w:hanging="720"/>
      </w:pPr>
      <w:rPr>
        <w:rFonts w:hint="default"/>
        <w:lang w:val="en-US" w:eastAsia="en-US" w:bidi="ar-SA"/>
      </w:rPr>
    </w:lvl>
    <w:lvl w:ilvl="8">
      <w:start w:val="0"/>
      <w:numFmt w:val="bullet"/>
      <w:lvlText w:val="•"/>
      <w:lvlJc w:val="left"/>
      <w:pPr>
        <w:ind w:left="7748" w:hanging="720"/>
      </w:pPr>
      <w:rPr>
        <w:rFonts w:hint="default"/>
        <w:lang w:val="en-US" w:eastAsia="en-US" w:bidi="ar-SA"/>
      </w:rPr>
    </w:lvl>
  </w:abstractNum>
  <w:abstractNum w:abstractNumId="22">
    <w:multiLevelType w:val="hybridMultilevel"/>
    <w:lvl w:ilvl="0">
      <w:start w:val="0"/>
      <w:numFmt w:val="bullet"/>
      <w:lvlText w:val="□"/>
      <w:lvlJc w:val="left"/>
      <w:pPr>
        <w:ind w:left="384" w:hanging="197"/>
      </w:pPr>
      <w:rPr>
        <w:rFonts w:hint="default" w:ascii="Times New Roman" w:hAnsi="Times New Roman" w:eastAsia="Times New Roman" w:cs="Times New Roman"/>
        <w:b w:val="0"/>
        <w:bCs w:val="0"/>
        <w:i w:val="0"/>
        <w:iCs w:val="0"/>
        <w:spacing w:val="0"/>
        <w:w w:val="128"/>
        <w:sz w:val="19"/>
        <w:szCs w:val="19"/>
        <w:lang w:val="en-US" w:eastAsia="en-US" w:bidi="ar-SA"/>
      </w:rPr>
    </w:lvl>
    <w:lvl w:ilvl="1">
      <w:start w:val="0"/>
      <w:numFmt w:val="bullet"/>
      <w:lvlText w:val="•"/>
      <w:lvlJc w:val="left"/>
      <w:pPr>
        <w:ind w:left="1266" w:hanging="197"/>
      </w:pPr>
      <w:rPr>
        <w:rFonts w:hint="default"/>
        <w:lang w:val="en-US" w:eastAsia="en-US" w:bidi="ar-SA"/>
      </w:rPr>
    </w:lvl>
    <w:lvl w:ilvl="2">
      <w:start w:val="0"/>
      <w:numFmt w:val="bullet"/>
      <w:lvlText w:val="•"/>
      <w:lvlJc w:val="left"/>
      <w:pPr>
        <w:ind w:left="2152" w:hanging="197"/>
      </w:pPr>
      <w:rPr>
        <w:rFonts w:hint="default"/>
        <w:lang w:val="en-US" w:eastAsia="en-US" w:bidi="ar-SA"/>
      </w:rPr>
    </w:lvl>
    <w:lvl w:ilvl="3">
      <w:start w:val="0"/>
      <w:numFmt w:val="bullet"/>
      <w:lvlText w:val="•"/>
      <w:lvlJc w:val="left"/>
      <w:pPr>
        <w:ind w:left="3038" w:hanging="197"/>
      </w:pPr>
      <w:rPr>
        <w:rFonts w:hint="default"/>
        <w:lang w:val="en-US" w:eastAsia="en-US" w:bidi="ar-SA"/>
      </w:rPr>
    </w:lvl>
    <w:lvl w:ilvl="4">
      <w:start w:val="0"/>
      <w:numFmt w:val="bullet"/>
      <w:lvlText w:val="•"/>
      <w:lvlJc w:val="left"/>
      <w:pPr>
        <w:ind w:left="3924" w:hanging="197"/>
      </w:pPr>
      <w:rPr>
        <w:rFonts w:hint="default"/>
        <w:lang w:val="en-US" w:eastAsia="en-US" w:bidi="ar-SA"/>
      </w:rPr>
    </w:lvl>
    <w:lvl w:ilvl="5">
      <w:start w:val="0"/>
      <w:numFmt w:val="bullet"/>
      <w:lvlText w:val="•"/>
      <w:lvlJc w:val="left"/>
      <w:pPr>
        <w:ind w:left="4810" w:hanging="197"/>
      </w:pPr>
      <w:rPr>
        <w:rFonts w:hint="default"/>
        <w:lang w:val="en-US" w:eastAsia="en-US" w:bidi="ar-SA"/>
      </w:rPr>
    </w:lvl>
    <w:lvl w:ilvl="6">
      <w:start w:val="0"/>
      <w:numFmt w:val="bullet"/>
      <w:lvlText w:val="•"/>
      <w:lvlJc w:val="left"/>
      <w:pPr>
        <w:ind w:left="5696" w:hanging="197"/>
      </w:pPr>
      <w:rPr>
        <w:rFonts w:hint="default"/>
        <w:lang w:val="en-US" w:eastAsia="en-US" w:bidi="ar-SA"/>
      </w:rPr>
    </w:lvl>
    <w:lvl w:ilvl="7">
      <w:start w:val="0"/>
      <w:numFmt w:val="bullet"/>
      <w:lvlText w:val="•"/>
      <w:lvlJc w:val="left"/>
      <w:pPr>
        <w:ind w:left="6582" w:hanging="197"/>
      </w:pPr>
      <w:rPr>
        <w:rFonts w:hint="default"/>
        <w:lang w:val="en-US" w:eastAsia="en-US" w:bidi="ar-SA"/>
      </w:rPr>
    </w:lvl>
    <w:lvl w:ilvl="8">
      <w:start w:val="0"/>
      <w:numFmt w:val="bullet"/>
      <w:lvlText w:val="•"/>
      <w:lvlJc w:val="left"/>
      <w:pPr>
        <w:ind w:left="7468" w:hanging="197"/>
      </w:pPr>
      <w:rPr>
        <w:rFonts w:hint="default"/>
        <w:lang w:val="en-US" w:eastAsia="en-US" w:bidi="ar-SA"/>
      </w:rPr>
    </w:lvl>
  </w:abstractNum>
  <w:abstractNum w:abstractNumId="21">
    <w:multiLevelType w:val="hybridMultilevel"/>
    <w:lvl w:ilvl="0">
      <w:start w:val="5"/>
      <w:numFmt w:val="decimal"/>
      <w:lvlText w:val="%1"/>
      <w:lvlJc w:val="left"/>
      <w:pPr>
        <w:ind w:left="864" w:hanging="677"/>
        <w:jc w:val="left"/>
      </w:pPr>
      <w:rPr>
        <w:rFonts w:hint="default"/>
        <w:lang w:val="en-US" w:eastAsia="en-US" w:bidi="ar-SA"/>
      </w:rPr>
    </w:lvl>
    <w:lvl w:ilvl="1">
      <w:start w:val="1"/>
      <w:numFmt w:val="decimal"/>
      <w:lvlText w:val="%1.%2"/>
      <w:lvlJc w:val="left"/>
      <w:pPr>
        <w:ind w:left="864" w:hanging="677"/>
        <w:jc w:val="left"/>
      </w:pPr>
      <w:rPr>
        <w:rFonts w:hint="default" w:ascii="Tahoma" w:hAnsi="Tahoma" w:eastAsia="Tahoma" w:cs="Tahoma"/>
        <w:b/>
        <w:bCs/>
        <w:i w:val="0"/>
        <w:iCs w:val="0"/>
        <w:spacing w:val="-2"/>
        <w:w w:val="101"/>
        <w:sz w:val="23"/>
        <w:szCs w:val="23"/>
        <w:lang w:val="en-US" w:eastAsia="en-US" w:bidi="ar-SA"/>
      </w:rPr>
    </w:lvl>
    <w:lvl w:ilvl="2">
      <w:start w:val="1"/>
      <w:numFmt w:val="decimal"/>
      <w:lvlText w:val="%3."/>
      <w:lvlJc w:val="left"/>
      <w:pPr>
        <w:ind w:left="1627" w:hanging="677"/>
        <w:jc w:val="right"/>
      </w:pPr>
      <w:rPr>
        <w:rFonts w:hint="default" w:ascii="Tahoma" w:hAnsi="Tahoma" w:eastAsia="Tahoma" w:cs="Tahoma"/>
        <w:b w:val="0"/>
        <w:bCs w:val="0"/>
        <w:i w:val="0"/>
        <w:iCs w:val="0"/>
        <w:spacing w:val="-4"/>
        <w:w w:val="101"/>
        <w:sz w:val="23"/>
        <w:szCs w:val="23"/>
        <w:lang w:val="en-US" w:eastAsia="en-US" w:bidi="ar-SA"/>
      </w:rPr>
    </w:lvl>
    <w:lvl w:ilvl="3">
      <w:start w:val="0"/>
      <w:numFmt w:val="bullet"/>
      <w:lvlText w:val="•"/>
      <w:lvlJc w:val="left"/>
      <w:pPr>
        <w:ind w:left="2572" w:hanging="677"/>
      </w:pPr>
      <w:rPr>
        <w:rFonts w:hint="default"/>
        <w:lang w:val="en-US" w:eastAsia="en-US" w:bidi="ar-SA"/>
      </w:rPr>
    </w:lvl>
    <w:lvl w:ilvl="4">
      <w:start w:val="0"/>
      <w:numFmt w:val="bullet"/>
      <w:lvlText w:val="•"/>
      <w:lvlJc w:val="left"/>
      <w:pPr>
        <w:ind w:left="3525" w:hanging="677"/>
      </w:pPr>
      <w:rPr>
        <w:rFonts w:hint="default"/>
        <w:lang w:val="en-US" w:eastAsia="en-US" w:bidi="ar-SA"/>
      </w:rPr>
    </w:lvl>
    <w:lvl w:ilvl="5">
      <w:start w:val="0"/>
      <w:numFmt w:val="bullet"/>
      <w:lvlText w:val="•"/>
      <w:lvlJc w:val="left"/>
      <w:pPr>
        <w:ind w:left="4477" w:hanging="677"/>
      </w:pPr>
      <w:rPr>
        <w:rFonts w:hint="default"/>
        <w:lang w:val="en-US" w:eastAsia="en-US" w:bidi="ar-SA"/>
      </w:rPr>
    </w:lvl>
    <w:lvl w:ilvl="6">
      <w:start w:val="0"/>
      <w:numFmt w:val="bullet"/>
      <w:lvlText w:val="•"/>
      <w:lvlJc w:val="left"/>
      <w:pPr>
        <w:ind w:left="5430" w:hanging="677"/>
      </w:pPr>
      <w:rPr>
        <w:rFonts w:hint="default"/>
        <w:lang w:val="en-US" w:eastAsia="en-US" w:bidi="ar-SA"/>
      </w:rPr>
    </w:lvl>
    <w:lvl w:ilvl="7">
      <w:start w:val="0"/>
      <w:numFmt w:val="bullet"/>
      <w:lvlText w:val="•"/>
      <w:lvlJc w:val="left"/>
      <w:pPr>
        <w:ind w:left="6382" w:hanging="677"/>
      </w:pPr>
      <w:rPr>
        <w:rFonts w:hint="default"/>
        <w:lang w:val="en-US" w:eastAsia="en-US" w:bidi="ar-SA"/>
      </w:rPr>
    </w:lvl>
    <w:lvl w:ilvl="8">
      <w:start w:val="0"/>
      <w:numFmt w:val="bullet"/>
      <w:lvlText w:val="•"/>
      <w:lvlJc w:val="left"/>
      <w:pPr>
        <w:ind w:left="7335" w:hanging="677"/>
      </w:pPr>
      <w:rPr>
        <w:rFonts w:hint="default"/>
        <w:lang w:val="en-US" w:eastAsia="en-US" w:bidi="ar-SA"/>
      </w:rPr>
    </w:lvl>
  </w:abstractNum>
  <w:abstractNum w:abstractNumId="20">
    <w:multiLevelType w:val="hybridMultilevel"/>
    <w:lvl w:ilvl="0">
      <w:start w:val="4"/>
      <w:numFmt w:val="decimal"/>
      <w:lvlText w:val="%1"/>
      <w:lvlJc w:val="left"/>
      <w:pPr>
        <w:ind w:left="1204" w:hanging="677"/>
        <w:jc w:val="left"/>
      </w:pPr>
      <w:rPr>
        <w:rFonts w:hint="default"/>
        <w:lang w:val="en-US" w:eastAsia="en-US" w:bidi="ar-SA"/>
      </w:rPr>
    </w:lvl>
    <w:lvl w:ilvl="1">
      <w:start w:val="1"/>
      <w:numFmt w:val="decimal"/>
      <w:lvlText w:val="%1.%2"/>
      <w:lvlJc w:val="left"/>
      <w:pPr>
        <w:ind w:left="1204" w:hanging="677"/>
        <w:jc w:val="left"/>
      </w:pPr>
      <w:rPr>
        <w:rFonts w:hint="default" w:ascii="Tahoma" w:hAnsi="Tahoma" w:eastAsia="Tahoma" w:cs="Tahoma"/>
        <w:b/>
        <w:bCs/>
        <w:i w:val="0"/>
        <w:iCs w:val="0"/>
        <w:spacing w:val="-2"/>
        <w:w w:val="101"/>
        <w:sz w:val="23"/>
        <w:szCs w:val="23"/>
        <w:lang w:val="en-US" w:eastAsia="en-US" w:bidi="ar-SA"/>
      </w:rPr>
    </w:lvl>
    <w:lvl w:ilvl="2">
      <w:start w:val="1"/>
      <w:numFmt w:val="decimal"/>
      <w:lvlText w:val="%1.%2.%3"/>
      <w:lvlJc w:val="left"/>
      <w:pPr>
        <w:ind w:left="1186" w:hanging="659"/>
        <w:jc w:val="left"/>
      </w:pPr>
      <w:rPr>
        <w:rFonts w:hint="default" w:ascii="Tahoma" w:hAnsi="Tahoma" w:eastAsia="Tahoma" w:cs="Tahoma"/>
        <w:b/>
        <w:bCs/>
        <w:i w:val="0"/>
        <w:iCs w:val="0"/>
        <w:spacing w:val="-2"/>
        <w:w w:val="101"/>
        <w:sz w:val="23"/>
        <w:szCs w:val="23"/>
        <w:lang w:val="en-US" w:eastAsia="en-US" w:bidi="ar-SA"/>
      </w:rPr>
    </w:lvl>
    <w:lvl w:ilvl="3">
      <w:start w:val="0"/>
      <w:numFmt w:val="bullet"/>
      <w:lvlText w:val="•"/>
      <w:lvlJc w:val="left"/>
      <w:pPr>
        <w:ind w:left="2986" w:hanging="659"/>
      </w:pPr>
      <w:rPr>
        <w:rFonts w:hint="default"/>
        <w:lang w:val="en-US" w:eastAsia="en-US" w:bidi="ar-SA"/>
      </w:rPr>
    </w:lvl>
    <w:lvl w:ilvl="4">
      <w:start w:val="0"/>
      <w:numFmt w:val="bullet"/>
      <w:lvlText w:val="•"/>
      <w:lvlJc w:val="left"/>
      <w:pPr>
        <w:ind w:left="3880" w:hanging="659"/>
      </w:pPr>
      <w:rPr>
        <w:rFonts w:hint="default"/>
        <w:lang w:val="en-US" w:eastAsia="en-US" w:bidi="ar-SA"/>
      </w:rPr>
    </w:lvl>
    <w:lvl w:ilvl="5">
      <w:start w:val="0"/>
      <w:numFmt w:val="bullet"/>
      <w:lvlText w:val="•"/>
      <w:lvlJc w:val="left"/>
      <w:pPr>
        <w:ind w:left="4773" w:hanging="659"/>
      </w:pPr>
      <w:rPr>
        <w:rFonts w:hint="default"/>
        <w:lang w:val="en-US" w:eastAsia="en-US" w:bidi="ar-SA"/>
      </w:rPr>
    </w:lvl>
    <w:lvl w:ilvl="6">
      <w:start w:val="0"/>
      <w:numFmt w:val="bullet"/>
      <w:lvlText w:val="•"/>
      <w:lvlJc w:val="left"/>
      <w:pPr>
        <w:ind w:left="5666" w:hanging="659"/>
      </w:pPr>
      <w:rPr>
        <w:rFonts w:hint="default"/>
        <w:lang w:val="en-US" w:eastAsia="en-US" w:bidi="ar-SA"/>
      </w:rPr>
    </w:lvl>
    <w:lvl w:ilvl="7">
      <w:start w:val="0"/>
      <w:numFmt w:val="bullet"/>
      <w:lvlText w:val="•"/>
      <w:lvlJc w:val="left"/>
      <w:pPr>
        <w:ind w:left="6560" w:hanging="659"/>
      </w:pPr>
      <w:rPr>
        <w:rFonts w:hint="default"/>
        <w:lang w:val="en-US" w:eastAsia="en-US" w:bidi="ar-SA"/>
      </w:rPr>
    </w:lvl>
    <w:lvl w:ilvl="8">
      <w:start w:val="0"/>
      <w:numFmt w:val="bullet"/>
      <w:lvlText w:val="•"/>
      <w:lvlJc w:val="left"/>
      <w:pPr>
        <w:ind w:left="7453" w:hanging="659"/>
      </w:pPr>
      <w:rPr>
        <w:rFonts w:hint="default"/>
        <w:lang w:val="en-US" w:eastAsia="en-US" w:bidi="ar-SA"/>
      </w:rPr>
    </w:lvl>
  </w:abstractNum>
  <w:abstractNum w:abstractNumId="19">
    <w:multiLevelType w:val="hybridMultilevel"/>
    <w:lvl w:ilvl="0">
      <w:start w:val="0"/>
      <w:numFmt w:val="bullet"/>
      <w:lvlText w:val="-"/>
      <w:lvlJc w:val="left"/>
      <w:pPr>
        <w:ind w:left="1540" w:hanging="677"/>
      </w:pPr>
      <w:rPr>
        <w:rFonts w:hint="default" w:ascii="Tahoma" w:hAnsi="Tahoma" w:eastAsia="Tahoma" w:cs="Tahoma"/>
        <w:b w:val="0"/>
        <w:bCs w:val="0"/>
        <w:i w:val="0"/>
        <w:iCs w:val="0"/>
        <w:spacing w:val="0"/>
        <w:w w:val="101"/>
        <w:sz w:val="23"/>
        <w:szCs w:val="23"/>
        <w:lang w:val="en-US" w:eastAsia="en-US" w:bidi="ar-SA"/>
      </w:rPr>
    </w:lvl>
    <w:lvl w:ilvl="1">
      <w:start w:val="0"/>
      <w:numFmt w:val="bullet"/>
      <w:lvlText w:val="•"/>
      <w:lvlJc w:val="left"/>
      <w:pPr>
        <w:ind w:left="2310" w:hanging="677"/>
      </w:pPr>
      <w:rPr>
        <w:rFonts w:hint="default"/>
        <w:lang w:val="en-US" w:eastAsia="en-US" w:bidi="ar-SA"/>
      </w:rPr>
    </w:lvl>
    <w:lvl w:ilvl="2">
      <w:start w:val="0"/>
      <w:numFmt w:val="bullet"/>
      <w:lvlText w:val="•"/>
      <w:lvlJc w:val="left"/>
      <w:pPr>
        <w:ind w:left="3080" w:hanging="677"/>
      </w:pPr>
      <w:rPr>
        <w:rFonts w:hint="default"/>
        <w:lang w:val="en-US" w:eastAsia="en-US" w:bidi="ar-SA"/>
      </w:rPr>
    </w:lvl>
    <w:lvl w:ilvl="3">
      <w:start w:val="0"/>
      <w:numFmt w:val="bullet"/>
      <w:lvlText w:val="•"/>
      <w:lvlJc w:val="left"/>
      <w:pPr>
        <w:ind w:left="3850" w:hanging="677"/>
      </w:pPr>
      <w:rPr>
        <w:rFonts w:hint="default"/>
        <w:lang w:val="en-US" w:eastAsia="en-US" w:bidi="ar-SA"/>
      </w:rPr>
    </w:lvl>
    <w:lvl w:ilvl="4">
      <w:start w:val="0"/>
      <w:numFmt w:val="bullet"/>
      <w:lvlText w:val="•"/>
      <w:lvlJc w:val="left"/>
      <w:pPr>
        <w:ind w:left="4620" w:hanging="677"/>
      </w:pPr>
      <w:rPr>
        <w:rFonts w:hint="default"/>
        <w:lang w:val="en-US" w:eastAsia="en-US" w:bidi="ar-SA"/>
      </w:rPr>
    </w:lvl>
    <w:lvl w:ilvl="5">
      <w:start w:val="0"/>
      <w:numFmt w:val="bullet"/>
      <w:lvlText w:val="•"/>
      <w:lvlJc w:val="left"/>
      <w:pPr>
        <w:ind w:left="5390" w:hanging="677"/>
      </w:pPr>
      <w:rPr>
        <w:rFonts w:hint="default"/>
        <w:lang w:val="en-US" w:eastAsia="en-US" w:bidi="ar-SA"/>
      </w:rPr>
    </w:lvl>
    <w:lvl w:ilvl="6">
      <w:start w:val="0"/>
      <w:numFmt w:val="bullet"/>
      <w:lvlText w:val="•"/>
      <w:lvlJc w:val="left"/>
      <w:pPr>
        <w:ind w:left="6160" w:hanging="677"/>
      </w:pPr>
      <w:rPr>
        <w:rFonts w:hint="default"/>
        <w:lang w:val="en-US" w:eastAsia="en-US" w:bidi="ar-SA"/>
      </w:rPr>
    </w:lvl>
    <w:lvl w:ilvl="7">
      <w:start w:val="0"/>
      <w:numFmt w:val="bullet"/>
      <w:lvlText w:val="•"/>
      <w:lvlJc w:val="left"/>
      <w:pPr>
        <w:ind w:left="6930" w:hanging="677"/>
      </w:pPr>
      <w:rPr>
        <w:rFonts w:hint="default"/>
        <w:lang w:val="en-US" w:eastAsia="en-US" w:bidi="ar-SA"/>
      </w:rPr>
    </w:lvl>
    <w:lvl w:ilvl="8">
      <w:start w:val="0"/>
      <w:numFmt w:val="bullet"/>
      <w:lvlText w:val="•"/>
      <w:lvlJc w:val="left"/>
      <w:pPr>
        <w:ind w:left="7700" w:hanging="677"/>
      </w:pPr>
      <w:rPr>
        <w:rFonts w:hint="default"/>
        <w:lang w:val="en-US" w:eastAsia="en-US" w:bidi="ar-SA"/>
      </w:rPr>
    </w:lvl>
  </w:abstractNum>
  <w:abstractNum w:abstractNumId="18">
    <w:multiLevelType w:val="hybridMultilevel"/>
    <w:lvl w:ilvl="0">
      <w:start w:val="2"/>
      <w:numFmt w:val="decimal"/>
      <w:lvlText w:val="(%1)"/>
      <w:lvlJc w:val="left"/>
      <w:pPr>
        <w:ind w:left="2217" w:hanging="677"/>
        <w:jc w:val="left"/>
      </w:pPr>
      <w:rPr>
        <w:rFonts w:hint="default" w:ascii="Tahoma" w:hAnsi="Tahoma" w:eastAsia="Tahoma" w:cs="Tahoma"/>
        <w:b w:val="0"/>
        <w:bCs w:val="0"/>
        <w:i w:val="0"/>
        <w:iCs w:val="0"/>
        <w:spacing w:val="-4"/>
        <w:w w:val="101"/>
        <w:sz w:val="23"/>
        <w:szCs w:val="23"/>
        <w:lang w:val="en-US" w:eastAsia="en-US" w:bidi="ar-SA"/>
      </w:rPr>
    </w:lvl>
    <w:lvl w:ilvl="1">
      <w:start w:val="0"/>
      <w:numFmt w:val="bullet"/>
      <w:lvlText w:val="•"/>
      <w:lvlJc w:val="left"/>
      <w:pPr>
        <w:ind w:left="2922" w:hanging="677"/>
      </w:pPr>
      <w:rPr>
        <w:rFonts w:hint="default"/>
        <w:lang w:val="en-US" w:eastAsia="en-US" w:bidi="ar-SA"/>
      </w:rPr>
    </w:lvl>
    <w:lvl w:ilvl="2">
      <w:start w:val="0"/>
      <w:numFmt w:val="bullet"/>
      <w:lvlText w:val="•"/>
      <w:lvlJc w:val="left"/>
      <w:pPr>
        <w:ind w:left="3624" w:hanging="677"/>
      </w:pPr>
      <w:rPr>
        <w:rFonts w:hint="default"/>
        <w:lang w:val="en-US" w:eastAsia="en-US" w:bidi="ar-SA"/>
      </w:rPr>
    </w:lvl>
    <w:lvl w:ilvl="3">
      <w:start w:val="0"/>
      <w:numFmt w:val="bullet"/>
      <w:lvlText w:val="•"/>
      <w:lvlJc w:val="left"/>
      <w:pPr>
        <w:ind w:left="4326" w:hanging="677"/>
      </w:pPr>
      <w:rPr>
        <w:rFonts w:hint="default"/>
        <w:lang w:val="en-US" w:eastAsia="en-US" w:bidi="ar-SA"/>
      </w:rPr>
    </w:lvl>
    <w:lvl w:ilvl="4">
      <w:start w:val="0"/>
      <w:numFmt w:val="bullet"/>
      <w:lvlText w:val="•"/>
      <w:lvlJc w:val="left"/>
      <w:pPr>
        <w:ind w:left="5028" w:hanging="677"/>
      </w:pPr>
      <w:rPr>
        <w:rFonts w:hint="default"/>
        <w:lang w:val="en-US" w:eastAsia="en-US" w:bidi="ar-SA"/>
      </w:rPr>
    </w:lvl>
    <w:lvl w:ilvl="5">
      <w:start w:val="0"/>
      <w:numFmt w:val="bullet"/>
      <w:lvlText w:val="•"/>
      <w:lvlJc w:val="left"/>
      <w:pPr>
        <w:ind w:left="5730" w:hanging="677"/>
      </w:pPr>
      <w:rPr>
        <w:rFonts w:hint="default"/>
        <w:lang w:val="en-US" w:eastAsia="en-US" w:bidi="ar-SA"/>
      </w:rPr>
    </w:lvl>
    <w:lvl w:ilvl="6">
      <w:start w:val="0"/>
      <w:numFmt w:val="bullet"/>
      <w:lvlText w:val="•"/>
      <w:lvlJc w:val="left"/>
      <w:pPr>
        <w:ind w:left="6432" w:hanging="677"/>
      </w:pPr>
      <w:rPr>
        <w:rFonts w:hint="default"/>
        <w:lang w:val="en-US" w:eastAsia="en-US" w:bidi="ar-SA"/>
      </w:rPr>
    </w:lvl>
    <w:lvl w:ilvl="7">
      <w:start w:val="0"/>
      <w:numFmt w:val="bullet"/>
      <w:lvlText w:val="•"/>
      <w:lvlJc w:val="left"/>
      <w:pPr>
        <w:ind w:left="7134" w:hanging="677"/>
      </w:pPr>
      <w:rPr>
        <w:rFonts w:hint="default"/>
        <w:lang w:val="en-US" w:eastAsia="en-US" w:bidi="ar-SA"/>
      </w:rPr>
    </w:lvl>
    <w:lvl w:ilvl="8">
      <w:start w:val="0"/>
      <w:numFmt w:val="bullet"/>
      <w:lvlText w:val="•"/>
      <w:lvlJc w:val="left"/>
      <w:pPr>
        <w:ind w:left="7836" w:hanging="677"/>
      </w:pPr>
      <w:rPr>
        <w:rFonts w:hint="default"/>
        <w:lang w:val="en-US" w:eastAsia="en-US" w:bidi="ar-SA"/>
      </w:rPr>
    </w:lvl>
  </w:abstractNum>
  <w:abstractNum w:abstractNumId="17">
    <w:multiLevelType w:val="hybridMultilevel"/>
    <w:lvl w:ilvl="0">
      <w:start w:val="1"/>
      <w:numFmt w:val="decimal"/>
      <w:lvlText w:val="(%1)"/>
      <w:lvlJc w:val="left"/>
      <w:pPr>
        <w:ind w:left="1454" w:hanging="591"/>
        <w:jc w:val="left"/>
      </w:pPr>
      <w:rPr>
        <w:rFonts w:hint="default" w:ascii="Tahoma" w:hAnsi="Tahoma" w:eastAsia="Tahoma" w:cs="Tahoma"/>
        <w:b w:val="0"/>
        <w:bCs w:val="0"/>
        <w:i w:val="0"/>
        <w:iCs w:val="0"/>
        <w:spacing w:val="-4"/>
        <w:w w:val="101"/>
        <w:sz w:val="23"/>
        <w:szCs w:val="23"/>
        <w:lang w:val="en-US" w:eastAsia="en-US" w:bidi="ar-SA"/>
      </w:rPr>
    </w:lvl>
    <w:lvl w:ilvl="1">
      <w:start w:val="0"/>
      <w:numFmt w:val="bullet"/>
      <w:lvlText w:val="•"/>
      <w:lvlJc w:val="left"/>
      <w:pPr>
        <w:ind w:left="2238" w:hanging="591"/>
      </w:pPr>
      <w:rPr>
        <w:rFonts w:hint="default"/>
        <w:lang w:val="en-US" w:eastAsia="en-US" w:bidi="ar-SA"/>
      </w:rPr>
    </w:lvl>
    <w:lvl w:ilvl="2">
      <w:start w:val="0"/>
      <w:numFmt w:val="bullet"/>
      <w:lvlText w:val="•"/>
      <w:lvlJc w:val="left"/>
      <w:pPr>
        <w:ind w:left="3016" w:hanging="591"/>
      </w:pPr>
      <w:rPr>
        <w:rFonts w:hint="default"/>
        <w:lang w:val="en-US" w:eastAsia="en-US" w:bidi="ar-SA"/>
      </w:rPr>
    </w:lvl>
    <w:lvl w:ilvl="3">
      <w:start w:val="0"/>
      <w:numFmt w:val="bullet"/>
      <w:lvlText w:val="•"/>
      <w:lvlJc w:val="left"/>
      <w:pPr>
        <w:ind w:left="3794" w:hanging="591"/>
      </w:pPr>
      <w:rPr>
        <w:rFonts w:hint="default"/>
        <w:lang w:val="en-US" w:eastAsia="en-US" w:bidi="ar-SA"/>
      </w:rPr>
    </w:lvl>
    <w:lvl w:ilvl="4">
      <w:start w:val="0"/>
      <w:numFmt w:val="bullet"/>
      <w:lvlText w:val="•"/>
      <w:lvlJc w:val="left"/>
      <w:pPr>
        <w:ind w:left="4572" w:hanging="591"/>
      </w:pPr>
      <w:rPr>
        <w:rFonts w:hint="default"/>
        <w:lang w:val="en-US" w:eastAsia="en-US" w:bidi="ar-SA"/>
      </w:rPr>
    </w:lvl>
    <w:lvl w:ilvl="5">
      <w:start w:val="0"/>
      <w:numFmt w:val="bullet"/>
      <w:lvlText w:val="•"/>
      <w:lvlJc w:val="left"/>
      <w:pPr>
        <w:ind w:left="5350" w:hanging="591"/>
      </w:pPr>
      <w:rPr>
        <w:rFonts w:hint="default"/>
        <w:lang w:val="en-US" w:eastAsia="en-US" w:bidi="ar-SA"/>
      </w:rPr>
    </w:lvl>
    <w:lvl w:ilvl="6">
      <w:start w:val="0"/>
      <w:numFmt w:val="bullet"/>
      <w:lvlText w:val="•"/>
      <w:lvlJc w:val="left"/>
      <w:pPr>
        <w:ind w:left="6128" w:hanging="591"/>
      </w:pPr>
      <w:rPr>
        <w:rFonts w:hint="default"/>
        <w:lang w:val="en-US" w:eastAsia="en-US" w:bidi="ar-SA"/>
      </w:rPr>
    </w:lvl>
    <w:lvl w:ilvl="7">
      <w:start w:val="0"/>
      <w:numFmt w:val="bullet"/>
      <w:lvlText w:val="•"/>
      <w:lvlJc w:val="left"/>
      <w:pPr>
        <w:ind w:left="6906" w:hanging="591"/>
      </w:pPr>
      <w:rPr>
        <w:rFonts w:hint="default"/>
        <w:lang w:val="en-US" w:eastAsia="en-US" w:bidi="ar-SA"/>
      </w:rPr>
    </w:lvl>
    <w:lvl w:ilvl="8">
      <w:start w:val="0"/>
      <w:numFmt w:val="bullet"/>
      <w:lvlText w:val="•"/>
      <w:lvlJc w:val="left"/>
      <w:pPr>
        <w:ind w:left="7684" w:hanging="591"/>
      </w:pPr>
      <w:rPr>
        <w:rFonts w:hint="default"/>
        <w:lang w:val="en-US" w:eastAsia="en-US" w:bidi="ar-SA"/>
      </w:rPr>
    </w:lvl>
  </w:abstractNum>
  <w:abstractNum w:abstractNumId="16">
    <w:multiLevelType w:val="hybridMultilevel"/>
    <w:lvl w:ilvl="0">
      <w:start w:val="0"/>
      <w:numFmt w:val="bullet"/>
      <w:lvlText w:val="□"/>
      <w:lvlJc w:val="left"/>
      <w:pPr>
        <w:ind w:left="383" w:hanging="197"/>
      </w:pPr>
      <w:rPr>
        <w:rFonts w:hint="default" w:ascii="Times New Roman" w:hAnsi="Times New Roman" w:eastAsia="Times New Roman" w:cs="Times New Roman"/>
        <w:b w:val="0"/>
        <w:bCs w:val="0"/>
        <w:i w:val="0"/>
        <w:iCs w:val="0"/>
        <w:spacing w:val="0"/>
        <w:w w:val="128"/>
        <w:sz w:val="19"/>
        <w:szCs w:val="19"/>
        <w:lang w:val="en-US" w:eastAsia="en-US" w:bidi="ar-SA"/>
      </w:rPr>
    </w:lvl>
    <w:lvl w:ilvl="1">
      <w:start w:val="0"/>
      <w:numFmt w:val="bullet"/>
      <w:lvlText w:val="•"/>
      <w:lvlJc w:val="left"/>
      <w:pPr>
        <w:ind w:left="1266" w:hanging="197"/>
      </w:pPr>
      <w:rPr>
        <w:rFonts w:hint="default"/>
        <w:lang w:val="en-US" w:eastAsia="en-US" w:bidi="ar-SA"/>
      </w:rPr>
    </w:lvl>
    <w:lvl w:ilvl="2">
      <w:start w:val="0"/>
      <w:numFmt w:val="bullet"/>
      <w:lvlText w:val="•"/>
      <w:lvlJc w:val="left"/>
      <w:pPr>
        <w:ind w:left="2152" w:hanging="197"/>
      </w:pPr>
      <w:rPr>
        <w:rFonts w:hint="default"/>
        <w:lang w:val="en-US" w:eastAsia="en-US" w:bidi="ar-SA"/>
      </w:rPr>
    </w:lvl>
    <w:lvl w:ilvl="3">
      <w:start w:val="0"/>
      <w:numFmt w:val="bullet"/>
      <w:lvlText w:val="•"/>
      <w:lvlJc w:val="left"/>
      <w:pPr>
        <w:ind w:left="3038" w:hanging="197"/>
      </w:pPr>
      <w:rPr>
        <w:rFonts w:hint="default"/>
        <w:lang w:val="en-US" w:eastAsia="en-US" w:bidi="ar-SA"/>
      </w:rPr>
    </w:lvl>
    <w:lvl w:ilvl="4">
      <w:start w:val="0"/>
      <w:numFmt w:val="bullet"/>
      <w:lvlText w:val="•"/>
      <w:lvlJc w:val="left"/>
      <w:pPr>
        <w:ind w:left="3924" w:hanging="197"/>
      </w:pPr>
      <w:rPr>
        <w:rFonts w:hint="default"/>
        <w:lang w:val="en-US" w:eastAsia="en-US" w:bidi="ar-SA"/>
      </w:rPr>
    </w:lvl>
    <w:lvl w:ilvl="5">
      <w:start w:val="0"/>
      <w:numFmt w:val="bullet"/>
      <w:lvlText w:val="•"/>
      <w:lvlJc w:val="left"/>
      <w:pPr>
        <w:ind w:left="4810" w:hanging="197"/>
      </w:pPr>
      <w:rPr>
        <w:rFonts w:hint="default"/>
        <w:lang w:val="en-US" w:eastAsia="en-US" w:bidi="ar-SA"/>
      </w:rPr>
    </w:lvl>
    <w:lvl w:ilvl="6">
      <w:start w:val="0"/>
      <w:numFmt w:val="bullet"/>
      <w:lvlText w:val="•"/>
      <w:lvlJc w:val="left"/>
      <w:pPr>
        <w:ind w:left="5696" w:hanging="197"/>
      </w:pPr>
      <w:rPr>
        <w:rFonts w:hint="default"/>
        <w:lang w:val="en-US" w:eastAsia="en-US" w:bidi="ar-SA"/>
      </w:rPr>
    </w:lvl>
    <w:lvl w:ilvl="7">
      <w:start w:val="0"/>
      <w:numFmt w:val="bullet"/>
      <w:lvlText w:val="•"/>
      <w:lvlJc w:val="left"/>
      <w:pPr>
        <w:ind w:left="6582" w:hanging="197"/>
      </w:pPr>
      <w:rPr>
        <w:rFonts w:hint="default"/>
        <w:lang w:val="en-US" w:eastAsia="en-US" w:bidi="ar-SA"/>
      </w:rPr>
    </w:lvl>
    <w:lvl w:ilvl="8">
      <w:start w:val="0"/>
      <w:numFmt w:val="bullet"/>
      <w:lvlText w:val="•"/>
      <w:lvlJc w:val="left"/>
      <w:pPr>
        <w:ind w:left="7468" w:hanging="197"/>
      </w:pPr>
      <w:rPr>
        <w:rFonts w:hint="default"/>
        <w:lang w:val="en-US" w:eastAsia="en-US" w:bidi="ar-SA"/>
      </w:rPr>
    </w:lvl>
  </w:abstractNum>
  <w:abstractNum w:abstractNumId="15">
    <w:multiLevelType w:val="hybridMultilevel"/>
    <w:lvl w:ilvl="0">
      <w:start w:val="1"/>
      <w:numFmt w:val="decimal"/>
      <w:lvlText w:val="%1."/>
      <w:lvlJc w:val="left"/>
      <w:pPr>
        <w:ind w:left="1881" w:hanging="509"/>
        <w:jc w:val="left"/>
      </w:pPr>
      <w:rPr>
        <w:rFonts w:hint="default" w:ascii="Tahoma" w:hAnsi="Tahoma" w:eastAsia="Tahoma" w:cs="Tahoma"/>
        <w:b w:val="0"/>
        <w:bCs w:val="0"/>
        <w:i w:val="0"/>
        <w:iCs w:val="0"/>
        <w:spacing w:val="0"/>
        <w:w w:val="101"/>
        <w:sz w:val="23"/>
        <w:szCs w:val="23"/>
        <w:lang w:val="en-US" w:eastAsia="en-US" w:bidi="ar-SA"/>
      </w:rPr>
    </w:lvl>
    <w:lvl w:ilvl="1">
      <w:start w:val="0"/>
      <w:numFmt w:val="bullet"/>
      <w:lvlText w:val="•"/>
      <w:lvlJc w:val="left"/>
      <w:pPr>
        <w:ind w:left="2616" w:hanging="509"/>
      </w:pPr>
      <w:rPr>
        <w:rFonts w:hint="default"/>
        <w:lang w:val="en-US" w:eastAsia="en-US" w:bidi="ar-SA"/>
      </w:rPr>
    </w:lvl>
    <w:lvl w:ilvl="2">
      <w:start w:val="0"/>
      <w:numFmt w:val="bullet"/>
      <w:lvlText w:val="•"/>
      <w:lvlJc w:val="left"/>
      <w:pPr>
        <w:ind w:left="3352" w:hanging="509"/>
      </w:pPr>
      <w:rPr>
        <w:rFonts w:hint="default"/>
        <w:lang w:val="en-US" w:eastAsia="en-US" w:bidi="ar-SA"/>
      </w:rPr>
    </w:lvl>
    <w:lvl w:ilvl="3">
      <w:start w:val="0"/>
      <w:numFmt w:val="bullet"/>
      <w:lvlText w:val="•"/>
      <w:lvlJc w:val="left"/>
      <w:pPr>
        <w:ind w:left="4088" w:hanging="509"/>
      </w:pPr>
      <w:rPr>
        <w:rFonts w:hint="default"/>
        <w:lang w:val="en-US" w:eastAsia="en-US" w:bidi="ar-SA"/>
      </w:rPr>
    </w:lvl>
    <w:lvl w:ilvl="4">
      <w:start w:val="0"/>
      <w:numFmt w:val="bullet"/>
      <w:lvlText w:val="•"/>
      <w:lvlJc w:val="left"/>
      <w:pPr>
        <w:ind w:left="4824" w:hanging="509"/>
      </w:pPr>
      <w:rPr>
        <w:rFonts w:hint="default"/>
        <w:lang w:val="en-US" w:eastAsia="en-US" w:bidi="ar-SA"/>
      </w:rPr>
    </w:lvl>
    <w:lvl w:ilvl="5">
      <w:start w:val="0"/>
      <w:numFmt w:val="bullet"/>
      <w:lvlText w:val="•"/>
      <w:lvlJc w:val="left"/>
      <w:pPr>
        <w:ind w:left="5560" w:hanging="509"/>
      </w:pPr>
      <w:rPr>
        <w:rFonts w:hint="default"/>
        <w:lang w:val="en-US" w:eastAsia="en-US" w:bidi="ar-SA"/>
      </w:rPr>
    </w:lvl>
    <w:lvl w:ilvl="6">
      <w:start w:val="0"/>
      <w:numFmt w:val="bullet"/>
      <w:lvlText w:val="•"/>
      <w:lvlJc w:val="left"/>
      <w:pPr>
        <w:ind w:left="6296" w:hanging="509"/>
      </w:pPr>
      <w:rPr>
        <w:rFonts w:hint="default"/>
        <w:lang w:val="en-US" w:eastAsia="en-US" w:bidi="ar-SA"/>
      </w:rPr>
    </w:lvl>
    <w:lvl w:ilvl="7">
      <w:start w:val="0"/>
      <w:numFmt w:val="bullet"/>
      <w:lvlText w:val="•"/>
      <w:lvlJc w:val="left"/>
      <w:pPr>
        <w:ind w:left="7032" w:hanging="509"/>
      </w:pPr>
      <w:rPr>
        <w:rFonts w:hint="default"/>
        <w:lang w:val="en-US" w:eastAsia="en-US" w:bidi="ar-SA"/>
      </w:rPr>
    </w:lvl>
    <w:lvl w:ilvl="8">
      <w:start w:val="0"/>
      <w:numFmt w:val="bullet"/>
      <w:lvlText w:val="•"/>
      <w:lvlJc w:val="left"/>
      <w:pPr>
        <w:ind w:left="7768" w:hanging="509"/>
      </w:pPr>
      <w:rPr>
        <w:rFonts w:hint="default"/>
        <w:lang w:val="en-US" w:eastAsia="en-US" w:bidi="ar-SA"/>
      </w:rPr>
    </w:lvl>
  </w:abstractNum>
  <w:abstractNum w:abstractNumId="14">
    <w:multiLevelType w:val="hybridMultilevel"/>
    <w:lvl w:ilvl="0">
      <w:start w:val="0"/>
      <w:numFmt w:val="bullet"/>
      <w:lvlText w:val=""/>
      <w:lvlJc w:val="left"/>
      <w:pPr>
        <w:ind w:left="1540" w:hanging="677"/>
      </w:pPr>
      <w:rPr>
        <w:rFonts w:hint="default" w:ascii="Symbol" w:hAnsi="Symbol" w:eastAsia="Symbol" w:cs="Symbol"/>
        <w:b w:val="0"/>
        <w:bCs w:val="0"/>
        <w:i w:val="0"/>
        <w:iCs w:val="0"/>
        <w:spacing w:val="0"/>
        <w:w w:val="101"/>
        <w:sz w:val="23"/>
        <w:szCs w:val="23"/>
        <w:lang w:val="en-US" w:eastAsia="en-US" w:bidi="ar-SA"/>
      </w:rPr>
    </w:lvl>
    <w:lvl w:ilvl="1">
      <w:start w:val="0"/>
      <w:numFmt w:val="bullet"/>
      <w:lvlText w:val="•"/>
      <w:lvlJc w:val="left"/>
      <w:pPr>
        <w:ind w:left="2310" w:hanging="677"/>
      </w:pPr>
      <w:rPr>
        <w:rFonts w:hint="default"/>
        <w:lang w:val="en-US" w:eastAsia="en-US" w:bidi="ar-SA"/>
      </w:rPr>
    </w:lvl>
    <w:lvl w:ilvl="2">
      <w:start w:val="0"/>
      <w:numFmt w:val="bullet"/>
      <w:lvlText w:val="•"/>
      <w:lvlJc w:val="left"/>
      <w:pPr>
        <w:ind w:left="3080" w:hanging="677"/>
      </w:pPr>
      <w:rPr>
        <w:rFonts w:hint="default"/>
        <w:lang w:val="en-US" w:eastAsia="en-US" w:bidi="ar-SA"/>
      </w:rPr>
    </w:lvl>
    <w:lvl w:ilvl="3">
      <w:start w:val="0"/>
      <w:numFmt w:val="bullet"/>
      <w:lvlText w:val="•"/>
      <w:lvlJc w:val="left"/>
      <w:pPr>
        <w:ind w:left="3850" w:hanging="677"/>
      </w:pPr>
      <w:rPr>
        <w:rFonts w:hint="default"/>
        <w:lang w:val="en-US" w:eastAsia="en-US" w:bidi="ar-SA"/>
      </w:rPr>
    </w:lvl>
    <w:lvl w:ilvl="4">
      <w:start w:val="0"/>
      <w:numFmt w:val="bullet"/>
      <w:lvlText w:val="•"/>
      <w:lvlJc w:val="left"/>
      <w:pPr>
        <w:ind w:left="4620" w:hanging="677"/>
      </w:pPr>
      <w:rPr>
        <w:rFonts w:hint="default"/>
        <w:lang w:val="en-US" w:eastAsia="en-US" w:bidi="ar-SA"/>
      </w:rPr>
    </w:lvl>
    <w:lvl w:ilvl="5">
      <w:start w:val="0"/>
      <w:numFmt w:val="bullet"/>
      <w:lvlText w:val="•"/>
      <w:lvlJc w:val="left"/>
      <w:pPr>
        <w:ind w:left="5390" w:hanging="677"/>
      </w:pPr>
      <w:rPr>
        <w:rFonts w:hint="default"/>
        <w:lang w:val="en-US" w:eastAsia="en-US" w:bidi="ar-SA"/>
      </w:rPr>
    </w:lvl>
    <w:lvl w:ilvl="6">
      <w:start w:val="0"/>
      <w:numFmt w:val="bullet"/>
      <w:lvlText w:val="•"/>
      <w:lvlJc w:val="left"/>
      <w:pPr>
        <w:ind w:left="6160" w:hanging="677"/>
      </w:pPr>
      <w:rPr>
        <w:rFonts w:hint="default"/>
        <w:lang w:val="en-US" w:eastAsia="en-US" w:bidi="ar-SA"/>
      </w:rPr>
    </w:lvl>
    <w:lvl w:ilvl="7">
      <w:start w:val="0"/>
      <w:numFmt w:val="bullet"/>
      <w:lvlText w:val="•"/>
      <w:lvlJc w:val="left"/>
      <w:pPr>
        <w:ind w:left="6930" w:hanging="677"/>
      </w:pPr>
      <w:rPr>
        <w:rFonts w:hint="default"/>
        <w:lang w:val="en-US" w:eastAsia="en-US" w:bidi="ar-SA"/>
      </w:rPr>
    </w:lvl>
    <w:lvl w:ilvl="8">
      <w:start w:val="0"/>
      <w:numFmt w:val="bullet"/>
      <w:lvlText w:val="•"/>
      <w:lvlJc w:val="left"/>
      <w:pPr>
        <w:ind w:left="7700" w:hanging="677"/>
      </w:pPr>
      <w:rPr>
        <w:rFonts w:hint="default"/>
        <w:lang w:val="en-US" w:eastAsia="en-US" w:bidi="ar-SA"/>
      </w:rPr>
    </w:lvl>
  </w:abstractNum>
  <w:abstractNum w:abstractNumId="13">
    <w:multiLevelType w:val="hybridMultilevel"/>
    <w:lvl w:ilvl="0">
      <w:start w:val="0"/>
      <w:numFmt w:val="bullet"/>
      <w:lvlText w:val="-"/>
      <w:lvlJc w:val="left"/>
      <w:pPr>
        <w:ind w:left="1540" w:hanging="677"/>
      </w:pPr>
      <w:rPr>
        <w:rFonts w:hint="default" w:ascii="Tahoma" w:hAnsi="Tahoma" w:eastAsia="Tahoma" w:cs="Tahoma"/>
        <w:b w:val="0"/>
        <w:bCs w:val="0"/>
        <w:i w:val="0"/>
        <w:iCs w:val="0"/>
        <w:spacing w:val="0"/>
        <w:w w:val="101"/>
        <w:sz w:val="23"/>
        <w:szCs w:val="23"/>
        <w:lang w:val="en-US" w:eastAsia="en-US" w:bidi="ar-SA"/>
      </w:rPr>
    </w:lvl>
    <w:lvl w:ilvl="1">
      <w:start w:val="0"/>
      <w:numFmt w:val="bullet"/>
      <w:lvlText w:val="•"/>
      <w:lvlJc w:val="left"/>
      <w:pPr>
        <w:ind w:left="2310" w:hanging="677"/>
      </w:pPr>
      <w:rPr>
        <w:rFonts w:hint="default"/>
        <w:lang w:val="en-US" w:eastAsia="en-US" w:bidi="ar-SA"/>
      </w:rPr>
    </w:lvl>
    <w:lvl w:ilvl="2">
      <w:start w:val="0"/>
      <w:numFmt w:val="bullet"/>
      <w:lvlText w:val="•"/>
      <w:lvlJc w:val="left"/>
      <w:pPr>
        <w:ind w:left="3080" w:hanging="677"/>
      </w:pPr>
      <w:rPr>
        <w:rFonts w:hint="default"/>
        <w:lang w:val="en-US" w:eastAsia="en-US" w:bidi="ar-SA"/>
      </w:rPr>
    </w:lvl>
    <w:lvl w:ilvl="3">
      <w:start w:val="0"/>
      <w:numFmt w:val="bullet"/>
      <w:lvlText w:val="•"/>
      <w:lvlJc w:val="left"/>
      <w:pPr>
        <w:ind w:left="3850" w:hanging="677"/>
      </w:pPr>
      <w:rPr>
        <w:rFonts w:hint="default"/>
        <w:lang w:val="en-US" w:eastAsia="en-US" w:bidi="ar-SA"/>
      </w:rPr>
    </w:lvl>
    <w:lvl w:ilvl="4">
      <w:start w:val="0"/>
      <w:numFmt w:val="bullet"/>
      <w:lvlText w:val="•"/>
      <w:lvlJc w:val="left"/>
      <w:pPr>
        <w:ind w:left="4620" w:hanging="677"/>
      </w:pPr>
      <w:rPr>
        <w:rFonts w:hint="default"/>
        <w:lang w:val="en-US" w:eastAsia="en-US" w:bidi="ar-SA"/>
      </w:rPr>
    </w:lvl>
    <w:lvl w:ilvl="5">
      <w:start w:val="0"/>
      <w:numFmt w:val="bullet"/>
      <w:lvlText w:val="•"/>
      <w:lvlJc w:val="left"/>
      <w:pPr>
        <w:ind w:left="5390" w:hanging="677"/>
      </w:pPr>
      <w:rPr>
        <w:rFonts w:hint="default"/>
        <w:lang w:val="en-US" w:eastAsia="en-US" w:bidi="ar-SA"/>
      </w:rPr>
    </w:lvl>
    <w:lvl w:ilvl="6">
      <w:start w:val="0"/>
      <w:numFmt w:val="bullet"/>
      <w:lvlText w:val="•"/>
      <w:lvlJc w:val="left"/>
      <w:pPr>
        <w:ind w:left="6160" w:hanging="677"/>
      </w:pPr>
      <w:rPr>
        <w:rFonts w:hint="default"/>
        <w:lang w:val="en-US" w:eastAsia="en-US" w:bidi="ar-SA"/>
      </w:rPr>
    </w:lvl>
    <w:lvl w:ilvl="7">
      <w:start w:val="0"/>
      <w:numFmt w:val="bullet"/>
      <w:lvlText w:val="•"/>
      <w:lvlJc w:val="left"/>
      <w:pPr>
        <w:ind w:left="6930" w:hanging="677"/>
      </w:pPr>
      <w:rPr>
        <w:rFonts w:hint="default"/>
        <w:lang w:val="en-US" w:eastAsia="en-US" w:bidi="ar-SA"/>
      </w:rPr>
    </w:lvl>
    <w:lvl w:ilvl="8">
      <w:start w:val="0"/>
      <w:numFmt w:val="bullet"/>
      <w:lvlText w:val="•"/>
      <w:lvlJc w:val="left"/>
      <w:pPr>
        <w:ind w:left="7700" w:hanging="677"/>
      </w:pPr>
      <w:rPr>
        <w:rFonts w:hint="default"/>
        <w:lang w:val="en-US" w:eastAsia="en-US" w:bidi="ar-SA"/>
      </w:rPr>
    </w:lvl>
  </w:abstractNum>
  <w:abstractNum w:abstractNumId="12">
    <w:multiLevelType w:val="hybridMultilevel"/>
    <w:lvl w:ilvl="0">
      <w:start w:val="3"/>
      <w:numFmt w:val="decimal"/>
      <w:lvlText w:val="%1"/>
      <w:lvlJc w:val="left"/>
      <w:pPr>
        <w:ind w:left="864" w:hanging="677"/>
        <w:jc w:val="left"/>
      </w:pPr>
      <w:rPr>
        <w:rFonts w:hint="default"/>
        <w:lang w:val="en-US" w:eastAsia="en-US" w:bidi="ar-SA"/>
      </w:rPr>
    </w:lvl>
    <w:lvl w:ilvl="1">
      <w:start w:val="1"/>
      <w:numFmt w:val="decimal"/>
      <w:lvlText w:val="%1.%2"/>
      <w:lvlJc w:val="left"/>
      <w:pPr>
        <w:ind w:left="864" w:hanging="677"/>
        <w:jc w:val="left"/>
      </w:pPr>
      <w:rPr>
        <w:rFonts w:hint="default" w:ascii="Tahoma" w:hAnsi="Tahoma" w:eastAsia="Tahoma" w:cs="Tahoma"/>
        <w:b/>
        <w:bCs/>
        <w:i w:val="0"/>
        <w:iCs w:val="0"/>
        <w:spacing w:val="-2"/>
        <w:w w:val="101"/>
        <w:sz w:val="23"/>
        <w:szCs w:val="23"/>
        <w:lang w:val="en-US" w:eastAsia="en-US" w:bidi="ar-SA"/>
      </w:rPr>
    </w:lvl>
    <w:lvl w:ilvl="2">
      <w:start w:val="1"/>
      <w:numFmt w:val="decimal"/>
      <w:lvlText w:val="%1.%2.%3"/>
      <w:lvlJc w:val="left"/>
      <w:pPr>
        <w:ind w:left="864" w:hanging="677"/>
        <w:jc w:val="left"/>
      </w:pPr>
      <w:rPr>
        <w:rFonts w:hint="default" w:ascii="Tahoma" w:hAnsi="Tahoma" w:eastAsia="Tahoma" w:cs="Tahoma"/>
        <w:b/>
        <w:bCs/>
        <w:i w:val="0"/>
        <w:iCs w:val="0"/>
        <w:spacing w:val="-2"/>
        <w:w w:val="101"/>
        <w:sz w:val="23"/>
        <w:szCs w:val="23"/>
        <w:lang w:val="en-US" w:eastAsia="en-US" w:bidi="ar-SA"/>
      </w:rPr>
    </w:lvl>
    <w:lvl w:ilvl="3">
      <w:start w:val="1"/>
      <w:numFmt w:val="lowerRoman"/>
      <w:lvlText w:val="%4."/>
      <w:lvlJc w:val="left"/>
      <w:pPr>
        <w:ind w:left="1454" w:hanging="591"/>
        <w:jc w:val="right"/>
      </w:pPr>
      <w:rPr>
        <w:rFonts w:hint="default" w:ascii="Tahoma" w:hAnsi="Tahoma" w:eastAsia="Tahoma" w:cs="Tahoma"/>
        <w:b w:val="0"/>
        <w:bCs w:val="0"/>
        <w:i w:val="0"/>
        <w:iCs w:val="0"/>
        <w:spacing w:val="-1"/>
        <w:w w:val="101"/>
        <w:sz w:val="23"/>
        <w:szCs w:val="23"/>
        <w:lang w:val="en-US" w:eastAsia="en-US" w:bidi="ar-SA"/>
      </w:rPr>
    </w:lvl>
    <w:lvl w:ilvl="4">
      <w:start w:val="0"/>
      <w:numFmt w:val="bullet"/>
      <w:lvlText w:val="•"/>
      <w:lvlJc w:val="left"/>
      <w:pPr>
        <w:ind w:left="4053" w:hanging="591"/>
      </w:pPr>
      <w:rPr>
        <w:rFonts w:hint="default"/>
        <w:lang w:val="en-US" w:eastAsia="en-US" w:bidi="ar-SA"/>
      </w:rPr>
    </w:lvl>
    <w:lvl w:ilvl="5">
      <w:start w:val="0"/>
      <w:numFmt w:val="bullet"/>
      <w:lvlText w:val="•"/>
      <w:lvlJc w:val="left"/>
      <w:pPr>
        <w:ind w:left="4917" w:hanging="591"/>
      </w:pPr>
      <w:rPr>
        <w:rFonts w:hint="default"/>
        <w:lang w:val="en-US" w:eastAsia="en-US" w:bidi="ar-SA"/>
      </w:rPr>
    </w:lvl>
    <w:lvl w:ilvl="6">
      <w:start w:val="0"/>
      <w:numFmt w:val="bullet"/>
      <w:lvlText w:val="•"/>
      <w:lvlJc w:val="left"/>
      <w:pPr>
        <w:ind w:left="5782" w:hanging="591"/>
      </w:pPr>
      <w:rPr>
        <w:rFonts w:hint="default"/>
        <w:lang w:val="en-US" w:eastAsia="en-US" w:bidi="ar-SA"/>
      </w:rPr>
    </w:lvl>
    <w:lvl w:ilvl="7">
      <w:start w:val="0"/>
      <w:numFmt w:val="bullet"/>
      <w:lvlText w:val="•"/>
      <w:lvlJc w:val="left"/>
      <w:pPr>
        <w:ind w:left="6646" w:hanging="591"/>
      </w:pPr>
      <w:rPr>
        <w:rFonts w:hint="default"/>
        <w:lang w:val="en-US" w:eastAsia="en-US" w:bidi="ar-SA"/>
      </w:rPr>
    </w:lvl>
    <w:lvl w:ilvl="8">
      <w:start w:val="0"/>
      <w:numFmt w:val="bullet"/>
      <w:lvlText w:val="•"/>
      <w:lvlJc w:val="left"/>
      <w:pPr>
        <w:ind w:left="7511" w:hanging="591"/>
      </w:pPr>
      <w:rPr>
        <w:rFonts w:hint="default"/>
        <w:lang w:val="en-US" w:eastAsia="en-US" w:bidi="ar-SA"/>
      </w:rPr>
    </w:lvl>
  </w:abstractNum>
  <w:abstractNum w:abstractNumId="11">
    <w:multiLevelType w:val="hybridMultilevel"/>
    <w:lvl w:ilvl="0">
      <w:start w:val="2"/>
      <w:numFmt w:val="decimal"/>
      <w:lvlText w:val="%1"/>
      <w:lvlJc w:val="left"/>
      <w:pPr>
        <w:ind w:left="1454" w:hanging="677"/>
        <w:jc w:val="right"/>
      </w:pPr>
      <w:rPr>
        <w:rFonts w:hint="default" w:ascii="Tahoma" w:hAnsi="Tahoma" w:eastAsia="Tahoma" w:cs="Tahoma"/>
        <w:b w:val="0"/>
        <w:bCs w:val="0"/>
        <w:i w:val="0"/>
        <w:iCs w:val="0"/>
        <w:spacing w:val="0"/>
        <w:w w:val="101"/>
        <w:sz w:val="23"/>
        <w:szCs w:val="23"/>
        <w:lang w:val="en-US" w:eastAsia="en-US" w:bidi="ar-SA"/>
      </w:rPr>
    </w:lvl>
    <w:lvl w:ilvl="1">
      <w:start w:val="0"/>
      <w:numFmt w:val="bullet"/>
      <w:lvlText w:val="•"/>
      <w:lvlJc w:val="left"/>
      <w:pPr>
        <w:ind w:left="2238" w:hanging="677"/>
      </w:pPr>
      <w:rPr>
        <w:rFonts w:hint="default"/>
        <w:lang w:val="en-US" w:eastAsia="en-US" w:bidi="ar-SA"/>
      </w:rPr>
    </w:lvl>
    <w:lvl w:ilvl="2">
      <w:start w:val="0"/>
      <w:numFmt w:val="bullet"/>
      <w:lvlText w:val="•"/>
      <w:lvlJc w:val="left"/>
      <w:pPr>
        <w:ind w:left="3016" w:hanging="677"/>
      </w:pPr>
      <w:rPr>
        <w:rFonts w:hint="default"/>
        <w:lang w:val="en-US" w:eastAsia="en-US" w:bidi="ar-SA"/>
      </w:rPr>
    </w:lvl>
    <w:lvl w:ilvl="3">
      <w:start w:val="0"/>
      <w:numFmt w:val="bullet"/>
      <w:lvlText w:val="•"/>
      <w:lvlJc w:val="left"/>
      <w:pPr>
        <w:ind w:left="3794" w:hanging="677"/>
      </w:pPr>
      <w:rPr>
        <w:rFonts w:hint="default"/>
        <w:lang w:val="en-US" w:eastAsia="en-US" w:bidi="ar-SA"/>
      </w:rPr>
    </w:lvl>
    <w:lvl w:ilvl="4">
      <w:start w:val="0"/>
      <w:numFmt w:val="bullet"/>
      <w:lvlText w:val="•"/>
      <w:lvlJc w:val="left"/>
      <w:pPr>
        <w:ind w:left="4572" w:hanging="677"/>
      </w:pPr>
      <w:rPr>
        <w:rFonts w:hint="default"/>
        <w:lang w:val="en-US" w:eastAsia="en-US" w:bidi="ar-SA"/>
      </w:rPr>
    </w:lvl>
    <w:lvl w:ilvl="5">
      <w:start w:val="0"/>
      <w:numFmt w:val="bullet"/>
      <w:lvlText w:val="•"/>
      <w:lvlJc w:val="left"/>
      <w:pPr>
        <w:ind w:left="5350" w:hanging="677"/>
      </w:pPr>
      <w:rPr>
        <w:rFonts w:hint="default"/>
        <w:lang w:val="en-US" w:eastAsia="en-US" w:bidi="ar-SA"/>
      </w:rPr>
    </w:lvl>
    <w:lvl w:ilvl="6">
      <w:start w:val="0"/>
      <w:numFmt w:val="bullet"/>
      <w:lvlText w:val="•"/>
      <w:lvlJc w:val="left"/>
      <w:pPr>
        <w:ind w:left="6128" w:hanging="677"/>
      </w:pPr>
      <w:rPr>
        <w:rFonts w:hint="default"/>
        <w:lang w:val="en-US" w:eastAsia="en-US" w:bidi="ar-SA"/>
      </w:rPr>
    </w:lvl>
    <w:lvl w:ilvl="7">
      <w:start w:val="0"/>
      <w:numFmt w:val="bullet"/>
      <w:lvlText w:val="•"/>
      <w:lvlJc w:val="left"/>
      <w:pPr>
        <w:ind w:left="6906" w:hanging="677"/>
      </w:pPr>
      <w:rPr>
        <w:rFonts w:hint="default"/>
        <w:lang w:val="en-US" w:eastAsia="en-US" w:bidi="ar-SA"/>
      </w:rPr>
    </w:lvl>
    <w:lvl w:ilvl="8">
      <w:start w:val="0"/>
      <w:numFmt w:val="bullet"/>
      <w:lvlText w:val="•"/>
      <w:lvlJc w:val="left"/>
      <w:pPr>
        <w:ind w:left="7684" w:hanging="677"/>
      </w:pPr>
      <w:rPr>
        <w:rFonts w:hint="default"/>
        <w:lang w:val="en-US" w:eastAsia="en-US" w:bidi="ar-SA"/>
      </w:rPr>
    </w:lvl>
  </w:abstractNum>
  <w:abstractNum w:abstractNumId="10">
    <w:multiLevelType w:val="hybridMultilevel"/>
    <w:lvl w:ilvl="0">
      <w:start w:val="0"/>
      <w:numFmt w:val="bullet"/>
      <w:lvlText w:val="□"/>
      <w:lvlJc w:val="left"/>
      <w:pPr>
        <w:ind w:left="383" w:hanging="197"/>
      </w:pPr>
      <w:rPr>
        <w:rFonts w:hint="default" w:ascii="Times New Roman" w:hAnsi="Times New Roman" w:eastAsia="Times New Roman" w:cs="Times New Roman"/>
        <w:b w:val="0"/>
        <w:bCs w:val="0"/>
        <w:i w:val="0"/>
        <w:iCs w:val="0"/>
        <w:spacing w:val="0"/>
        <w:w w:val="128"/>
        <w:sz w:val="19"/>
        <w:szCs w:val="19"/>
        <w:lang w:val="en-US" w:eastAsia="en-US" w:bidi="ar-SA"/>
      </w:rPr>
    </w:lvl>
    <w:lvl w:ilvl="1">
      <w:start w:val="0"/>
      <w:numFmt w:val="bullet"/>
      <w:lvlText w:val="•"/>
      <w:lvlJc w:val="left"/>
      <w:pPr>
        <w:ind w:left="1266" w:hanging="197"/>
      </w:pPr>
      <w:rPr>
        <w:rFonts w:hint="default"/>
        <w:lang w:val="en-US" w:eastAsia="en-US" w:bidi="ar-SA"/>
      </w:rPr>
    </w:lvl>
    <w:lvl w:ilvl="2">
      <w:start w:val="0"/>
      <w:numFmt w:val="bullet"/>
      <w:lvlText w:val="•"/>
      <w:lvlJc w:val="left"/>
      <w:pPr>
        <w:ind w:left="2152" w:hanging="197"/>
      </w:pPr>
      <w:rPr>
        <w:rFonts w:hint="default"/>
        <w:lang w:val="en-US" w:eastAsia="en-US" w:bidi="ar-SA"/>
      </w:rPr>
    </w:lvl>
    <w:lvl w:ilvl="3">
      <w:start w:val="0"/>
      <w:numFmt w:val="bullet"/>
      <w:lvlText w:val="•"/>
      <w:lvlJc w:val="left"/>
      <w:pPr>
        <w:ind w:left="3038" w:hanging="197"/>
      </w:pPr>
      <w:rPr>
        <w:rFonts w:hint="default"/>
        <w:lang w:val="en-US" w:eastAsia="en-US" w:bidi="ar-SA"/>
      </w:rPr>
    </w:lvl>
    <w:lvl w:ilvl="4">
      <w:start w:val="0"/>
      <w:numFmt w:val="bullet"/>
      <w:lvlText w:val="•"/>
      <w:lvlJc w:val="left"/>
      <w:pPr>
        <w:ind w:left="3924" w:hanging="197"/>
      </w:pPr>
      <w:rPr>
        <w:rFonts w:hint="default"/>
        <w:lang w:val="en-US" w:eastAsia="en-US" w:bidi="ar-SA"/>
      </w:rPr>
    </w:lvl>
    <w:lvl w:ilvl="5">
      <w:start w:val="0"/>
      <w:numFmt w:val="bullet"/>
      <w:lvlText w:val="•"/>
      <w:lvlJc w:val="left"/>
      <w:pPr>
        <w:ind w:left="4810" w:hanging="197"/>
      </w:pPr>
      <w:rPr>
        <w:rFonts w:hint="default"/>
        <w:lang w:val="en-US" w:eastAsia="en-US" w:bidi="ar-SA"/>
      </w:rPr>
    </w:lvl>
    <w:lvl w:ilvl="6">
      <w:start w:val="0"/>
      <w:numFmt w:val="bullet"/>
      <w:lvlText w:val="•"/>
      <w:lvlJc w:val="left"/>
      <w:pPr>
        <w:ind w:left="5696" w:hanging="197"/>
      </w:pPr>
      <w:rPr>
        <w:rFonts w:hint="default"/>
        <w:lang w:val="en-US" w:eastAsia="en-US" w:bidi="ar-SA"/>
      </w:rPr>
    </w:lvl>
    <w:lvl w:ilvl="7">
      <w:start w:val="0"/>
      <w:numFmt w:val="bullet"/>
      <w:lvlText w:val="•"/>
      <w:lvlJc w:val="left"/>
      <w:pPr>
        <w:ind w:left="6582" w:hanging="197"/>
      </w:pPr>
      <w:rPr>
        <w:rFonts w:hint="default"/>
        <w:lang w:val="en-US" w:eastAsia="en-US" w:bidi="ar-SA"/>
      </w:rPr>
    </w:lvl>
    <w:lvl w:ilvl="8">
      <w:start w:val="0"/>
      <w:numFmt w:val="bullet"/>
      <w:lvlText w:val="•"/>
      <w:lvlJc w:val="left"/>
      <w:pPr>
        <w:ind w:left="7468" w:hanging="197"/>
      </w:pPr>
      <w:rPr>
        <w:rFonts w:hint="default"/>
        <w:lang w:val="en-US" w:eastAsia="en-US" w:bidi="ar-SA"/>
      </w:rPr>
    </w:lvl>
  </w:abstractNum>
  <w:abstractNum w:abstractNumId="9">
    <w:multiLevelType w:val="hybridMultilevel"/>
    <w:lvl w:ilvl="0">
      <w:start w:val="0"/>
      <w:numFmt w:val="bullet"/>
      <w:lvlText w:val="□"/>
      <w:lvlJc w:val="left"/>
      <w:pPr>
        <w:ind w:left="187" w:hanging="197"/>
      </w:pPr>
      <w:rPr>
        <w:rFonts w:hint="default" w:ascii="Times New Roman" w:hAnsi="Times New Roman" w:eastAsia="Times New Roman" w:cs="Times New Roman"/>
        <w:b w:val="0"/>
        <w:bCs w:val="0"/>
        <w:i/>
        <w:iCs/>
        <w:spacing w:val="0"/>
        <w:w w:val="128"/>
        <w:sz w:val="19"/>
        <w:szCs w:val="19"/>
        <w:lang w:val="en-US" w:eastAsia="en-US" w:bidi="ar-SA"/>
      </w:rPr>
    </w:lvl>
    <w:lvl w:ilvl="1">
      <w:start w:val="0"/>
      <w:numFmt w:val="bullet"/>
      <w:lvlText w:val="•"/>
      <w:lvlJc w:val="left"/>
      <w:pPr>
        <w:ind w:left="1086" w:hanging="197"/>
      </w:pPr>
      <w:rPr>
        <w:rFonts w:hint="default"/>
        <w:lang w:val="en-US" w:eastAsia="en-US" w:bidi="ar-SA"/>
      </w:rPr>
    </w:lvl>
    <w:lvl w:ilvl="2">
      <w:start w:val="0"/>
      <w:numFmt w:val="bullet"/>
      <w:lvlText w:val="•"/>
      <w:lvlJc w:val="left"/>
      <w:pPr>
        <w:ind w:left="1992" w:hanging="197"/>
      </w:pPr>
      <w:rPr>
        <w:rFonts w:hint="default"/>
        <w:lang w:val="en-US" w:eastAsia="en-US" w:bidi="ar-SA"/>
      </w:rPr>
    </w:lvl>
    <w:lvl w:ilvl="3">
      <w:start w:val="0"/>
      <w:numFmt w:val="bullet"/>
      <w:lvlText w:val="•"/>
      <w:lvlJc w:val="left"/>
      <w:pPr>
        <w:ind w:left="2898" w:hanging="197"/>
      </w:pPr>
      <w:rPr>
        <w:rFonts w:hint="default"/>
        <w:lang w:val="en-US" w:eastAsia="en-US" w:bidi="ar-SA"/>
      </w:rPr>
    </w:lvl>
    <w:lvl w:ilvl="4">
      <w:start w:val="0"/>
      <w:numFmt w:val="bullet"/>
      <w:lvlText w:val="•"/>
      <w:lvlJc w:val="left"/>
      <w:pPr>
        <w:ind w:left="3804" w:hanging="197"/>
      </w:pPr>
      <w:rPr>
        <w:rFonts w:hint="default"/>
        <w:lang w:val="en-US" w:eastAsia="en-US" w:bidi="ar-SA"/>
      </w:rPr>
    </w:lvl>
    <w:lvl w:ilvl="5">
      <w:start w:val="0"/>
      <w:numFmt w:val="bullet"/>
      <w:lvlText w:val="•"/>
      <w:lvlJc w:val="left"/>
      <w:pPr>
        <w:ind w:left="4710" w:hanging="197"/>
      </w:pPr>
      <w:rPr>
        <w:rFonts w:hint="default"/>
        <w:lang w:val="en-US" w:eastAsia="en-US" w:bidi="ar-SA"/>
      </w:rPr>
    </w:lvl>
    <w:lvl w:ilvl="6">
      <w:start w:val="0"/>
      <w:numFmt w:val="bullet"/>
      <w:lvlText w:val="•"/>
      <w:lvlJc w:val="left"/>
      <w:pPr>
        <w:ind w:left="5616" w:hanging="197"/>
      </w:pPr>
      <w:rPr>
        <w:rFonts w:hint="default"/>
        <w:lang w:val="en-US" w:eastAsia="en-US" w:bidi="ar-SA"/>
      </w:rPr>
    </w:lvl>
    <w:lvl w:ilvl="7">
      <w:start w:val="0"/>
      <w:numFmt w:val="bullet"/>
      <w:lvlText w:val="•"/>
      <w:lvlJc w:val="left"/>
      <w:pPr>
        <w:ind w:left="6522" w:hanging="197"/>
      </w:pPr>
      <w:rPr>
        <w:rFonts w:hint="default"/>
        <w:lang w:val="en-US" w:eastAsia="en-US" w:bidi="ar-SA"/>
      </w:rPr>
    </w:lvl>
    <w:lvl w:ilvl="8">
      <w:start w:val="0"/>
      <w:numFmt w:val="bullet"/>
      <w:lvlText w:val="•"/>
      <w:lvlJc w:val="left"/>
      <w:pPr>
        <w:ind w:left="7428" w:hanging="197"/>
      </w:pPr>
      <w:rPr>
        <w:rFonts w:hint="default"/>
        <w:lang w:val="en-US" w:eastAsia="en-US" w:bidi="ar-SA"/>
      </w:rPr>
    </w:lvl>
  </w:abstractNum>
  <w:abstractNum w:abstractNumId="8">
    <w:multiLevelType w:val="hybridMultilevel"/>
    <w:lvl w:ilvl="0">
      <w:start w:val="2"/>
      <w:numFmt w:val="decimal"/>
      <w:lvlText w:val="%1"/>
      <w:lvlJc w:val="left"/>
      <w:pPr>
        <w:ind w:left="864" w:hanging="677"/>
        <w:jc w:val="left"/>
      </w:pPr>
      <w:rPr>
        <w:rFonts w:hint="default"/>
        <w:lang w:val="en-US" w:eastAsia="en-US" w:bidi="ar-SA"/>
      </w:rPr>
    </w:lvl>
    <w:lvl w:ilvl="1">
      <w:start w:val="1"/>
      <w:numFmt w:val="decimal"/>
      <w:lvlText w:val="%1.%2"/>
      <w:lvlJc w:val="left"/>
      <w:pPr>
        <w:ind w:left="864" w:hanging="677"/>
        <w:jc w:val="left"/>
      </w:pPr>
      <w:rPr>
        <w:rFonts w:hint="default" w:ascii="Tahoma" w:hAnsi="Tahoma" w:eastAsia="Tahoma" w:cs="Tahoma"/>
        <w:b/>
        <w:bCs/>
        <w:i w:val="0"/>
        <w:iCs w:val="0"/>
        <w:spacing w:val="-2"/>
        <w:w w:val="101"/>
        <w:sz w:val="23"/>
        <w:szCs w:val="23"/>
        <w:lang w:val="en-US" w:eastAsia="en-US" w:bidi="ar-SA"/>
      </w:rPr>
    </w:lvl>
    <w:lvl w:ilvl="2">
      <w:start w:val="1"/>
      <w:numFmt w:val="lowerLetter"/>
      <w:lvlText w:val="%3-"/>
      <w:lvlJc w:val="left"/>
      <w:pPr>
        <w:ind w:left="1204" w:hanging="677"/>
        <w:jc w:val="right"/>
      </w:pPr>
      <w:rPr>
        <w:rFonts w:hint="default" w:ascii="Tahoma" w:hAnsi="Tahoma" w:eastAsia="Tahoma" w:cs="Tahoma"/>
        <w:b w:val="0"/>
        <w:bCs w:val="0"/>
        <w:i w:val="0"/>
        <w:iCs w:val="0"/>
        <w:spacing w:val="-3"/>
        <w:w w:val="101"/>
        <w:sz w:val="23"/>
        <w:szCs w:val="23"/>
        <w:lang w:val="en-US" w:eastAsia="en-US" w:bidi="ar-SA"/>
      </w:rPr>
    </w:lvl>
    <w:lvl w:ilvl="3">
      <w:start w:val="0"/>
      <w:numFmt w:val="bullet"/>
      <w:lvlText w:val="•"/>
      <w:lvlJc w:val="left"/>
      <w:pPr>
        <w:ind w:left="2986" w:hanging="677"/>
      </w:pPr>
      <w:rPr>
        <w:rFonts w:hint="default"/>
        <w:lang w:val="en-US" w:eastAsia="en-US" w:bidi="ar-SA"/>
      </w:rPr>
    </w:lvl>
    <w:lvl w:ilvl="4">
      <w:start w:val="0"/>
      <w:numFmt w:val="bullet"/>
      <w:lvlText w:val="•"/>
      <w:lvlJc w:val="left"/>
      <w:pPr>
        <w:ind w:left="3880" w:hanging="677"/>
      </w:pPr>
      <w:rPr>
        <w:rFonts w:hint="default"/>
        <w:lang w:val="en-US" w:eastAsia="en-US" w:bidi="ar-SA"/>
      </w:rPr>
    </w:lvl>
    <w:lvl w:ilvl="5">
      <w:start w:val="0"/>
      <w:numFmt w:val="bullet"/>
      <w:lvlText w:val="•"/>
      <w:lvlJc w:val="left"/>
      <w:pPr>
        <w:ind w:left="4773" w:hanging="677"/>
      </w:pPr>
      <w:rPr>
        <w:rFonts w:hint="default"/>
        <w:lang w:val="en-US" w:eastAsia="en-US" w:bidi="ar-SA"/>
      </w:rPr>
    </w:lvl>
    <w:lvl w:ilvl="6">
      <w:start w:val="0"/>
      <w:numFmt w:val="bullet"/>
      <w:lvlText w:val="•"/>
      <w:lvlJc w:val="left"/>
      <w:pPr>
        <w:ind w:left="5666" w:hanging="677"/>
      </w:pPr>
      <w:rPr>
        <w:rFonts w:hint="default"/>
        <w:lang w:val="en-US" w:eastAsia="en-US" w:bidi="ar-SA"/>
      </w:rPr>
    </w:lvl>
    <w:lvl w:ilvl="7">
      <w:start w:val="0"/>
      <w:numFmt w:val="bullet"/>
      <w:lvlText w:val="•"/>
      <w:lvlJc w:val="left"/>
      <w:pPr>
        <w:ind w:left="6560" w:hanging="677"/>
      </w:pPr>
      <w:rPr>
        <w:rFonts w:hint="default"/>
        <w:lang w:val="en-US" w:eastAsia="en-US" w:bidi="ar-SA"/>
      </w:rPr>
    </w:lvl>
    <w:lvl w:ilvl="8">
      <w:start w:val="0"/>
      <w:numFmt w:val="bullet"/>
      <w:lvlText w:val="•"/>
      <w:lvlJc w:val="left"/>
      <w:pPr>
        <w:ind w:left="7453" w:hanging="677"/>
      </w:pPr>
      <w:rPr>
        <w:rFonts w:hint="default"/>
        <w:lang w:val="en-US" w:eastAsia="en-US" w:bidi="ar-SA"/>
      </w:rPr>
    </w:lvl>
  </w:abstractNum>
  <w:abstractNum w:abstractNumId="7">
    <w:multiLevelType w:val="hybridMultilevel"/>
    <w:lvl w:ilvl="0">
      <w:start w:val="1"/>
      <w:numFmt w:val="decimal"/>
      <w:lvlText w:val="%1"/>
      <w:lvlJc w:val="left"/>
      <w:pPr>
        <w:ind w:left="1056" w:hanging="720"/>
        <w:jc w:val="left"/>
      </w:pPr>
      <w:rPr>
        <w:rFonts w:hint="default"/>
        <w:lang w:val="en-US" w:eastAsia="en-US" w:bidi="ar-SA"/>
      </w:rPr>
    </w:lvl>
    <w:lvl w:ilvl="1">
      <w:start w:val="4"/>
      <w:numFmt w:val="decimal"/>
      <w:lvlText w:val="%1.%2"/>
      <w:lvlJc w:val="left"/>
      <w:pPr>
        <w:ind w:left="1056" w:hanging="720"/>
        <w:jc w:val="left"/>
      </w:pPr>
      <w:rPr>
        <w:rFonts w:hint="default" w:ascii="Tahoma" w:hAnsi="Tahoma" w:eastAsia="Tahoma" w:cs="Tahoma"/>
        <w:b/>
        <w:bCs/>
        <w:i w:val="0"/>
        <w:iCs w:val="0"/>
        <w:spacing w:val="-1"/>
        <w:w w:val="99"/>
        <w:sz w:val="25"/>
        <w:szCs w:val="25"/>
        <w:lang w:val="en-US" w:eastAsia="en-US" w:bidi="ar-SA"/>
      </w:rPr>
    </w:lvl>
    <w:lvl w:ilvl="2">
      <w:start w:val="1"/>
      <w:numFmt w:val="decimal"/>
      <w:lvlText w:val="%1.%2.%3"/>
      <w:lvlJc w:val="left"/>
      <w:pPr>
        <w:ind w:left="1056" w:hanging="720"/>
        <w:jc w:val="left"/>
      </w:pPr>
      <w:rPr>
        <w:rFonts w:hint="default" w:ascii="Tahoma" w:hAnsi="Tahoma" w:eastAsia="Tahoma" w:cs="Tahoma"/>
        <w:b/>
        <w:bCs/>
        <w:i w:val="0"/>
        <w:iCs w:val="0"/>
        <w:spacing w:val="-1"/>
        <w:w w:val="99"/>
        <w:sz w:val="25"/>
        <w:szCs w:val="25"/>
        <w:lang w:val="en-US" w:eastAsia="en-US" w:bidi="ar-SA"/>
      </w:rPr>
    </w:lvl>
    <w:lvl w:ilvl="3">
      <w:start w:val="1"/>
      <w:numFmt w:val="decimal"/>
      <w:lvlText w:val="%1.%2.%3.%4"/>
      <w:lvlJc w:val="left"/>
      <w:pPr>
        <w:ind w:left="964" w:hanging="866"/>
        <w:jc w:val="left"/>
      </w:pPr>
      <w:rPr>
        <w:rFonts w:hint="default" w:ascii="Tahoma" w:hAnsi="Tahoma" w:eastAsia="Tahoma" w:cs="Tahoma"/>
        <w:b/>
        <w:bCs/>
        <w:i w:val="0"/>
        <w:iCs w:val="0"/>
        <w:spacing w:val="-1"/>
        <w:w w:val="99"/>
        <w:sz w:val="23"/>
        <w:szCs w:val="23"/>
        <w:lang w:val="en-US" w:eastAsia="en-US" w:bidi="ar-SA"/>
      </w:rPr>
    </w:lvl>
    <w:lvl w:ilvl="4">
      <w:start w:val="0"/>
      <w:numFmt w:val="bullet"/>
      <w:lvlText w:val="•"/>
      <w:lvlJc w:val="left"/>
      <w:pPr>
        <w:ind w:left="3786" w:hanging="866"/>
      </w:pPr>
      <w:rPr>
        <w:rFonts w:hint="default"/>
        <w:lang w:val="en-US" w:eastAsia="en-US" w:bidi="ar-SA"/>
      </w:rPr>
    </w:lvl>
    <w:lvl w:ilvl="5">
      <w:start w:val="0"/>
      <w:numFmt w:val="bullet"/>
      <w:lvlText w:val="•"/>
      <w:lvlJc w:val="left"/>
      <w:pPr>
        <w:ind w:left="4695" w:hanging="866"/>
      </w:pPr>
      <w:rPr>
        <w:rFonts w:hint="default"/>
        <w:lang w:val="en-US" w:eastAsia="en-US" w:bidi="ar-SA"/>
      </w:rPr>
    </w:lvl>
    <w:lvl w:ilvl="6">
      <w:start w:val="0"/>
      <w:numFmt w:val="bullet"/>
      <w:lvlText w:val="•"/>
      <w:lvlJc w:val="left"/>
      <w:pPr>
        <w:ind w:left="5604" w:hanging="866"/>
      </w:pPr>
      <w:rPr>
        <w:rFonts w:hint="default"/>
        <w:lang w:val="en-US" w:eastAsia="en-US" w:bidi="ar-SA"/>
      </w:rPr>
    </w:lvl>
    <w:lvl w:ilvl="7">
      <w:start w:val="0"/>
      <w:numFmt w:val="bullet"/>
      <w:lvlText w:val="•"/>
      <w:lvlJc w:val="left"/>
      <w:pPr>
        <w:ind w:left="6513" w:hanging="866"/>
      </w:pPr>
      <w:rPr>
        <w:rFonts w:hint="default"/>
        <w:lang w:val="en-US" w:eastAsia="en-US" w:bidi="ar-SA"/>
      </w:rPr>
    </w:lvl>
    <w:lvl w:ilvl="8">
      <w:start w:val="0"/>
      <w:numFmt w:val="bullet"/>
      <w:lvlText w:val="•"/>
      <w:lvlJc w:val="left"/>
      <w:pPr>
        <w:ind w:left="7422" w:hanging="866"/>
      </w:pPr>
      <w:rPr>
        <w:rFonts w:hint="default"/>
        <w:lang w:val="en-US" w:eastAsia="en-US" w:bidi="ar-SA"/>
      </w:rPr>
    </w:lvl>
  </w:abstractNum>
  <w:abstractNum w:abstractNumId="5">
    <w:multiLevelType w:val="hybridMultilevel"/>
    <w:lvl w:ilvl="0">
      <w:start w:val="1"/>
      <w:numFmt w:val="decimal"/>
      <w:lvlText w:val="%1"/>
      <w:lvlJc w:val="left"/>
      <w:pPr>
        <w:ind w:left="1056" w:hanging="720"/>
        <w:jc w:val="left"/>
      </w:pPr>
      <w:rPr>
        <w:rFonts w:hint="default"/>
        <w:lang w:val="en-US" w:eastAsia="en-US" w:bidi="ar-SA"/>
      </w:rPr>
    </w:lvl>
    <w:lvl w:ilvl="1">
      <w:start w:val="1"/>
      <w:numFmt w:val="decimal"/>
      <w:lvlText w:val="%1.%2"/>
      <w:lvlJc w:val="left"/>
      <w:pPr>
        <w:ind w:left="1056" w:hanging="720"/>
        <w:jc w:val="left"/>
      </w:pPr>
      <w:rPr>
        <w:rFonts w:hint="default" w:ascii="Tahoma" w:hAnsi="Tahoma" w:eastAsia="Tahoma" w:cs="Tahoma"/>
        <w:b/>
        <w:bCs/>
        <w:i w:val="0"/>
        <w:iCs w:val="0"/>
        <w:spacing w:val="-1"/>
        <w:w w:val="99"/>
        <w:sz w:val="25"/>
        <w:szCs w:val="25"/>
        <w:lang w:val="en-US" w:eastAsia="en-US" w:bidi="ar-SA"/>
      </w:rPr>
    </w:lvl>
    <w:lvl w:ilvl="2">
      <w:start w:val="0"/>
      <w:numFmt w:val="bullet"/>
      <w:lvlText w:val="•"/>
      <w:lvlJc w:val="left"/>
      <w:pPr>
        <w:ind w:left="2696" w:hanging="720"/>
      </w:pPr>
      <w:rPr>
        <w:rFonts w:hint="default"/>
        <w:lang w:val="en-US" w:eastAsia="en-US" w:bidi="ar-SA"/>
      </w:rPr>
    </w:lvl>
    <w:lvl w:ilvl="3">
      <w:start w:val="0"/>
      <w:numFmt w:val="bullet"/>
      <w:lvlText w:val="•"/>
      <w:lvlJc w:val="left"/>
      <w:pPr>
        <w:ind w:left="3514" w:hanging="720"/>
      </w:pPr>
      <w:rPr>
        <w:rFonts w:hint="default"/>
        <w:lang w:val="en-US" w:eastAsia="en-US" w:bidi="ar-SA"/>
      </w:rPr>
    </w:lvl>
    <w:lvl w:ilvl="4">
      <w:start w:val="0"/>
      <w:numFmt w:val="bullet"/>
      <w:lvlText w:val="•"/>
      <w:lvlJc w:val="left"/>
      <w:pPr>
        <w:ind w:left="4332" w:hanging="720"/>
      </w:pPr>
      <w:rPr>
        <w:rFonts w:hint="default"/>
        <w:lang w:val="en-US" w:eastAsia="en-US" w:bidi="ar-SA"/>
      </w:rPr>
    </w:lvl>
    <w:lvl w:ilvl="5">
      <w:start w:val="0"/>
      <w:numFmt w:val="bullet"/>
      <w:lvlText w:val="•"/>
      <w:lvlJc w:val="left"/>
      <w:pPr>
        <w:ind w:left="5150" w:hanging="720"/>
      </w:pPr>
      <w:rPr>
        <w:rFonts w:hint="default"/>
        <w:lang w:val="en-US" w:eastAsia="en-US" w:bidi="ar-SA"/>
      </w:rPr>
    </w:lvl>
    <w:lvl w:ilvl="6">
      <w:start w:val="0"/>
      <w:numFmt w:val="bullet"/>
      <w:lvlText w:val="•"/>
      <w:lvlJc w:val="left"/>
      <w:pPr>
        <w:ind w:left="5968" w:hanging="720"/>
      </w:pPr>
      <w:rPr>
        <w:rFonts w:hint="default"/>
        <w:lang w:val="en-US" w:eastAsia="en-US" w:bidi="ar-SA"/>
      </w:rPr>
    </w:lvl>
    <w:lvl w:ilvl="7">
      <w:start w:val="0"/>
      <w:numFmt w:val="bullet"/>
      <w:lvlText w:val="•"/>
      <w:lvlJc w:val="left"/>
      <w:pPr>
        <w:ind w:left="6786" w:hanging="720"/>
      </w:pPr>
      <w:rPr>
        <w:rFonts w:hint="default"/>
        <w:lang w:val="en-US" w:eastAsia="en-US" w:bidi="ar-SA"/>
      </w:rPr>
    </w:lvl>
    <w:lvl w:ilvl="8">
      <w:start w:val="0"/>
      <w:numFmt w:val="bullet"/>
      <w:lvlText w:val="•"/>
      <w:lvlJc w:val="left"/>
      <w:pPr>
        <w:ind w:left="7604" w:hanging="720"/>
      </w:pPr>
      <w:rPr>
        <w:rFonts w:hint="default"/>
        <w:lang w:val="en-US" w:eastAsia="en-US" w:bidi="ar-SA"/>
      </w:rPr>
    </w:lvl>
  </w:abstractNum>
  <w:abstractNum w:abstractNumId="4">
    <w:multiLevelType w:val="hybridMultilevel"/>
    <w:lvl w:ilvl="0">
      <w:start w:val="6"/>
      <w:numFmt w:val="decimal"/>
      <w:lvlText w:val="%1"/>
      <w:lvlJc w:val="left"/>
      <w:pPr>
        <w:ind w:left="864" w:hanging="591"/>
        <w:jc w:val="left"/>
      </w:pPr>
      <w:rPr>
        <w:rFonts w:hint="default"/>
        <w:lang w:val="en-US" w:eastAsia="en-US" w:bidi="ar-SA"/>
      </w:rPr>
    </w:lvl>
    <w:lvl w:ilvl="1">
      <w:start w:val="1"/>
      <w:numFmt w:val="decimal"/>
      <w:lvlText w:val="%1.%2"/>
      <w:lvlJc w:val="left"/>
      <w:pPr>
        <w:ind w:left="864" w:hanging="591"/>
        <w:jc w:val="left"/>
      </w:pPr>
      <w:rPr>
        <w:rFonts w:hint="default"/>
        <w:spacing w:val="-8"/>
        <w:w w:val="103"/>
        <w:lang w:val="en-US" w:eastAsia="en-US" w:bidi="ar-SA"/>
      </w:rPr>
    </w:lvl>
    <w:lvl w:ilvl="2">
      <w:start w:val="0"/>
      <w:numFmt w:val="bullet"/>
      <w:lvlText w:val="•"/>
      <w:lvlJc w:val="left"/>
      <w:pPr>
        <w:ind w:left="2536" w:hanging="591"/>
      </w:pPr>
      <w:rPr>
        <w:rFonts w:hint="default"/>
        <w:lang w:val="en-US" w:eastAsia="en-US" w:bidi="ar-SA"/>
      </w:rPr>
    </w:lvl>
    <w:lvl w:ilvl="3">
      <w:start w:val="0"/>
      <w:numFmt w:val="bullet"/>
      <w:lvlText w:val="•"/>
      <w:lvlJc w:val="left"/>
      <w:pPr>
        <w:ind w:left="3374" w:hanging="591"/>
      </w:pPr>
      <w:rPr>
        <w:rFonts w:hint="default"/>
        <w:lang w:val="en-US" w:eastAsia="en-US" w:bidi="ar-SA"/>
      </w:rPr>
    </w:lvl>
    <w:lvl w:ilvl="4">
      <w:start w:val="0"/>
      <w:numFmt w:val="bullet"/>
      <w:lvlText w:val="•"/>
      <w:lvlJc w:val="left"/>
      <w:pPr>
        <w:ind w:left="4212" w:hanging="591"/>
      </w:pPr>
      <w:rPr>
        <w:rFonts w:hint="default"/>
        <w:lang w:val="en-US" w:eastAsia="en-US" w:bidi="ar-SA"/>
      </w:rPr>
    </w:lvl>
    <w:lvl w:ilvl="5">
      <w:start w:val="0"/>
      <w:numFmt w:val="bullet"/>
      <w:lvlText w:val="•"/>
      <w:lvlJc w:val="left"/>
      <w:pPr>
        <w:ind w:left="5050" w:hanging="591"/>
      </w:pPr>
      <w:rPr>
        <w:rFonts w:hint="default"/>
        <w:lang w:val="en-US" w:eastAsia="en-US" w:bidi="ar-SA"/>
      </w:rPr>
    </w:lvl>
    <w:lvl w:ilvl="6">
      <w:start w:val="0"/>
      <w:numFmt w:val="bullet"/>
      <w:lvlText w:val="•"/>
      <w:lvlJc w:val="left"/>
      <w:pPr>
        <w:ind w:left="5888" w:hanging="591"/>
      </w:pPr>
      <w:rPr>
        <w:rFonts w:hint="default"/>
        <w:lang w:val="en-US" w:eastAsia="en-US" w:bidi="ar-SA"/>
      </w:rPr>
    </w:lvl>
    <w:lvl w:ilvl="7">
      <w:start w:val="0"/>
      <w:numFmt w:val="bullet"/>
      <w:lvlText w:val="•"/>
      <w:lvlJc w:val="left"/>
      <w:pPr>
        <w:ind w:left="6726" w:hanging="591"/>
      </w:pPr>
      <w:rPr>
        <w:rFonts w:hint="default"/>
        <w:lang w:val="en-US" w:eastAsia="en-US" w:bidi="ar-SA"/>
      </w:rPr>
    </w:lvl>
    <w:lvl w:ilvl="8">
      <w:start w:val="0"/>
      <w:numFmt w:val="bullet"/>
      <w:lvlText w:val="•"/>
      <w:lvlJc w:val="left"/>
      <w:pPr>
        <w:ind w:left="7564" w:hanging="591"/>
      </w:pPr>
      <w:rPr>
        <w:rFonts w:hint="default"/>
        <w:lang w:val="en-US" w:eastAsia="en-US" w:bidi="ar-SA"/>
      </w:rPr>
    </w:lvl>
  </w:abstractNum>
  <w:abstractNum w:abstractNumId="3">
    <w:multiLevelType w:val="hybridMultilevel"/>
    <w:lvl w:ilvl="0">
      <w:start w:val="5"/>
      <w:numFmt w:val="decimal"/>
      <w:lvlText w:val="%1"/>
      <w:lvlJc w:val="left"/>
      <w:pPr>
        <w:ind w:left="647" w:hanging="461"/>
        <w:jc w:val="left"/>
      </w:pPr>
      <w:rPr>
        <w:rFonts w:hint="default"/>
        <w:lang w:val="en-US" w:eastAsia="en-US" w:bidi="ar-SA"/>
      </w:rPr>
    </w:lvl>
    <w:lvl w:ilvl="1">
      <w:start w:val="1"/>
      <w:numFmt w:val="decimal"/>
      <w:lvlText w:val="%1.%2"/>
      <w:lvlJc w:val="left"/>
      <w:pPr>
        <w:ind w:left="647" w:hanging="461"/>
        <w:jc w:val="left"/>
      </w:pPr>
      <w:rPr>
        <w:rFonts w:hint="default" w:ascii="Tahoma" w:hAnsi="Tahoma" w:eastAsia="Tahoma" w:cs="Tahoma"/>
        <w:b w:val="0"/>
        <w:bCs w:val="0"/>
        <w:i w:val="0"/>
        <w:iCs w:val="0"/>
        <w:spacing w:val="-1"/>
        <w:w w:val="102"/>
        <w:sz w:val="22"/>
        <w:szCs w:val="22"/>
        <w:lang w:val="en-US" w:eastAsia="en-US" w:bidi="ar-SA"/>
      </w:rPr>
    </w:lvl>
    <w:lvl w:ilvl="2">
      <w:start w:val="1"/>
      <w:numFmt w:val="decimal"/>
      <w:lvlText w:val="%1.%2.%3"/>
      <w:lvlJc w:val="left"/>
      <w:pPr>
        <w:ind w:left="767" w:hanging="581"/>
        <w:jc w:val="left"/>
      </w:pPr>
      <w:rPr>
        <w:rFonts w:hint="default" w:ascii="Tahoma" w:hAnsi="Tahoma" w:eastAsia="Tahoma" w:cs="Tahoma"/>
        <w:b w:val="0"/>
        <w:bCs w:val="0"/>
        <w:i w:val="0"/>
        <w:iCs w:val="0"/>
        <w:spacing w:val="-6"/>
        <w:w w:val="102"/>
        <w:sz w:val="22"/>
        <w:szCs w:val="22"/>
        <w:lang w:val="en-US" w:eastAsia="en-US" w:bidi="ar-SA"/>
      </w:rPr>
    </w:lvl>
    <w:lvl w:ilvl="3">
      <w:start w:val="0"/>
      <w:numFmt w:val="bullet"/>
      <w:lvlText w:val="•"/>
      <w:lvlJc w:val="left"/>
      <w:pPr>
        <w:ind w:left="2644" w:hanging="581"/>
      </w:pPr>
      <w:rPr>
        <w:rFonts w:hint="default"/>
        <w:lang w:val="en-US" w:eastAsia="en-US" w:bidi="ar-SA"/>
      </w:rPr>
    </w:lvl>
    <w:lvl w:ilvl="4">
      <w:start w:val="0"/>
      <w:numFmt w:val="bullet"/>
      <w:lvlText w:val="•"/>
      <w:lvlJc w:val="left"/>
      <w:pPr>
        <w:ind w:left="3586" w:hanging="581"/>
      </w:pPr>
      <w:rPr>
        <w:rFonts w:hint="default"/>
        <w:lang w:val="en-US" w:eastAsia="en-US" w:bidi="ar-SA"/>
      </w:rPr>
    </w:lvl>
    <w:lvl w:ilvl="5">
      <w:start w:val="0"/>
      <w:numFmt w:val="bullet"/>
      <w:lvlText w:val="•"/>
      <w:lvlJc w:val="left"/>
      <w:pPr>
        <w:ind w:left="4528" w:hanging="581"/>
      </w:pPr>
      <w:rPr>
        <w:rFonts w:hint="default"/>
        <w:lang w:val="en-US" w:eastAsia="en-US" w:bidi="ar-SA"/>
      </w:rPr>
    </w:lvl>
    <w:lvl w:ilvl="6">
      <w:start w:val="0"/>
      <w:numFmt w:val="bullet"/>
      <w:lvlText w:val="•"/>
      <w:lvlJc w:val="left"/>
      <w:pPr>
        <w:ind w:left="5471" w:hanging="581"/>
      </w:pPr>
      <w:rPr>
        <w:rFonts w:hint="default"/>
        <w:lang w:val="en-US" w:eastAsia="en-US" w:bidi="ar-SA"/>
      </w:rPr>
    </w:lvl>
    <w:lvl w:ilvl="7">
      <w:start w:val="0"/>
      <w:numFmt w:val="bullet"/>
      <w:lvlText w:val="•"/>
      <w:lvlJc w:val="left"/>
      <w:pPr>
        <w:ind w:left="6413" w:hanging="581"/>
      </w:pPr>
      <w:rPr>
        <w:rFonts w:hint="default"/>
        <w:lang w:val="en-US" w:eastAsia="en-US" w:bidi="ar-SA"/>
      </w:rPr>
    </w:lvl>
    <w:lvl w:ilvl="8">
      <w:start w:val="0"/>
      <w:numFmt w:val="bullet"/>
      <w:lvlText w:val="•"/>
      <w:lvlJc w:val="left"/>
      <w:pPr>
        <w:ind w:left="7355" w:hanging="581"/>
      </w:pPr>
      <w:rPr>
        <w:rFonts w:hint="default"/>
        <w:lang w:val="en-US" w:eastAsia="en-US" w:bidi="ar-SA"/>
      </w:rPr>
    </w:lvl>
  </w:abstractNum>
  <w:abstractNum w:abstractNumId="2">
    <w:multiLevelType w:val="hybridMultilevel"/>
    <w:lvl w:ilvl="0">
      <w:start w:val="3"/>
      <w:numFmt w:val="decimal"/>
      <w:lvlText w:val="%1"/>
      <w:lvlJc w:val="left"/>
      <w:pPr>
        <w:ind w:left="864" w:hanging="677"/>
        <w:jc w:val="left"/>
      </w:pPr>
      <w:rPr>
        <w:rFonts w:hint="default"/>
        <w:lang w:val="en-US" w:eastAsia="en-US" w:bidi="ar-SA"/>
      </w:rPr>
    </w:lvl>
    <w:lvl w:ilvl="1">
      <w:start w:val="1"/>
      <w:numFmt w:val="decimal"/>
      <w:lvlText w:val="%1.%2"/>
      <w:lvlJc w:val="left"/>
      <w:pPr>
        <w:ind w:left="864" w:hanging="677"/>
        <w:jc w:val="left"/>
      </w:pPr>
      <w:rPr>
        <w:rFonts w:hint="default"/>
        <w:spacing w:val="0"/>
        <w:w w:val="102"/>
        <w:lang w:val="en-US" w:eastAsia="en-US" w:bidi="ar-SA"/>
      </w:rPr>
    </w:lvl>
    <w:lvl w:ilvl="2">
      <w:start w:val="1"/>
      <w:numFmt w:val="decimal"/>
      <w:lvlText w:val="%1.%2.%3"/>
      <w:lvlJc w:val="left"/>
      <w:pPr>
        <w:ind w:left="864" w:hanging="677"/>
        <w:jc w:val="left"/>
      </w:pPr>
      <w:rPr>
        <w:rFonts w:hint="default" w:ascii="Tahoma" w:hAnsi="Tahoma" w:eastAsia="Tahoma" w:cs="Tahoma"/>
        <w:b w:val="0"/>
        <w:bCs w:val="0"/>
        <w:i w:val="0"/>
        <w:iCs w:val="0"/>
        <w:spacing w:val="-6"/>
        <w:w w:val="102"/>
        <w:sz w:val="22"/>
        <w:szCs w:val="22"/>
        <w:lang w:val="en-US" w:eastAsia="en-US" w:bidi="ar-SA"/>
      </w:rPr>
    </w:lvl>
    <w:lvl w:ilvl="3">
      <w:start w:val="0"/>
      <w:numFmt w:val="bullet"/>
      <w:lvlText w:val="•"/>
      <w:lvlJc w:val="left"/>
      <w:pPr>
        <w:ind w:left="3374" w:hanging="677"/>
      </w:pPr>
      <w:rPr>
        <w:rFonts w:hint="default"/>
        <w:lang w:val="en-US" w:eastAsia="en-US" w:bidi="ar-SA"/>
      </w:rPr>
    </w:lvl>
    <w:lvl w:ilvl="4">
      <w:start w:val="0"/>
      <w:numFmt w:val="bullet"/>
      <w:lvlText w:val="•"/>
      <w:lvlJc w:val="left"/>
      <w:pPr>
        <w:ind w:left="4212" w:hanging="677"/>
      </w:pPr>
      <w:rPr>
        <w:rFonts w:hint="default"/>
        <w:lang w:val="en-US" w:eastAsia="en-US" w:bidi="ar-SA"/>
      </w:rPr>
    </w:lvl>
    <w:lvl w:ilvl="5">
      <w:start w:val="0"/>
      <w:numFmt w:val="bullet"/>
      <w:lvlText w:val="•"/>
      <w:lvlJc w:val="left"/>
      <w:pPr>
        <w:ind w:left="5050" w:hanging="677"/>
      </w:pPr>
      <w:rPr>
        <w:rFonts w:hint="default"/>
        <w:lang w:val="en-US" w:eastAsia="en-US" w:bidi="ar-SA"/>
      </w:rPr>
    </w:lvl>
    <w:lvl w:ilvl="6">
      <w:start w:val="0"/>
      <w:numFmt w:val="bullet"/>
      <w:lvlText w:val="•"/>
      <w:lvlJc w:val="left"/>
      <w:pPr>
        <w:ind w:left="5888" w:hanging="677"/>
      </w:pPr>
      <w:rPr>
        <w:rFonts w:hint="default"/>
        <w:lang w:val="en-US" w:eastAsia="en-US" w:bidi="ar-SA"/>
      </w:rPr>
    </w:lvl>
    <w:lvl w:ilvl="7">
      <w:start w:val="0"/>
      <w:numFmt w:val="bullet"/>
      <w:lvlText w:val="•"/>
      <w:lvlJc w:val="left"/>
      <w:pPr>
        <w:ind w:left="6726" w:hanging="677"/>
      </w:pPr>
      <w:rPr>
        <w:rFonts w:hint="default"/>
        <w:lang w:val="en-US" w:eastAsia="en-US" w:bidi="ar-SA"/>
      </w:rPr>
    </w:lvl>
    <w:lvl w:ilvl="8">
      <w:start w:val="0"/>
      <w:numFmt w:val="bullet"/>
      <w:lvlText w:val="•"/>
      <w:lvlJc w:val="left"/>
      <w:pPr>
        <w:ind w:left="7564" w:hanging="677"/>
      </w:pPr>
      <w:rPr>
        <w:rFonts w:hint="default"/>
        <w:lang w:val="en-US" w:eastAsia="en-US" w:bidi="ar-SA"/>
      </w:rPr>
    </w:lvl>
  </w:abstractNum>
  <w:abstractNum w:abstractNumId="1">
    <w:multiLevelType w:val="hybridMultilevel"/>
    <w:lvl w:ilvl="0">
      <w:start w:val="1"/>
      <w:numFmt w:val="decimal"/>
      <w:lvlText w:val="%1"/>
      <w:lvlJc w:val="left"/>
      <w:pPr>
        <w:ind w:left="864" w:hanging="677"/>
        <w:jc w:val="left"/>
      </w:pPr>
      <w:rPr>
        <w:rFonts w:hint="default"/>
        <w:lang w:val="en-US" w:eastAsia="en-US" w:bidi="ar-SA"/>
      </w:rPr>
    </w:lvl>
    <w:lvl w:ilvl="1">
      <w:start w:val="1"/>
      <w:numFmt w:val="decimal"/>
      <w:lvlText w:val="%1.%2"/>
      <w:lvlJc w:val="left"/>
      <w:pPr>
        <w:ind w:left="864" w:hanging="677"/>
        <w:jc w:val="left"/>
      </w:pPr>
      <w:rPr>
        <w:rFonts w:hint="default" w:ascii="Tahoma" w:hAnsi="Tahoma" w:eastAsia="Tahoma" w:cs="Tahoma"/>
        <w:b w:val="0"/>
        <w:bCs w:val="0"/>
        <w:i w:val="0"/>
        <w:iCs w:val="0"/>
        <w:spacing w:val="-1"/>
        <w:w w:val="102"/>
        <w:sz w:val="22"/>
        <w:szCs w:val="22"/>
        <w:lang w:val="en-US" w:eastAsia="en-US" w:bidi="ar-SA"/>
      </w:rPr>
    </w:lvl>
    <w:lvl w:ilvl="2">
      <w:start w:val="0"/>
      <w:numFmt w:val="bullet"/>
      <w:lvlText w:val="•"/>
      <w:lvlJc w:val="left"/>
      <w:pPr>
        <w:ind w:left="2536" w:hanging="677"/>
      </w:pPr>
      <w:rPr>
        <w:rFonts w:hint="default"/>
        <w:lang w:val="en-US" w:eastAsia="en-US" w:bidi="ar-SA"/>
      </w:rPr>
    </w:lvl>
    <w:lvl w:ilvl="3">
      <w:start w:val="0"/>
      <w:numFmt w:val="bullet"/>
      <w:lvlText w:val="•"/>
      <w:lvlJc w:val="left"/>
      <w:pPr>
        <w:ind w:left="3374" w:hanging="677"/>
      </w:pPr>
      <w:rPr>
        <w:rFonts w:hint="default"/>
        <w:lang w:val="en-US" w:eastAsia="en-US" w:bidi="ar-SA"/>
      </w:rPr>
    </w:lvl>
    <w:lvl w:ilvl="4">
      <w:start w:val="0"/>
      <w:numFmt w:val="bullet"/>
      <w:lvlText w:val="•"/>
      <w:lvlJc w:val="left"/>
      <w:pPr>
        <w:ind w:left="4212" w:hanging="677"/>
      </w:pPr>
      <w:rPr>
        <w:rFonts w:hint="default"/>
        <w:lang w:val="en-US" w:eastAsia="en-US" w:bidi="ar-SA"/>
      </w:rPr>
    </w:lvl>
    <w:lvl w:ilvl="5">
      <w:start w:val="0"/>
      <w:numFmt w:val="bullet"/>
      <w:lvlText w:val="•"/>
      <w:lvlJc w:val="left"/>
      <w:pPr>
        <w:ind w:left="5050" w:hanging="677"/>
      </w:pPr>
      <w:rPr>
        <w:rFonts w:hint="default"/>
        <w:lang w:val="en-US" w:eastAsia="en-US" w:bidi="ar-SA"/>
      </w:rPr>
    </w:lvl>
    <w:lvl w:ilvl="6">
      <w:start w:val="0"/>
      <w:numFmt w:val="bullet"/>
      <w:lvlText w:val="•"/>
      <w:lvlJc w:val="left"/>
      <w:pPr>
        <w:ind w:left="5888" w:hanging="677"/>
      </w:pPr>
      <w:rPr>
        <w:rFonts w:hint="default"/>
        <w:lang w:val="en-US" w:eastAsia="en-US" w:bidi="ar-SA"/>
      </w:rPr>
    </w:lvl>
    <w:lvl w:ilvl="7">
      <w:start w:val="0"/>
      <w:numFmt w:val="bullet"/>
      <w:lvlText w:val="•"/>
      <w:lvlJc w:val="left"/>
      <w:pPr>
        <w:ind w:left="6726" w:hanging="677"/>
      </w:pPr>
      <w:rPr>
        <w:rFonts w:hint="default"/>
        <w:lang w:val="en-US" w:eastAsia="en-US" w:bidi="ar-SA"/>
      </w:rPr>
    </w:lvl>
    <w:lvl w:ilvl="8">
      <w:start w:val="0"/>
      <w:numFmt w:val="bullet"/>
      <w:lvlText w:val="•"/>
      <w:lvlJc w:val="left"/>
      <w:pPr>
        <w:ind w:left="7564" w:hanging="677"/>
      </w:pPr>
      <w:rPr>
        <w:rFonts w:hint="default"/>
        <w:lang w:val="en-US" w:eastAsia="en-US" w:bidi="ar-SA"/>
      </w:rPr>
    </w:lvl>
  </w:abstractNum>
  <w:abstractNum w:abstractNumId="0">
    <w:multiLevelType w:val="hybridMultilevel"/>
    <w:lvl w:ilvl="0">
      <w:start w:val="0"/>
      <w:numFmt w:val="bullet"/>
      <w:lvlText w:val="-"/>
      <w:lvlJc w:val="left"/>
      <w:pPr>
        <w:ind w:left="864" w:hanging="677"/>
      </w:pPr>
      <w:rPr>
        <w:rFonts w:hint="default" w:ascii="Tahoma" w:hAnsi="Tahoma" w:eastAsia="Tahoma" w:cs="Tahoma"/>
        <w:b w:val="0"/>
        <w:bCs w:val="0"/>
        <w:i w:val="0"/>
        <w:iCs w:val="0"/>
        <w:spacing w:val="0"/>
        <w:w w:val="102"/>
        <w:sz w:val="22"/>
        <w:szCs w:val="22"/>
        <w:lang w:val="en-US" w:eastAsia="en-US" w:bidi="ar-SA"/>
      </w:rPr>
    </w:lvl>
    <w:lvl w:ilvl="1">
      <w:start w:val="0"/>
      <w:numFmt w:val="bullet"/>
      <w:lvlText w:val="•"/>
      <w:lvlJc w:val="left"/>
      <w:pPr>
        <w:ind w:left="1698" w:hanging="677"/>
      </w:pPr>
      <w:rPr>
        <w:rFonts w:hint="default"/>
        <w:lang w:val="en-US" w:eastAsia="en-US" w:bidi="ar-SA"/>
      </w:rPr>
    </w:lvl>
    <w:lvl w:ilvl="2">
      <w:start w:val="0"/>
      <w:numFmt w:val="bullet"/>
      <w:lvlText w:val="•"/>
      <w:lvlJc w:val="left"/>
      <w:pPr>
        <w:ind w:left="2536" w:hanging="677"/>
      </w:pPr>
      <w:rPr>
        <w:rFonts w:hint="default"/>
        <w:lang w:val="en-US" w:eastAsia="en-US" w:bidi="ar-SA"/>
      </w:rPr>
    </w:lvl>
    <w:lvl w:ilvl="3">
      <w:start w:val="0"/>
      <w:numFmt w:val="bullet"/>
      <w:lvlText w:val="•"/>
      <w:lvlJc w:val="left"/>
      <w:pPr>
        <w:ind w:left="3374" w:hanging="677"/>
      </w:pPr>
      <w:rPr>
        <w:rFonts w:hint="default"/>
        <w:lang w:val="en-US" w:eastAsia="en-US" w:bidi="ar-SA"/>
      </w:rPr>
    </w:lvl>
    <w:lvl w:ilvl="4">
      <w:start w:val="0"/>
      <w:numFmt w:val="bullet"/>
      <w:lvlText w:val="•"/>
      <w:lvlJc w:val="left"/>
      <w:pPr>
        <w:ind w:left="4212" w:hanging="677"/>
      </w:pPr>
      <w:rPr>
        <w:rFonts w:hint="default"/>
        <w:lang w:val="en-US" w:eastAsia="en-US" w:bidi="ar-SA"/>
      </w:rPr>
    </w:lvl>
    <w:lvl w:ilvl="5">
      <w:start w:val="0"/>
      <w:numFmt w:val="bullet"/>
      <w:lvlText w:val="•"/>
      <w:lvlJc w:val="left"/>
      <w:pPr>
        <w:ind w:left="5050" w:hanging="677"/>
      </w:pPr>
      <w:rPr>
        <w:rFonts w:hint="default"/>
        <w:lang w:val="en-US" w:eastAsia="en-US" w:bidi="ar-SA"/>
      </w:rPr>
    </w:lvl>
    <w:lvl w:ilvl="6">
      <w:start w:val="0"/>
      <w:numFmt w:val="bullet"/>
      <w:lvlText w:val="•"/>
      <w:lvlJc w:val="left"/>
      <w:pPr>
        <w:ind w:left="5888" w:hanging="677"/>
      </w:pPr>
      <w:rPr>
        <w:rFonts w:hint="default"/>
        <w:lang w:val="en-US" w:eastAsia="en-US" w:bidi="ar-SA"/>
      </w:rPr>
    </w:lvl>
    <w:lvl w:ilvl="7">
      <w:start w:val="0"/>
      <w:numFmt w:val="bullet"/>
      <w:lvlText w:val="•"/>
      <w:lvlJc w:val="left"/>
      <w:pPr>
        <w:ind w:left="6726" w:hanging="677"/>
      </w:pPr>
      <w:rPr>
        <w:rFonts w:hint="default"/>
        <w:lang w:val="en-US" w:eastAsia="en-US" w:bidi="ar-SA"/>
      </w:rPr>
    </w:lvl>
    <w:lvl w:ilvl="8">
      <w:start w:val="0"/>
      <w:numFmt w:val="bullet"/>
      <w:lvlText w:val="•"/>
      <w:lvlJc w:val="left"/>
      <w:pPr>
        <w:ind w:left="7564" w:hanging="677"/>
      </w:pPr>
      <w:rPr>
        <w:rFonts w:hint="default"/>
        <w:lang w:val="en-US" w:eastAsia="en-US" w:bidi="ar-SA"/>
      </w:rPr>
    </w:lvl>
  </w:abstractNum>
  <w:num w:numId="7">
    <w:abstractNumId w:val="6"/>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ahoma" w:hAnsi="Tahoma" w:eastAsia="Tahoma" w:cs="Tahoma"/>
      <w:lang w:val="en-US" w:eastAsia="en-US" w:bidi="ar-SA"/>
    </w:rPr>
  </w:style>
  <w:style w:styleId="TOC1" w:type="paragraph">
    <w:name w:val="TOC 1"/>
    <w:basedOn w:val="Normal"/>
    <w:uiPriority w:val="1"/>
    <w:qFormat/>
    <w:pPr>
      <w:spacing w:before="66"/>
      <w:ind w:left="863" w:hanging="676"/>
    </w:pPr>
    <w:rPr>
      <w:rFonts w:ascii="Tahoma" w:hAnsi="Tahoma" w:eastAsia="Tahoma" w:cs="Tahoma"/>
      <w:b/>
      <w:bCs/>
      <w:sz w:val="22"/>
      <w:szCs w:val="22"/>
      <w:lang w:val="en-US" w:eastAsia="en-US" w:bidi="ar-SA"/>
    </w:rPr>
  </w:style>
  <w:style w:styleId="TOC2" w:type="paragraph">
    <w:name w:val="TOC 2"/>
    <w:basedOn w:val="Normal"/>
    <w:uiPriority w:val="1"/>
    <w:qFormat/>
    <w:pPr>
      <w:spacing w:before="61"/>
      <w:ind w:left="187"/>
    </w:pPr>
    <w:rPr>
      <w:rFonts w:ascii="Tahoma" w:hAnsi="Tahoma" w:eastAsia="Tahoma" w:cs="Tahoma"/>
      <w:sz w:val="22"/>
      <w:szCs w:val="22"/>
      <w:lang w:val="en-US" w:eastAsia="en-US" w:bidi="ar-SA"/>
    </w:rPr>
  </w:style>
  <w:style w:styleId="TOC3" w:type="paragraph">
    <w:name w:val="TOC 3"/>
    <w:basedOn w:val="Normal"/>
    <w:uiPriority w:val="1"/>
    <w:qFormat/>
    <w:pPr>
      <w:spacing w:before="94"/>
      <w:ind w:left="944" w:hanging="671"/>
    </w:pPr>
    <w:rPr>
      <w:rFonts w:ascii="Tahoma" w:hAnsi="Tahoma" w:eastAsia="Tahoma" w:cs="Tahoma"/>
      <w:sz w:val="22"/>
      <w:szCs w:val="22"/>
      <w:lang w:val="en-US" w:eastAsia="en-US" w:bidi="ar-SA"/>
    </w:rPr>
  </w:style>
  <w:style w:styleId="TOC4" w:type="paragraph">
    <w:name w:val="TOC 4"/>
    <w:basedOn w:val="Normal"/>
    <w:uiPriority w:val="1"/>
    <w:qFormat/>
    <w:pPr>
      <w:spacing w:before="5"/>
      <w:ind w:left="863" w:hanging="590"/>
    </w:pPr>
    <w:rPr>
      <w:rFonts w:ascii="Tahoma" w:hAnsi="Tahoma" w:eastAsia="Tahoma" w:cs="Tahoma"/>
      <w:sz w:val="20"/>
      <w:szCs w:val="20"/>
      <w:lang w:val="en-US" w:eastAsia="en-US" w:bidi="ar-SA"/>
    </w:rPr>
  </w:style>
  <w:style w:styleId="TOC5" w:type="paragraph">
    <w:name w:val="TOC 5"/>
    <w:basedOn w:val="Normal"/>
    <w:uiPriority w:val="1"/>
    <w:qFormat/>
    <w:pPr>
      <w:spacing w:before="61"/>
      <w:ind w:left="931"/>
    </w:pPr>
    <w:rPr>
      <w:rFonts w:ascii="Tahoma" w:hAnsi="Tahoma" w:eastAsia="Tahoma" w:cs="Tahoma"/>
      <w:b/>
      <w:bCs/>
      <w:sz w:val="22"/>
      <w:szCs w:val="22"/>
      <w:lang w:val="en-US" w:eastAsia="en-US" w:bidi="ar-SA"/>
    </w:rPr>
  </w:style>
  <w:style w:styleId="TOC6" w:type="paragraph">
    <w:name w:val="TOC 6"/>
    <w:basedOn w:val="Normal"/>
    <w:uiPriority w:val="1"/>
    <w:qFormat/>
    <w:pPr>
      <w:spacing w:before="61"/>
      <w:ind w:left="864"/>
    </w:pPr>
    <w:rPr>
      <w:rFonts w:ascii="Tahoma" w:hAnsi="Tahoma" w:eastAsia="Tahoma" w:cs="Tahoma"/>
      <w:sz w:val="22"/>
      <w:szCs w:val="22"/>
      <w:lang w:val="en-US" w:eastAsia="en-US" w:bidi="ar-SA"/>
    </w:rPr>
  </w:style>
  <w:style w:styleId="TOC7" w:type="paragraph">
    <w:name w:val="TOC 7"/>
    <w:basedOn w:val="Normal"/>
    <w:uiPriority w:val="1"/>
    <w:qFormat/>
    <w:pPr>
      <w:spacing w:before="253"/>
      <w:ind w:left="2649"/>
    </w:pPr>
    <w:rPr>
      <w:rFonts w:ascii="Tahoma" w:hAnsi="Tahoma" w:eastAsia="Tahoma" w:cs="Tahoma"/>
      <w:b/>
      <w:bCs/>
      <w:sz w:val="22"/>
      <w:szCs w:val="22"/>
      <w:lang w:val="en-US" w:eastAsia="en-US" w:bidi="ar-SA"/>
    </w:rPr>
  </w:style>
  <w:style w:styleId="TOC8" w:type="paragraph">
    <w:name w:val="TOC 8"/>
    <w:basedOn w:val="Normal"/>
    <w:uiPriority w:val="1"/>
    <w:qFormat/>
    <w:pPr>
      <w:spacing w:before="143"/>
      <w:ind w:left="2481" w:right="2930" w:firstLine="484"/>
    </w:pPr>
    <w:rPr>
      <w:rFonts w:ascii="Tahoma" w:hAnsi="Tahoma" w:eastAsia="Tahoma" w:cs="Tahoma"/>
      <w:b/>
      <w:bCs/>
      <w:sz w:val="22"/>
      <w:szCs w:val="22"/>
      <w:lang w:val="en-US" w:eastAsia="en-US" w:bidi="ar-SA"/>
    </w:rPr>
  </w:style>
  <w:style w:styleId="BodyText" w:type="paragraph">
    <w:name w:val="Body Text"/>
    <w:basedOn w:val="Normal"/>
    <w:uiPriority w:val="1"/>
    <w:qFormat/>
    <w:pPr/>
    <w:rPr>
      <w:rFonts w:ascii="Tahoma" w:hAnsi="Tahoma" w:eastAsia="Tahoma" w:cs="Tahoma"/>
      <w:sz w:val="23"/>
      <w:szCs w:val="23"/>
      <w:lang w:val="en-US" w:eastAsia="en-US" w:bidi="ar-SA"/>
    </w:rPr>
  </w:style>
  <w:style w:styleId="Heading1" w:type="paragraph">
    <w:name w:val="Heading 1"/>
    <w:basedOn w:val="Normal"/>
    <w:uiPriority w:val="1"/>
    <w:qFormat/>
    <w:pPr>
      <w:ind w:left="1053" w:hanging="718"/>
      <w:jc w:val="both"/>
      <w:outlineLvl w:val="1"/>
    </w:pPr>
    <w:rPr>
      <w:rFonts w:ascii="Tahoma" w:hAnsi="Tahoma" w:eastAsia="Tahoma" w:cs="Tahoma"/>
      <w:b/>
      <w:bCs/>
      <w:sz w:val="25"/>
      <w:szCs w:val="25"/>
      <w:lang w:val="en-US" w:eastAsia="en-US" w:bidi="ar-SA"/>
    </w:rPr>
  </w:style>
  <w:style w:styleId="Heading2" w:type="paragraph">
    <w:name w:val="Heading 2"/>
    <w:basedOn w:val="Normal"/>
    <w:uiPriority w:val="1"/>
    <w:qFormat/>
    <w:pPr>
      <w:ind w:left="187"/>
      <w:outlineLvl w:val="2"/>
    </w:pPr>
    <w:rPr>
      <w:rFonts w:ascii="Tahoma" w:hAnsi="Tahoma" w:eastAsia="Tahoma" w:cs="Tahoma"/>
      <w:b/>
      <w:bCs/>
      <w:sz w:val="23"/>
      <w:szCs w:val="23"/>
      <w:lang w:val="en-US" w:eastAsia="en-US" w:bidi="ar-SA"/>
    </w:rPr>
  </w:style>
  <w:style w:styleId="Heading3" w:type="paragraph">
    <w:name w:val="Heading 3"/>
    <w:basedOn w:val="Normal"/>
    <w:uiPriority w:val="1"/>
    <w:qFormat/>
    <w:pPr>
      <w:ind w:left="860" w:hanging="676"/>
      <w:outlineLvl w:val="3"/>
    </w:pPr>
    <w:rPr>
      <w:rFonts w:ascii="Tahoma" w:hAnsi="Tahoma" w:eastAsia="Tahoma" w:cs="Tahoma"/>
      <w:b/>
      <w:bCs/>
      <w:sz w:val="23"/>
      <w:szCs w:val="23"/>
      <w:lang w:val="en-US" w:eastAsia="en-US" w:bidi="ar-SA"/>
    </w:rPr>
  </w:style>
  <w:style w:styleId="ListParagraph" w:type="paragraph">
    <w:name w:val="List Paragraph"/>
    <w:basedOn w:val="Normal"/>
    <w:uiPriority w:val="1"/>
    <w:qFormat/>
    <w:pPr>
      <w:ind w:left="863" w:hanging="676"/>
    </w:pPr>
    <w:rPr>
      <w:rFonts w:ascii="Tahoma" w:hAnsi="Tahoma" w:eastAsia="Tahoma" w:cs="Tahoma"/>
      <w:lang w:val="en-US" w:eastAsia="en-US" w:bidi="ar-SA"/>
    </w:rPr>
  </w:style>
  <w:style w:styleId="TableParagraph" w:type="paragraph">
    <w:name w:val="Table Paragraph"/>
    <w:basedOn w:val="Normal"/>
    <w:uiPriority w:val="1"/>
    <w:qFormat/>
    <w:pPr>
      <w:spacing w:before="5"/>
    </w:pPr>
    <w:rPr>
      <w:rFonts w:ascii="Tahoma" w:hAnsi="Tahoma" w:eastAsia="Tahoma" w:cs="Tahoma"/>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hyperlink" Target="http://www.echow.com/about_5zg6716_" TargetMode="External"/><Relationship Id="rId9" Type="http://schemas.openxmlformats.org/officeDocument/2006/relationships/hyperlink" Target="http://www.olaniwunajayi.net/clientalert/employees" TargetMode="External"/><Relationship Id="rId10" Type="http://schemas.openxmlformats.org/officeDocument/2006/relationships/hyperlink" Target="http://www.dailyindependencenigeria.com-/" TargetMode="External"/><Relationship Id="rId11" Type="http://schemas.openxmlformats.org/officeDocument/2006/relationships/hyperlink" Target="http://www.osc.state.ny.us/localgovt/pubs/preventingfraud-August2010" TargetMode="External"/><Relationship Id="rId12" Type="http://schemas.openxmlformats.org/officeDocument/2006/relationships/footer" Target="footer4.xml"/><Relationship Id="rId13" Type="http://schemas.openxmlformats.org/officeDocument/2006/relationships/footer" Target="footer5.xml"/><Relationship Id="rId14" Type="http://schemas.openxmlformats.org/officeDocument/2006/relationships/footer" Target="footer6.xml"/><Relationship Id="rId15" Type="http://schemas.openxmlformats.org/officeDocument/2006/relationships/footer" Target="footer7.xml"/><Relationship Id="rId16" Type="http://schemas.openxmlformats.org/officeDocument/2006/relationships/hyperlink" Target="http://www.livestrong.com/article/155766-five-commoncausesof-sress-April2" TargetMode="External"/><Relationship Id="rId17" Type="http://schemas.openxmlformats.org/officeDocument/2006/relationships/footer" Target="footer8.xml"/><Relationship Id="rId18" Type="http://schemas.openxmlformats.org/officeDocument/2006/relationships/footer" Target="footer9.xml"/><Relationship Id="rId19" Type="http://schemas.openxmlformats.org/officeDocument/2006/relationships/footer" Target="footer10.xml"/><Relationship Id="rId20" Type="http://schemas.openxmlformats.org/officeDocument/2006/relationships/hyperlink" Target="http://www.apt.gc.ca/wat/wb14200e.asp?did=5-April" TargetMode="External"/><Relationship Id="rId21" Type="http://schemas.openxmlformats.org/officeDocument/2006/relationships/hyperlink" Target="http://www.nsitf.net/" TargetMode="External"/><Relationship Id="rId22" Type="http://schemas.openxmlformats.org/officeDocument/2006/relationships/footer" Target="footer11.xml"/><Relationship Id="rId23" Type="http://schemas.openxmlformats.org/officeDocument/2006/relationships/footer" Target="footer12.xml"/><Relationship Id="rId24" Type="http://schemas.openxmlformats.org/officeDocument/2006/relationships/footer" Target="footer13.xml"/><Relationship Id="rId25" Type="http://schemas.openxmlformats.org/officeDocument/2006/relationships/footer" Target="footer14.xml"/><Relationship Id="rId26" Type="http://schemas.openxmlformats.org/officeDocument/2006/relationships/footer" Target="footer15.xml"/><Relationship Id="rId27" Type="http://schemas.openxmlformats.org/officeDocument/2006/relationships/hyperlink" Target="http://www.legal.dictionary.thefreedicitonary.com/illiterate" TargetMode="External"/><Relationship Id="rId28" Type="http://schemas.openxmlformats.org/officeDocument/2006/relationships/footer" Target="footer16.xml"/><Relationship Id="rId29" Type="http://schemas.openxmlformats.org/officeDocument/2006/relationships/hyperlink" Target="http://www.ilo.org/public/english/standards/relm/gb/../esp-i-i" TargetMode="External"/><Relationship Id="rId30" Type="http://schemas.openxmlformats.org/officeDocument/2006/relationships/image" Target="media/image1.png"/><Relationship Id="rId31" Type="http://schemas.openxmlformats.org/officeDocument/2006/relationships/hyperlink" Target="http://www.ilo.org/public/english/standards/relm/gb/../esp-1-1" TargetMode="External"/><Relationship Id="rId32" Type="http://schemas.openxmlformats.org/officeDocument/2006/relationships/hyperlink" Target="http://www.legal.dictionary.thefreedictionary.com/illiterate-Retrieved" TargetMode="External"/><Relationship Id="rId33" Type="http://schemas.openxmlformats.org/officeDocument/2006/relationships/hyperlink" Target="http://www.nigeriaintel.com-the/" TargetMode="External"/><Relationship Id="rId34" Type="http://schemas.openxmlformats.org/officeDocument/2006/relationships/hyperlink" Target="http://www.osc.state.ny.us/localgov/pubs/preventingfraud" TargetMode="External"/><Relationship Id="rId35" Type="http://schemas.openxmlformats.org/officeDocument/2006/relationships/hyperlink" Target="http://wwwlivestrong.com/artcile/155766-five-" TargetMode="External"/><Relationship Id="rId36" Type="http://schemas.openxmlformats.org/officeDocument/2006/relationships/hyperlink" Target="http://www.dailyindependentnig.com-May/" TargetMode="External"/><Relationship Id="rId37" Type="http://schemas.openxmlformats.org/officeDocument/2006/relationships/hyperlink" Target="http://www.ifwea.org/%40bin/217843/gerxhani" TargetMode="External"/><Relationship Id="rId38" Type="http://schemas.openxmlformats.org/officeDocument/2006/relationships/hyperlink" Target="http://www.olaniwuajayi.net/clientalert/employees" TargetMode="External"/><Relationship Id="rId39" Type="http://schemas.openxmlformats.org/officeDocument/2006/relationships/numbering" Target="numbering.xml"/></Relationships>

</file>

<file path=word/_rels/footer13.xml.rels><?xml version="1.0" encoding="UTF-8" standalone="yes"?>
<Relationships xmlns="http://schemas.openxmlformats.org/package/2006/relationships"><Relationship Id="rId1" Type="http://schemas.openxmlformats.org/officeDocument/2006/relationships/hyperlink" Target="http://www.nsitf.net/" TargetMode="External"/></Relationships>

</file>

<file path=word/_rels/footer14.xml.rels><?xml version="1.0" encoding="UTF-8" standalone="yes"?>
<Relationships xmlns="http://schemas.openxmlformats.org/package/2006/relationships"><Relationship Id="rId1" Type="http://schemas.openxmlformats.org/officeDocument/2006/relationships/hyperlink" Target="http://www.nsitf.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dc:title>Microsoft Word - BARR. DANIEL'S THESIS IN JULY 2014</dc:title>
  <dcterms:created xsi:type="dcterms:W3CDTF">2023-10-31T09:37:34Z</dcterms:created>
  <dcterms:modified xsi:type="dcterms:W3CDTF">2023-10-31T09:37:34Z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2014-11-07T00:00:00Z</vt:filetime>
  </property>
  <property fmtid="{D5CDD505-2E9C-101B-9397-08002B2CF9AE}" pid="3" name="Creator">
    <vt:lpwstr>Microsoft Word - BARR. DANIEL'S THESIS IN JULY 2014</vt:lpwstr>
  </property>
  <property fmtid="{D5CDD505-2E9C-101B-9397-08002B2CF9AE}" pid="4" name="Producer">
    <vt:lpwstr>doPDF   Ver 6.3 Build 308 (Windows XP  x32)</vt:lpwstr>
  </property>
  <property fmtid="{D5CDD505-2E9C-101B-9397-08002B2CF9AE}" pid="5" name="LastSaved">
    <vt:filetime>2014-11-07T00:00:00Z</vt:filetime>
  </property>
</Properties>
</file>